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DE5DB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D407C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1184C" w:rsidRDefault="0082470D"/>
    <w:p w14:paraId="00CD97DB" w14:textId="77777777" w:rsidR="0082470D" w:rsidRPr="00B1184C" w:rsidRDefault="0082470D"/>
    <w:p w14:paraId="6A476580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500DE180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3F90D66C" w14:textId="77777777"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45D00841" w14:textId="77777777"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Default="00415DBD" w:rsidP="00415D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CB5511" w14:paraId="69022734" w14:textId="77777777" w:rsidTr="00623CFC">
        <w:tc>
          <w:tcPr>
            <w:tcW w:w="3625" w:type="dxa"/>
          </w:tcPr>
          <w:p w14:paraId="705ACB26" w14:textId="77777777" w:rsidR="00623CFC" w:rsidRPr="00E34195" w:rsidRDefault="00623CFC" w:rsidP="00B77E42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691683F7" w:rsidR="00623CFC" w:rsidRPr="00CB5511" w:rsidRDefault="001D6946" w:rsidP="00B77E42">
            <w:pPr>
              <w:rPr>
                <w:sz w:val="24"/>
              </w:rPr>
            </w:pPr>
            <w:r>
              <w:rPr>
                <w:sz w:val="24"/>
              </w:rPr>
              <w:t>Museo Nacional Centro de Arte Reina Sofía (MNCARS)</w:t>
            </w:r>
          </w:p>
        </w:tc>
      </w:tr>
      <w:tr w:rsidR="00623CFC" w:rsidRPr="00CB5511" w14:paraId="0EABDAFA" w14:textId="77777777" w:rsidTr="00623CFC">
        <w:tc>
          <w:tcPr>
            <w:tcW w:w="3625" w:type="dxa"/>
          </w:tcPr>
          <w:p w14:paraId="12A6D2F4" w14:textId="77777777" w:rsidR="00623CFC" w:rsidRPr="00E34195" w:rsidRDefault="00623CFC" w:rsidP="00B77E42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3FEB9D4A" w:rsidR="00623CFC" w:rsidRDefault="009A15A6" w:rsidP="00B77E4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16A1E">
              <w:rPr>
                <w:sz w:val="24"/>
              </w:rPr>
              <w:t>9</w:t>
            </w:r>
            <w:r>
              <w:rPr>
                <w:sz w:val="24"/>
              </w:rPr>
              <w:t>/02/2024</w:t>
            </w:r>
          </w:p>
          <w:p w14:paraId="4B837EFF" w14:textId="59805F02" w:rsidR="00623CFC" w:rsidRPr="00CB5511" w:rsidRDefault="00623CFC" w:rsidP="00B77E42">
            <w:pPr>
              <w:rPr>
                <w:sz w:val="24"/>
              </w:rPr>
            </w:pPr>
            <w:r>
              <w:rPr>
                <w:sz w:val="24"/>
              </w:rPr>
              <w:t xml:space="preserve">Segunda revisión: </w:t>
            </w:r>
            <w:r w:rsidR="004A6A10">
              <w:rPr>
                <w:sz w:val="24"/>
              </w:rPr>
              <w:t>21/03/2024</w:t>
            </w:r>
          </w:p>
        </w:tc>
      </w:tr>
    </w:tbl>
    <w:p w14:paraId="460832EE" w14:textId="77777777" w:rsidR="00623CFC" w:rsidRDefault="00623CFC" w:rsidP="00415DBD"/>
    <w:p w14:paraId="5C6C9FDA" w14:textId="77777777" w:rsidR="00623CFC" w:rsidRPr="00B1184C" w:rsidRDefault="00623CFC" w:rsidP="00415DBD"/>
    <w:p w14:paraId="2A8B3BDC" w14:textId="77777777" w:rsidR="0082470D" w:rsidRPr="002D27E4" w:rsidRDefault="00DE5DB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1184C" w:rsidRDefault="0082470D" w:rsidP="0082470D">
      <w:pPr>
        <w:rPr>
          <w:rFonts w:ascii="Arial" w:hAnsi="Arial"/>
        </w:rPr>
      </w:pPr>
    </w:p>
    <w:p w14:paraId="79FB20F4" w14:textId="77777777"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7465AA" w14:paraId="20B915EC" w14:textId="77777777" w:rsidTr="00F361B3">
        <w:tc>
          <w:tcPr>
            <w:tcW w:w="1661" w:type="dxa"/>
            <w:shd w:val="clear" w:color="auto" w:fill="008A3E"/>
          </w:tcPr>
          <w:p w14:paraId="322C3903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7465AA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6F52D385" w:rsidR="00D77D83" w:rsidRPr="007465AA" w:rsidRDefault="00FC58C2" w:rsidP="005D4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79BC7F3" w14:textId="54DAD9D2" w:rsidR="00D77D83" w:rsidRPr="007465AA" w:rsidRDefault="00FC58C2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77D83" w:rsidRPr="007465AA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7465AA" w:rsidRDefault="00D77D83" w:rsidP="005D4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</w:tr>
      <w:tr w:rsidR="00D77D83" w:rsidRPr="007465AA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54891FA9" w:rsidR="00D77D83" w:rsidRPr="00FC58C2" w:rsidRDefault="00D77D83" w:rsidP="00FC58C2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01237311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</w:tr>
      <w:tr w:rsidR="00D77D83" w:rsidRPr="007465AA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E70213E" w:rsidR="00D77D83" w:rsidRPr="005D4D3C" w:rsidRDefault="00D77D83" w:rsidP="005D4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801F711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</w:tr>
      <w:tr w:rsidR="00FC58C2" w:rsidRPr="007465AA" w14:paraId="25FD81B6" w14:textId="77777777" w:rsidTr="00F2360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E07201" w:rsidRDefault="00FC58C2" w:rsidP="00FC58C2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395" w:type="dxa"/>
          </w:tcPr>
          <w:p w14:paraId="54D2B6E0" w14:textId="6AE32D0C" w:rsidR="00FC58C2" w:rsidRPr="007465AA" w:rsidRDefault="00FC58C2" w:rsidP="00FC58C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4256FCE" w:rsidR="00FC58C2" w:rsidRPr="007465AA" w:rsidRDefault="00FC58C2" w:rsidP="00FC58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270B360E" w:rsidR="00FC58C2" w:rsidRPr="007465AA" w:rsidRDefault="00FC58C2" w:rsidP="00FC58C2">
            <w:pPr>
              <w:rPr>
                <w:sz w:val="18"/>
                <w:szCs w:val="18"/>
              </w:rPr>
            </w:pPr>
          </w:p>
        </w:tc>
      </w:tr>
      <w:tr w:rsidR="008825CC" w:rsidRPr="007465AA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8825CC" w:rsidRPr="007465AA" w:rsidRDefault="008825CC" w:rsidP="008825CC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8825CC" w:rsidRPr="007465AA" w:rsidRDefault="008825CC" w:rsidP="008825C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12DB361B" w:rsidR="008825CC" w:rsidRPr="007465AA" w:rsidRDefault="008825CC" w:rsidP="008825CC">
            <w:pPr>
              <w:jc w:val="center"/>
              <w:rPr>
                <w:sz w:val="18"/>
                <w:szCs w:val="18"/>
              </w:rPr>
            </w:pPr>
            <w:r w:rsidRPr="008825CC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BD32D8C" w14:textId="7EB76393" w:rsidR="008825CC" w:rsidRPr="007465AA" w:rsidRDefault="008825CC" w:rsidP="008825CC">
            <w:pPr>
              <w:rPr>
                <w:sz w:val="18"/>
                <w:szCs w:val="18"/>
              </w:rPr>
            </w:pPr>
            <w:r w:rsidRPr="008825CC">
              <w:rPr>
                <w:sz w:val="18"/>
                <w:szCs w:val="18"/>
              </w:rPr>
              <w:t>No</w:t>
            </w:r>
          </w:p>
        </w:tc>
      </w:tr>
      <w:tr w:rsidR="00FC58C2" w:rsidRPr="007465AA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C58C2" w:rsidRPr="007465AA" w:rsidRDefault="00FC58C2" w:rsidP="00FC58C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C58C2" w:rsidRPr="007465AA" w:rsidRDefault="00FC58C2" w:rsidP="00FC58C2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1A870FF6" w:rsidR="00FC58C2" w:rsidRPr="007465AA" w:rsidRDefault="00FC58C2" w:rsidP="00FC58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0E638236" w:rsidR="00FC58C2" w:rsidRPr="007465AA" w:rsidRDefault="00FC58C2" w:rsidP="00FC58C2">
            <w:pPr>
              <w:rPr>
                <w:sz w:val="18"/>
                <w:szCs w:val="18"/>
              </w:rPr>
            </w:pPr>
          </w:p>
        </w:tc>
      </w:tr>
      <w:tr w:rsidR="00D27D16" w:rsidRPr="007465AA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D27D16" w:rsidRPr="007465AA" w:rsidRDefault="00D27D16" w:rsidP="00D27D16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D27D16" w:rsidRPr="007465AA" w:rsidRDefault="00D27D16" w:rsidP="00D27D1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4E77306D" w:rsidR="00D27D16" w:rsidRPr="007465AA" w:rsidRDefault="00D27D16" w:rsidP="00A762EC">
            <w:pPr>
              <w:jc w:val="center"/>
              <w:rPr>
                <w:sz w:val="18"/>
                <w:szCs w:val="18"/>
              </w:rPr>
            </w:pPr>
            <w:r w:rsidRPr="00D27D16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4D89B072" w:rsidR="00D27D16" w:rsidRPr="007465AA" w:rsidRDefault="00D27D16" w:rsidP="00D27D16">
            <w:pPr>
              <w:rPr>
                <w:sz w:val="18"/>
                <w:szCs w:val="18"/>
              </w:rPr>
            </w:pPr>
            <w:r w:rsidRPr="00D27D16">
              <w:rPr>
                <w:sz w:val="18"/>
                <w:szCs w:val="18"/>
              </w:rPr>
              <w:t xml:space="preserve">No </w:t>
            </w:r>
          </w:p>
        </w:tc>
      </w:tr>
      <w:tr w:rsidR="008825CC" w:rsidRPr="007465AA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8825CC" w:rsidRPr="007465AA" w:rsidRDefault="008825CC" w:rsidP="008825CC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8825CC" w:rsidRPr="007465AA" w:rsidRDefault="008825CC" w:rsidP="008825CC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37283A7" w:rsidR="008825CC" w:rsidRPr="008825CC" w:rsidRDefault="008825CC" w:rsidP="008825C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09" w:type="dxa"/>
          </w:tcPr>
          <w:p w14:paraId="2EDA76E5" w14:textId="42092238" w:rsidR="008825CC" w:rsidRPr="008825CC" w:rsidRDefault="008825CC" w:rsidP="008825CC">
            <w:pPr>
              <w:rPr>
                <w:sz w:val="18"/>
                <w:szCs w:val="20"/>
              </w:rPr>
            </w:pPr>
          </w:p>
        </w:tc>
      </w:tr>
      <w:tr w:rsidR="009D1242" w:rsidRPr="007465AA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8F31110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4FADCEF7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1FE2824F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3FA72B9E" w:rsidR="009D1242" w:rsidRPr="007465AA" w:rsidRDefault="009D1242" w:rsidP="009D1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Perfil y Trayectoria Profesional</w:t>
            </w:r>
            <w:r w:rsidR="008825CC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691" w:type="dxa"/>
          </w:tcPr>
          <w:p w14:paraId="7536926B" w14:textId="3C36D522" w:rsidR="009D1242" w:rsidRPr="000F410E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99C04D4" w14:textId="1E9B5EBB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5ACFA193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6BB0E3B9" w14:textId="0B411502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5E099427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3FC1F37D" w14:textId="6A7678EA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0F570B00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25D12303" w14:textId="308592A2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F361B3" w:rsidRPr="007465AA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45BE3FA5" w:rsidR="00F361B3" w:rsidRPr="007465AA" w:rsidRDefault="00F361B3" w:rsidP="00FC58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1629340B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7465AA" w:rsidRDefault="00F361B3" w:rsidP="00E07201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>Documentos sometidos a informa</w:t>
            </w:r>
            <w:r>
              <w:rPr>
                <w:sz w:val="18"/>
                <w:szCs w:val="18"/>
              </w:rPr>
              <w:t>ción pública</w:t>
            </w:r>
          </w:p>
        </w:tc>
        <w:tc>
          <w:tcPr>
            <w:tcW w:w="691" w:type="dxa"/>
          </w:tcPr>
          <w:p w14:paraId="21F54534" w14:textId="77777777" w:rsidR="00F361B3" w:rsidRPr="007465AA" w:rsidRDefault="00F361B3" w:rsidP="00FC58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9D1242" w:rsidRPr="007465AA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547FC718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94DB0AE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5DE3941D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6C501C19" w:rsidR="009D1242" w:rsidRPr="009D1242" w:rsidRDefault="009D1242" w:rsidP="004A6A10">
            <w:pPr>
              <w:jc w:val="both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  <w:r w:rsidR="008825CC">
              <w:rPr>
                <w:sz w:val="18"/>
                <w:szCs w:val="18"/>
              </w:rPr>
              <w:t>. Para la publicación de la información contractual sigue enlazándose a la PCSP</w:t>
            </w:r>
          </w:p>
        </w:tc>
      </w:tr>
      <w:tr w:rsidR="009D1242" w:rsidRPr="007465AA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D5BC0D2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5852D900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1918536D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67D7AB" w14:textId="554532EB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9D1242" w:rsidRPr="007465AA" w:rsidRDefault="009D1242" w:rsidP="009D1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5ABF55A9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79460AA2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A51D497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440120BD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5CD518C7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B3AECE8" w14:textId="762483C0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71DF4772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C13512" w14:textId="1DC4D36E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22EFF5E9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732FE1" w14:textId="6AB9A20A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>
              <w:rPr>
                <w:sz w:val="18"/>
                <w:szCs w:val="18"/>
              </w:rPr>
              <w:t>y ayudas públicas</w:t>
            </w:r>
          </w:p>
        </w:tc>
        <w:tc>
          <w:tcPr>
            <w:tcW w:w="691" w:type="dxa"/>
          </w:tcPr>
          <w:p w14:paraId="24AE29F5" w14:textId="5D3D49B7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30558E35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48BA35CC" w14:textId="77777777" w:rsidTr="00F361B3">
        <w:tc>
          <w:tcPr>
            <w:tcW w:w="1661" w:type="dxa"/>
            <w:vMerge/>
            <w:vAlign w:val="center"/>
          </w:tcPr>
          <w:p w14:paraId="58B08802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E9DDB" w14:textId="3C11DC7E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  <w:r w:rsidR="008825CC">
              <w:rPr>
                <w:sz w:val="18"/>
                <w:szCs w:val="18"/>
              </w:rPr>
              <w:t>: actualizar la información</w:t>
            </w:r>
          </w:p>
        </w:tc>
        <w:tc>
          <w:tcPr>
            <w:tcW w:w="691" w:type="dxa"/>
          </w:tcPr>
          <w:p w14:paraId="53DA87F7" w14:textId="0B4AC71E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19EEB6C" w14:textId="0908DC0E" w:rsidR="009D1242" w:rsidRPr="007465AA" w:rsidRDefault="009D1242" w:rsidP="006950F7">
            <w:pPr>
              <w:jc w:val="both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  <w:r w:rsidR="008825CC">
              <w:rPr>
                <w:sz w:val="18"/>
                <w:szCs w:val="18"/>
              </w:rPr>
              <w:t>. El presupuesto más reciente publicado corresponde a 2021</w:t>
            </w:r>
          </w:p>
        </w:tc>
      </w:tr>
      <w:tr w:rsidR="009D1242" w:rsidRPr="007465AA" w14:paraId="5AD8D378" w14:textId="77777777" w:rsidTr="00F361B3">
        <w:tc>
          <w:tcPr>
            <w:tcW w:w="1661" w:type="dxa"/>
            <w:vMerge/>
            <w:vAlign w:val="center"/>
          </w:tcPr>
          <w:p w14:paraId="2AAEA95B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9A3C9A0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</w:tcPr>
          <w:p w14:paraId="6B7AB020" w14:textId="09B53A0F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CC3B3E2" w14:textId="0881084D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052B3CBF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  <w:r w:rsidR="008825CC">
              <w:rPr>
                <w:sz w:val="18"/>
                <w:szCs w:val="18"/>
              </w:rPr>
              <w:t>: actualización</w:t>
            </w:r>
          </w:p>
        </w:tc>
        <w:tc>
          <w:tcPr>
            <w:tcW w:w="691" w:type="dxa"/>
          </w:tcPr>
          <w:p w14:paraId="25E615DE" w14:textId="66C61DE3" w:rsidR="009D1242" w:rsidRPr="008825CC" w:rsidRDefault="009D1242" w:rsidP="008825CC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61E9914" w:rsidR="009D1242" w:rsidRPr="007465AA" w:rsidRDefault="008825CC" w:rsidP="006950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Aunque se ha actualizado la información</w:t>
            </w:r>
            <w:r w:rsidR="006950F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la información más reciente corresponde a 2021. Dado que deberían estar publicadas las cuentas 2022, se considera aplicada la recomendación, </w:t>
            </w:r>
            <w:r w:rsidR="00A762EC">
              <w:rPr>
                <w:sz w:val="18"/>
                <w:szCs w:val="18"/>
              </w:rPr>
              <w:t xml:space="preserve">pero </w:t>
            </w:r>
            <w:r>
              <w:rPr>
                <w:sz w:val="18"/>
                <w:szCs w:val="18"/>
              </w:rPr>
              <w:t xml:space="preserve">no puede darse por cumplida la obligación. </w:t>
            </w:r>
          </w:p>
        </w:tc>
      </w:tr>
      <w:tr w:rsidR="009D1242" w:rsidRPr="007465AA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07A62B9D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0CE3C7FB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0C7CF905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  <w:r w:rsidR="00813553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691" w:type="dxa"/>
          </w:tcPr>
          <w:p w14:paraId="7ECD55FD" w14:textId="197BA687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668D441" w14:textId="37B04151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FC683B5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9C04CE" w14:textId="7DB7BB4C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0C995F41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3982F7A" w14:textId="72E7F1D7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4735ABE8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E0CFE57" w14:textId="7110C536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9D1242" w:rsidRPr="00337C82" w:rsidRDefault="009D1242" w:rsidP="009D1242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2B6A91F8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6803B63" w14:textId="326E998E" w:rsidR="009D1242" w:rsidRPr="007465AA" w:rsidRDefault="009D1242" w:rsidP="009D1242">
            <w:pPr>
              <w:rPr>
                <w:sz w:val="18"/>
                <w:szCs w:val="18"/>
              </w:rPr>
            </w:pPr>
            <w:r w:rsidRPr="009D1242">
              <w:rPr>
                <w:sz w:val="18"/>
                <w:szCs w:val="18"/>
              </w:rPr>
              <w:t>No</w:t>
            </w:r>
          </w:p>
        </w:tc>
      </w:tr>
      <w:tr w:rsidR="009D1242" w:rsidRPr="007465AA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463AFFD7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3169E320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F94891" w:rsidRPr="007465AA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94891" w:rsidRPr="007465AA" w:rsidRDefault="00F94891" w:rsidP="00F94891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94891" w:rsidRPr="00337C82" w:rsidRDefault="00F94891" w:rsidP="00F94891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36FC2E23" w:rsidR="00F94891" w:rsidRPr="00FC58C2" w:rsidRDefault="00F94891" w:rsidP="00FC58C2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20F15385" w14:textId="0D27922B" w:rsidR="00F94891" w:rsidRPr="007465AA" w:rsidRDefault="00F94891" w:rsidP="00F94891">
            <w:pPr>
              <w:rPr>
                <w:sz w:val="18"/>
                <w:szCs w:val="18"/>
              </w:rPr>
            </w:pPr>
          </w:p>
        </w:tc>
      </w:tr>
      <w:tr w:rsidR="00A249BB" w:rsidRPr="007465AA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7465AA" w:rsidRDefault="00A249BB" w:rsidP="00FC58C2">
            <w:p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</w:tr>
      <w:tr w:rsidR="00A249BB" w:rsidRPr="007465AA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7465AA" w:rsidRDefault="00A249BB" w:rsidP="00FC58C2">
            <w:p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</w:tr>
      <w:tr w:rsidR="00A249BB" w:rsidRPr="007465AA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7465AA" w:rsidRDefault="00A249BB" w:rsidP="00FC58C2">
            <w:p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</w:tr>
      <w:tr w:rsidR="00A249BB" w:rsidRPr="007465AA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7465AA" w:rsidRDefault="00A249BB" w:rsidP="00FC58C2">
            <w:p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</w:tr>
      <w:tr w:rsidR="00A249BB" w:rsidRPr="007465AA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5A57DF80" w:rsidR="00A249BB" w:rsidRPr="007465AA" w:rsidRDefault="009D1242" w:rsidP="00FC5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697EF864" w:rsidR="00A249BB" w:rsidRPr="007465AA" w:rsidRDefault="009D1242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7465AA" w:rsidRDefault="00A249BB" w:rsidP="002E1A55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 w:rsidRPr="007465AA">
              <w:rPr>
                <w:b/>
                <w:sz w:val="18"/>
                <w:szCs w:val="18"/>
              </w:rPr>
              <w:t>Total</w:t>
            </w:r>
            <w:proofErr w:type="gramEnd"/>
            <w:r w:rsidRPr="007465AA">
              <w:rPr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01C71479" w:rsidR="00A249BB" w:rsidRPr="007465AA" w:rsidRDefault="00813553" w:rsidP="002E1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709" w:type="dxa"/>
          </w:tcPr>
          <w:p w14:paraId="29655252" w14:textId="77777777" w:rsidR="00A249BB" w:rsidRPr="007465AA" w:rsidRDefault="00A249BB" w:rsidP="002E1A55">
            <w:pPr>
              <w:rPr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Default="003A1694" w:rsidP="00AC4A6F"/>
    <w:p w14:paraId="037740DE" w14:textId="77777777" w:rsidR="00DF56A7" w:rsidRDefault="00DF56A7" w:rsidP="00DF56A7">
      <w:pPr>
        <w:jc w:val="both"/>
      </w:pPr>
    </w:p>
    <w:p w14:paraId="11003E59" w14:textId="47EE8320" w:rsidR="00BA4354" w:rsidRDefault="00813553" w:rsidP="00DF56A7">
      <w:pPr>
        <w:jc w:val="both"/>
      </w:pPr>
      <w:r>
        <w:t>El MNCARS</w:t>
      </w:r>
      <w:r w:rsidR="009D1242">
        <w:t xml:space="preserve"> ha aplicado </w:t>
      </w:r>
      <w:r>
        <w:t>1</w:t>
      </w:r>
      <w:r w:rsidR="009D1242">
        <w:t xml:space="preserve"> </w:t>
      </w:r>
      <w:r w:rsidR="00C52EE5" w:rsidRPr="0076567C">
        <w:t xml:space="preserve">de las </w:t>
      </w:r>
      <w:r>
        <w:t>20</w:t>
      </w:r>
      <w:r w:rsidR="00F94891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F94891">
        <w:t>3</w:t>
      </w:r>
      <w:r w:rsidR="00C52EE5">
        <w:t>.</w:t>
      </w:r>
    </w:p>
    <w:p w14:paraId="51648A90" w14:textId="77777777" w:rsidR="00FA5AFD" w:rsidRDefault="00FA5AFD" w:rsidP="00AC4A6F"/>
    <w:p w14:paraId="72FB9EA9" w14:textId="6DB2A17C" w:rsidR="00813553" w:rsidRDefault="00813553" w:rsidP="00AC4A6F"/>
    <w:p w14:paraId="523CD473" w14:textId="644D2432" w:rsidR="003F6EDC" w:rsidRPr="002D27E4" w:rsidRDefault="002D27E4" w:rsidP="00DE5DBE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114353F6" w14:textId="2EDDCC0D" w:rsidR="00813553" w:rsidRDefault="00813553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813553" w:rsidRPr="00813553" w14:paraId="29E5690F" w14:textId="77777777" w:rsidTr="00813553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6FF2443" w14:textId="595E49D5" w:rsidR="00813553" w:rsidRPr="00813553" w:rsidRDefault="00813553" w:rsidP="008135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813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1EF9D3" w14:textId="77777777" w:rsidR="00813553" w:rsidRPr="00813553" w:rsidRDefault="00813553" w:rsidP="008135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0630B8A" w14:textId="77777777" w:rsidR="00813553" w:rsidRPr="00813553" w:rsidRDefault="00813553" w:rsidP="008135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2BE7896" w14:textId="77777777" w:rsidR="00813553" w:rsidRPr="00813553" w:rsidRDefault="00813553" w:rsidP="008135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024E8F5" w14:textId="77777777" w:rsidR="00813553" w:rsidRPr="00813553" w:rsidRDefault="00813553" w:rsidP="008135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309F05F" w14:textId="77777777" w:rsidR="00813553" w:rsidRPr="00813553" w:rsidRDefault="00813553" w:rsidP="008135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F573F89" w14:textId="77777777" w:rsidR="00813553" w:rsidRPr="00813553" w:rsidRDefault="00813553" w:rsidP="008135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12D2822" w14:textId="77777777" w:rsidR="00813553" w:rsidRPr="00813553" w:rsidRDefault="00813553" w:rsidP="008135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C69977C" w14:textId="77777777" w:rsidR="00813553" w:rsidRPr="00813553" w:rsidRDefault="00813553" w:rsidP="008135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13553" w:rsidRPr="00813553" w14:paraId="2BE580F9" w14:textId="77777777" w:rsidTr="00813553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0FC2569" w14:textId="77777777" w:rsidR="00813553" w:rsidRPr="00813553" w:rsidRDefault="00813553" w:rsidP="0081355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34197E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C2C347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CA3FBA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FBA09C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4D3294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9A0A31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85DD01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7C5C16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64,3</w:t>
            </w:r>
          </w:p>
        </w:tc>
      </w:tr>
      <w:tr w:rsidR="00813553" w:rsidRPr="00813553" w14:paraId="2C900FD2" w14:textId="77777777" w:rsidTr="00813553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E91A727" w14:textId="77777777" w:rsidR="00813553" w:rsidRPr="00813553" w:rsidRDefault="00813553" w:rsidP="008135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3CB6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FF23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C692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9540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734B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E32E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ADF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4AB6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13553" w:rsidRPr="00813553" w14:paraId="7CC3D0D4" w14:textId="77777777" w:rsidTr="00813553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DBBADC0" w14:textId="77777777" w:rsidR="00813553" w:rsidRPr="00813553" w:rsidRDefault="00813553" w:rsidP="0081355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057D03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99A2E6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0B1DFB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8A0A83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C225D2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31C825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D831FE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02D575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20,2</w:t>
            </w:r>
          </w:p>
        </w:tc>
      </w:tr>
      <w:tr w:rsidR="00813553" w:rsidRPr="00813553" w14:paraId="56FDE63B" w14:textId="77777777" w:rsidTr="00813553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F2F416F" w14:textId="77777777" w:rsidR="00813553" w:rsidRPr="00813553" w:rsidRDefault="00813553" w:rsidP="0081355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393B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7AA8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39ED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0A19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221E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CC36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225C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0F17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700</w:t>
            </w:r>
          </w:p>
        </w:tc>
      </w:tr>
      <w:tr w:rsidR="00813553" w:rsidRPr="00813553" w14:paraId="748B37B6" w14:textId="77777777" w:rsidTr="00813553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5764F75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D3162C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41,1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064137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00D3C3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C8D88D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028649B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8A83772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63DF8A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A83922B" w14:textId="77777777" w:rsidR="00813553" w:rsidRPr="00813553" w:rsidRDefault="00813553" w:rsidP="008135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35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38,8</w:t>
            </w:r>
          </w:p>
        </w:tc>
      </w:tr>
    </w:tbl>
    <w:p w14:paraId="02AF1BDE" w14:textId="3D3ED77E" w:rsidR="00FA5AFD" w:rsidRDefault="00FA5AFD" w:rsidP="00F05E2C">
      <w:pPr>
        <w:pStyle w:val="Cuerpodelboletn"/>
        <w:rPr>
          <w:lang w:bidi="es-ES"/>
        </w:rPr>
      </w:pPr>
    </w:p>
    <w:p w14:paraId="6B9B75B4" w14:textId="2C5BA133" w:rsidR="00EB68A3" w:rsidRDefault="004061BC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>
        <w:rPr>
          <w:lang w:bidi="es-ES"/>
        </w:rPr>
        <w:t xml:space="preserve">El Índice de Cumplimiento de la Información Obligatoria (ICIO) se sitúa en el </w:t>
      </w:r>
      <w:r w:rsidR="00813553">
        <w:rPr>
          <w:lang w:bidi="es-ES"/>
        </w:rPr>
        <w:t>38,8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B7547A">
        <w:rPr>
          <w:lang w:bidi="es-ES"/>
        </w:rPr>
        <w:t>3</w:t>
      </w:r>
      <w:r w:rsidR="00BB3652">
        <w:rPr>
          <w:lang w:bidi="es-ES"/>
        </w:rPr>
        <w:t xml:space="preserve"> </w:t>
      </w:r>
      <w:r w:rsidR="00A0730E">
        <w:rPr>
          <w:lang w:bidi="es-ES"/>
        </w:rPr>
        <w:t xml:space="preserve">se produce un </w:t>
      </w:r>
      <w:r w:rsidR="00813553">
        <w:rPr>
          <w:lang w:bidi="es-ES"/>
        </w:rPr>
        <w:t>decremento</w:t>
      </w:r>
      <w:r w:rsidR="00A0730E">
        <w:rPr>
          <w:lang w:bidi="es-ES"/>
        </w:rPr>
        <w:t xml:space="preserve"> de </w:t>
      </w:r>
      <w:r w:rsidR="00813553">
        <w:rPr>
          <w:lang w:bidi="es-ES"/>
        </w:rPr>
        <w:t>6,2</w:t>
      </w:r>
      <w:r w:rsidR="006C743A">
        <w:rPr>
          <w:lang w:bidi="es-ES"/>
        </w:rPr>
        <w:t xml:space="preserve"> puntos porcentuales</w:t>
      </w:r>
      <w:r w:rsidR="00B7547A">
        <w:rPr>
          <w:lang w:bidi="es-ES"/>
        </w:rPr>
        <w:t xml:space="preserve">, dado </w:t>
      </w:r>
      <w:r w:rsidR="00322BE5">
        <w:rPr>
          <w:lang w:bidi="es-ES"/>
        </w:rPr>
        <w:t>que,</w:t>
      </w:r>
      <w:r w:rsidR="00B7547A">
        <w:rPr>
          <w:lang w:bidi="es-ES"/>
        </w:rPr>
        <w:t xml:space="preserve"> </w:t>
      </w:r>
      <w:r w:rsidR="00813553">
        <w:rPr>
          <w:lang w:bidi="es-ES"/>
        </w:rPr>
        <w:t>aunque</w:t>
      </w:r>
      <w:r w:rsidR="004E5458">
        <w:rPr>
          <w:lang w:bidi="es-ES"/>
        </w:rPr>
        <w:t xml:space="preserve"> se ha aplicado una de las recomendaciones realizadas en 2023</w:t>
      </w:r>
      <w:r w:rsidR="006950F7">
        <w:rPr>
          <w:lang w:bidi="es-ES"/>
        </w:rPr>
        <w:t>,</w:t>
      </w:r>
      <w:r w:rsidR="004E5458">
        <w:rPr>
          <w:lang w:bidi="es-ES"/>
        </w:rPr>
        <w:t xml:space="preserve"> </w:t>
      </w:r>
      <w:r w:rsidR="00322BE5">
        <w:rPr>
          <w:lang w:bidi="es-ES"/>
        </w:rPr>
        <w:t xml:space="preserve">la información que se publica sigue estando desactualizada </w:t>
      </w:r>
      <w:proofErr w:type="gramStart"/>
      <w:r w:rsidR="004E5458">
        <w:rPr>
          <w:lang w:bidi="es-ES"/>
        </w:rPr>
        <w:t>y</w:t>
      </w:r>
      <w:proofErr w:type="gramEnd"/>
      <w:r w:rsidR="004E5458">
        <w:rPr>
          <w:lang w:bidi="es-ES"/>
        </w:rPr>
        <w:t xml:space="preserve"> a</w:t>
      </w:r>
      <w:r w:rsidR="00A0730E">
        <w:rPr>
          <w:lang w:bidi="es-ES"/>
        </w:rPr>
        <w:t xml:space="preserve">demás, tal y como se </w:t>
      </w:r>
      <w:r w:rsidR="008A77F6">
        <w:rPr>
          <w:lang w:bidi="es-ES"/>
        </w:rPr>
        <w:t>señaló</w:t>
      </w:r>
      <w:r w:rsidR="00A0730E">
        <w:rPr>
          <w:lang w:bidi="es-ES"/>
        </w:rPr>
        <w:t xml:space="preserve"> en el informe de evaluación </w:t>
      </w:r>
      <w:r w:rsidR="006C743A">
        <w:rPr>
          <w:lang w:bidi="es-ES"/>
        </w:rPr>
        <w:t xml:space="preserve">2023, </w:t>
      </w:r>
      <w:r w:rsidR="006C743A">
        <w:t>a</w:t>
      </w:r>
      <w:r w:rsidR="008A77F6">
        <w:t xml:space="preserve"> partir de julio de dicho año </w:t>
      </w:r>
      <w:r w:rsidR="006C743A">
        <w:t>se ha</w:t>
      </w:r>
      <w:r w:rsidR="008A77F6">
        <w:t xml:space="preserve"> incorporado una nueva obligación dentro del grupo contratos, para la </w:t>
      </w:r>
      <w:r w:rsidR="006C743A">
        <w:t xml:space="preserve">que </w:t>
      </w:r>
      <w:r w:rsidR="006950F7">
        <w:t>el MNCARS</w:t>
      </w:r>
      <w:r w:rsidR="008A77F6">
        <w:t xml:space="preserve"> no publica información.</w:t>
      </w:r>
      <w:r w:rsidR="00322BE5">
        <w:t xml:space="preserve"> Por otra parte, se ha revisado a la baja el cumplimiento de las obligaciones perfil y trayectoria profesional y retribuciones de los máximos responsables, porque la información relativa a ambas obligaciones ha dejado de publicarse. </w:t>
      </w: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Default="00965C69" w:rsidP="00965C69">
      <w:pPr>
        <w:pStyle w:val="Cuerpodelboletn"/>
      </w:pPr>
    </w:p>
    <w:p w14:paraId="06476F7C" w14:textId="0D585A85"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B7547A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</w:t>
      </w:r>
      <w:r w:rsidR="00322BE5">
        <w:t>del Museo Nacional Centro de Arte Reina Sofía.</w:t>
      </w:r>
      <w:r>
        <w:t xml:space="preserve"> </w:t>
      </w:r>
      <w:r w:rsidR="00322BE5">
        <w:t>Sólo</w:t>
      </w:r>
      <w:r>
        <w:t xml:space="preserve"> se ha aplicado </w:t>
      </w:r>
      <w:r w:rsidR="004E5458">
        <w:t xml:space="preserve">una de las </w:t>
      </w:r>
      <w:r>
        <w:t>recomendaciones efectuadas como consecuencia de la evaluación realizada en 202</w:t>
      </w:r>
      <w:r w:rsidR="00B7547A">
        <w:t>3</w:t>
      </w:r>
      <w:r w:rsidR="007154D5">
        <w:t xml:space="preserve"> y el Índice de Cumplimiento ha </w:t>
      </w:r>
      <w:r w:rsidR="004E5458">
        <w:t>decrecido respecto</w:t>
      </w:r>
      <w:r w:rsidR="007154D5">
        <w:t xml:space="preserve"> de los valores alcanzados en 2023</w:t>
      </w:r>
      <w:r>
        <w:t>.</w:t>
      </w:r>
    </w:p>
    <w:p w14:paraId="7D8CA51C" w14:textId="77777777"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14:paraId="17A724CD" w14:textId="77777777"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BD12D68" w14:textId="283E21DF" w:rsidR="008A77F6" w:rsidRDefault="008A77F6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 la localización y estructuración de la información, sigue </w:t>
      </w:r>
      <w:r w:rsidR="004E5458">
        <w:rPr>
          <w:rFonts w:ascii="Century Gothic" w:hAnsi="Century Gothic"/>
        </w:rPr>
        <w:t>sin habilitarse un espacio específico para la publicación de las informaciones obligatorias.</w:t>
      </w:r>
    </w:p>
    <w:p w14:paraId="24BECBCD" w14:textId="77777777" w:rsidR="008A77F6" w:rsidRDefault="008A77F6" w:rsidP="008A77F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236AB41D" w14:textId="45CAB010"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14:paraId="4F8C837E" w14:textId="77777777" w:rsidR="00CC3B31" w:rsidRDefault="00CC3B31" w:rsidP="00CC3B31">
      <w:pPr>
        <w:pStyle w:val="Prrafodelista"/>
      </w:pPr>
    </w:p>
    <w:p w14:paraId="39510EF6" w14:textId="77777777" w:rsidR="00FB13FB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Institucional y Organizativa:</w:t>
      </w:r>
    </w:p>
    <w:p w14:paraId="5C2ACB63" w14:textId="74FBADE8" w:rsidR="004E5458" w:rsidRDefault="00322BE5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funciones</w:t>
      </w:r>
    </w:p>
    <w:p w14:paraId="17B733A8" w14:textId="09F9F541" w:rsidR="00FB13FB" w:rsidRDefault="00322BE5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organizativa, incluyendo órganos de gobierno y de gestión.</w:t>
      </w:r>
    </w:p>
    <w:p w14:paraId="180130E4" w14:textId="044337A2" w:rsidR="00FB13FB" w:rsidRDefault="00B7547A" w:rsidP="008A186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2BE5">
        <w:rPr>
          <w:rFonts w:ascii="Century Gothic" w:hAnsi="Century Gothic"/>
        </w:rPr>
        <w:t xml:space="preserve"> </w:t>
      </w:r>
      <w:r w:rsidR="00FB13FB" w:rsidRPr="00322BE5">
        <w:rPr>
          <w:rFonts w:ascii="Century Gothic" w:hAnsi="Century Gothic"/>
        </w:rPr>
        <w:t>El perfil y trayectoria de los máximos responsables</w:t>
      </w:r>
    </w:p>
    <w:p w14:paraId="21B9FDB9" w14:textId="77777777" w:rsidR="00322BE5" w:rsidRPr="00322BE5" w:rsidRDefault="00322BE5" w:rsidP="00322BE5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14:paraId="653DC6AB" w14:textId="77777777" w:rsidR="00B7547A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bookmarkStart w:id="0" w:name="_Hlk160031698"/>
      <w:r>
        <w:rPr>
          <w:rFonts w:ascii="Century Gothic" w:hAnsi="Century Gothic"/>
        </w:rPr>
        <w:t>En el bloque de información económica no se publica</w:t>
      </w:r>
      <w:r w:rsidR="00B7547A">
        <w:rPr>
          <w:rFonts w:ascii="Century Gothic" w:hAnsi="Century Gothic"/>
        </w:rPr>
        <w:t>:</w:t>
      </w:r>
    </w:p>
    <w:bookmarkEnd w:id="0"/>
    <w:p w14:paraId="24F3F40A" w14:textId="70D9012C" w:rsidR="00B7547A" w:rsidRDefault="00B7547A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 adjudicados</w:t>
      </w:r>
      <w:r w:rsidR="00322BE5">
        <w:rPr>
          <w:rFonts w:ascii="Century Gothic" w:hAnsi="Century Gothic"/>
        </w:rPr>
        <w:t>. Esta información no es accesible a través de la Plataforma de Contratación del Sector Público, dado que para su localización es preciso abrir una a una las licitaciones publicadas, para comprobar si se han producido modificaciones</w:t>
      </w:r>
      <w:r w:rsidR="006950F7">
        <w:rPr>
          <w:rFonts w:ascii="Century Gothic" w:hAnsi="Century Gothic"/>
        </w:rPr>
        <w:t>.</w:t>
      </w:r>
    </w:p>
    <w:p w14:paraId="0F88FB4C" w14:textId="7B8B12D6" w:rsidR="007154D5" w:rsidRPr="007154D5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7154D5">
        <w:rPr>
          <w:rFonts w:ascii="Century Gothic" w:hAnsi="Century Gothic"/>
        </w:rPr>
        <w:t>nformación estadística sobre el volumen de contratación según procedimiento de licitación.</w:t>
      </w:r>
    </w:p>
    <w:p w14:paraId="151D4CC2" w14:textId="76D81EDE" w:rsidR="007154D5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7154D5">
        <w:rPr>
          <w:rFonts w:ascii="Century Gothic" w:hAnsi="Century Gothic"/>
        </w:rPr>
        <w:t>nformación estadística sobre el número y el porcentaje en volumen presupuestario de contratos adjudicados a PYMES según tipo de contrato y según procedimiento de licitación.</w:t>
      </w:r>
    </w:p>
    <w:p w14:paraId="5C25351D" w14:textId="500EEB25" w:rsidR="004E5458" w:rsidRDefault="004E5458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  <w:r w:rsidR="006950F7">
        <w:rPr>
          <w:rFonts w:ascii="Century Gothic" w:hAnsi="Century Gothic"/>
        </w:rPr>
        <w:t>.</w:t>
      </w:r>
    </w:p>
    <w:p w14:paraId="534C102F" w14:textId="675FD583" w:rsidR="004E5458" w:rsidRDefault="004E5458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encomiendas de gestión</w:t>
      </w:r>
      <w:r w:rsidR="006950F7">
        <w:rPr>
          <w:rFonts w:ascii="Century Gothic" w:hAnsi="Century Gothic"/>
        </w:rPr>
        <w:t>.</w:t>
      </w:r>
    </w:p>
    <w:p w14:paraId="055672A1" w14:textId="77777777" w:rsidR="004E5458" w:rsidRDefault="004E5458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Las subcontrataciones derivadas de las encomiendas de gestión.</w:t>
      </w:r>
    </w:p>
    <w:p w14:paraId="115ACC4E" w14:textId="628EF215" w:rsidR="00FB13FB" w:rsidRDefault="00322BE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Información actualizada sobre el presupuesto</w:t>
      </w:r>
      <w:r w:rsidR="006950F7">
        <w:rPr>
          <w:rFonts w:ascii="Century Gothic" w:hAnsi="Century Gothic"/>
        </w:rPr>
        <w:t>.</w:t>
      </w:r>
    </w:p>
    <w:p w14:paraId="40458E24" w14:textId="20E9F443" w:rsidR="007154D5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Información</w:t>
      </w:r>
      <w:r w:rsidRPr="007154D5">
        <w:rPr>
          <w:rFonts w:ascii="Century Gothic" w:hAnsi="Century Gothic"/>
        </w:rPr>
        <w:t xml:space="preserve"> sobre ejecución presupuestaria</w:t>
      </w:r>
      <w:r w:rsidR="006950F7">
        <w:rPr>
          <w:rFonts w:ascii="Century Gothic" w:hAnsi="Century Gothic"/>
        </w:rPr>
        <w:t>.</w:t>
      </w:r>
    </w:p>
    <w:p w14:paraId="4A615F0C" w14:textId="4A4C5FA4" w:rsidR="00FB13FB" w:rsidRPr="007154D5" w:rsidRDefault="00322BE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Información actualizada sobre l</w:t>
      </w:r>
      <w:r w:rsidR="00FB13FB">
        <w:rPr>
          <w:rFonts w:ascii="Century Gothic" w:hAnsi="Century Gothic"/>
        </w:rPr>
        <w:t>as cuentas anuales</w:t>
      </w:r>
      <w:r w:rsidR="006950F7">
        <w:rPr>
          <w:rFonts w:ascii="Century Gothic" w:hAnsi="Century Gothic"/>
        </w:rPr>
        <w:t>.</w:t>
      </w:r>
    </w:p>
    <w:p w14:paraId="476AD55E" w14:textId="27F6F09A" w:rsidR="007154D5" w:rsidRPr="007154D5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7154D5">
        <w:rPr>
          <w:rFonts w:ascii="Century Gothic" w:hAnsi="Century Gothic"/>
        </w:rPr>
        <w:t>os informes de auditoría y fiscalización elaborados por el Tribunal de Cuentas.</w:t>
      </w:r>
    </w:p>
    <w:p w14:paraId="68884C44" w14:textId="09E35771" w:rsidR="007154D5" w:rsidRPr="007154D5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7154D5">
        <w:rPr>
          <w:rFonts w:ascii="Century Gothic" w:hAnsi="Century Gothic"/>
        </w:rPr>
        <w:t>as retribuciones percibidas por altos cargos y máximos responsables.</w:t>
      </w:r>
    </w:p>
    <w:p w14:paraId="4FE2B3BB" w14:textId="5CEAC9E3" w:rsidR="007154D5" w:rsidRPr="007154D5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7154D5">
        <w:rPr>
          <w:rFonts w:ascii="Century Gothic" w:hAnsi="Century Gothic"/>
        </w:rPr>
        <w:t>as indemnizaciones percibidas por altos cargos y máximos responsables con ocasión del cese.</w:t>
      </w:r>
    </w:p>
    <w:p w14:paraId="4715DD68" w14:textId="38852FA3" w:rsidR="007154D5" w:rsidRPr="007154D5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7154D5">
        <w:rPr>
          <w:rFonts w:ascii="Century Gothic" w:hAnsi="Century Gothic"/>
        </w:rPr>
        <w:t xml:space="preserve">as autorizaciones de compatibilidad concedidas a empleados </w:t>
      </w:r>
      <w:r w:rsidR="00FA163A">
        <w:rPr>
          <w:rFonts w:ascii="Century Gothic" w:hAnsi="Century Gothic"/>
        </w:rPr>
        <w:t>de</w:t>
      </w:r>
      <w:r w:rsidR="006950F7">
        <w:rPr>
          <w:rFonts w:ascii="Century Gothic" w:hAnsi="Century Gothic"/>
        </w:rPr>
        <w:t>l MNCARS.</w:t>
      </w:r>
    </w:p>
    <w:p w14:paraId="2CDBBBC5" w14:textId="5FF59A15" w:rsidR="007154D5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7154D5">
        <w:rPr>
          <w:rFonts w:ascii="Century Gothic" w:hAnsi="Century Gothic"/>
        </w:rPr>
        <w:t>as autorizaciones para el ejercicio de actividades privadas concedidas a altos cargos.</w:t>
      </w:r>
    </w:p>
    <w:p w14:paraId="6B683860" w14:textId="77777777" w:rsidR="00C52EE5" w:rsidRDefault="00C52EE5" w:rsidP="00FB13FB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847B217" w14:textId="535C90E1"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14:paraId="212EE63A" w14:textId="77777777" w:rsidR="008A77F6" w:rsidRDefault="008A77F6" w:rsidP="008A77F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1187CF89" w14:textId="77777777"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22317092" w14:textId="36D66E2D" w:rsidR="004061BC" w:rsidRDefault="004061BC" w:rsidP="007154D5">
      <w:pPr>
        <w:pStyle w:val="Sinespaciado"/>
        <w:spacing w:line="276" w:lineRule="auto"/>
        <w:ind w:left="6480" w:firstLine="72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 xml:space="preserve">Madrid, </w:t>
      </w:r>
      <w:r w:rsidR="00A762EC">
        <w:rPr>
          <w:rFonts w:ascii="Century Gothic" w:hAnsi="Century Gothic"/>
        </w:rPr>
        <w:t xml:space="preserve"> marzo</w:t>
      </w:r>
      <w:proofErr w:type="gramEnd"/>
      <w:r>
        <w:rPr>
          <w:rFonts w:ascii="Century Gothic" w:hAnsi="Century Gothic"/>
        </w:rPr>
        <w:t xml:space="preserve"> de 202</w:t>
      </w:r>
      <w:r w:rsidR="007154D5">
        <w:rPr>
          <w:rFonts w:ascii="Century Gothic" w:hAnsi="Century Gothic"/>
        </w:rPr>
        <w:t>4</w:t>
      </w:r>
    </w:p>
    <w:p w14:paraId="5DB8548C" w14:textId="77777777"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6699A31" w14:textId="72A639D5" w:rsidR="004061BC" w:rsidRDefault="004061BC">
      <w:pPr>
        <w:rPr>
          <w:szCs w:val="22"/>
        </w:rPr>
      </w:pPr>
    </w:p>
    <w:p w14:paraId="6E0587B4" w14:textId="6533F0CF" w:rsidR="004E5458" w:rsidRDefault="004E5458">
      <w:pPr>
        <w:rPr>
          <w:szCs w:val="22"/>
        </w:rPr>
      </w:pPr>
    </w:p>
    <w:p w14:paraId="14AA2F1C" w14:textId="5FDE0CF4" w:rsidR="004E5458" w:rsidRDefault="004E5458">
      <w:pPr>
        <w:rPr>
          <w:szCs w:val="22"/>
        </w:rPr>
      </w:pPr>
    </w:p>
    <w:p w14:paraId="64A3C6ED" w14:textId="7A136D94" w:rsidR="004E5458" w:rsidRDefault="004E5458">
      <w:pPr>
        <w:rPr>
          <w:szCs w:val="22"/>
        </w:rPr>
      </w:pPr>
    </w:p>
    <w:p w14:paraId="565FADCA" w14:textId="7E727E82" w:rsidR="004E5458" w:rsidRDefault="004E5458">
      <w:pPr>
        <w:rPr>
          <w:szCs w:val="22"/>
        </w:rPr>
      </w:pPr>
    </w:p>
    <w:p w14:paraId="096C3418" w14:textId="171741BB" w:rsidR="00DE5DBE" w:rsidRDefault="00DE5DBE">
      <w:pPr>
        <w:rPr>
          <w:szCs w:val="22"/>
        </w:rPr>
      </w:pPr>
    </w:p>
    <w:p w14:paraId="72416192" w14:textId="5149188C" w:rsidR="00DE5DBE" w:rsidRDefault="00DE5DBE">
      <w:pPr>
        <w:rPr>
          <w:szCs w:val="22"/>
        </w:rPr>
      </w:pPr>
    </w:p>
    <w:p w14:paraId="7C3F8C18" w14:textId="2CEE81BC" w:rsidR="00DE5DBE" w:rsidRDefault="00DE5DBE">
      <w:pPr>
        <w:rPr>
          <w:szCs w:val="22"/>
        </w:rPr>
      </w:pPr>
    </w:p>
    <w:p w14:paraId="54F3DD71" w14:textId="2A831138" w:rsidR="00DE5DBE" w:rsidRDefault="00DE5DBE">
      <w:pPr>
        <w:rPr>
          <w:szCs w:val="22"/>
        </w:rPr>
      </w:pPr>
    </w:p>
    <w:p w14:paraId="01384AAB" w14:textId="679533DF" w:rsidR="00DE5DBE" w:rsidRDefault="00DE5DBE">
      <w:pPr>
        <w:rPr>
          <w:szCs w:val="22"/>
        </w:rPr>
      </w:pPr>
    </w:p>
    <w:p w14:paraId="61F3E33A" w14:textId="64611EFB" w:rsidR="00DE5DBE" w:rsidRDefault="00DE5DBE">
      <w:pPr>
        <w:rPr>
          <w:szCs w:val="22"/>
        </w:rPr>
      </w:pPr>
    </w:p>
    <w:p w14:paraId="7CEE6722" w14:textId="60F78F64" w:rsidR="00DE5DBE" w:rsidRDefault="00DE5DBE">
      <w:pPr>
        <w:rPr>
          <w:szCs w:val="22"/>
        </w:rPr>
      </w:pPr>
    </w:p>
    <w:p w14:paraId="1444DBE7" w14:textId="30B4E7F6" w:rsidR="00DE5DBE" w:rsidRDefault="00DE5DBE">
      <w:pPr>
        <w:rPr>
          <w:szCs w:val="22"/>
        </w:rPr>
      </w:pPr>
    </w:p>
    <w:p w14:paraId="2733A74E" w14:textId="03A61423" w:rsidR="00DE5DBE" w:rsidRDefault="00DE5DBE">
      <w:pPr>
        <w:rPr>
          <w:szCs w:val="22"/>
        </w:rPr>
      </w:pPr>
    </w:p>
    <w:p w14:paraId="155F2A0E" w14:textId="7EDD1C6B" w:rsidR="00DE5DBE" w:rsidRDefault="00DE5DBE">
      <w:pPr>
        <w:rPr>
          <w:szCs w:val="22"/>
        </w:rPr>
      </w:pPr>
    </w:p>
    <w:p w14:paraId="03984410" w14:textId="0377D1CA" w:rsidR="00DE5DBE" w:rsidRDefault="00DE5DBE">
      <w:pPr>
        <w:rPr>
          <w:szCs w:val="22"/>
        </w:rPr>
      </w:pPr>
    </w:p>
    <w:p w14:paraId="26B7D9CC" w14:textId="762B2F6A" w:rsidR="00DE5DBE" w:rsidRDefault="00DE5DBE">
      <w:pPr>
        <w:rPr>
          <w:szCs w:val="22"/>
        </w:rPr>
      </w:pPr>
    </w:p>
    <w:p w14:paraId="71C6DA35" w14:textId="74AE2840" w:rsidR="00DE5DBE" w:rsidRDefault="00DE5DBE">
      <w:pPr>
        <w:rPr>
          <w:szCs w:val="22"/>
        </w:rPr>
      </w:pPr>
    </w:p>
    <w:p w14:paraId="584B08F9" w14:textId="51A41DAF" w:rsidR="00DE5DBE" w:rsidRDefault="00DE5DBE">
      <w:pPr>
        <w:rPr>
          <w:szCs w:val="22"/>
        </w:rPr>
      </w:pPr>
    </w:p>
    <w:p w14:paraId="2013ABA0" w14:textId="2DABE5EE" w:rsidR="00DE5DBE" w:rsidRDefault="00DE5DBE">
      <w:pPr>
        <w:rPr>
          <w:szCs w:val="22"/>
        </w:rPr>
      </w:pPr>
    </w:p>
    <w:p w14:paraId="36A095E8" w14:textId="49A3B2D5" w:rsidR="00DE5DBE" w:rsidRDefault="00DE5DBE">
      <w:pPr>
        <w:rPr>
          <w:szCs w:val="22"/>
        </w:rPr>
      </w:pPr>
    </w:p>
    <w:p w14:paraId="28106F25" w14:textId="77777777" w:rsidR="00DE5DBE" w:rsidRDefault="00DE5DBE">
      <w:pPr>
        <w:rPr>
          <w:szCs w:val="22"/>
        </w:rPr>
      </w:pPr>
    </w:p>
    <w:p w14:paraId="6B8CC233" w14:textId="12030435" w:rsidR="004E5458" w:rsidRDefault="004E5458">
      <w:pPr>
        <w:rPr>
          <w:szCs w:val="22"/>
        </w:rPr>
      </w:pPr>
    </w:p>
    <w:p w14:paraId="18C52B77" w14:textId="5F212F46" w:rsidR="004E5458" w:rsidRDefault="004E5458">
      <w:pPr>
        <w:rPr>
          <w:szCs w:val="22"/>
        </w:rPr>
      </w:pPr>
    </w:p>
    <w:p w14:paraId="171F6F5E" w14:textId="2C0021F2" w:rsidR="004E5458" w:rsidRDefault="004E5458">
      <w:pPr>
        <w:rPr>
          <w:szCs w:val="22"/>
        </w:rPr>
      </w:pPr>
    </w:p>
    <w:p w14:paraId="1C230E9E" w14:textId="07F484BD" w:rsidR="004E5458" w:rsidRDefault="004E5458">
      <w:pPr>
        <w:rPr>
          <w:szCs w:val="22"/>
        </w:rPr>
      </w:pPr>
    </w:p>
    <w:p w14:paraId="0449542E" w14:textId="77777777"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1518"/>
        <w:gridCol w:w="2755"/>
        <w:gridCol w:w="757"/>
        <w:gridCol w:w="4049"/>
      </w:tblGrid>
      <w:tr w:rsidR="009654DA" w:rsidRPr="009654DA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9654DA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9654DA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9654DA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1E7F" w14:textId="77777777" w:rsidR="00A762EC" w:rsidRDefault="00A762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D2AA" w14:textId="77777777" w:rsidR="00A762EC" w:rsidRDefault="00A762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B300" w14:textId="77777777" w:rsidR="00A762EC" w:rsidRDefault="00A76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52A" w14:textId="2EAAC102" w:rsidR="00A762EC" w:rsidRDefault="00DE5DBE">
    <w:pPr>
      <w:pStyle w:val="Encabezado"/>
    </w:pPr>
    <w:r>
      <w:rPr>
        <w:noProof/>
      </w:rPr>
      <w:pict w14:anchorId="66037B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14344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E26E" w14:textId="631DCA5D" w:rsidR="00A762EC" w:rsidRDefault="00DE5DBE">
    <w:pPr>
      <w:pStyle w:val="Encabezado"/>
    </w:pPr>
    <w:r>
      <w:rPr>
        <w:noProof/>
      </w:rPr>
      <w:pict w14:anchorId="1D8A71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14345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F29D" w14:textId="62C50008" w:rsidR="00A762EC" w:rsidRDefault="00DE5DBE">
    <w:pPr>
      <w:pStyle w:val="Encabezado"/>
    </w:pPr>
    <w:r>
      <w:rPr>
        <w:noProof/>
      </w:rPr>
      <w:pict w14:anchorId="29093F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14343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F6723"/>
    <w:multiLevelType w:val="hybridMultilevel"/>
    <w:tmpl w:val="FD8C9AE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7"/>
  </w:num>
  <w:num w:numId="14">
    <w:abstractNumId w:val="19"/>
  </w:num>
  <w:num w:numId="15">
    <w:abstractNumId w:val="2"/>
  </w:num>
  <w:num w:numId="16">
    <w:abstractNumId w:val="21"/>
  </w:num>
  <w:num w:numId="17">
    <w:abstractNumId w:val="11"/>
  </w:num>
  <w:num w:numId="18">
    <w:abstractNumId w:val="6"/>
  </w:num>
  <w:num w:numId="19">
    <w:abstractNumId w:val="5"/>
  </w:num>
  <w:num w:numId="20">
    <w:abstractNumId w:val="15"/>
  </w:num>
  <w:num w:numId="21">
    <w:abstractNumId w:val="22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D6946"/>
    <w:rsid w:val="001E5AAD"/>
    <w:rsid w:val="0021682B"/>
    <w:rsid w:val="00225D96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2BE5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720A5"/>
    <w:rsid w:val="0047735C"/>
    <w:rsid w:val="004859CC"/>
    <w:rsid w:val="004A1663"/>
    <w:rsid w:val="004A6A10"/>
    <w:rsid w:val="004C6440"/>
    <w:rsid w:val="004D4B3E"/>
    <w:rsid w:val="004D50CC"/>
    <w:rsid w:val="004D7037"/>
    <w:rsid w:val="004E5458"/>
    <w:rsid w:val="004E7B33"/>
    <w:rsid w:val="00506864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B1544"/>
    <w:rsid w:val="005C4778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50F7"/>
    <w:rsid w:val="0069673B"/>
    <w:rsid w:val="006B2C2E"/>
    <w:rsid w:val="006B75D8"/>
    <w:rsid w:val="006C0CDD"/>
    <w:rsid w:val="006C743A"/>
    <w:rsid w:val="006D49E7"/>
    <w:rsid w:val="006D4C90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13553"/>
    <w:rsid w:val="00821526"/>
    <w:rsid w:val="0082470D"/>
    <w:rsid w:val="00825ACB"/>
    <w:rsid w:val="00826275"/>
    <w:rsid w:val="00836976"/>
    <w:rsid w:val="008514EC"/>
    <w:rsid w:val="00853CB9"/>
    <w:rsid w:val="00865E5A"/>
    <w:rsid w:val="008825CC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762EC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27D16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E5DBE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2006/documentManagement/types"/>
    <ds:schemaRef ds:uri="4873beb7-5857-4685-be1f-d57550cc96cc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69</TotalTime>
  <Pages>6</Pages>
  <Words>1332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6</cp:revision>
  <cp:lastPrinted>2008-09-26T23:14:00Z</cp:lastPrinted>
  <dcterms:created xsi:type="dcterms:W3CDTF">2024-02-29T12:18:00Z</dcterms:created>
  <dcterms:modified xsi:type="dcterms:W3CDTF">2024-04-03T14:53:00Z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