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65745E" w:rsidRDefault="00DF25D7">
      <w:pPr>
        <w:rPr>
          <w:rFonts w:ascii="Mulish" w:hAnsi="Mulish"/>
        </w:rPr>
      </w:pPr>
      <w:r w:rsidRPr="0065745E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65745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F93EC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65745E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65745E" w:rsidRDefault="0082470D">
      <w:pPr>
        <w:rPr>
          <w:rFonts w:ascii="Mulish" w:hAnsi="Mulish"/>
        </w:rPr>
      </w:pPr>
    </w:p>
    <w:p w14:paraId="00CD97DB" w14:textId="77777777" w:rsidR="0082470D" w:rsidRPr="0065745E" w:rsidRDefault="0082470D">
      <w:pPr>
        <w:rPr>
          <w:rFonts w:ascii="Mulish" w:hAnsi="Mulish"/>
        </w:rPr>
      </w:pPr>
    </w:p>
    <w:p w14:paraId="6A476580" w14:textId="77777777" w:rsidR="0082470D" w:rsidRPr="0065745E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65745E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65745E" w:rsidRDefault="00751FAA" w:rsidP="0082470D">
      <w:pPr>
        <w:rPr>
          <w:rFonts w:ascii="Mulish" w:hAnsi="Mulish"/>
          <w:b/>
          <w:sz w:val="36"/>
        </w:rPr>
      </w:pPr>
      <w:r w:rsidRPr="0065745E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65745E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65745E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65745E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65745E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65745E" w14:paraId="69022734" w14:textId="77777777" w:rsidTr="00623CFC">
        <w:tc>
          <w:tcPr>
            <w:tcW w:w="3625" w:type="dxa"/>
          </w:tcPr>
          <w:p w14:paraId="705ACB26" w14:textId="77777777" w:rsidR="00623CFC" w:rsidRPr="0065745E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65745E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45A96968" w:rsidR="00623CFC" w:rsidRPr="0065745E" w:rsidRDefault="00FF7475" w:rsidP="002609C9">
            <w:pPr>
              <w:jc w:val="both"/>
              <w:rPr>
                <w:rFonts w:ascii="Mulish" w:hAnsi="Mulish"/>
                <w:sz w:val="24"/>
              </w:rPr>
            </w:pPr>
            <w:r w:rsidRPr="0065745E">
              <w:rPr>
                <w:rFonts w:ascii="Mulish" w:hAnsi="Mulish"/>
                <w:sz w:val="24"/>
              </w:rPr>
              <w:t xml:space="preserve">SEGITTUR </w:t>
            </w:r>
            <w:r w:rsidR="00FD4A37" w:rsidRPr="0065745E">
              <w:rPr>
                <w:rFonts w:ascii="Mulish" w:hAnsi="Mulish"/>
                <w:sz w:val="24"/>
              </w:rPr>
              <w:t xml:space="preserve">SME </w:t>
            </w:r>
          </w:p>
        </w:tc>
      </w:tr>
      <w:tr w:rsidR="00623CFC" w:rsidRPr="0065745E" w14:paraId="0EABDAFA" w14:textId="77777777" w:rsidTr="00623CFC">
        <w:tc>
          <w:tcPr>
            <w:tcW w:w="3625" w:type="dxa"/>
          </w:tcPr>
          <w:p w14:paraId="12A6D2F4" w14:textId="77777777" w:rsidR="00623CFC" w:rsidRPr="0065745E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65745E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A29BA81" w:rsidR="00623CFC" w:rsidRPr="0065745E" w:rsidRDefault="00623CFC" w:rsidP="00B77E42">
            <w:pPr>
              <w:rPr>
                <w:rFonts w:ascii="Mulish" w:hAnsi="Mulish"/>
                <w:sz w:val="24"/>
              </w:rPr>
            </w:pPr>
            <w:r w:rsidRPr="0065745E">
              <w:rPr>
                <w:rFonts w:ascii="Mulish" w:hAnsi="Mulish"/>
                <w:sz w:val="24"/>
              </w:rPr>
              <w:t>0</w:t>
            </w:r>
            <w:r w:rsidR="00FF7475" w:rsidRPr="0065745E">
              <w:rPr>
                <w:rFonts w:ascii="Mulish" w:hAnsi="Mulish"/>
                <w:sz w:val="24"/>
              </w:rPr>
              <w:t>6</w:t>
            </w:r>
            <w:r w:rsidRPr="0065745E">
              <w:rPr>
                <w:rFonts w:ascii="Mulish" w:hAnsi="Mulish"/>
                <w:sz w:val="24"/>
              </w:rPr>
              <w:t>/03/202</w:t>
            </w:r>
            <w:r w:rsidR="002609C9" w:rsidRPr="0065745E">
              <w:rPr>
                <w:rFonts w:ascii="Mulish" w:hAnsi="Mulish"/>
                <w:sz w:val="24"/>
              </w:rPr>
              <w:t>4</w:t>
            </w:r>
          </w:p>
          <w:p w14:paraId="4B837EFF" w14:textId="28A5B0A2" w:rsidR="00623CFC" w:rsidRPr="0065745E" w:rsidRDefault="00623CFC" w:rsidP="00B77E42">
            <w:pPr>
              <w:rPr>
                <w:rFonts w:ascii="Mulish" w:hAnsi="Mulish"/>
                <w:sz w:val="24"/>
              </w:rPr>
            </w:pPr>
            <w:r w:rsidRPr="0065745E">
              <w:rPr>
                <w:rFonts w:ascii="Mulish" w:hAnsi="Mulish"/>
                <w:sz w:val="24"/>
              </w:rPr>
              <w:t xml:space="preserve">Segunda revisión: </w:t>
            </w:r>
            <w:r w:rsidR="002F4F05" w:rsidRPr="0065745E">
              <w:rPr>
                <w:rFonts w:ascii="Mulish" w:hAnsi="Mulish"/>
                <w:sz w:val="24"/>
              </w:rPr>
              <w:t>09/04/2024</w:t>
            </w:r>
          </w:p>
        </w:tc>
      </w:tr>
    </w:tbl>
    <w:p w14:paraId="460832EE" w14:textId="77777777" w:rsidR="00623CFC" w:rsidRPr="0065745E" w:rsidRDefault="00623CFC" w:rsidP="00415DBD">
      <w:pPr>
        <w:rPr>
          <w:rFonts w:ascii="Mulish" w:hAnsi="Mulish"/>
        </w:rPr>
      </w:pPr>
    </w:p>
    <w:p w14:paraId="5C6C9FDA" w14:textId="77777777" w:rsidR="00623CFC" w:rsidRPr="0065745E" w:rsidRDefault="00623CFC" w:rsidP="00415DBD">
      <w:pPr>
        <w:rPr>
          <w:rFonts w:ascii="Mulish" w:hAnsi="Mulish"/>
        </w:rPr>
      </w:pPr>
    </w:p>
    <w:p w14:paraId="2A8B3BDC" w14:textId="77777777" w:rsidR="0082470D" w:rsidRPr="0065745E" w:rsidRDefault="0065745E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65745E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65745E" w:rsidRDefault="0082470D" w:rsidP="0082470D">
      <w:pPr>
        <w:rPr>
          <w:rFonts w:ascii="Mulish" w:hAnsi="Mulish"/>
        </w:rPr>
      </w:pPr>
    </w:p>
    <w:p w14:paraId="79FB20F4" w14:textId="77777777" w:rsidR="00760E4B" w:rsidRPr="0065745E" w:rsidRDefault="00760E4B" w:rsidP="003E564B">
      <w:pPr>
        <w:pStyle w:val="Cuerpodelboletn"/>
        <w:rPr>
          <w:rFonts w:ascii="Mulish" w:hAnsi="Mulish"/>
        </w:rPr>
        <w:sectPr w:rsidR="00760E4B" w:rsidRPr="0065745E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65745E" w14:paraId="20B915EC" w14:textId="77777777" w:rsidTr="00F93EC7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65745E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5745E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65745E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5745E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65745E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5745E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65745E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65745E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65745E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65745E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65745E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65745E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65745E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65745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48086E9B" w:rsidR="00D77D83" w:rsidRPr="0065745E" w:rsidRDefault="00D77D83" w:rsidP="00FF7475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05FD55B" w:rsidR="00D77D83" w:rsidRPr="0065745E" w:rsidRDefault="00FF7475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5B11B3" w:rsidRPr="0065745E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65745E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02F1FC8" w:rsidR="005B11B3" w:rsidRPr="0065745E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7777777" w:rsidR="005B11B3" w:rsidRPr="0065745E" w:rsidRDefault="005B11B3" w:rsidP="00FF747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06881517" w:rsidR="005B11B3" w:rsidRPr="0065745E" w:rsidRDefault="005B1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7F8723A8" w14:textId="77777777" w:rsidTr="006870B6">
        <w:tc>
          <w:tcPr>
            <w:tcW w:w="1661" w:type="dxa"/>
            <w:vMerge/>
            <w:vAlign w:val="center"/>
          </w:tcPr>
          <w:p w14:paraId="39CCF68C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3E7A1C26" w14:textId="77777777" w:rsidTr="006870B6">
        <w:tc>
          <w:tcPr>
            <w:tcW w:w="1661" w:type="dxa"/>
            <w:vMerge/>
            <w:vAlign w:val="center"/>
          </w:tcPr>
          <w:p w14:paraId="7E6FCF06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2662812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441BFD00" w14:textId="77777777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00C5C744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5188F761" w14:textId="77777777" w:rsidTr="006870B6">
        <w:tc>
          <w:tcPr>
            <w:tcW w:w="1661" w:type="dxa"/>
            <w:vMerge/>
            <w:vAlign w:val="center"/>
          </w:tcPr>
          <w:p w14:paraId="6D96AA3B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480D893A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4A565035" w14:textId="16EE7C83" w:rsidR="00F361B3" w:rsidRPr="0065745E" w:rsidRDefault="00FF7475" w:rsidP="00FF747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6C4FEECC" w14:textId="585A44CE" w:rsidR="00F361B3" w:rsidRPr="0065745E" w:rsidRDefault="00FF7475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65745E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65745E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1457B0AC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65745E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032177C0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01720E37" w14:textId="77777777" w:rsidTr="002609C9">
        <w:tc>
          <w:tcPr>
            <w:tcW w:w="1661" w:type="dxa"/>
            <w:vMerge/>
            <w:vAlign w:val="center"/>
          </w:tcPr>
          <w:p w14:paraId="01AAB338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7777777" w:rsidR="00F361B3" w:rsidRPr="0065745E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35FBBC3E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7C1D17D4" w14:textId="77777777" w:rsidTr="002609C9">
        <w:tc>
          <w:tcPr>
            <w:tcW w:w="1661" w:type="dxa"/>
            <w:vMerge/>
            <w:vAlign w:val="center"/>
          </w:tcPr>
          <w:p w14:paraId="0F97F540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65745E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0EA6C8C5" w14:textId="77777777" w:rsidTr="002609C9">
        <w:tc>
          <w:tcPr>
            <w:tcW w:w="1661" w:type="dxa"/>
            <w:vMerge/>
            <w:vAlign w:val="center"/>
          </w:tcPr>
          <w:p w14:paraId="03282850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65745E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6338E894" w14:textId="77777777" w:rsidTr="002609C9">
        <w:tc>
          <w:tcPr>
            <w:tcW w:w="1661" w:type="dxa"/>
            <w:vMerge/>
            <w:vAlign w:val="center"/>
          </w:tcPr>
          <w:p w14:paraId="2F70F68C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65745E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77777777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77FDFB7D" w14:textId="77777777" w:rsidTr="002609C9">
        <w:tc>
          <w:tcPr>
            <w:tcW w:w="1661" w:type="dxa"/>
            <w:vMerge/>
            <w:vAlign w:val="center"/>
          </w:tcPr>
          <w:p w14:paraId="193F6257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370980B3" w14:textId="77777777" w:rsidTr="002609C9">
        <w:tc>
          <w:tcPr>
            <w:tcW w:w="1661" w:type="dxa"/>
            <w:vMerge/>
            <w:vAlign w:val="center"/>
          </w:tcPr>
          <w:p w14:paraId="65A5E91D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65745E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65745E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592E529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65745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77777777" w:rsidR="00F361B3" w:rsidRPr="0065745E" w:rsidRDefault="00F361B3" w:rsidP="00FF7475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28C9291C" w:rsidR="00F361B3" w:rsidRPr="0065745E" w:rsidRDefault="00FF7475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F361B3" w:rsidRPr="0065745E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65745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16096B1D" w:rsidR="00F361B3" w:rsidRPr="0065745E" w:rsidRDefault="00F361B3" w:rsidP="000818B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483AE253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65745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7777777" w:rsidR="00F361B3" w:rsidRPr="0065745E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4A624A41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65745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EA9E0EB" w:rsidR="00F361B3" w:rsidRPr="0065745E" w:rsidRDefault="00F361B3" w:rsidP="00FF7475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08B5D7B" w14:textId="677E9ABF" w:rsidR="00F361B3" w:rsidRPr="0065745E" w:rsidRDefault="00FF7475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Sí.</w:t>
            </w:r>
            <w:r w:rsidR="002F4F05" w:rsidRPr="0065745E">
              <w:rPr>
                <w:rFonts w:ascii="Mulish" w:hAnsi="Mulish"/>
                <w:sz w:val="18"/>
                <w:szCs w:val="18"/>
              </w:rPr>
              <w:t xml:space="preserve"> La información publicada no incluye la distribución según tipo de contrato que, junto a la distribución según procedimiento de licitación, forma parte de esta obligación </w:t>
            </w:r>
          </w:p>
        </w:tc>
      </w:tr>
      <w:tr w:rsidR="00F361B3" w:rsidRPr="0065745E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65745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65745E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44E5C3CB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6E9F2F8F" w14:textId="77777777" w:rsidTr="006A657B">
        <w:tc>
          <w:tcPr>
            <w:tcW w:w="1661" w:type="dxa"/>
            <w:vMerge/>
            <w:vAlign w:val="center"/>
          </w:tcPr>
          <w:p w14:paraId="73E1F276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50F9B90D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Convenios</w:t>
            </w:r>
            <w:r w:rsidR="000818BE" w:rsidRPr="0065745E">
              <w:rPr>
                <w:rFonts w:ascii="Mulish" w:hAnsi="Mulish"/>
                <w:sz w:val="18"/>
                <w:szCs w:val="18"/>
              </w:rPr>
              <w:t>: completar ítems informativos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77777777" w:rsidR="00F361B3" w:rsidRPr="0065745E" w:rsidRDefault="00F361B3" w:rsidP="007B0528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71258D79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3F1DD625" w14:textId="77777777" w:rsidTr="006A657B">
        <w:tc>
          <w:tcPr>
            <w:tcW w:w="1661" w:type="dxa"/>
            <w:vMerge/>
            <w:vAlign w:val="center"/>
          </w:tcPr>
          <w:p w14:paraId="6BF07263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5B009B82" w14:textId="77777777" w:rsidTr="006A657B">
        <w:tc>
          <w:tcPr>
            <w:tcW w:w="1661" w:type="dxa"/>
            <w:vMerge/>
            <w:vAlign w:val="center"/>
          </w:tcPr>
          <w:p w14:paraId="76AD24C7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7777777" w:rsidR="00F361B3" w:rsidRPr="0065745E" w:rsidRDefault="00F361B3" w:rsidP="007B0528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2CC9170B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48BA35CC" w14:textId="77777777" w:rsidTr="006A657B">
        <w:tc>
          <w:tcPr>
            <w:tcW w:w="1661" w:type="dxa"/>
            <w:vMerge/>
            <w:vAlign w:val="center"/>
          </w:tcPr>
          <w:p w14:paraId="58B08802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77777777" w:rsidR="00F361B3" w:rsidRPr="0065745E" w:rsidRDefault="00F361B3" w:rsidP="00227A4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076950E4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5745E" w14:paraId="5AD8D378" w14:textId="77777777" w:rsidTr="006A657B">
        <w:tc>
          <w:tcPr>
            <w:tcW w:w="1661" w:type="dxa"/>
            <w:vMerge/>
            <w:vAlign w:val="center"/>
          </w:tcPr>
          <w:p w14:paraId="2AAEA95B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D693CEF" w:rsidR="00F361B3" w:rsidRPr="0065745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5F2C9BFE" w:rsidR="00F361B3" w:rsidRPr="0065745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65745E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7C81DC45" w:rsidR="006A657B" w:rsidRPr="0065745E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41693778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65745E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0D4450A0" w:rsidR="006A657B" w:rsidRPr="0065745E" w:rsidRDefault="006A657B" w:rsidP="00227A4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296E7326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65745E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1444C44D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10D5B91C" w:rsidR="006A657B" w:rsidRPr="0065745E" w:rsidRDefault="006A657B" w:rsidP="007B0528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16658615" w:rsidR="006A657B" w:rsidRPr="0065745E" w:rsidRDefault="007B0528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65745E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7777777" w:rsidR="006A657B" w:rsidRPr="0065745E" w:rsidRDefault="006A657B" w:rsidP="002F4F05">
            <w:pPr>
              <w:pStyle w:val="Prrafodelista"/>
              <w:numPr>
                <w:ilvl w:val="0"/>
                <w:numId w:val="2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021DFFDD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6A657B" w:rsidRPr="0065745E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77777777" w:rsidR="006A657B" w:rsidRPr="0065745E" w:rsidRDefault="006A657B" w:rsidP="002F4F05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0CFE57" w14:textId="3664EA77" w:rsidR="006A657B" w:rsidRPr="0065745E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Sí.</w:t>
            </w:r>
            <w:r w:rsidR="007B0528" w:rsidRPr="0065745E">
              <w:rPr>
                <w:rFonts w:ascii="Mulish" w:hAnsi="Mulish"/>
                <w:sz w:val="18"/>
                <w:szCs w:val="18"/>
              </w:rPr>
              <w:t xml:space="preserve"> No aplica</w:t>
            </w:r>
          </w:p>
        </w:tc>
      </w:tr>
      <w:tr w:rsidR="006A657B" w:rsidRPr="0065745E" w14:paraId="707312F6" w14:textId="77777777" w:rsidTr="007A0151">
        <w:tc>
          <w:tcPr>
            <w:tcW w:w="1661" w:type="dxa"/>
            <w:vMerge/>
            <w:vAlign w:val="center"/>
          </w:tcPr>
          <w:p w14:paraId="7B13A18D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77777777" w:rsidR="006A657B" w:rsidRPr="0065745E" w:rsidRDefault="006A657B" w:rsidP="002F4F05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68A683FA" w:rsidR="006A657B" w:rsidRPr="0065745E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6A657B" w:rsidRPr="0065745E" w14:paraId="11757693" w14:textId="77777777" w:rsidTr="007A0151">
        <w:tc>
          <w:tcPr>
            <w:tcW w:w="1661" w:type="dxa"/>
            <w:vMerge/>
            <w:vAlign w:val="center"/>
          </w:tcPr>
          <w:p w14:paraId="09AB6AF2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65745E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65745E" w14:paraId="651DCB43" w14:textId="77777777" w:rsidTr="007A0151">
        <w:tc>
          <w:tcPr>
            <w:tcW w:w="1661" w:type="dxa"/>
            <w:vMerge/>
            <w:vAlign w:val="center"/>
          </w:tcPr>
          <w:p w14:paraId="6252B1D4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6A657B" w:rsidRPr="0065745E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65745E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6A657B" w:rsidRPr="0065745E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65745E" w14:paraId="7E99D04C" w14:textId="77777777" w:rsidTr="00F361B3">
        <w:tc>
          <w:tcPr>
            <w:tcW w:w="1661" w:type="dxa"/>
            <w:vMerge/>
          </w:tcPr>
          <w:p w14:paraId="3204592B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6A657B" w:rsidRPr="0065745E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65745E" w14:paraId="636DEA3E" w14:textId="77777777" w:rsidTr="00F361B3">
        <w:tc>
          <w:tcPr>
            <w:tcW w:w="1661" w:type="dxa"/>
            <w:vMerge/>
          </w:tcPr>
          <w:p w14:paraId="6DD8F528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6A657B" w:rsidRPr="0065745E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65745E" w14:paraId="30A1D485" w14:textId="77777777" w:rsidTr="00F361B3">
        <w:tc>
          <w:tcPr>
            <w:tcW w:w="1661" w:type="dxa"/>
            <w:vMerge/>
          </w:tcPr>
          <w:p w14:paraId="0AC04875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6A657B" w:rsidRPr="0065745E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65745E" w14:paraId="643E9693" w14:textId="77777777" w:rsidTr="00F361B3">
        <w:tc>
          <w:tcPr>
            <w:tcW w:w="1661" w:type="dxa"/>
            <w:vMerge/>
          </w:tcPr>
          <w:p w14:paraId="4B62AF89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65745E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7777777" w:rsidR="006A657B" w:rsidRPr="0065745E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6E775A7E" w:rsidR="006A657B" w:rsidRPr="0065745E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65745E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65745E" w14:paraId="2F13D281" w14:textId="77777777" w:rsidTr="00F361B3">
        <w:tc>
          <w:tcPr>
            <w:tcW w:w="7056" w:type="dxa"/>
            <w:gridSpan w:val="2"/>
          </w:tcPr>
          <w:p w14:paraId="50237AD0" w14:textId="77777777" w:rsidR="006A657B" w:rsidRPr="0065745E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65745E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65745E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543C0E7" w:rsidR="006A657B" w:rsidRPr="0065745E" w:rsidRDefault="007B0528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65745E"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29655252" w14:textId="77777777" w:rsidR="006A657B" w:rsidRPr="0065745E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65745E" w:rsidRDefault="003A1694" w:rsidP="00AC4A6F">
      <w:pPr>
        <w:rPr>
          <w:rFonts w:ascii="Mulish" w:hAnsi="Mulish"/>
        </w:rPr>
      </w:pPr>
    </w:p>
    <w:p w14:paraId="037740DE" w14:textId="77777777" w:rsidR="00DF56A7" w:rsidRPr="0065745E" w:rsidRDefault="00DF56A7" w:rsidP="00DF56A7">
      <w:pPr>
        <w:jc w:val="both"/>
        <w:rPr>
          <w:rFonts w:ascii="Mulish" w:hAnsi="Mulish"/>
        </w:rPr>
      </w:pPr>
    </w:p>
    <w:p w14:paraId="11003E59" w14:textId="7B9183D2" w:rsidR="00BA4354" w:rsidRPr="0065745E" w:rsidRDefault="007B0528" w:rsidP="00DF56A7">
      <w:pPr>
        <w:jc w:val="both"/>
        <w:rPr>
          <w:rFonts w:ascii="Mulish" w:hAnsi="Mulish"/>
        </w:rPr>
      </w:pPr>
      <w:r w:rsidRPr="0065745E">
        <w:rPr>
          <w:rFonts w:ascii="Mulish" w:hAnsi="Mulish"/>
        </w:rPr>
        <w:t>SEGITTUR</w:t>
      </w:r>
      <w:r w:rsidR="00C52EE5" w:rsidRPr="0065745E">
        <w:rPr>
          <w:rFonts w:ascii="Mulish" w:hAnsi="Mulish"/>
        </w:rPr>
        <w:t xml:space="preserve"> ha aplicado </w:t>
      </w:r>
      <w:r w:rsidRPr="0065745E">
        <w:rPr>
          <w:rFonts w:ascii="Mulish" w:hAnsi="Mulish"/>
        </w:rPr>
        <w:t>8</w:t>
      </w:r>
      <w:r w:rsidR="00C52EE5" w:rsidRPr="0065745E">
        <w:rPr>
          <w:rFonts w:ascii="Mulish" w:hAnsi="Mulish"/>
        </w:rPr>
        <w:t xml:space="preserve"> de las </w:t>
      </w:r>
      <w:r w:rsidRPr="0065745E">
        <w:rPr>
          <w:rFonts w:ascii="Mulish" w:hAnsi="Mulish"/>
        </w:rPr>
        <w:t>9</w:t>
      </w:r>
      <w:r w:rsidR="00DF1944" w:rsidRPr="0065745E">
        <w:rPr>
          <w:rFonts w:ascii="Mulish" w:hAnsi="Mulish"/>
        </w:rPr>
        <w:t xml:space="preserve"> </w:t>
      </w:r>
      <w:r w:rsidR="00C52EE5" w:rsidRPr="0065745E">
        <w:rPr>
          <w:rFonts w:ascii="Mulish" w:hAnsi="Mulish"/>
        </w:rPr>
        <w:t>recomendaciones derivadas de la evaluación realizada en 202</w:t>
      </w:r>
      <w:r w:rsidR="007A0151" w:rsidRPr="0065745E">
        <w:rPr>
          <w:rFonts w:ascii="Mulish" w:hAnsi="Mulish"/>
        </w:rPr>
        <w:t>3</w:t>
      </w:r>
      <w:r w:rsidR="00C52EE5" w:rsidRPr="0065745E">
        <w:rPr>
          <w:rFonts w:ascii="Mulish" w:hAnsi="Mulish"/>
        </w:rPr>
        <w:t>.</w:t>
      </w:r>
    </w:p>
    <w:p w14:paraId="51648A90" w14:textId="77777777" w:rsidR="00FA5AFD" w:rsidRPr="0065745E" w:rsidRDefault="00FA5AFD" w:rsidP="00AC4A6F">
      <w:pPr>
        <w:rPr>
          <w:rFonts w:ascii="Mulish" w:hAnsi="Mulish"/>
        </w:rPr>
      </w:pPr>
    </w:p>
    <w:p w14:paraId="192492ED" w14:textId="77777777" w:rsidR="00E17DF6" w:rsidRPr="0065745E" w:rsidRDefault="00E17DF6" w:rsidP="00AC4A6F">
      <w:pPr>
        <w:rPr>
          <w:rFonts w:ascii="Mulish" w:hAnsi="Mulish"/>
        </w:rPr>
      </w:pPr>
    </w:p>
    <w:p w14:paraId="2B25550E" w14:textId="23F3E06E" w:rsidR="00FA5AFD" w:rsidRPr="0065745E" w:rsidRDefault="00FA5AFD" w:rsidP="00AC4A6F">
      <w:pPr>
        <w:rPr>
          <w:rFonts w:ascii="Mulish" w:hAnsi="Mulish"/>
        </w:rPr>
      </w:pPr>
    </w:p>
    <w:p w14:paraId="523CD473" w14:textId="77777777" w:rsidR="003F6EDC" w:rsidRPr="0065745E" w:rsidRDefault="0065745E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65745E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65745E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1466A0B7" w14:textId="4AE3E9FC" w:rsidR="00F93EC7" w:rsidRPr="0065745E" w:rsidRDefault="00F93EC7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F93EC7" w:rsidRPr="0065745E" w14:paraId="3CC59AA7" w14:textId="77777777" w:rsidTr="00F93EC7">
        <w:trPr>
          <w:divId w:val="615797612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B94DE38" w14:textId="6CC31E19" w:rsidR="00F93EC7" w:rsidRPr="0065745E" w:rsidRDefault="00F93EC7" w:rsidP="00F93EC7">
            <w:pPr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91E0B38" w14:textId="77777777" w:rsidR="00F93EC7" w:rsidRPr="0065745E" w:rsidRDefault="00F93EC7" w:rsidP="00F93EC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0A14D5F" w14:textId="77777777" w:rsidR="00F93EC7" w:rsidRPr="0065745E" w:rsidRDefault="00F93EC7" w:rsidP="00F93EC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721E9CF" w14:textId="77777777" w:rsidR="00F93EC7" w:rsidRPr="0065745E" w:rsidRDefault="00F93EC7" w:rsidP="00F93EC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B13A229" w14:textId="77777777" w:rsidR="00F93EC7" w:rsidRPr="0065745E" w:rsidRDefault="00F93EC7" w:rsidP="00F93EC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B40D150" w14:textId="77777777" w:rsidR="00F93EC7" w:rsidRPr="0065745E" w:rsidRDefault="00F93EC7" w:rsidP="00F93EC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0AAE2C5" w14:textId="77777777" w:rsidR="00F93EC7" w:rsidRPr="0065745E" w:rsidRDefault="00F93EC7" w:rsidP="00F93EC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6CA914F" w14:textId="77777777" w:rsidR="00F93EC7" w:rsidRPr="0065745E" w:rsidRDefault="00F93EC7" w:rsidP="00F93EC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4355332" w14:textId="77777777" w:rsidR="00F93EC7" w:rsidRPr="0065745E" w:rsidRDefault="00F93EC7" w:rsidP="00F93EC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F93EC7" w:rsidRPr="0065745E" w14:paraId="61CDA083" w14:textId="77777777" w:rsidTr="00F93EC7">
        <w:trPr>
          <w:divId w:val="61579761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3CACB51" w14:textId="77777777" w:rsidR="00F93EC7" w:rsidRPr="0065745E" w:rsidRDefault="00F93EC7" w:rsidP="00F93EC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E6A351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141971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20D4AD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8BB569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BB3857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6D281D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A8B774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92AB97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</w:tr>
      <w:tr w:rsidR="00F93EC7" w:rsidRPr="0065745E" w14:paraId="11CBEE68" w14:textId="77777777" w:rsidTr="00F93EC7">
        <w:trPr>
          <w:divId w:val="615797612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893A792" w14:textId="77777777" w:rsidR="00F93EC7" w:rsidRPr="0065745E" w:rsidRDefault="00F93EC7" w:rsidP="00F93EC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47AF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CE88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F599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BF48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F8AF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2F02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4CFA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BFDA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93EC7" w:rsidRPr="0065745E" w14:paraId="6EEA8F0C" w14:textId="77777777" w:rsidTr="00F93EC7">
        <w:trPr>
          <w:divId w:val="61579761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785C7F3" w14:textId="77777777" w:rsidR="00F93EC7" w:rsidRPr="0065745E" w:rsidRDefault="00F93EC7" w:rsidP="00F93EC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5489A6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316D03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2FDF69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9A9863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D4CE41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F9679C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0896E7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91DD7B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88,1</w:t>
            </w:r>
          </w:p>
        </w:tc>
      </w:tr>
      <w:tr w:rsidR="00F93EC7" w:rsidRPr="0065745E" w14:paraId="4295E998" w14:textId="77777777" w:rsidTr="00F93EC7">
        <w:trPr>
          <w:divId w:val="61579761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77EB79F" w14:textId="77777777" w:rsidR="00F93EC7" w:rsidRPr="0065745E" w:rsidRDefault="00F93EC7" w:rsidP="00F93EC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16C5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4C66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ADD0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C659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309B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6FEB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5A65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AE3A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93EC7" w:rsidRPr="0065745E" w14:paraId="5925F8B0" w14:textId="77777777" w:rsidTr="00F93EC7">
        <w:trPr>
          <w:divId w:val="61579761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C2F563F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0C6331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945FA08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95FDB1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3241A5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0D48AE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AA3112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4297507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57B6031" w14:textId="77777777" w:rsidR="00F93EC7" w:rsidRPr="0065745E" w:rsidRDefault="00F93EC7" w:rsidP="00F93EC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86,7</w:t>
            </w:r>
          </w:p>
        </w:tc>
      </w:tr>
    </w:tbl>
    <w:p w14:paraId="5C8D8E55" w14:textId="6802B348" w:rsidR="002750D0" w:rsidRPr="0065745E" w:rsidRDefault="002750D0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24944AB4" w:rsidR="00BB3652" w:rsidRPr="0065745E" w:rsidRDefault="004061BC" w:rsidP="00BB3652">
      <w:pPr>
        <w:pStyle w:val="Cuerpodelboletn"/>
        <w:rPr>
          <w:rFonts w:ascii="Mulish" w:hAnsi="Mulish"/>
          <w:lang w:bidi="es-ES"/>
        </w:rPr>
      </w:pPr>
      <w:r w:rsidRPr="0065745E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F93EC7" w:rsidRPr="0065745E">
        <w:rPr>
          <w:rFonts w:ascii="Mulish" w:hAnsi="Mulish"/>
          <w:lang w:bidi="es-ES"/>
        </w:rPr>
        <w:t>86,7</w:t>
      </w:r>
      <w:r w:rsidRPr="0065745E">
        <w:rPr>
          <w:rFonts w:ascii="Mulish" w:hAnsi="Mulish"/>
          <w:lang w:bidi="es-ES"/>
        </w:rPr>
        <w:t>%.</w:t>
      </w:r>
      <w:r w:rsidR="00BB3652" w:rsidRPr="0065745E">
        <w:rPr>
          <w:rFonts w:ascii="Mulish" w:hAnsi="Mulish"/>
          <w:lang w:bidi="es-ES"/>
        </w:rPr>
        <w:t xml:space="preserve"> Respecto de 202</w:t>
      </w:r>
      <w:r w:rsidR="00DF1944" w:rsidRPr="0065745E">
        <w:rPr>
          <w:rFonts w:ascii="Mulish" w:hAnsi="Mulish"/>
          <w:lang w:bidi="es-ES"/>
        </w:rPr>
        <w:t>3</w:t>
      </w:r>
      <w:r w:rsidR="00BB3652" w:rsidRPr="0065745E">
        <w:rPr>
          <w:rFonts w:ascii="Mulish" w:hAnsi="Mulish"/>
          <w:lang w:bidi="es-ES"/>
        </w:rPr>
        <w:t xml:space="preserve"> se produce un incremento de </w:t>
      </w:r>
      <w:r w:rsidR="00F93EC7" w:rsidRPr="0065745E">
        <w:rPr>
          <w:rFonts w:ascii="Mulish" w:hAnsi="Mulish"/>
          <w:lang w:bidi="es-ES"/>
        </w:rPr>
        <w:t>27,1</w:t>
      </w:r>
      <w:r w:rsidR="00BB3652" w:rsidRPr="0065745E">
        <w:rPr>
          <w:rFonts w:ascii="Mulish" w:hAnsi="Mulish"/>
          <w:lang w:bidi="es-ES"/>
        </w:rPr>
        <w:t xml:space="preserve"> puntos porcentuales atribuible</w:t>
      </w:r>
      <w:r w:rsidR="0076567C" w:rsidRPr="0065745E">
        <w:rPr>
          <w:rFonts w:ascii="Mulish" w:hAnsi="Mulish"/>
          <w:lang w:bidi="es-ES"/>
        </w:rPr>
        <w:t xml:space="preserve">s a la aplicación de </w:t>
      </w:r>
      <w:r w:rsidR="002750D0" w:rsidRPr="0065745E">
        <w:rPr>
          <w:rFonts w:ascii="Mulish" w:hAnsi="Mulish"/>
          <w:lang w:bidi="es-ES"/>
        </w:rPr>
        <w:t xml:space="preserve">8 </w:t>
      </w:r>
      <w:r w:rsidR="0076567C" w:rsidRPr="0065745E">
        <w:rPr>
          <w:rFonts w:ascii="Mulish" w:hAnsi="Mulish"/>
          <w:lang w:bidi="es-ES"/>
        </w:rPr>
        <w:t xml:space="preserve">de las </w:t>
      </w:r>
      <w:r w:rsidR="002750D0" w:rsidRPr="0065745E">
        <w:rPr>
          <w:rFonts w:ascii="Mulish" w:hAnsi="Mulish"/>
          <w:lang w:bidi="es-ES"/>
        </w:rPr>
        <w:t>9</w:t>
      </w:r>
      <w:r w:rsidR="00DF1944" w:rsidRPr="0065745E">
        <w:rPr>
          <w:rFonts w:ascii="Mulish" w:hAnsi="Mulish"/>
          <w:lang w:bidi="es-ES"/>
        </w:rPr>
        <w:t xml:space="preserve"> </w:t>
      </w:r>
      <w:r w:rsidR="0076567C" w:rsidRPr="0065745E">
        <w:rPr>
          <w:rFonts w:ascii="Mulish" w:hAnsi="Mulish"/>
          <w:lang w:bidi="es-ES"/>
        </w:rPr>
        <w:t xml:space="preserve">recomendaciones efectuadas en </w:t>
      </w:r>
      <w:r w:rsidR="002F4F05" w:rsidRPr="0065745E">
        <w:rPr>
          <w:rFonts w:ascii="Mulish" w:hAnsi="Mulish"/>
          <w:lang w:bidi="es-ES"/>
        </w:rPr>
        <w:t>ese año</w:t>
      </w:r>
      <w:r w:rsidR="0076567C" w:rsidRPr="0065745E">
        <w:rPr>
          <w:rFonts w:ascii="Mulish" w:hAnsi="Mulish"/>
          <w:lang w:bidi="es-ES"/>
        </w:rPr>
        <w:t xml:space="preserve"> </w:t>
      </w:r>
    </w:p>
    <w:p w14:paraId="2BFB87F4" w14:textId="5845A305" w:rsidR="00A670E9" w:rsidRPr="0065745E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65745E" w:rsidRDefault="00EB68A3" w:rsidP="00F05E2C">
      <w:pPr>
        <w:pStyle w:val="Cuerpodelboletn"/>
        <w:rPr>
          <w:rFonts w:ascii="Mulish" w:hAnsi="Mulish"/>
        </w:rPr>
        <w:sectPr w:rsidR="00EB68A3" w:rsidRPr="0065745E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65745E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65745E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65745E" w:rsidRDefault="00965C69" w:rsidP="00965C69">
      <w:pPr>
        <w:pStyle w:val="Cuerpodelboletn"/>
        <w:rPr>
          <w:rFonts w:ascii="Mulish" w:hAnsi="Mulish"/>
        </w:rPr>
      </w:pPr>
    </w:p>
    <w:p w14:paraId="1847B217" w14:textId="1C27681B" w:rsidR="004061BC" w:rsidRPr="0065745E" w:rsidRDefault="00BB3652" w:rsidP="007726B0">
      <w:pPr>
        <w:pStyle w:val="Cuerpodelboletn"/>
        <w:rPr>
          <w:rFonts w:ascii="Mulish" w:hAnsi="Mulish"/>
        </w:rPr>
      </w:pPr>
      <w:r w:rsidRPr="0065745E">
        <w:rPr>
          <w:rFonts w:ascii="Mulish" w:hAnsi="Mulish"/>
        </w:rPr>
        <w:t xml:space="preserve">Este CTBG no puede menos que </w:t>
      </w:r>
      <w:r w:rsidRPr="0065745E">
        <w:rPr>
          <w:rFonts w:ascii="Mulish" w:hAnsi="Mulish"/>
          <w:b/>
        </w:rPr>
        <w:t xml:space="preserve">valorar </w:t>
      </w:r>
      <w:r w:rsidR="00E14E3D" w:rsidRPr="0065745E">
        <w:rPr>
          <w:rFonts w:ascii="Mulish" w:hAnsi="Mulish"/>
          <w:b/>
        </w:rPr>
        <w:t xml:space="preserve">muy </w:t>
      </w:r>
      <w:r w:rsidR="007726B0" w:rsidRPr="0065745E">
        <w:rPr>
          <w:rFonts w:ascii="Mulish" w:hAnsi="Mulish"/>
          <w:b/>
        </w:rPr>
        <w:t>positivamente</w:t>
      </w:r>
      <w:r w:rsidRPr="0065745E">
        <w:rPr>
          <w:rFonts w:ascii="Mulish" w:hAnsi="Mulish"/>
        </w:rPr>
        <w:t xml:space="preserve"> la evolución del cumplimiento de las obligaciones de publicidad activa por parte de </w:t>
      </w:r>
      <w:r w:rsidR="002750D0" w:rsidRPr="0065745E">
        <w:rPr>
          <w:rFonts w:ascii="Mulish" w:hAnsi="Mulish"/>
        </w:rPr>
        <w:t>SEGITTUR</w:t>
      </w:r>
      <w:r w:rsidRPr="0065745E">
        <w:rPr>
          <w:rFonts w:ascii="Mulish" w:hAnsi="Mulish"/>
        </w:rPr>
        <w:t xml:space="preserve">. </w:t>
      </w:r>
      <w:r w:rsidR="00E12912" w:rsidRPr="0065745E">
        <w:rPr>
          <w:rFonts w:ascii="Mulish" w:hAnsi="Mulish"/>
        </w:rPr>
        <w:t xml:space="preserve">Se ha </w:t>
      </w:r>
      <w:r w:rsidR="00E14E3D" w:rsidRPr="0065745E">
        <w:rPr>
          <w:rFonts w:ascii="Mulish" w:hAnsi="Mulish"/>
        </w:rPr>
        <w:t>aplicado el 89% de las</w:t>
      </w:r>
      <w:r w:rsidR="00E12912" w:rsidRPr="0065745E">
        <w:rPr>
          <w:rFonts w:ascii="Mulish" w:hAnsi="Mulish"/>
        </w:rPr>
        <w:t xml:space="preserve"> recomendaciones realizadas en la evaluación de 2023</w:t>
      </w:r>
      <w:r w:rsidR="00E14E3D" w:rsidRPr="0065745E">
        <w:rPr>
          <w:rFonts w:ascii="Mulish" w:hAnsi="Mulish"/>
        </w:rPr>
        <w:t xml:space="preserve"> y, como consecuencia de esto, el Índice de Cumplimiento se ha incrementado en el 4</w:t>
      </w:r>
      <w:r w:rsidR="00F93EC7" w:rsidRPr="0065745E">
        <w:rPr>
          <w:rFonts w:ascii="Mulish" w:hAnsi="Mulish"/>
        </w:rPr>
        <w:t>5,5</w:t>
      </w:r>
      <w:r w:rsidR="00E14E3D" w:rsidRPr="0065745E">
        <w:rPr>
          <w:rFonts w:ascii="Mulish" w:hAnsi="Mulish"/>
        </w:rPr>
        <w:t>%. Para que SEGITTU</w:t>
      </w:r>
      <w:r w:rsidR="002F4F05" w:rsidRPr="0065745E">
        <w:rPr>
          <w:rFonts w:ascii="Mulish" w:hAnsi="Mulish"/>
        </w:rPr>
        <w:t>R</w:t>
      </w:r>
      <w:r w:rsidR="00E14E3D" w:rsidRPr="0065745E">
        <w:rPr>
          <w:rFonts w:ascii="Mulish" w:hAnsi="Mulish"/>
        </w:rPr>
        <w:t xml:space="preserve"> alcance el pleno cumplimiento de las obligaciones de publicidad activa bastaría con que publicase un breve texto descriptivo </w:t>
      </w:r>
      <w:r w:rsidR="00A5402A" w:rsidRPr="0065745E">
        <w:rPr>
          <w:rFonts w:ascii="Mulish" w:hAnsi="Mulish"/>
        </w:rPr>
        <w:t>de la estructura organizativa de la sociedad y, respecto de la información estadística de contratación de PYMES, que se incluyese la distribución de los contratos según tipo de contrato</w:t>
      </w:r>
      <w:r w:rsidR="00E12912" w:rsidRPr="0065745E">
        <w:rPr>
          <w:rFonts w:ascii="Mulish" w:hAnsi="Mulish"/>
        </w:rPr>
        <w:t>.</w:t>
      </w:r>
    </w:p>
    <w:p w14:paraId="20DF2A49" w14:textId="77777777" w:rsidR="00634B47" w:rsidRPr="0065745E" w:rsidRDefault="00634B47" w:rsidP="00634B47">
      <w:pPr>
        <w:pStyle w:val="Sinespaciado"/>
        <w:spacing w:line="276" w:lineRule="auto"/>
        <w:jc w:val="both"/>
        <w:rPr>
          <w:rFonts w:ascii="Mulish" w:hAnsi="Mulish"/>
        </w:rPr>
      </w:pPr>
      <w:r w:rsidRPr="0065745E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9372CD" wp14:editId="7EA7F7D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00ABD4" w14:textId="77777777" w:rsidR="00634B47" w:rsidRPr="00F31BC3" w:rsidRDefault="00634B47" w:rsidP="00634B47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EBF21B4" wp14:editId="557CA2F9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372CD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4B00ABD4" w14:textId="77777777" w:rsidR="00634B47" w:rsidRPr="00F31BC3" w:rsidRDefault="00634B47" w:rsidP="00634B47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EBF21B4" wp14:editId="557CA2F9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65745E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DAE27F" wp14:editId="442FE665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69220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2A656DB" w14:textId="76C18C5F" w:rsidR="00E12912" w:rsidRPr="0065745E" w:rsidRDefault="00E12912" w:rsidP="002F4F05">
      <w:pPr>
        <w:pStyle w:val="Sinespaciado"/>
        <w:spacing w:line="276" w:lineRule="auto"/>
        <w:jc w:val="both"/>
        <w:rPr>
          <w:rFonts w:ascii="Mulish" w:hAnsi="Mulish"/>
        </w:rPr>
      </w:pPr>
    </w:p>
    <w:p w14:paraId="442DA136" w14:textId="1C2D6A0E" w:rsidR="00634B47" w:rsidRPr="0065745E" w:rsidRDefault="00634B47" w:rsidP="00E12912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2317092" w14:textId="0557D1F0" w:rsidR="004061BC" w:rsidRPr="0065745E" w:rsidRDefault="004061BC" w:rsidP="002F4F0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65745E">
        <w:rPr>
          <w:rFonts w:ascii="Mulish" w:hAnsi="Mulish"/>
        </w:rPr>
        <w:t xml:space="preserve">Madrid, </w:t>
      </w:r>
      <w:r w:rsidR="002F4F05" w:rsidRPr="0065745E">
        <w:rPr>
          <w:rFonts w:ascii="Mulish" w:hAnsi="Mulish"/>
        </w:rPr>
        <w:t>abril</w:t>
      </w:r>
      <w:r w:rsidR="007726B0" w:rsidRPr="0065745E">
        <w:rPr>
          <w:rFonts w:ascii="Mulish" w:hAnsi="Mulish"/>
        </w:rPr>
        <w:t xml:space="preserve"> de 2024</w:t>
      </w:r>
    </w:p>
    <w:p w14:paraId="5DB8548C" w14:textId="77777777" w:rsidR="00C259F4" w:rsidRPr="0065745E" w:rsidRDefault="00C259F4" w:rsidP="00965C69">
      <w:pPr>
        <w:pStyle w:val="Cuerpodelboletn"/>
        <w:rPr>
          <w:rFonts w:ascii="Mulish" w:hAnsi="Mulish"/>
        </w:rPr>
        <w:sectPr w:rsidR="00C259F4" w:rsidRPr="0065745E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65745E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65745E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65745E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65745E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65745E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65745E" w:rsidRDefault="004061BC">
      <w:pPr>
        <w:rPr>
          <w:rFonts w:ascii="Mulish" w:hAnsi="Mulish"/>
          <w:szCs w:val="22"/>
        </w:rPr>
      </w:pPr>
      <w:r w:rsidRPr="0065745E">
        <w:rPr>
          <w:rFonts w:ascii="Mulish" w:hAnsi="Mulish"/>
        </w:rPr>
        <w:br w:type="page"/>
      </w:r>
    </w:p>
    <w:p w14:paraId="0C4D15C8" w14:textId="77777777" w:rsidR="00E17DF6" w:rsidRPr="0065745E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65745E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65745E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65745E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65745E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65745E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65745E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65745E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65745E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65745E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65745E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65745E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65745E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65745E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65745E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65745E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65745E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65745E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65745E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65745E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65745E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65745E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65745E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65745E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65745E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65745E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65745E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65745E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65745E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745E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65745E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745E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65745E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745E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65745E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745E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65745E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5745E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65745E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65745E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65745E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65745E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65745E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65745E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65745E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65745E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65745E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65745E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65745E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65745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65745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574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65745E" w:rsidRDefault="00965C69" w:rsidP="00965C69">
      <w:pPr>
        <w:pStyle w:val="Cuerpodelboletn"/>
        <w:rPr>
          <w:rFonts w:ascii="Mulish" w:hAnsi="Mulish"/>
        </w:rPr>
      </w:pPr>
    </w:p>
    <w:sectPr w:rsidR="00965C69" w:rsidRPr="0065745E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BFDD" w14:textId="77777777" w:rsidR="00F93EC7" w:rsidRDefault="00F93E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A2E0" w14:textId="77777777" w:rsidR="00F93EC7" w:rsidRDefault="00F93E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055E" w14:textId="77777777" w:rsidR="00F93EC7" w:rsidRDefault="00F93E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476A" w14:textId="22F1B933" w:rsidR="00F93EC7" w:rsidRDefault="0065745E">
    <w:pPr>
      <w:pStyle w:val="Encabezado"/>
    </w:pPr>
    <w:r>
      <w:rPr>
        <w:noProof/>
      </w:rPr>
      <w:pict w14:anchorId="64301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979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4CDE" w14:textId="72578E1D" w:rsidR="00F93EC7" w:rsidRDefault="0065745E">
    <w:pPr>
      <w:pStyle w:val="Encabezado"/>
    </w:pPr>
    <w:r>
      <w:rPr>
        <w:noProof/>
      </w:rPr>
      <w:pict w14:anchorId="3C17A6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979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D929" w14:textId="771C5CAA" w:rsidR="00F93EC7" w:rsidRDefault="0065745E">
    <w:pPr>
      <w:pStyle w:val="Encabezado"/>
    </w:pPr>
    <w:r>
      <w:rPr>
        <w:noProof/>
      </w:rPr>
      <w:pict w14:anchorId="1125ED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979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92" type="#_x0000_t75" style="width:9pt;height:9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3F2AA4"/>
    <w:multiLevelType w:val="hybridMultilevel"/>
    <w:tmpl w:val="B086B7D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A37CA"/>
    <w:multiLevelType w:val="hybridMultilevel"/>
    <w:tmpl w:val="D64CBAB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F863B2"/>
    <w:multiLevelType w:val="hybridMultilevel"/>
    <w:tmpl w:val="D2B890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"/>
  </w:num>
  <w:num w:numId="5">
    <w:abstractNumId w:val="17"/>
  </w:num>
  <w:num w:numId="6">
    <w:abstractNumId w:val="19"/>
  </w:num>
  <w:num w:numId="7">
    <w:abstractNumId w:val="16"/>
  </w:num>
  <w:num w:numId="8">
    <w:abstractNumId w:val="3"/>
  </w:num>
  <w:num w:numId="9">
    <w:abstractNumId w:val="6"/>
  </w:num>
  <w:num w:numId="10">
    <w:abstractNumId w:val="5"/>
  </w:num>
  <w:num w:numId="11">
    <w:abstractNumId w:val="21"/>
  </w:num>
  <w:num w:numId="12">
    <w:abstractNumId w:val="15"/>
  </w:num>
  <w:num w:numId="13">
    <w:abstractNumId w:val="10"/>
  </w:num>
  <w:num w:numId="14">
    <w:abstractNumId w:val="22"/>
  </w:num>
  <w:num w:numId="15">
    <w:abstractNumId w:val="4"/>
  </w:num>
  <w:num w:numId="16">
    <w:abstractNumId w:val="24"/>
  </w:num>
  <w:num w:numId="17">
    <w:abstractNumId w:val="13"/>
  </w:num>
  <w:num w:numId="18">
    <w:abstractNumId w:val="9"/>
  </w:num>
  <w:num w:numId="19">
    <w:abstractNumId w:val="8"/>
  </w:num>
  <w:num w:numId="20">
    <w:abstractNumId w:val="18"/>
  </w:num>
  <w:num w:numId="21">
    <w:abstractNumId w:val="0"/>
  </w:num>
  <w:num w:numId="22">
    <w:abstractNumId w:val="7"/>
  </w:num>
  <w:num w:numId="23">
    <w:abstractNumId w:val="23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18BE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7A4D"/>
    <w:rsid w:val="00231D61"/>
    <w:rsid w:val="00243294"/>
    <w:rsid w:val="00244EDA"/>
    <w:rsid w:val="002467FA"/>
    <w:rsid w:val="00250846"/>
    <w:rsid w:val="002609C9"/>
    <w:rsid w:val="00263F79"/>
    <w:rsid w:val="002750D0"/>
    <w:rsid w:val="002C19B9"/>
    <w:rsid w:val="002C1DD9"/>
    <w:rsid w:val="002C41B4"/>
    <w:rsid w:val="002D0702"/>
    <w:rsid w:val="002D27E4"/>
    <w:rsid w:val="002E409F"/>
    <w:rsid w:val="002E644A"/>
    <w:rsid w:val="002F06DC"/>
    <w:rsid w:val="002F4F05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0AD7"/>
    <w:rsid w:val="00506864"/>
    <w:rsid w:val="00521C69"/>
    <w:rsid w:val="005301DF"/>
    <w:rsid w:val="00536832"/>
    <w:rsid w:val="00540929"/>
    <w:rsid w:val="00563295"/>
    <w:rsid w:val="00564E23"/>
    <w:rsid w:val="00582A8C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34B47"/>
    <w:rsid w:val="0065745E"/>
    <w:rsid w:val="006870B6"/>
    <w:rsid w:val="0069673B"/>
    <w:rsid w:val="006A657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B0528"/>
    <w:rsid w:val="007C65C5"/>
    <w:rsid w:val="007D1701"/>
    <w:rsid w:val="007D5CBF"/>
    <w:rsid w:val="007D69D9"/>
    <w:rsid w:val="007F0C75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402A"/>
    <w:rsid w:val="00A670E9"/>
    <w:rsid w:val="00A82709"/>
    <w:rsid w:val="00A861DB"/>
    <w:rsid w:val="00A920CD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34621"/>
    <w:rsid w:val="00B5314A"/>
    <w:rsid w:val="00B56A3A"/>
    <w:rsid w:val="00B77C12"/>
    <w:rsid w:val="00B77C84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36F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2BD3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E023B5"/>
    <w:rsid w:val="00E07201"/>
    <w:rsid w:val="00E12912"/>
    <w:rsid w:val="00E14E3D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274D"/>
    <w:rsid w:val="00F92C6D"/>
    <w:rsid w:val="00F93EC7"/>
    <w:rsid w:val="00F95333"/>
    <w:rsid w:val="00FA0C58"/>
    <w:rsid w:val="00FA11BE"/>
    <w:rsid w:val="00FA1911"/>
    <w:rsid w:val="00FA5997"/>
    <w:rsid w:val="00FA5AFD"/>
    <w:rsid w:val="00FB5F9E"/>
    <w:rsid w:val="00FC4E74"/>
    <w:rsid w:val="00FD4A37"/>
    <w:rsid w:val="00FD4E10"/>
    <w:rsid w:val="00FF4453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57</TotalTime>
  <Pages>5</Pages>
  <Words>922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7</cp:revision>
  <cp:lastPrinted>2008-09-26T23:14:00Z</cp:lastPrinted>
  <dcterms:created xsi:type="dcterms:W3CDTF">2024-03-06T13:53:00Z</dcterms:created>
  <dcterms:modified xsi:type="dcterms:W3CDTF">2024-05-16T11:21:00Z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