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515E3" w14:textId="77777777" w:rsidR="00F049AB" w:rsidRDefault="00F049AB" w:rsidP="00483C70">
      <w:pPr>
        <w:jc w:val="right"/>
        <w:rPr>
          <w:rFonts w:ascii="Arial" w:hAnsi="Arial" w:cs="Arial"/>
          <w:b/>
        </w:rPr>
      </w:pPr>
    </w:p>
    <w:p w14:paraId="4444E1A3" w14:textId="29AA0192" w:rsidR="00692F93" w:rsidRPr="00692F93" w:rsidRDefault="00692F93" w:rsidP="00692F93">
      <w:pPr>
        <w:jc w:val="right"/>
        <w:rPr>
          <w:rFonts w:ascii="Arial" w:hAnsi="Arial" w:cs="Arial"/>
          <w:bCs/>
        </w:rPr>
      </w:pPr>
      <w:r w:rsidRPr="00692F93">
        <w:rPr>
          <w:rFonts w:ascii="Arial" w:hAnsi="Arial" w:cs="Arial"/>
          <w:bCs/>
        </w:rPr>
        <w:t>24 abril 2024</w:t>
      </w:r>
    </w:p>
    <w:p w14:paraId="54A2CFC1" w14:textId="77777777" w:rsidR="00692F93" w:rsidRDefault="00692F93" w:rsidP="00692F93">
      <w:pPr>
        <w:jc w:val="right"/>
        <w:rPr>
          <w:rFonts w:ascii="Arial" w:hAnsi="Arial" w:cs="Arial"/>
          <w:b/>
        </w:rPr>
      </w:pPr>
    </w:p>
    <w:p w14:paraId="56B3F19A" w14:textId="712F7268" w:rsidR="00F049AB" w:rsidRPr="00F049AB" w:rsidRDefault="00A06D7A" w:rsidP="00A06D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OBSERVACIONES ICO AL INFORME DE EVALUACIÓN SOBRE EL CUMPLIMIENTO DE LAS OBLIGACIONES DE PUBLICIDAD ACTIVA </w:t>
      </w:r>
    </w:p>
    <w:p w14:paraId="662F2635" w14:textId="77777777" w:rsidR="00172ED5" w:rsidRPr="00424B3D" w:rsidRDefault="00172ED5" w:rsidP="002D5F15">
      <w:pPr>
        <w:jc w:val="both"/>
        <w:rPr>
          <w:rFonts w:ascii="Arial" w:hAnsi="Arial" w:cs="Arial"/>
          <w:b/>
        </w:rPr>
      </w:pPr>
    </w:p>
    <w:p w14:paraId="39D9A53B" w14:textId="677EEE74" w:rsidR="002D5F15" w:rsidRPr="00424B3D" w:rsidRDefault="00F046DF" w:rsidP="00E97E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424B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Antecedentes y Consideraciones </w:t>
      </w:r>
    </w:p>
    <w:p w14:paraId="6DA4AA70" w14:textId="77777777" w:rsidR="002D5F15" w:rsidRPr="00424B3D" w:rsidRDefault="002D5F15" w:rsidP="00E97EAC">
      <w:pPr>
        <w:jc w:val="both"/>
        <w:rPr>
          <w:rFonts w:ascii="Arial" w:hAnsi="Arial" w:cs="Arial"/>
        </w:rPr>
      </w:pPr>
    </w:p>
    <w:p w14:paraId="10DE38EC" w14:textId="77777777" w:rsidR="00D02B81" w:rsidRDefault="00FD531A" w:rsidP="00E97EAC">
      <w:pPr>
        <w:jc w:val="both"/>
        <w:rPr>
          <w:rFonts w:ascii="Arial" w:hAnsi="Arial" w:cs="Arial"/>
        </w:rPr>
      </w:pPr>
      <w:r w:rsidRPr="00424B3D">
        <w:rPr>
          <w:rFonts w:ascii="Arial" w:hAnsi="Arial" w:cs="Arial"/>
        </w:rPr>
        <w:t xml:space="preserve">Con fecha </w:t>
      </w:r>
      <w:r w:rsidR="00A06D7A">
        <w:rPr>
          <w:rFonts w:ascii="Arial" w:hAnsi="Arial" w:cs="Arial"/>
        </w:rPr>
        <w:t>11</w:t>
      </w:r>
      <w:r w:rsidR="002D5F15" w:rsidRPr="00424B3D">
        <w:rPr>
          <w:rFonts w:ascii="Arial" w:hAnsi="Arial" w:cs="Arial"/>
        </w:rPr>
        <w:t xml:space="preserve"> de </w:t>
      </w:r>
      <w:r w:rsidR="00F049AB" w:rsidRPr="00424B3D">
        <w:rPr>
          <w:rFonts w:ascii="Arial" w:hAnsi="Arial" w:cs="Arial"/>
        </w:rPr>
        <w:t>abril</w:t>
      </w:r>
      <w:r w:rsidR="002D5F15" w:rsidRPr="00424B3D">
        <w:rPr>
          <w:rFonts w:ascii="Arial" w:hAnsi="Arial" w:cs="Arial"/>
        </w:rPr>
        <w:t xml:space="preserve"> de 202</w:t>
      </w:r>
      <w:r w:rsidR="00D31946" w:rsidRPr="00424B3D">
        <w:rPr>
          <w:rFonts w:ascii="Arial" w:hAnsi="Arial" w:cs="Arial"/>
        </w:rPr>
        <w:t>4</w:t>
      </w:r>
      <w:r w:rsidR="00A06D7A">
        <w:rPr>
          <w:rFonts w:ascii="Arial" w:hAnsi="Arial" w:cs="Arial"/>
        </w:rPr>
        <w:t xml:space="preserve">, </w:t>
      </w:r>
      <w:r w:rsidR="002D5F15" w:rsidRPr="00424B3D">
        <w:rPr>
          <w:rFonts w:ascii="Arial" w:hAnsi="Arial" w:cs="Arial"/>
        </w:rPr>
        <w:t xml:space="preserve">se recibe </w:t>
      </w:r>
      <w:r w:rsidR="00A06D7A">
        <w:rPr>
          <w:rFonts w:ascii="Arial" w:hAnsi="Arial" w:cs="Arial"/>
        </w:rPr>
        <w:t>desde la Subdirección General de Transparencia y Buen Gobierno el Informe de Evaluaci</w:t>
      </w:r>
      <w:r w:rsidR="00D02B81">
        <w:rPr>
          <w:rFonts w:ascii="Arial" w:hAnsi="Arial" w:cs="Arial"/>
        </w:rPr>
        <w:t>ón sobre el cumplimiento de las obligaciones de publicidad activa realizado para el Instituto de Crédito Oficial.</w:t>
      </w:r>
    </w:p>
    <w:p w14:paraId="37330824" w14:textId="77777777" w:rsidR="00D02B81" w:rsidRDefault="00D02B81" w:rsidP="00E97EAC">
      <w:pPr>
        <w:jc w:val="both"/>
        <w:rPr>
          <w:rFonts w:ascii="Arial" w:hAnsi="Arial" w:cs="Arial"/>
        </w:rPr>
      </w:pPr>
    </w:p>
    <w:p w14:paraId="4BCBF592" w14:textId="77777777" w:rsidR="00DA2DB5" w:rsidRDefault="00D02B81" w:rsidP="00E97E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Una vez analizado el contenido del informe</w:t>
      </w:r>
      <w:r w:rsidR="00B32293">
        <w:rPr>
          <w:rFonts w:ascii="Arial" w:hAnsi="Arial" w:cs="Arial"/>
        </w:rPr>
        <w:t xml:space="preserve">, por parte del ICO se </w:t>
      </w:r>
      <w:r>
        <w:rPr>
          <w:rFonts w:ascii="Arial" w:hAnsi="Arial" w:cs="Arial"/>
        </w:rPr>
        <w:t>adqui</w:t>
      </w:r>
      <w:r w:rsidR="00B32293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el compromiso de implementar las mejoras y actuaciones indicadas en esta evalu</w:t>
      </w:r>
      <w:r w:rsidR="00E97EAC">
        <w:rPr>
          <w:rFonts w:ascii="Arial" w:hAnsi="Arial" w:cs="Arial"/>
        </w:rPr>
        <w:t>a</w:t>
      </w:r>
      <w:r>
        <w:rPr>
          <w:rFonts w:ascii="Arial" w:hAnsi="Arial" w:cs="Arial"/>
        </w:rPr>
        <w:t>ción</w:t>
      </w:r>
      <w:r w:rsidR="00B32293">
        <w:rPr>
          <w:rFonts w:ascii="Arial" w:hAnsi="Arial" w:cs="Arial"/>
        </w:rPr>
        <w:t>, tanto para mejorar la identificación de la información que ya está publicada en otras secciones de la web</w:t>
      </w:r>
      <w:r w:rsidR="00692F93">
        <w:rPr>
          <w:rFonts w:ascii="Arial" w:hAnsi="Arial" w:cs="Arial"/>
        </w:rPr>
        <w:t>,</w:t>
      </w:r>
      <w:r w:rsidR="00B32293">
        <w:rPr>
          <w:rFonts w:ascii="Arial" w:hAnsi="Arial" w:cs="Arial"/>
        </w:rPr>
        <w:t xml:space="preserve"> como para completar la</w:t>
      </w:r>
      <w:r w:rsidR="00692F93">
        <w:rPr>
          <w:rFonts w:ascii="Arial" w:hAnsi="Arial" w:cs="Arial"/>
        </w:rPr>
        <w:t xml:space="preserve"> información que está </w:t>
      </w:r>
      <w:r w:rsidR="00DA2DB5">
        <w:rPr>
          <w:rFonts w:ascii="Arial" w:hAnsi="Arial" w:cs="Arial"/>
        </w:rPr>
        <w:t xml:space="preserve">parcialmente </w:t>
      </w:r>
      <w:r w:rsidR="00692F93">
        <w:rPr>
          <w:rFonts w:ascii="Arial" w:hAnsi="Arial" w:cs="Arial"/>
        </w:rPr>
        <w:t>disponible para su consulta.</w:t>
      </w:r>
    </w:p>
    <w:p w14:paraId="037D351C" w14:textId="77777777" w:rsidR="00DA2DB5" w:rsidRDefault="00DA2DB5" w:rsidP="00E97EAC">
      <w:pPr>
        <w:jc w:val="both"/>
        <w:rPr>
          <w:rFonts w:ascii="Arial" w:hAnsi="Arial" w:cs="Arial"/>
        </w:rPr>
      </w:pPr>
    </w:p>
    <w:p w14:paraId="69463AC6" w14:textId="6FCB706C" w:rsidR="00D02B81" w:rsidRDefault="00B32293" w:rsidP="00E97E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bien, </w:t>
      </w:r>
      <w:r w:rsidR="00DA2DB5">
        <w:rPr>
          <w:rFonts w:ascii="Arial" w:hAnsi="Arial" w:cs="Arial"/>
        </w:rPr>
        <w:t xml:space="preserve">para tener en cuenta la proporcionalidad entre los medios </w:t>
      </w:r>
      <w:r w:rsidR="001F7632">
        <w:rPr>
          <w:rFonts w:ascii="Arial" w:hAnsi="Arial" w:cs="Arial"/>
        </w:rPr>
        <w:t>disponibles</w:t>
      </w:r>
      <w:r w:rsidR="00DA2DB5">
        <w:rPr>
          <w:rFonts w:ascii="Arial" w:hAnsi="Arial" w:cs="Arial"/>
        </w:rPr>
        <w:t xml:space="preserve"> </w:t>
      </w:r>
      <w:r w:rsidR="008F709A">
        <w:rPr>
          <w:rFonts w:ascii="Arial" w:hAnsi="Arial" w:cs="Arial"/>
        </w:rPr>
        <w:t xml:space="preserve">y </w:t>
      </w:r>
      <w:r w:rsidR="009A6E4C">
        <w:rPr>
          <w:rFonts w:ascii="Arial" w:hAnsi="Arial" w:cs="Arial"/>
        </w:rPr>
        <w:t xml:space="preserve">atendiendo a la naturaleza de ICO y </w:t>
      </w:r>
      <w:r w:rsidR="00F046DF">
        <w:rPr>
          <w:rFonts w:ascii="Arial" w:hAnsi="Arial" w:cs="Arial"/>
        </w:rPr>
        <w:t xml:space="preserve">a </w:t>
      </w:r>
      <w:r w:rsidR="009A6E4C">
        <w:rPr>
          <w:rFonts w:ascii="Arial" w:hAnsi="Arial" w:cs="Arial"/>
        </w:rPr>
        <w:t xml:space="preserve">la normativa financiera que le es de aplicación y las obligaciones de información y publicidad que de la misma </w:t>
      </w:r>
      <w:proofErr w:type="gramStart"/>
      <w:r w:rsidR="009A6E4C">
        <w:rPr>
          <w:rFonts w:ascii="Arial" w:hAnsi="Arial" w:cs="Arial"/>
        </w:rPr>
        <w:t>emanan</w:t>
      </w:r>
      <w:r w:rsidR="00DA2DB5">
        <w:rPr>
          <w:rFonts w:ascii="Arial" w:hAnsi="Arial" w:cs="Arial"/>
        </w:rPr>
        <w:t xml:space="preserve"> </w:t>
      </w:r>
      <w:r w:rsidR="00D02B81">
        <w:rPr>
          <w:rFonts w:ascii="Arial" w:hAnsi="Arial" w:cs="Arial"/>
        </w:rPr>
        <w:t xml:space="preserve"> </w:t>
      </w:r>
      <w:r w:rsidR="00DA2DB5">
        <w:rPr>
          <w:rFonts w:ascii="Arial" w:hAnsi="Arial" w:cs="Arial"/>
        </w:rPr>
        <w:t>y</w:t>
      </w:r>
      <w:proofErr w:type="gramEnd"/>
      <w:r w:rsidR="00DA2DB5">
        <w:rPr>
          <w:rFonts w:ascii="Arial" w:hAnsi="Arial" w:cs="Arial"/>
        </w:rPr>
        <w:t xml:space="preserve"> aprovechar</w:t>
      </w:r>
      <w:r w:rsidR="00053DE4">
        <w:rPr>
          <w:rFonts w:ascii="Arial" w:hAnsi="Arial" w:cs="Arial"/>
        </w:rPr>
        <w:t xml:space="preserve"> sinergias</w:t>
      </w:r>
      <w:r w:rsidR="009A6E4C">
        <w:rPr>
          <w:rFonts w:ascii="Arial" w:hAnsi="Arial" w:cs="Arial"/>
        </w:rPr>
        <w:t>,</w:t>
      </w:r>
      <w:r w:rsidR="00DA2DB5">
        <w:rPr>
          <w:rFonts w:ascii="Arial" w:hAnsi="Arial" w:cs="Arial"/>
        </w:rPr>
        <w:t xml:space="preserve"> </w:t>
      </w:r>
      <w:r w:rsidR="00F046DF">
        <w:rPr>
          <w:rFonts w:ascii="Arial" w:hAnsi="Arial" w:cs="Arial"/>
        </w:rPr>
        <w:t xml:space="preserve">se considera oportuno, </w:t>
      </w:r>
      <w:r w:rsidR="00D02B81">
        <w:rPr>
          <w:rFonts w:ascii="Arial" w:hAnsi="Arial" w:cs="Arial"/>
        </w:rPr>
        <w:t xml:space="preserve">trasladar </w:t>
      </w:r>
      <w:r w:rsidR="009A6E4C">
        <w:rPr>
          <w:rFonts w:ascii="Arial" w:hAnsi="Arial" w:cs="Arial"/>
        </w:rPr>
        <w:t xml:space="preserve">las aclaraciones y </w:t>
      </w:r>
      <w:r w:rsidR="00D02B81">
        <w:rPr>
          <w:rFonts w:ascii="Arial" w:hAnsi="Arial" w:cs="Arial"/>
        </w:rPr>
        <w:t>las observaciones que se detallan a continuación para valoración del Consejo de Transparenci</w:t>
      </w:r>
      <w:r w:rsidR="00FD46E2">
        <w:rPr>
          <w:rFonts w:ascii="Arial" w:hAnsi="Arial" w:cs="Arial"/>
        </w:rPr>
        <w:t>a y Buen Gobierno (CTBG)</w:t>
      </w:r>
      <w:r w:rsidR="00F046DF">
        <w:rPr>
          <w:rFonts w:ascii="Arial" w:hAnsi="Arial" w:cs="Arial"/>
        </w:rPr>
        <w:t>.</w:t>
      </w:r>
    </w:p>
    <w:p w14:paraId="0311F5FD" w14:textId="77777777" w:rsidR="00D02B81" w:rsidRDefault="00D02B81" w:rsidP="00E97EAC">
      <w:pPr>
        <w:jc w:val="both"/>
        <w:rPr>
          <w:rFonts w:ascii="Arial" w:hAnsi="Arial" w:cs="Arial"/>
        </w:rPr>
      </w:pPr>
    </w:p>
    <w:p w14:paraId="19890EEC" w14:textId="1D2635A6" w:rsidR="00D02B81" w:rsidRDefault="00E97EAC" w:rsidP="00E97E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Observaciones Generales</w:t>
      </w:r>
    </w:p>
    <w:p w14:paraId="4FB4C9BD" w14:textId="77777777" w:rsidR="00D02B81" w:rsidRDefault="00D02B81" w:rsidP="00E97EAC">
      <w:pPr>
        <w:jc w:val="both"/>
        <w:rPr>
          <w:rFonts w:ascii="Arial" w:hAnsi="Arial" w:cs="Arial"/>
          <w:b/>
        </w:rPr>
      </w:pPr>
    </w:p>
    <w:p w14:paraId="293CE88D" w14:textId="70669BF4" w:rsidR="00594FE3" w:rsidRDefault="00FD46E2" w:rsidP="00E97E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ICO, como entidad financiera supervisada</w:t>
      </w:r>
      <w:r w:rsidR="00F046DF">
        <w:rPr>
          <w:rFonts w:ascii="Arial" w:hAnsi="Arial" w:cs="Arial"/>
          <w:bCs/>
        </w:rPr>
        <w:t xml:space="preserve"> por el Banco de España</w:t>
      </w:r>
      <w:r>
        <w:rPr>
          <w:rFonts w:ascii="Arial" w:hAnsi="Arial" w:cs="Arial"/>
          <w:bCs/>
        </w:rPr>
        <w:t xml:space="preserve">, </w:t>
      </w:r>
      <w:r w:rsidR="00E13E3C">
        <w:rPr>
          <w:rFonts w:ascii="Arial" w:hAnsi="Arial" w:cs="Arial"/>
          <w:bCs/>
        </w:rPr>
        <w:t xml:space="preserve">ya </w:t>
      </w:r>
      <w:r w:rsidR="00E97EAC" w:rsidRPr="008F709A">
        <w:rPr>
          <w:rFonts w:ascii="Arial" w:hAnsi="Arial" w:cs="Arial"/>
          <w:bCs/>
        </w:rPr>
        <w:t>publica</w:t>
      </w:r>
      <w:r w:rsidRPr="008F709A">
        <w:rPr>
          <w:rFonts w:ascii="Arial" w:hAnsi="Arial" w:cs="Arial"/>
          <w:bCs/>
        </w:rPr>
        <w:t xml:space="preserve"> anualmente </w:t>
      </w:r>
      <w:r w:rsidR="00B3684B" w:rsidRPr="008F709A">
        <w:rPr>
          <w:rFonts w:ascii="Arial" w:hAnsi="Arial" w:cs="Arial"/>
          <w:bCs/>
        </w:rPr>
        <w:t>el detalle de presupuestos, resultados e información relevante sobre su actividad</w:t>
      </w:r>
      <w:r w:rsidR="00B3684B" w:rsidRPr="00E13E3C">
        <w:rPr>
          <w:rFonts w:ascii="Arial" w:hAnsi="Arial" w:cs="Arial"/>
          <w:b/>
        </w:rPr>
        <w:t>,</w:t>
      </w:r>
      <w:r w:rsidR="00B368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 las </w:t>
      </w:r>
      <w:r w:rsidRPr="006453C7">
        <w:rPr>
          <w:rFonts w:ascii="Arial" w:hAnsi="Arial" w:cs="Arial"/>
          <w:b/>
        </w:rPr>
        <w:t>Cuentas Anuales</w:t>
      </w:r>
      <w:r w:rsidR="006453C7">
        <w:rPr>
          <w:rFonts w:ascii="Arial" w:hAnsi="Arial" w:cs="Arial"/>
          <w:b/>
        </w:rPr>
        <w:t xml:space="preserve"> e Informe de </w:t>
      </w:r>
      <w:proofErr w:type="spellStart"/>
      <w:r w:rsidR="006453C7">
        <w:rPr>
          <w:rFonts w:ascii="Arial" w:hAnsi="Arial" w:cs="Arial"/>
          <w:b/>
        </w:rPr>
        <w:t>Gestion</w:t>
      </w:r>
      <w:proofErr w:type="spellEnd"/>
      <w:r w:rsidRPr="006453C7">
        <w:rPr>
          <w:rFonts w:ascii="Arial" w:hAnsi="Arial" w:cs="Arial"/>
          <w:b/>
        </w:rPr>
        <w:t>,</w:t>
      </w:r>
      <w:r>
        <w:rPr>
          <w:rFonts w:ascii="Arial" w:hAnsi="Arial" w:cs="Arial"/>
          <w:bCs/>
        </w:rPr>
        <w:t xml:space="preserve"> que son públicas tanto en la web del ICO como en la web de la Comisión Nacional del Mercado de Valores. Estas cuentas anuales inc</w:t>
      </w:r>
      <w:r w:rsidR="00B3684B">
        <w:rPr>
          <w:rFonts w:ascii="Arial" w:hAnsi="Arial" w:cs="Arial"/>
          <w:bCs/>
        </w:rPr>
        <w:t>orporan</w:t>
      </w:r>
      <w:r>
        <w:rPr>
          <w:rFonts w:ascii="Arial" w:hAnsi="Arial" w:cs="Arial"/>
          <w:bCs/>
        </w:rPr>
        <w:t xml:space="preserve"> el </w:t>
      </w:r>
      <w:r w:rsidRPr="00E13E3C">
        <w:rPr>
          <w:rFonts w:ascii="Arial" w:hAnsi="Arial" w:cs="Arial"/>
          <w:b/>
        </w:rPr>
        <w:t>“Estado de información no financiera”</w:t>
      </w:r>
      <w:r w:rsidR="00594FE3" w:rsidRPr="00E13E3C">
        <w:rPr>
          <w:rFonts w:ascii="Arial" w:hAnsi="Arial" w:cs="Arial"/>
          <w:b/>
        </w:rPr>
        <w:t xml:space="preserve">, </w:t>
      </w:r>
      <w:r w:rsidR="00594FE3">
        <w:rPr>
          <w:rFonts w:ascii="Arial" w:hAnsi="Arial" w:cs="Arial"/>
          <w:bCs/>
        </w:rPr>
        <w:t xml:space="preserve">en cumplimiento de la </w:t>
      </w:r>
      <w:r w:rsidR="00594FE3" w:rsidRPr="00594FE3">
        <w:rPr>
          <w:rFonts w:ascii="Arial" w:hAnsi="Arial" w:cs="Arial"/>
          <w:bCs/>
        </w:rPr>
        <w:t>Ley 11/2018, de 28 de diciembre</w:t>
      </w:r>
      <w:r>
        <w:rPr>
          <w:rFonts w:ascii="Arial" w:hAnsi="Arial" w:cs="Arial"/>
          <w:bCs/>
        </w:rPr>
        <w:t xml:space="preserve">. </w:t>
      </w:r>
      <w:r w:rsidR="00594FE3">
        <w:rPr>
          <w:rFonts w:ascii="Arial" w:hAnsi="Arial" w:cs="Arial"/>
          <w:bCs/>
        </w:rPr>
        <w:t xml:space="preserve">Además, de forma complementaria, el ICO publica la </w:t>
      </w:r>
      <w:r w:rsidRPr="00E13E3C">
        <w:rPr>
          <w:rFonts w:ascii="Arial" w:hAnsi="Arial" w:cs="Arial"/>
          <w:b/>
        </w:rPr>
        <w:t>“Memoria Integrada”</w:t>
      </w:r>
      <w:r w:rsidR="00594FE3" w:rsidRPr="00E13E3C">
        <w:rPr>
          <w:rFonts w:ascii="Arial" w:hAnsi="Arial" w:cs="Arial"/>
          <w:b/>
        </w:rPr>
        <w:t>,</w:t>
      </w:r>
      <w:r w:rsidR="00594FE3">
        <w:rPr>
          <w:rFonts w:ascii="Arial" w:hAnsi="Arial" w:cs="Arial"/>
          <w:bCs/>
        </w:rPr>
        <w:t xml:space="preserve"> para que toda la información de las actuaciones realizadas durante el </w:t>
      </w:r>
      <w:r w:rsidR="00F046DF">
        <w:rPr>
          <w:rFonts w:ascii="Arial" w:hAnsi="Arial" w:cs="Arial"/>
          <w:bCs/>
        </w:rPr>
        <w:t>ejercicio,</w:t>
      </w:r>
      <w:r w:rsidR="00692F93">
        <w:rPr>
          <w:rFonts w:ascii="Arial" w:hAnsi="Arial" w:cs="Arial"/>
          <w:bCs/>
        </w:rPr>
        <w:t xml:space="preserve"> así como el resultado e impacto de </w:t>
      </w:r>
      <w:r w:rsidR="00E13E3C">
        <w:rPr>
          <w:rFonts w:ascii="Arial" w:hAnsi="Arial" w:cs="Arial"/>
          <w:bCs/>
        </w:rPr>
        <w:t>estas</w:t>
      </w:r>
      <w:r w:rsidR="00692F93">
        <w:rPr>
          <w:rFonts w:ascii="Arial" w:hAnsi="Arial" w:cs="Arial"/>
          <w:bCs/>
        </w:rPr>
        <w:t xml:space="preserve">, </w:t>
      </w:r>
      <w:r w:rsidR="00594FE3">
        <w:rPr>
          <w:rFonts w:ascii="Arial" w:hAnsi="Arial" w:cs="Arial"/>
          <w:bCs/>
        </w:rPr>
        <w:t xml:space="preserve">sea accesible para su consulta por todos los ciudadanos. </w:t>
      </w:r>
    </w:p>
    <w:p w14:paraId="6DCFBC01" w14:textId="77777777" w:rsidR="00594FE3" w:rsidRDefault="00594FE3" w:rsidP="00E97EAC">
      <w:pPr>
        <w:jc w:val="both"/>
        <w:rPr>
          <w:rFonts w:ascii="Arial" w:hAnsi="Arial" w:cs="Arial"/>
          <w:bCs/>
        </w:rPr>
      </w:pPr>
    </w:p>
    <w:p w14:paraId="7AC291C7" w14:textId="7726777F" w:rsidR="00FD46E2" w:rsidRDefault="00E97EAC" w:rsidP="00E97E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estos documentos,</w:t>
      </w:r>
      <w:r w:rsidR="00D56724">
        <w:rPr>
          <w:rFonts w:ascii="Arial" w:hAnsi="Arial" w:cs="Arial"/>
          <w:bCs/>
        </w:rPr>
        <w:t xml:space="preserve"> que </w:t>
      </w:r>
      <w:r w:rsidR="00E13E3C">
        <w:rPr>
          <w:rFonts w:ascii="Arial" w:hAnsi="Arial" w:cs="Arial"/>
          <w:bCs/>
        </w:rPr>
        <w:t xml:space="preserve">ya </w:t>
      </w:r>
      <w:r w:rsidR="00D56724">
        <w:rPr>
          <w:rFonts w:ascii="Arial" w:hAnsi="Arial" w:cs="Arial"/>
          <w:bCs/>
        </w:rPr>
        <w:t>se publican,</w:t>
      </w:r>
      <w:r>
        <w:rPr>
          <w:rFonts w:ascii="Arial" w:hAnsi="Arial" w:cs="Arial"/>
          <w:bCs/>
        </w:rPr>
        <w:t xml:space="preserve"> e</w:t>
      </w:r>
      <w:r w:rsidR="00FD46E2">
        <w:rPr>
          <w:rFonts w:ascii="Arial" w:hAnsi="Arial" w:cs="Arial"/>
          <w:bCs/>
        </w:rPr>
        <w:t xml:space="preserve">l ICO </w:t>
      </w:r>
      <w:r>
        <w:rPr>
          <w:rFonts w:ascii="Arial" w:hAnsi="Arial" w:cs="Arial"/>
          <w:bCs/>
        </w:rPr>
        <w:t>desglosa</w:t>
      </w:r>
      <w:r w:rsidR="00D56724">
        <w:rPr>
          <w:rFonts w:ascii="Arial" w:hAnsi="Arial" w:cs="Arial"/>
          <w:bCs/>
        </w:rPr>
        <w:t xml:space="preserve"> </w:t>
      </w:r>
      <w:r w:rsidR="00E13E3C">
        <w:rPr>
          <w:rFonts w:ascii="Arial" w:hAnsi="Arial" w:cs="Arial"/>
          <w:bCs/>
        </w:rPr>
        <w:t>y detalla la práctica totalidad de los datos</w:t>
      </w:r>
      <w:r w:rsidR="00D56724">
        <w:rPr>
          <w:rFonts w:ascii="Arial" w:hAnsi="Arial" w:cs="Arial"/>
          <w:bCs/>
        </w:rPr>
        <w:t xml:space="preserve"> e información </w:t>
      </w:r>
      <w:r w:rsidR="00FD46E2">
        <w:rPr>
          <w:rFonts w:ascii="Arial" w:hAnsi="Arial" w:cs="Arial"/>
          <w:bCs/>
        </w:rPr>
        <w:t xml:space="preserve">que en el informe emitido por el CTBG se señalan como no reportados/publicados. Cabe asimismo señalar que los tres </w:t>
      </w:r>
      <w:r>
        <w:rPr>
          <w:rFonts w:ascii="Arial" w:hAnsi="Arial" w:cs="Arial"/>
          <w:bCs/>
        </w:rPr>
        <w:t>informes</w:t>
      </w:r>
      <w:r w:rsidR="00FD46E2">
        <w:rPr>
          <w:rFonts w:ascii="Arial" w:hAnsi="Arial" w:cs="Arial"/>
          <w:bCs/>
        </w:rPr>
        <w:t xml:space="preserve"> citados -Cuentas Anuales, Estado de información no financiera y Memoria integrada- son auditados y verificados por entidades externas.</w:t>
      </w:r>
      <w:r w:rsidR="00D56724">
        <w:rPr>
          <w:rFonts w:ascii="Arial" w:hAnsi="Arial" w:cs="Arial"/>
          <w:bCs/>
        </w:rPr>
        <w:t xml:space="preserve"> Por </w:t>
      </w:r>
      <w:r w:rsidR="00E13E3C">
        <w:rPr>
          <w:rFonts w:ascii="Arial" w:hAnsi="Arial" w:cs="Arial"/>
          <w:bCs/>
        </w:rPr>
        <w:t>tanto,</w:t>
      </w:r>
      <w:r w:rsidR="00D56724">
        <w:rPr>
          <w:rFonts w:ascii="Arial" w:hAnsi="Arial" w:cs="Arial"/>
          <w:bCs/>
        </w:rPr>
        <w:t xml:space="preserve"> </w:t>
      </w:r>
      <w:r w:rsidR="00E13E3C">
        <w:rPr>
          <w:rFonts w:ascii="Arial" w:hAnsi="Arial" w:cs="Arial"/>
          <w:bCs/>
        </w:rPr>
        <w:t>y</w:t>
      </w:r>
      <w:r w:rsidR="00D56724">
        <w:rPr>
          <w:rFonts w:ascii="Arial" w:hAnsi="Arial" w:cs="Arial"/>
          <w:bCs/>
        </w:rPr>
        <w:t xml:space="preserve">a está disponibles en los canales y medios previsto por la normativa de aplicación. </w:t>
      </w:r>
    </w:p>
    <w:p w14:paraId="2C75F0EB" w14:textId="77777777" w:rsidR="00FD46E2" w:rsidRDefault="00FD46E2" w:rsidP="00E97EAC">
      <w:pPr>
        <w:jc w:val="both"/>
        <w:rPr>
          <w:rFonts w:ascii="Arial" w:hAnsi="Arial" w:cs="Arial"/>
          <w:bCs/>
        </w:rPr>
      </w:pPr>
    </w:p>
    <w:p w14:paraId="6FF6BB8E" w14:textId="7DD6996D" w:rsidR="00594FE3" w:rsidRDefault="00FD46E2" w:rsidP="00E97E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</w:t>
      </w:r>
      <w:r w:rsidR="00E97EAC">
        <w:rPr>
          <w:rFonts w:ascii="Arial" w:hAnsi="Arial" w:cs="Arial"/>
          <w:bCs/>
        </w:rPr>
        <w:t>relación con</w:t>
      </w:r>
      <w:r>
        <w:rPr>
          <w:rFonts w:ascii="Arial" w:hAnsi="Arial" w:cs="Arial"/>
          <w:bCs/>
        </w:rPr>
        <w:t xml:space="preserve"> la publicación de contratos,</w:t>
      </w:r>
      <w:r w:rsidR="00E97EAC">
        <w:rPr>
          <w:rFonts w:ascii="Arial" w:hAnsi="Arial" w:cs="Arial"/>
          <w:bCs/>
        </w:rPr>
        <w:t xml:space="preserve"> </w:t>
      </w:r>
      <w:r w:rsidR="002219A3">
        <w:rPr>
          <w:rFonts w:ascii="Arial" w:hAnsi="Arial" w:cs="Arial"/>
          <w:bCs/>
        </w:rPr>
        <w:t xml:space="preserve">cabe indicar que </w:t>
      </w:r>
      <w:r w:rsidR="00E97EAC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 xml:space="preserve"> ICO</w:t>
      </w:r>
      <w:r w:rsidR="00D567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traslada la información al </w:t>
      </w:r>
      <w:r w:rsidRPr="00D56724">
        <w:rPr>
          <w:rFonts w:ascii="Arial" w:hAnsi="Arial" w:cs="Arial"/>
          <w:b/>
        </w:rPr>
        <w:t>Portal de Contratación del Estado</w:t>
      </w:r>
      <w:r>
        <w:rPr>
          <w:rFonts w:ascii="Arial" w:hAnsi="Arial" w:cs="Arial"/>
          <w:bCs/>
        </w:rPr>
        <w:t xml:space="preserve">. </w:t>
      </w:r>
      <w:proofErr w:type="gramStart"/>
      <w:r w:rsidR="00D56724">
        <w:rPr>
          <w:rFonts w:ascii="Arial" w:hAnsi="Arial" w:cs="Arial"/>
          <w:bCs/>
        </w:rPr>
        <w:t>Además</w:t>
      </w:r>
      <w:proofErr w:type="gramEnd"/>
      <w:r w:rsidR="00D56724">
        <w:rPr>
          <w:rFonts w:ascii="Arial" w:hAnsi="Arial" w:cs="Arial"/>
          <w:bCs/>
        </w:rPr>
        <w:t xml:space="preserve"> e</w:t>
      </w:r>
      <w:r>
        <w:rPr>
          <w:rFonts w:ascii="Arial" w:hAnsi="Arial" w:cs="Arial"/>
          <w:bCs/>
        </w:rPr>
        <w:t xml:space="preserve">n </w:t>
      </w:r>
      <w:hyperlink r:id="rId7" w:history="1">
        <w:r w:rsidRPr="00ED1ECA">
          <w:rPr>
            <w:rStyle w:val="Hipervnculo"/>
            <w:rFonts w:ascii="Arial" w:hAnsi="Arial" w:cs="Arial"/>
            <w:bCs/>
          </w:rPr>
          <w:t>www.ico.es</w:t>
        </w:r>
      </w:hyperlink>
      <w:r>
        <w:rPr>
          <w:rFonts w:ascii="Arial" w:hAnsi="Arial" w:cs="Arial"/>
          <w:bCs/>
        </w:rPr>
        <w:t xml:space="preserve"> está disponible el acceso a la </w:t>
      </w:r>
      <w:r w:rsidRPr="00E13E3C">
        <w:rPr>
          <w:rFonts w:ascii="Arial" w:hAnsi="Arial" w:cs="Arial"/>
          <w:b/>
        </w:rPr>
        <w:t>sección específica del Instituto</w:t>
      </w:r>
      <w:r>
        <w:rPr>
          <w:rFonts w:ascii="Arial" w:hAnsi="Arial" w:cs="Arial"/>
          <w:bCs/>
        </w:rPr>
        <w:t xml:space="preserve"> en dicho portal, tanto desde la sección de Transparencia y Buen Gobierno como desde el </w:t>
      </w:r>
      <w:r w:rsidR="00E97EAC">
        <w:rPr>
          <w:rFonts w:ascii="Arial" w:hAnsi="Arial" w:cs="Arial"/>
          <w:bCs/>
        </w:rPr>
        <w:t>pie de página (</w:t>
      </w:r>
      <w:proofErr w:type="spellStart"/>
      <w:r w:rsidR="00E97EAC">
        <w:rPr>
          <w:rFonts w:ascii="Arial" w:hAnsi="Arial" w:cs="Arial"/>
          <w:bCs/>
        </w:rPr>
        <w:t>footer</w:t>
      </w:r>
      <w:proofErr w:type="spellEnd"/>
      <w:r w:rsidR="00E97EA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 pieza que es fija durante toda la navegación del usuario.</w:t>
      </w:r>
    </w:p>
    <w:p w14:paraId="4229AAB1" w14:textId="31920726" w:rsidR="00594FE3" w:rsidRDefault="00594FE3" w:rsidP="00E97EAC">
      <w:pPr>
        <w:jc w:val="both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4A28FAC5" wp14:editId="1F74DE99">
            <wp:extent cx="5941060" cy="2545080"/>
            <wp:effectExtent l="0" t="0" r="2540" b="7620"/>
            <wp:docPr id="1494090763" name="Imagen 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90763" name="Imagen 1" descr="Captura de pantalla de un celular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E473D" w14:textId="77777777" w:rsidR="00594FE3" w:rsidRDefault="00594FE3" w:rsidP="00E97EAC">
      <w:pPr>
        <w:jc w:val="both"/>
        <w:rPr>
          <w:rFonts w:ascii="Arial" w:hAnsi="Arial" w:cs="Arial"/>
          <w:bCs/>
        </w:rPr>
      </w:pPr>
    </w:p>
    <w:p w14:paraId="4EF80C7A" w14:textId="618C6481" w:rsidR="00E97EAC" w:rsidRDefault="00E97EAC" w:rsidP="00E97E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Observaciones por apartados</w:t>
      </w:r>
    </w:p>
    <w:p w14:paraId="28BE4B92" w14:textId="77777777" w:rsidR="00E97EAC" w:rsidRDefault="00E97EAC" w:rsidP="00E97EAC">
      <w:pPr>
        <w:jc w:val="both"/>
        <w:rPr>
          <w:rFonts w:ascii="Arial" w:hAnsi="Arial" w:cs="Arial"/>
          <w:b/>
        </w:rPr>
      </w:pPr>
    </w:p>
    <w:p w14:paraId="3B8B5DB9" w14:textId="23D2DE4C" w:rsidR="00FD46E2" w:rsidRDefault="00E97EAC" w:rsidP="00E97E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 Localización y estructuración de la Información de Transparencia</w:t>
      </w:r>
    </w:p>
    <w:p w14:paraId="79D2C294" w14:textId="77777777" w:rsidR="00E97EAC" w:rsidRDefault="00E97EAC" w:rsidP="00E97EAC">
      <w:pPr>
        <w:jc w:val="both"/>
        <w:rPr>
          <w:rFonts w:ascii="Arial" w:hAnsi="Arial" w:cs="Arial"/>
          <w:b/>
        </w:rPr>
      </w:pPr>
    </w:p>
    <w:p w14:paraId="32B20D24" w14:textId="76A0A191" w:rsidR="00594FE3" w:rsidRDefault="00FD46E2" w:rsidP="00E97E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Además</w:t>
      </w:r>
      <w:r w:rsidR="00E97EAC">
        <w:rPr>
          <w:rFonts w:ascii="Arial" w:hAnsi="Arial" w:cs="Arial"/>
          <w:bCs/>
        </w:rPr>
        <w:t xml:space="preserve"> de contar con el enlace al Portal de Transparencia desde la sección Quiénes Somos/transparencia y Buen Gobierno, existe un acceso directo en el </w:t>
      </w:r>
      <w:proofErr w:type="spellStart"/>
      <w:r w:rsidR="00E97EAC">
        <w:rPr>
          <w:rFonts w:ascii="Arial" w:hAnsi="Arial" w:cs="Arial"/>
          <w:bCs/>
        </w:rPr>
        <w:t>footer</w:t>
      </w:r>
      <w:proofErr w:type="spellEnd"/>
      <w:r w:rsidR="00594FE3">
        <w:rPr>
          <w:rFonts w:ascii="Arial" w:hAnsi="Arial" w:cs="Arial"/>
          <w:bCs/>
        </w:rPr>
        <w:t xml:space="preserve"> de </w:t>
      </w:r>
      <w:hyperlink r:id="rId9" w:history="1">
        <w:r w:rsidR="00594FE3" w:rsidRPr="00ED1ECA">
          <w:rPr>
            <w:rStyle w:val="Hipervnculo"/>
            <w:rFonts w:ascii="Arial" w:hAnsi="Arial" w:cs="Arial"/>
            <w:bCs/>
          </w:rPr>
          <w:t>www.ico.es</w:t>
        </w:r>
      </w:hyperlink>
      <w:r w:rsidR="00E97EAC">
        <w:rPr>
          <w:rFonts w:ascii="Arial" w:hAnsi="Arial" w:cs="Arial"/>
          <w:bCs/>
        </w:rPr>
        <w:t>.</w:t>
      </w:r>
    </w:p>
    <w:p w14:paraId="77D4DD0B" w14:textId="77777777" w:rsidR="00594FE3" w:rsidRDefault="00594FE3" w:rsidP="00E97EAC">
      <w:pPr>
        <w:jc w:val="both"/>
        <w:rPr>
          <w:rFonts w:ascii="Arial" w:hAnsi="Arial" w:cs="Arial"/>
          <w:bCs/>
        </w:rPr>
      </w:pPr>
    </w:p>
    <w:p w14:paraId="2FF4410E" w14:textId="7B7618F7" w:rsidR="00E97EAC" w:rsidRDefault="00594FE3" w:rsidP="00E97E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Como se ha señalado, e</w:t>
      </w:r>
      <w:r w:rsidR="00E97EAC">
        <w:rPr>
          <w:rFonts w:ascii="Arial" w:hAnsi="Arial" w:cs="Arial"/>
          <w:bCs/>
        </w:rPr>
        <w:t xml:space="preserve">l </w:t>
      </w:r>
      <w:proofErr w:type="spellStart"/>
      <w:r w:rsidR="00E97EAC">
        <w:rPr>
          <w:rFonts w:ascii="Arial" w:hAnsi="Arial" w:cs="Arial"/>
          <w:bCs/>
        </w:rPr>
        <w:t>footer</w:t>
      </w:r>
      <w:proofErr w:type="spellEnd"/>
      <w:r w:rsidR="00E97EAC">
        <w:rPr>
          <w:rFonts w:ascii="Arial" w:hAnsi="Arial" w:cs="Arial"/>
          <w:bCs/>
        </w:rPr>
        <w:t xml:space="preserve"> es una pieza fija en la navegación por la web del ICO, por lo que el usuario siempre puede acceder al portal de Transparencia de forma directa</w:t>
      </w:r>
      <w:r>
        <w:rPr>
          <w:rFonts w:ascii="Arial" w:hAnsi="Arial" w:cs="Arial"/>
          <w:bCs/>
        </w:rPr>
        <w:t xml:space="preserve"> con independencia del contenido que esté consultando en la web del ICO:</w:t>
      </w:r>
    </w:p>
    <w:p w14:paraId="3AD9467B" w14:textId="2AF27695" w:rsidR="00594FE3" w:rsidRDefault="00594FE3" w:rsidP="00594FE3">
      <w:pPr>
        <w:tabs>
          <w:tab w:val="left" w:pos="187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07AD43E" w14:textId="7712572E" w:rsidR="00E97EAC" w:rsidRDefault="00E97EAC" w:rsidP="00E97EAC">
      <w:pPr>
        <w:tabs>
          <w:tab w:val="left" w:pos="56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noProof/>
        </w:rPr>
        <w:drawing>
          <wp:inline distT="0" distB="0" distL="0" distR="0" wp14:anchorId="15A78696" wp14:editId="6C87FC7C">
            <wp:extent cx="3962400" cy="1981200"/>
            <wp:effectExtent l="0" t="0" r="0" b="0"/>
            <wp:docPr id="140508180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81809" name="Imagen 1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3738" cy="198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771DD" w14:textId="77777777" w:rsidR="00E97EAC" w:rsidRDefault="00E97EAC" w:rsidP="00E97EAC">
      <w:pPr>
        <w:jc w:val="both"/>
        <w:rPr>
          <w:rFonts w:ascii="Arial" w:hAnsi="Arial" w:cs="Arial"/>
          <w:bCs/>
        </w:rPr>
      </w:pPr>
    </w:p>
    <w:p w14:paraId="1E6E69E1" w14:textId="77777777" w:rsidR="00E97EAC" w:rsidRDefault="00E97EAC" w:rsidP="00E97EAC">
      <w:pPr>
        <w:jc w:val="both"/>
        <w:rPr>
          <w:rFonts w:ascii="Arial" w:hAnsi="Arial" w:cs="Arial"/>
          <w:bCs/>
        </w:rPr>
      </w:pPr>
    </w:p>
    <w:p w14:paraId="3627BEEF" w14:textId="77777777" w:rsidR="00E97EAC" w:rsidRDefault="00E97EAC" w:rsidP="00E97E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 Cumplimiento de las obligaciones de publicidad activa</w:t>
      </w:r>
    </w:p>
    <w:p w14:paraId="505F9FE6" w14:textId="77777777" w:rsidR="00E97EAC" w:rsidRDefault="00E97EAC" w:rsidP="00E97EAC">
      <w:pPr>
        <w:jc w:val="both"/>
        <w:rPr>
          <w:rFonts w:ascii="Arial" w:hAnsi="Arial" w:cs="Arial"/>
          <w:b/>
        </w:rPr>
      </w:pPr>
    </w:p>
    <w:p w14:paraId="4C058C8E" w14:textId="018F415D" w:rsidR="009B7D08" w:rsidRPr="009B7D08" w:rsidRDefault="009B7D08" w:rsidP="00E97E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3.2.1 Análisis de la información institucional, organizativa y de planificación</w:t>
      </w:r>
    </w:p>
    <w:p w14:paraId="458D1FD8" w14:textId="77777777" w:rsidR="009B7D08" w:rsidRDefault="009B7D08" w:rsidP="00E97EAC">
      <w:pPr>
        <w:jc w:val="both"/>
        <w:rPr>
          <w:rFonts w:ascii="Arial" w:hAnsi="Arial" w:cs="Arial"/>
          <w:bCs/>
        </w:rPr>
      </w:pPr>
    </w:p>
    <w:p w14:paraId="34570618" w14:textId="158E84CA" w:rsidR="00E97EAC" w:rsidRDefault="00E97EAC" w:rsidP="00E97E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Sobre las con</w:t>
      </w:r>
      <w:r w:rsidR="009B7D08">
        <w:rPr>
          <w:rFonts w:ascii="Arial" w:hAnsi="Arial" w:cs="Arial"/>
          <w:bCs/>
        </w:rPr>
        <w:t>sideraciones realizadas por el CTBG en este apartado, desde el ICO se trasladan las siguientes observaciones para su consideración:</w:t>
      </w:r>
    </w:p>
    <w:p w14:paraId="5F60168C" w14:textId="77777777" w:rsidR="009B7D08" w:rsidRDefault="009B7D08" w:rsidP="00E97EAC">
      <w:pPr>
        <w:jc w:val="both"/>
        <w:rPr>
          <w:rFonts w:ascii="Arial" w:hAnsi="Arial" w:cs="Arial"/>
          <w:bCs/>
        </w:rPr>
      </w:pPr>
    </w:p>
    <w:p w14:paraId="3811D4C7" w14:textId="2CC8DF1D" w:rsidR="009B7D08" w:rsidRDefault="009B7D08" w:rsidP="009B7D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información sobre el Registro de Actividades de Tratamiento está disponible en</w:t>
      </w:r>
      <w:r w:rsidR="00300D6A">
        <w:rPr>
          <w:rFonts w:ascii="Arial" w:hAnsi="Arial" w:cs="Arial"/>
          <w:bCs/>
        </w:rPr>
        <w:t xml:space="preserve"> la cláusula de privacidad, como señala el CTBG en el informe. Esta sección </w:t>
      </w:r>
      <w:r w:rsidR="006453C7">
        <w:rPr>
          <w:rFonts w:ascii="Arial" w:hAnsi="Arial" w:cs="Arial"/>
          <w:bCs/>
        </w:rPr>
        <w:t xml:space="preserve">ya </w:t>
      </w:r>
      <w:r w:rsidR="00300D6A">
        <w:rPr>
          <w:rFonts w:ascii="Arial" w:hAnsi="Arial" w:cs="Arial"/>
          <w:bCs/>
        </w:rPr>
        <w:t xml:space="preserve">se actualizó en el mes de enero </w:t>
      </w:r>
      <w:r w:rsidR="006453C7">
        <w:rPr>
          <w:rFonts w:ascii="Arial" w:hAnsi="Arial" w:cs="Arial"/>
          <w:bCs/>
        </w:rPr>
        <w:t xml:space="preserve">de este año 2024 </w:t>
      </w:r>
      <w:r w:rsidR="00300D6A">
        <w:rPr>
          <w:rFonts w:ascii="Arial" w:hAnsi="Arial" w:cs="Arial"/>
          <w:bCs/>
        </w:rPr>
        <w:t>para adecuarla a los requerimientos indicados.</w:t>
      </w:r>
    </w:p>
    <w:p w14:paraId="7A355791" w14:textId="77777777" w:rsidR="002219A3" w:rsidRDefault="002219A3" w:rsidP="002219A3">
      <w:pPr>
        <w:pStyle w:val="Prrafodelista"/>
        <w:jc w:val="both"/>
        <w:rPr>
          <w:rFonts w:ascii="Arial" w:hAnsi="Arial" w:cs="Arial"/>
          <w:bCs/>
        </w:rPr>
      </w:pPr>
    </w:p>
    <w:p w14:paraId="05EBE1EF" w14:textId="01D79DB6" w:rsidR="00300D6A" w:rsidRDefault="00300D6A" w:rsidP="009B7D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El detalle sobre los responsables de los órganos de gestión</w:t>
      </w:r>
      <w:r w:rsidR="002219A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así como la información de relativa a la información sobre los resultados de los planes y programas implementados por el ICO está </w:t>
      </w:r>
      <w:r w:rsidR="006453C7">
        <w:rPr>
          <w:rFonts w:ascii="Arial" w:hAnsi="Arial" w:cs="Arial"/>
          <w:bCs/>
        </w:rPr>
        <w:t xml:space="preserve">ya </w:t>
      </w:r>
      <w:r>
        <w:rPr>
          <w:rFonts w:ascii="Arial" w:hAnsi="Arial" w:cs="Arial"/>
          <w:bCs/>
        </w:rPr>
        <w:t xml:space="preserve">publicada en la Memoria Integrada que se </w:t>
      </w:r>
      <w:r w:rsidR="002219A3">
        <w:rPr>
          <w:rFonts w:ascii="Arial" w:hAnsi="Arial" w:cs="Arial"/>
          <w:bCs/>
        </w:rPr>
        <w:t>elabora a cierre de</w:t>
      </w:r>
      <w:r>
        <w:rPr>
          <w:rFonts w:ascii="Arial" w:hAnsi="Arial" w:cs="Arial"/>
          <w:bCs/>
        </w:rPr>
        <w:t xml:space="preserve"> cada ejercicio. </w:t>
      </w:r>
    </w:p>
    <w:p w14:paraId="292396CA" w14:textId="77777777" w:rsidR="00300D6A" w:rsidRDefault="00300D6A" w:rsidP="00300D6A">
      <w:pPr>
        <w:jc w:val="both"/>
        <w:rPr>
          <w:rFonts w:ascii="Arial" w:hAnsi="Arial" w:cs="Arial"/>
          <w:bCs/>
        </w:rPr>
      </w:pPr>
    </w:p>
    <w:p w14:paraId="6D8D04A0" w14:textId="4F3D6858" w:rsidR="00300D6A" w:rsidRPr="00300D6A" w:rsidRDefault="00300D6A" w:rsidP="00300D6A">
      <w:pPr>
        <w:jc w:val="both"/>
        <w:rPr>
          <w:rFonts w:ascii="Arial" w:hAnsi="Arial" w:cs="Arial"/>
          <w:b/>
        </w:rPr>
      </w:pPr>
      <w:r w:rsidRPr="00300D6A">
        <w:rPr>
          <w:rFonts w:ascii="Arial" w:hAnsi="Arial" w:cs="Arial"/>
          <w:b/>
        </w:rPr>
        <w:t>3.2.2. Información de relevancia jurídica</w:t>
      </w:r>
    </w:p>
    <w:p w14:paraId="77B34FD3" w14:textId="77777777" w:rsidR="00300D6A" w:rsidRDefault="00300D6A" w:rsidP="00300D6A">
      <w:pPr>
        <w:jc w:val="both"/>
        <w:rPr>
          <w:rFonts w:ascii="Arial" w:hAnsi="Arial" w:cs="Arial"/>
          <w:bCs/>
        </w:rPr>
      </w:pPr>
    </w:p>
    <w:p w14:paraId="30457C97" w14:textId="673725BB" w:rsidR="00E97EAC" w:rsidRDefault="00D426DC" w:rsidP="00E97EAC">
      <w:pPr>
        <w:jc w:val="both"/>
        <w:rPr>
          <w:rFonts w:ascii="Arial" w:hAnsi="Arial" w:cs="Arial"/>
          <w:bCs/>
        </w:rPr>
      </w:pPr>
      <w:r w:rsidRPr="00D426DC">
        <w:rPr>
          <w:rFonts w:ascii="Arial" w:hAnsi="Arial" w:cs="Arial"/>
          <w:bCs/>
        </w:rPr>
        <w:t>Por su naturaleza y funciones, e</w:t>
      </w:r>
      <w:r>
        <w:rPr>
          <w:rFonts w:ascii="Arial" w:hAnsi="Arial" w:cs="Arial"/>
          <w:bCs/>
        </w:rPr>
        <w:t xml:space="preserve">l ICO no emite </w:t>
      </w:r>
      <w:r w:rsidRPr="00D426DC">
        <w:rPr>
          <w:rFonts w:ascii="Arial" w:hAnsi="Arial" w:cs="Arial"/>
          <w:bCs/>
        </w:rPr>
        <w:t>directrices, instrucciones, acuerdos, circulares o respuestas a consultas planteadas por los particulares u otros órganos que supongan una interpretación del Derecho o tengan efectos jurídicos</w:t>
      </w:r>
      <w:r>
        <w:rPr>
          <w:rFonts w:ascii="Arial" w:hAnsi="Arial" w:cs="Arial"/>
          <w:bCs/>
        </w:rPr>
        <w:t xml:space="preserve">. </w:t>
      </w:r>
    </w:p>
    <w:p w14:paraId="68EDC8BE" w14:textId="77777777" w:rsidR="00D426DC" w:rsidRDefault="00D426DC" w:rsidP="00E97EAC">
      <w:pPr>
        <w:jc w:val="both"/>
        <w:rPr>
          <w:rFonts w:ascii="Arial" w:hAnsi="Arial" w:cs="Arial"/>
          <w:bCs/>
        </w:rPr>
      </w:pPr>
    </w:p>
    <w:p w14:paraId="44DBC941" w14:textId="2D9335A0" w:rsidR="00D426DC" w:rsidRDefault="00D426DC" w:rsidP="00E97E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procederá a indicarlo expresamente en la sección de Transparencia y Buen Gobierno siguiendo las recomendaciones del informe de evaluación.</w:t>
      </w:r>
    </w:p>
    <w:p w14:paraId="709179CA" w14:textId="77777777" w:rsidR="00D426DC" w:rsidRDefault="00D426DC" w:rsidP="00E97EAC">
      <w:pPr>
        <w:jc w:val="both"/>
        <w:rPr>
          <w:rFonts w:ascii="Arial" w:hAnsi="Arial" w:cs="Arial"/>
          <w:bCs/>
        </w:rPr>
      </w:pPr>
    </w:p>
    <w:p w14:paraId="71C5E41F" w14:textId="3E3A3D7A" w:rsidR="00D426DC" w:rsidRPr="00300D6A" w:rsidRDefault="00D426DC" w:rsidP="00D426DC">
      <w:pPr>
        <w:jc w:val="both"/>
        <w:rPr>
          <w:rFonts w:ascii="Arial" w:hAnsi="Arial" w:cs="Arial"/>
          <w:b/>
        </w:rPr>
      </w:pPr>
      <w:r w:rsidRPr="00300D6A">
        <w:rPr>
          <w:rFonts w:ascii="Arial" w:hAnsi="Arial" w:cs="Arial"/>
          <w:b/>
        </w:rPr>
        <w:t>3.2.</w:t>
      </w:r>
      <w:r>
        <w:rPr>
          <w:rFonts w:ascii="Arial" w:hAnsi="Arial" w:cs="Arial"/>
          <w:b/>
        </w:rPr>
        <w:t>3</w:t>
      </w:r>
      <w:r w:rsidRPr="00300D6A">
        <w:rPr>
          <w:rFonts w:ascii="Arial" w:hAnsi="Arial" w:cs="Arial"/>
          <w:b/>
        </w:rPr>
        <w:t xml:space="preserve">. Información </w:t>
      </w:r>
      <w:r>
        <w:rPr>
          <w:rFonts w:ascii="Arial" w:hAnsi="Arial" w:cs="Arial"/>
          <w:b/>
        </w:rPr>
        <w:t>económica, presupuestaria y estadística</w:t>
      </w:r>
    </w:p>
    <w:p w14:paraId="0B794D9B" w14:textId="77777777" w:rsidR="00D426DC" w:rsidRDefault="00D426DC" w:rsidP="00E97EAC">
      <w:pPr>
        <w:jc w:val="both"/>
        <w:rPr>
          <w:rFonts w:ascii="Arial" w:hAnsi="Arial" w:cs="Arial"/>
          <w:bCs/>
        </w:rPr>
      </w:pPr>
    </w:p>
    <w:p w14:paraId="731CF66C" w14:textId="1593A828" w:rsidR="00D426DC" w:rsidRDefault="00D426DC" w:rsidP="00E97E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Desde el ICO se trasladan los siguientes comentarios:</w:t>
      </w:r>
    </w:p>
    <w:p w14:paraId="0285988D" w14:textId="77777777" w:rsidR="00D426DC" w:rsidRDefault="00D426DC" w:rsidP="00E97EAC">
      <w:pPr>
        <w:jc w:val="both"/>
        <w:rPr>
          <w:rFonts w:ascii="Arial" w:hAnsi="Arial" w:cs="Arial"/>
          <w:bCs/>
        </w:rPr>
      </w:pPr>
    </w:p>
    <w:p w14:paraId="6572138D" w14:textId="624F6538" w:rsidR="00692F93" w:rsidRDefault="00D426DC" w:rsidP="00D426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Como se ha señalado en las observaciones generales, desde el pie de la página web existe acceso directo a la sección del perfil del contratante</w:t>
      </w:r>
      <w:r w:rsidR="00692F93">
        <w:rPr>
          <w:rFonts w:ascii="Arial" w:hAnsi="Arial" w:cs="Arial"/>
          <w:bCs/>
        </w:rPr>
        <w:t xml:space="preserve">: </w:t>
      </w:r>
      <w:hyperlink r:id="rId11" w:history="1">
        <w:r w:rsidR="00692F93" w:rsidRPr="00ED1ECA">
          <w:rPr>
            <w:rStyle w:val="Hipervnculo"/>
            <w:rFonts w:ascii="Arial" w:hAnsi="Arial" w:cs="Arial"/>
            <w:bCs/>
          </w:rPr>
          <w:t>https://www.ico.es/perfil_del_contratante</w:t>
        </w:r>
      </w:hyperlink>
    </w:p>
    <w:p w14:paraId="08AE0383" w14:textId="77E86289" w:rsidR="00D426DC" w:rsidRDefault="00D426DC" w:rsidP="00692F93">
      <w:pPr>
        <w:pStyle w:val="Prrafodeli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Desde esta sección se puede acceder a </w:t>
      </w:r>
      <w:r w:rsidR="001F7632">
        <w:rPr>
          <w:rFonts w:ascii="Arial" w:hAnsi="Arial" w:cs="Arial"/>
          <w:bCs/>
        </w:rPr>
        <w:t>la Plataforma</w:t>
      </w:r>
      <w:r>
        <w:rPr>
          <w:rFonts w:ascii="Arial" w:hAnsi="Arial" w:cs="Arial"/>
          <w:bCs/>
        </w:rPr>
        <w:t xml:space="preserve"> de Contratación del Estado (sección específica de ICO), en la que pueden consultarse las licitaciones en </w:t>
      </w:r>
      <w:proofErr w:type="gramStart"/>
      <w:r>
        <w:rPr>
          <w:rFonts w:ascii="Arial" w:hAnsi="Arial" w:cs="Arial"/>
          <w:bCs/>
        </w:rPr>
        <w:t>curso</w:t>
      </w:r>
      <w:proofErr w:type="gramEnd"/>
      <w:r>
        <w:rPr>
          <w:rFonts w:ascii="Arial" w:hAnsi="Arial" w:cs="Arial"/>
          <w:bCs/>
        </w:rPr>
        <w:t xml:space="preserve"> así como los contratos adjudicados por el ICO de todas las tipologías. El perfil del contratante del ICO también permite la búsqueda de los contratos adjudicados antes de 2018.</w:t>
      </w:r>
    </w:p>
    <w:p w14:paraId="31361FA7" w14:textId="0377A41B" w:rsidR="00B32293" w:rsidRDefault="00D426DC" w:rsidP="00EE02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3684B">
        <w:rPr>
          <w:rFonts w:ascii="Arial" w:hAnsi="Arial" w:cs="Arial"/>
          <w:bCs/>
        </w:rPr>
        <w:t xml:space="preserve">La información </w:t>
      </w:r>
      <w:r w:rsidR="00692F93">
        <w:rPr>
          <w:rFonts w:ascii="Arial" w:hAnsi="Arial" w:cs="Arial"/>
          <w:bCs/>
        </w:rPr>
        <w:t>relativa</w:t>
      </w:r>
      <w:r w:rsidR="00B32293" w:rsidRPr="00B3684B">
        <w:rPr>
          <w:rFonts w:ascii="Arial" w:hAnsi="Arial" w:cs="Arial"/>
          <w:bCs/>
        </w:rPr>
        <w:t xml:space="preserve"> los presupuestos </w:t>
      </w:r>
      <w:r w:rsidR="00692F93">
        <w:rPr>
          <w:rFonts w:ascii="Arial" w:hAnsi="Arial" w:cs="Arial"/>
          <w:bCs/>
        </w:rPr>
        <w:t>y gastos de explotación, así como el resto de detalle de</w:t>
      </w:r>
      <w:r w:rsidR="00B32293" w:rsidRPr="00B3684B">
        <w:rPr>
          <w:rFonts w:ascii="Arial" w:hAnsi="Arial" w:cs="Arial"/>
          <w:bCs/>
        </w:rPr>
        <w:t xml:space="preserve"> información económica están disponibles para su consulta en las Cuentas Anuales del ICO</w:t>
      </w:r>
      <w:r w:rsidR="00692F93">
        <w:rPr>
          <w:rFonts w:ascii="Arial" w:hAnsi="Arial" w:cs="Arial"/>
          <w:bCs/>
        </w:rPr>
        <w:t xml:space="preserve">: </w:t>
      </w:r>
      <w:hyperlink r:id="rId12" w:history="1">
        <w:r w:rsidR="00692F93" w:rsidRPr="00ED1ECA">
          <w:rPr>
            <w:rStyle w:val="Hipervnculo"/>
            <w:rFonts w:ascii="Arial" w:hAnsi="Arial" w:cs="Arial"/>
            <w:bCs/>
          </w:rPr>
          <w:t>https://www.ico.es/web/guest/ico/informe-anual</w:t>
        </w:r>
      </w:hyperlink>
    </w:p>
    <w:p w14:paraId="159D102C" w14:textId="20B6F761" w:rsidR="00F1085B" w:rsidRPr="008F709A" w:rsidRDefault="00B3684B" w:rsidP="008F70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1085B">
        <w:rPr>
          <w:rFonts w:ascii="Arial" w:hAnsi="Arial" w:cs="Arial"/>
          <w:bCs/>
        </w:rPr>
        <w:t>De acuerdo con la normativa, el ICO comunica a la BDNS toda la información relativa a convocatorias y adjudicaciones que puedan conllevar un componente de Ayuda de Estado, estando disponible para consulta ciudadana. Se procederá a incorporar un enlace directo a la BDNS en la sección de transparencia</w:t>
      </w:r>
      <w:r w:rsidR="00367AC4" w:rsidRPr="00F1085B">
        <w:rPr>
          <w:rFonts w:ascii="Arial" w:hAnsi="Arial" w:cs="Arial"/>
          <w:bCs/>
        </w:rPr>
        <w:t>. En cualquier caso</w:t>
      </w:r>
      <w:r w:rsidR="008F709A">
        <w:rPr>
          <w:rFonts w:ascii="Arial" w:hAnsi="Arial" w:cs="Arial"/>
          <w:bCs/>
        </w:rPr>
        <w:t>,</w:t>
      </w:r>
      <w:r w:rsidR="00367AC4" w:rsidRPr="00F1085B">
        <w:rPr>
          <w:rFonts w:ascii="Arial" w:hAnsi="Arial" w:cs="Arial"/>
          <w:bCs/>
        </w:rPr>
        <w:t xml:space="preserve"> conviene aclarar que ICO no es la entidad concedente de la ayuda sino la gestora de la misma por cuenta de algún Ministerio u </w:t>
      </w:r>
      <w:r w:rsidR="00F1085B" w:rsidRPr="00F1085B">
        <w:rPr>
          <w:rFonts w:ascii="Arial" w:hAnsi="Arial" w:cs="Arial"/>
          <w:bCs/>
        </w:rPr>
        <w:t>organismo</w:t>
      </w:r>
      <w:r w:rsidR="004D334D">
        <w:rPr>
          <w:rFonts w:ascii="Arial" w:hAnsi="Arial" w:cs="Arial"/>
          <w:bCs/>
        </w:rPr>
        <w:t xml:space="preserve"> y que según el caso la función de comunicación y public</w:t>
      </w:r>
      <w:r w:rsidR="008417FE">
        <w:rPr>
          <w:rFonts w:ascii="Arial" w:hAnsi="Arial" w:cs="Arial"/>
          <w:bCs/>
        </w:rPr>
        <w:t>i</w:t>
      </w:r>
      <w:r w:rsidR="004D334D">
        <w:rPr>
          <w:rFonts w:ascii="Arial" w:hAnsi="Arial" w:cs="Arial"/>
          <w:bCs/>
        </w:rPr>
        <w:t>dad correspondería al organismo o Mi</w:t>
      </w:r>
      <w:r w:rsidR="008417FE">
        <w:rPr>
          <w:rFonts w:ascii="Arial" w:hAnsi="Arial" w:cs="Arial"/>
          <w:bCs/>
        </w:rPr>
        <w:t>nisterio</w:t>
      </w:r>
      <w:r w:rsidR="004D334D">
        <w:rPr>
          <w:rFonts w:ascii="Arial" w:hAnsi="Arial" w:cs="Arial"/>
          <w:bCs/>
        </w:rPr>
        <w:t xml:space="preserve"> concedente de la ayuda.</w:t>
      </w:r>
    </w:p>
    <w:p w14:paraId="1A451052" w14:textId="77777777" w:rsidR="008F709A" w:rsidRPr="008F709A" w:rsidRDefault="008F709A" w:rsidP="008F709A">
      <w:pPr>
        <w:pStyle w:val="Prrafodelista"/>
        <w:jc w:val="both"/>
        <w:rPr>
          <w:rFonts w:ascii="Arial" w:hAnsi="Arial" w:cs="Arial"/>
          <w:b/>
        </w:rPr>
      </w:pPr>
    </w:p>
    <w:p w14:paraId="5693C86D" w14:textId="1EF0EAD2" w:rsidR="00B32293" w:rsidRDefault="00B32293" w:rsidP="00B32293">
      <w:pPr>
        <w:jc w:val="both"/>
        <w:rPr>
          <w:rFonts w:ascii="Arial" w:hAnsi="Arial" w:cs="Arial"/>
          <w:b/>
        </w:rPr>
      </w:pPr>
      <w:r w:rsidRPr="00300D6A">
        <w:rPr>
          <w:rFonts w:ascii="Arial" w:hAnsi="Arial" w:cs="Arial"/>
          <w:b/>
        </w:rPr>
        <w:t>3.2.</w:t>
      </w:r>
      <w:r>
        <w:rPr>
          <w:rFonts w:ascii="Arial" w:hAnsi="Arial" w:cs="Arial"/>
          <w:b/>
        </w:rPr>
        <w:t>4</w:t>
      </w:r>
      <w:r w:rsidRPr="00300D6A">
        <w:rPr>
          <w:rFonts w:ascii="Arial" w:hAnsi="Arial" w:cs="Arial"/>
          <w:b/>
        </w:rPr>
        <w:t>. Información</w:t>
      </w:r>
      <w:r>
        <w:rPr>
          <w:rFonts w:ascii="Arial" w:hAnsi="Arial" w:cs="Arial"/>
          <w:b/>
        </w:rPr>
        <w:t xml:space="preserve"> patrimonial</w:t>
      </w:r>
    </w:p>
    <w:p w14:paraId="18E2B886" w14:textId="77777777" w:rsidR="00B32293" w:rsidRDefault="00B32293" w:rsidP="00B32293">
      <w:pPr>
        <w:jc w:val="both"/>
        <w:rPr>
          <w:rFonts w:ascii="Arial" w:hAnsi="Arial" w:cs="Arial"/>
          <w:b/>
        </w:rPr>
      </w:pPr>
    </w:p>
    <w:p w14:paraId="296A6927" w14:textId="0791F0C4" w:rsidR="001F7632" w:rsidRDefault="00B32293" w:rsidP="00B322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las Cuentas </w:t>
      </w:r>
      <w:r w:rsidR="00670CD6">
        <w:rPr>
          <w:rFonts w:ascii="Arial" w:hAnsi="Arial" w:cs="Arial"/>
          <w:bCs/>
        </w:rPr>
        <w:t xml:space="preserve">Anuales ya publicadas por ICO tanto en su web como en la CNMV </w:t>
      </w:r>
      <w:r>
        <w:rPr>
          <w:rFonts w:ascii="Arial" w:hAnsi="Arial" w:cs="Arial"/>
          <w:bCs/>
        </w:rPr>
        <w:t>se proporciona la información sobre las garantías adjudicadas.</w:t>
      </w:r>
    </w:p>
    <w:p w14:paraId="2E12635E" w14:textId="77777777" w:rsidR="008F709A" w:rsidRDefault="008F709A" w:rsidP="00B32293">
      <w:pPr>
        <w:jc w:val="both"/>
        <w:rPr>
          <w:rFonts w:ascii="Arial" w:hAnsi="Arial" w:cs="Arial"/>
          <w:bCs/>
        </w:rPr>
      </w:pPr>
    </w:p>
    <w:p w14:paraId="7E9EB0DD" w14:textId="0662C7DA" w:rsidR="00D426DC" w:rsidRDefault="008F709A" w:rsidP="00B322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cualquier caso, se completará la</w:t>
      </w:r>
      <w:r w:rsidR="00670CD6">
        <w:rPr>
          <w:rFonts w:ascii="Arial" w:hAnsi="Arial" w:cs="Arial"/>
          <w:bCs/>
        </w:rPr>
        <w:t xml:space="preserve"> </w:t>
      </w:r>
      <w:r w:rsidR="00B32293">
        <w:rPr>
          <w:rFonts w:ascii="Arial" w:hAnsi="Arial" w:cs="Arial"/>
          <w:bCs/>
        </w:rPr>
        <w:t xml:space="preserve">información patrimonial en la sección de Transparencia para dar cumplimiento a lo requerido en el artículo 8.3 de la </w:t>
      </w:r>
      <w:r w:rsidR="00670CD6">
        <w:rPr>
          <w:rFonts w:ascii="Arial" w:hAnsi="Arial" w:cs="Arial"/>
          <w:bCs/>
        </w:rPr>
        <w:t>LTAIBG</w:t>
      </w:r>
      <w:r w:rsidR="00670CD6" w:rsidRPr="00B32293">
        <w:rPr>
          <w:rFonts w:ascii="Arial" w:hAnsi="Arial" w:cs="Arial"/>
          <w:bCs/>
        </w:rPr>
        <w:t>.</w:t>
      </w:r>
    </w:p>
    <w:p w14:paraId="00C31E66" w14:textId="77777777" w:rsidR="001F7632" w:rsidRDefault="001F7632" w:rsidP="00B32293">
      <w:pPr>
        <w:jc w:val="both"/>
        <w:rPr>
          <w:rFonts w:ascii="Arial" w:hAnsi="Arial" w:cs="Arial"/>
          <w:bCs/>
        </w:rPr>
      </w:pPr>
    </w:p>
    <w:p w14:paraId="219109AA" w14:textId="7BC87C3B" w:rsidR="001F7632" w:rsidRPr="00670CD6" w:rsidRDefault="001F7632" w:rsidP="00B32293">
      <w:pPr>
        <w:jc w:val="both"/>
        <w:rPr>
          <w:rFonts w:ascii="Arial" w:hAnsi="Arial" w:cs="Arial"/>
          <w:b/>
        </w:rPr>
      </w:pPr>
      <w:r w:rsidRPr="00670CD6">
        <w:rPr>
          <w:rFonts w:ascii="Arial" w:hAnsi="Arial" w:cs="Arial"/>
          <w:b/>
        </w:rPr>
        <w:t>4.- Conc</w:t>
      </w:r>
      <w:r w:rsidR="008F709A">
        <w:rPr>
          <w:rFonts w:ascii="Arial" w:hAnsi="Arial" w:cs="Arial"/>
          <w:b/>
        </w:rPr>
        <w:t>l</w:t>
      </w:r>
      <w:r w:rsidRPr="00670CD6">
        <w:rPr>
          <w:rFonts w:ascii="Arial" w:hAnsi="Arial" w:cs="Arial"/>
          <w:b/>
        </w:rPr>
        <w:t>usiones.</w:t>
      </w:r>
    </w:p>
    <w:p w14:paraId="606180EB" w14:textId="77777777" w:rsidR="001F7632" w:rsidRDefault="001F7632" w:rsidP="00B32293">
      <w:pPr>
        <w:jc w:val="both"/>
        <w:rPr>
          <w:rFonts w:ascii="Arial" w:hAnsi="Arial" w:cs="Arial"/>
          <w:bCs/>
        </w:rPr>
      </w:pPr>
    </w:p>
    <w:p w14:paraId="4B237C7B" w14:textId="7CA12159" w:rsidR="001F7632" w:rsidRDefault="001F7632" w:rsidP="00B322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Teniendo </w:t>
      </w:r>
      <w:r w:rsidR="00A3777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n cuenta las </w:t>
      </w:r>
      <w:r w:rsidR="00A37770">
        <w:rPr>
          <w:rFonts w:ascii="Arial" w:hAnsi="Arial" w:cs="Arial"/>
          <w:bCs/>
        </w:rPr>
        <w:t>consideraciones, aclaraciones</w:t>
      </w:r>
      <w:r>
        <w:rPr>
          <w:rFonts w:ascii="Arial" w:hAnsi="Arial" w:cs="Arial"/>
          <w:bCs/>
        </w:rPr>
        <w:t xml:space="preserve"> y observaciones trasladadas en los apartados anteriores</w:t>
      </w:r>
      <w:r w:rsidR="008F709A">
        <w:rPr>
          <w:rFonts w:ascii="Arial" w:hAnsi="Arial" w:cs="Arial"/>
          <w:bCs/>
        </w:rPr>
        <w:t xml:space="preserve">, solicitamos que el CTBG pueda valorar la información que actualmente ya tiene publicada el ICO en su web para dar cumplimiento a </w:t>
      </w:r>
      <w:r w:rsidR="00053DE4">
        <w:rPr>
          <w:rFonts w:ascii="Arial" w:hAnsi="Arial" w:cs="Arial"/>
          <w:bCs/>
        </w:rPr>
        <w:t>las obligaciones establecidas en la Ley 19/2013.</w:t>
      </w:r>
    </w:p>
    <w:p w14:paraId="209E376C" w14:textId="77777777" w:rsidR="00692F93" w:rsidRDefault="00692F93" w:rsidP="00B32293">
      <w:pPr>
        <w:jc w:val="both"/>
        <w:rPr>
          <w:rFonts w:ascii="Arial" w:hAnsi="Arial" w:cs="Arial"/>
          <w:bCs/>
        </w:rPr>
      </w:pPr>
    </w:p>
    <w:p w14:paraId="31AA64EE" w14:textId="77777777" w:rsidR="00692F93" w:rsidRDefault="00692F93" w:rsidP="00B32293">
      <w:pPr>
        <w:jc w:val="both"/>
        <w:rPr>
          <w:rFonts w:ascii="Arial" w:hAnsi="Arial" w:cs="Arial"/>
          <w:bCs/>
        </w:rPr>
      </w:pPr>
    </w:p>
    <w:p w14:paraId="12A57969" w14:textId="77777777" w:rsidR="00692F93" w:rsidRDefault="00692F93" w:rsidP="00692F93">
      <w:pPr>
        <w:jc w:val="right"/>
        <w:rPr>
          <w:rFonts w:ascii="Arial" w:hAnsi="Arial" w:cs="Arial"/>
          <w:bCs/>
        </w:rPr>
      </w:pPr>
    </w:p>
    <w:sectPr w:rsidR="00692F93" w:rsidSect="00DB7205">
      <w:headerReference w:type="default" r:id="rId13"/>
      <w:footerReference w:type="default" r:id="rId14"/>
      <w:pgSz w:w="11906" w:h="16838"/>
      <w:pgMar w:top="1417" w:right="1274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5B7A" w14:textId="77777777" w:rsidR="00DB7205" w:rsidRDefault="00DB7205" w:rsidP="00172ED5">
      <w:r>
        <w:separator/>
      </w:r>
    </w:p>
  </w:endnote>
  <w:endnote w:type="continuationSeparator" w:id="0">
    <w:p w14:paraId="221000C8" w14:textId="77777777" w:rsidR="00DB7205" w:rsidRDefault="00DB7205" w:rsidP="0017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389972"/>
      <w:docPartObj>
        <w:docPartGallery w:val="Page Numbers (Bottom of Page)"/>
        <w:docPartUnique/>
      </w:docPartObj>
    </w:sdtPr>
    <w:sdtEndPr/>
    <w:sdtContent>
      <w:p w14:paraId="0E28A263" w14:textId="39629EE9" w:rsidR="00692F93" w:rsidRDefault="00692F9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918FA" w14:textId="77777777" w:rsidR="00692F93" w:rsidRDefault="00692F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6925" w14:textId="77777777" w:rsidR="00DB7205" w:rsidRDefault="00DB7205" w:rsidP="00172ED5">
      <w:r>
        <w:separator/>
      </w:r>
    </w:p>
  </w:footnote>
  <w:footnote w:type="continuationSeparator" w:id="0">
    <w:p w14:paraId="36F6EA9E" w14:textId="77777777" w:rsidR="00DB7205" w:rsidRDefault="00DB7205" w:rsidP="0017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8E6D" w14:textId="704BCA64" w:rsidR="00F21440" w:rsidRDefault="00F21440">
    <w:pPr>
      <w:pStyle w:val="Encabezado"/>
    </w:pPr>
    <w:r>
      <w:rPr>
        <w:noProof/>
      </w:rPr>
      <w:drawing>
        <wp:inline distT="0" distB="0" distL="0" distR="0" wp14:anchorId="14E8C1AF" wp14:editId="27DD2F76">
          <wp:extent cx="1078865" cy="664210"/>
          <wp:effectExtent l="0" t="0" r="6985" b="2540"/>
          <wp:docPr id="18457204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640EF"/>
    <w:multiLevelType w:val="hybridMultilevel"/>
    <w:tmpl w:val="196E16BE"/>
    <w:lvl w:ilvl="0" w:tplc="798A49B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15"/>
    <w:rsid w:val="00053DE4"/>
    <w:rsid w:val="00165618"/>
    <w:rsid w:val="00170260"/>
    <w:rsid w:val="00172ED5"/>
    <w:rsid w:val="00180978"/>
    <w:rsid w:val="00184CD7"/>
    <w:rsid w:val="001F7632"/>
    <w:rsid w:val="002219A3"/>
    <w:rsid w:val="00266EAD"/>
    <w:rsid w:val="00276934"/>
    <w:rsid w:val="002D5F15"/>
    <w:rsid w:val="002F2A1F"/>
    <w:rsid w:val="00300D6A"/>
    <w:rsid w:val="0031599B"/>
    <w:rsid w:val="00326A22"/>
    <w:rsid w:val="00367AC4"/>
    <w:rsid w:val="00424B3D"/>
    <w:rsid w:val="004443A9"/>
    <w:rsid w:val="00465AF3"/>
    <w:rsid w:val="00475FA8"/>
    <w:rsid w:val="004803CE"/>
    <w:rsid w:val="00483C70"/>
    <w:rsid w:val="00490B0A"/>
    <w:rsid w:val="004D334D"/>
    <w:rsid w:val="00594FE3"/>
    <w:rsid w:val="005A24D0"/>
    <w:rsid w:val="005C0403"/>
    <w:rsid w:val="005C3CAE"/>
    <w:rsid w:val="005D680E"/>
    <w:rsid w:val="006025CE"/>
    <w:rsid w:val="006453C7"/>
    <w:rsid w:val="00670CD6"/>
    <w:rsid w:val="00692F93"/>
    <w:rsid w:val="006E754E"/>
    <w:rsid w:val="00712B10"/>
    <w:rsid w:val="00740897"/>
    <w:rsid w:val="00775FF8"/>
    <w:rsid w:val="007773D6"/>
    <w:rsid w:val="007A7F0B"/>
    <w:rsid w:val="007B66D0"/>
    <w:rsid w:val="007F3FC4"/>
    <w:rsid w:val="00820618"/>
    <w:rsid w:val="0082432B"/>
    <w:rsid w:val="00824384"/>
    <w:rsid w:val="008417FE"/>
    <w:rsid w:val="0084692D"/>
    <w:rsid w:val="008B73A8"/>
    <w:rsid w:val="008B7409"/>
    <w:rsid w:val="008D4538"/>
    <w:rsid w:val="008E2185"/>
    <w:rsid w:val="008F2DC6"/>
    <w:rsid w:val="008F709A"/>
    <w:rsid w:val="009A6E4C"/>
    <w:rsid w:val="009B7D08"/>
    <w:rsid w:val="00A0006E"/>
    <w:rsid w:val="00A06D7A"/>
    <w:rsid w:val="00A17CE4"/>
    <w:rsid w:val="00A37770"/>
    <w:rsid w:val="00A967DD"/>
    <w:rsid w:val="00AA31AF"/>
    <w:rsid w:val="00AD518B"/>
    <w:rsid w:val="00B060AB"/>
    <w:rsid w:val="00B32293"/>
    <w:rsid w:val="00B3684B"/>
    <w:rsid w:val="00B77519"/>
    <w:rsid w:val="00BE2460"/>
    <w:rsid w:val="00C62509"/>
    <w:rsid w:val="00C7381F"/>
    <w:rsid w:val="00C74B5E"/>
    <w:rsid w:val="00D02B81"/>
    <w:rsid w:val="00D141E1"/>
    <w:rsid w:val="00D31946"/>
    <w:rsid w:val="00D426DC"/>
    <w:rsid w:val="00D54D40"/>
    <w:rsid w:val="00D56724"/>
    <w:rsid w:val="00D911A3"/>
    <w:rsid w:val="00D94F8D"/>
    <w:rsid w:val="00DA2DB5"/>
    <w:rsid w:val="00DB4D09"/>
    <w:rsid w:val="00DB7205"/>
    <w:rsid w:val="00DE4087"/>
    <w:rsid w:val="00E13E3C"/>
    <w:rsid w:val="00E21510"/>
    <w:rsid w:val="00E44681"/>
    <w:rsid w:val="00E97EAC"/>
    <w:rsid w:val="00EB126C"/>
    <w:rsid w:val="00F046DF"/>
    <w:rsid w:val="00F049AB"/>
    <w:rsid w:val="00F1085B"/>
    <w:rsid w:val="00F21440"/>
    <w:rsid w:val="00F47BB2"/>
    <w:rsid w:val="00FB507D"/>
    <w:rsid w:val="00FC365F"/>
    <w:rsid w:val="00FD46E2"/>
    <w:rsid w:val="00FD531A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CA970"/>
  <w15:chartTrackingRefBased/>
  <w15:docId w15:val="{7D6DFFEB-E9C0-4F98-BE6A-0481F2F1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15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2ED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2E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2ED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72E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ED5"/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F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4B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D46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B7D08"/>
    <w:pPr>
      <w:ind w:left="720"/>
      <w:contextualSpacing/>
    </w:pPr>
  </w:style>
  <w:style w:type="character" w:customStyle="1" w:styleId="ui-provider">
    <w:name w:val="ui-provider"/>
    <w:basedOn w:val="Fuentedeprrafopredeter"/>
    <w:rsid w:val="0059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o.es" TargetMode="External"/><Relationship Id="rId12" Type="http://schemas.openxmlformats.org/officeDocument/2006/relationships/hyperlink" Target="https://www.ico.es/web/guest/ico/informe-anu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o.es/perfil_del_contratan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co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5792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ICO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Noriega Gomez</dc:creator>
  <cp:keywords/>
  <dc:description/>
  <cp:lastModifiedBy>Begoña Amores Serrano</cp:lastModifiedBy>
  <cp:revision>2</cp:revision>
  <cp:lastPrinted>2023-01-13T10:06:00Z</cp:lastPrinted>
  <dcterms:created xsi:type="dcterms:W3CDTF">2024-04-24T16:45:00Z</dcterms:created>
  <dcterms:modified xsi:type="dcterms:W3CDTF">2024-04-24T16:45:00Z</dcterms:modified>
</cp:coreProperties>
</file>