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0D3EB9A" w:rsidR="00D361A9" w:rsidRPr="00A97132" w:rsidRDefault="00F62BB4">
      <w:pPr>
        <w:rPr>
          <w:rFonts w:ascii="Mulish" w:hAnsi="Mulish"/>
        </w:rPr>
      </w:pPr>
      <w:r>
        <w:rPr>
          <w:rFonts w:ascii="Mulish" w:hAnsi="Mulish"/>
        </w:rPr>
        <w:t>Equipos Nucleares SA, SME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>
        <w:rPr>
          <w:rFonts w:ascii="Mulish" w:hAnsi="Mulish"/>
        </w:rPr>
        <w:t xml:space="preserve"> Mediante escrito de fecha 28 de abril de 2024, informa a este Consejo sobre su intención de aplicar las recomendaciones que han quedado pendientes de implantación en 2024.</w:t>
      </w:r>
    </w:p>
    <w:sectPr w:rsidR="00D361A9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A97132"/>
    <w:rsid w:val="00B171AE"/>
    <w:rsid w:val="00BA0040"/>
    <w:rsid w:val="00D361A9"/>
    <w:rsid w:val="00F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2024-05-08T09:52:00Z</dcterms:created>
  <dcterms:modified xsi:type="dcterms:W3CDTF">2024-05-08T09:52:00Z</dcterms:modified>
</cp:coreProperties>
</file>