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0B888" w14:textId="4A90C38E" w:rsidR="00B349EA" w:rsidRDefault="00B349EA" w:rsidP="00B349EA">
      <w:pPr>
        <w:pStyle w:val="Cuerpodelboletn"/>
      </w:pPr>
      <w:r>
        <w:t>Como consecuencia de esto persisten los déficits evidenciados en dicha evaluación:</w:t>
      </w:r>
      <w:r w:rsidRPr="004061BC">
        <w:rPr>
          <w:noProof/>
          <w:lang w:eastAsia="es-ES"/>
        </w:rPr>
        <mc:AlternateContent>
          <mc:Choice Requires="wps">
            <w:drawing>
              <wp:anchor distT="0" distB="0" distL="114300" distR="114300" simplePos="0" relativeHeight="251659264" behindDoc="0" locked="0" layoutInCell="1" allowOverlap="1" wp14:anchorId="0736D2B3" wp14:editId="5D3DD419">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A945B30" w14:textId="77777777" w:rsidR="00B349EA" w:rsidRPr="00F31BC3" w:rsidRDefault="00B349EA" w:rsidP="00B349EA">
                            <w:r w:rsidRPr="00965C69">
                              <w:rPr>
                                <w:noProof/>
                                <w:lang w:eastAsia="es-ES"/>
                              </w:rPr>
                              <w:drawing>
                                <wp:inline distT="0" distB="0" distL="0" distR="0" wp14:anchorId="487B0333" wp14:editId="32368F4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6D2B3" id="Rectángulo 18" o:spid="_x0000_s1026" style="position:absolute;left:0;text-align:left;margin-left:0;margin-top:.5pt;width:630pt;height: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" fillcolor="#50866c" stroked="f">
                <v:textbox inset=",7.2pt,,7.2pt">
                  <w:txbxContent>
                    <w:p w14:paraId="1A945B30" w14:textId="77777777" w:rsidR="00B349EA" w:rsidRPr="00F31BC3" w:rsidRDefault="00B349EA" w:rsidP="00B349EA">
                      <w:r w:rsidRPr="00965C69">
                        <w:rPr>
                          <w:noProof/>
                          <w:lang w:eastAsia="es-ES"/>
                        </w:rPr>
                        <w:drawing>
                          <wp:inline distT="0" distB="0" distL="0" distR="0" wp14:anchorId="487B0333" wp14:editId="32368F4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noProof/>
          <w:lang w:eastAsia="es-ES"/>
        </w:rPr>
        <mc:AlternateContent>
          <mc:Choice Requires="wps">
            <w:drawing>
              <wp:anchor distT="0" distB="0" distL="114300" distR="114300" simplePos="0" relativeHeight="251660288" behindDoc="0" locked="0" layoutInCell="1" allowOverlap="1" wp14:anchorId="27FEB054" wp14:editId="70BF59E8">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18636" id="Rectángulo 19" o:spid="_x0000_s1026" style="position:absolute;margin-left:0;margin-top:78.95pt;width:630pt;height:1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9tBQIAAOw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jYXfbQUCAADs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p>
    <w:p w14:paraId="6F443602" w14:textId="77777777" w:rsidR="00B349EA" w:rsidRDefault="00B349EA" w:rsidP="00B349EA">
      <w:pPr>
        <w:pStyle w:val="Sinespaciado"/>
        <w:numPr>
          <w:ilvl w:val="0"/>
          <w:numId w:val="1"/>
        </w:numPr>
        <w:spacing w:line="276" w:lineRule="auto"/>
        <w:jc w:val="both"/>
        <w:rPr>
          <w:rFonts w:ascii="Century Gothic" w:hAnsi="Century Gothic"/>
        </w:rPr>
      </w:pPr>
      <w:r>
        <w:rPr>
          <w:rFonts w:ascii="Century Gothic" w:hAnsi="Century Gothic"/>
        </w:rPr>
        <w:t>Sigue sin habilitarse un espacio específico para la publicación de las informaciones obligatorias</w:t>
      </w:r>
    </w:p>
    <w:p w14:paraId="26D8EDA1" w14:textId="77777777" w:rsidR="00B349EA" w:rsidRDefault="00B349EA" w:rsidP="00B349EA">
      <w:pPr>
        <w:pStyle w:val="Sinespaciado"/>
        <w:numPr>
          <w:ilvl w:val="0"/>
          <w:numId w:val="1"/>
        </w:numPr>
        <w:spacing w:line="276" w:lineRule="auto"/>
        <w:jc w:val="both"/>
        <w:rPr>
          <w:rFonts w:ascii="Century Gothic" w:hAnsi="Century Gothic"/>
        </w:rPr>
      </w:pPr>
      <w:r w:rsidRPr="00A670E9">
        <w:rPr>
          <w:rFonts w:ascii="Century Gothic" w:hAnsi="Century Gothic"/>
        </w:rPr>
        <w:t xml:space="preserve">Respecto de la publicación de contenidos, </w:t>
      </w:r>
      <w:r>
        <w:rPr>
          <w:rFonts w:ascii="Century Gothic" w:hAnsi="Century Gothic"/>
        </w:rPr>
        <w:t>sigue sin publicarse:</w:t>
      </w:r>
    </w:p>
    <w:p w14:paraId="6B127BAC" w14:textId="77777777" w:rsidR="00B349EA" w:rsidRDefault="00B349EA" w:rsidP="00B349EA">
      <w:pPr>
        <w:pStyle w:val="Sinespaciado"/>
        <w:numPr>
          <w:ilvl w:val="0"/>
          <w:numId w:val="2"/>
        </w:numPr>
        <w:spacing w:line="276" w:lineRule="auto"/>
        <w:jc w:val="both"/>
        <w:rPr>
          <w:rFonts w:ascii="Century Gothic" w:hAnsi="Century Gothic"/>
        </w:rPr>
      </w:pPr>
      <w:r>
        <w:rPr>
          <w:rFonts w:ascii="Century Gothic" w:hAnsi="Century Gothic"/>
        </w:rPr>
        <w:t>En el bloque de Información Institucional y Organizativa sigue sin publicarse:</w:t>
      </w:r>
    </w:p>
    <w:p w14:paraId="3F1F7397" w14:textId="77777777" w:rsidR="00B349EA" w:rsidRDefault="00B349EA" w:rsidP="00B349EA">
      <w:pPr>
        <w:pStyle w:val="Sinespaciado"/>
        <w:numPr>
          <w:ilvl w:val="1"/>
          <w:numId w:val="2"/>
        </w:numPr>
        <w:spacing w:line="276" w:lineRule="auto"/>
        <w:jc w:val="both"/>
        <w:rPr>
          <w:rFonts w:ascii="Century Gothic" w:hAnsi="Century Gothic"/>
        </w:rPr>
      </w:pPr>
      <w:r>
        <w:rPr>
          <w:rFonts w:ascii="Century Gothic" w:hAnsi="Century Gothic"/>
        </w:rPr>
        <w:t>La normativa aplicable a la Fundación</w:t>
      </w:r>
    </w:p>
    <w:p w14:paraId="34A2364E" w14:textId="77777777" w:rsidR="00B349EA" w:rsidRDefault="00B349EA" w:rsidP="00B349EA">
      <w:pPr>
        <w:pStyle w:val="Sinespaciado"/>
        <w:numPr>
          <w:ilvl w:val="1"/>
          <w:numId w:val="2"/>
        </w:numPr>
        <w:spacing w:line="276" w:lineRule="auto"/>
        <w:jc w:val="both"/>
        <w:rPr>
          <w:rFonts w:ascii="Century Gothic" w:hAnsi="Century Gothic"/>
        </w:rPr>
      </w:pPr>
      <w:r>
        <w:rPr>
          <w:rFonts w:ascii="Century Gothic" w:hAnsi="Century Gothic"/>
        </w:rPr>
        <w:t xml:space="preserve">El Registro de Actividades de Tratamiento. </w:t>
      </w:r>
    </w:p>
    <w:p w14:paraId="4E0A2EFE" w14:textId="77777777" w:rsidR="00B349EA" w:rsidRDefault="00B349EA" w:rsidP="00B349EA">
      <w:pPr>
        <w:pStyle w:val="Sinespaciado"/>
        <w:numPr>
          <w:ilvl w:val="1"/>
          <w:numId w:val="2"/>
        </w:numPr>
        <w:spacing w:line="276" w:lineRule="auto"/>
        <w:jc w:val="both"/>
        <w:rPr>
          <w:rFonts w:ascii="Century Gothic" w:hAnsi="Century Gothic"/>
        </w:rPr>
      </w:pPr>
      <w:r>
        <w:rPr>
          <w:rFonts w:ascii="Century Gothic" w:hAnsi="Century Gothic"/>
        </w:rPr>
        <w:t>Una descripción de la estructura organizativa.</w:t>
      </w:r>
    </w:p>
    <w:p w14:paraId="77B9AC3F" w14:textId="77777777" w:rsidR="00B349EA" w:rsidRDefault="00B349EA" w:rsidP="00B349EA">
      <w:pPr>
        <w:pStyle w:val="Sinespaciado"/>
        <w:numPr>
          <w:ilvl w:val="1"/>
          <w:numId w:val="2"/>
        </w:numPr>
        <w:spacing w:line="276" w:lineRule="auto"/>
        <w:jc w:val="both"/>
        <w:rPr>
          <w:rFonts w:ascii="Century Gothic" w:hAnsi="Century Gothic"/>
        </w:rPr>
      </w:pPr>
      <w:r>
        <w:rPr>
          <w:rFonts w:ascii="Century Gothic" w:hAnsi="Century Gothic"/>
        </w:rPr>
        <w:t>El organigrama</w:t>
      </w:r>
    </w:p>
    <w:p w14:paraId="2911F542" w14:textId="77777777" w:rsidR="00B349EA" w:rsidRDefault="00B349EA" w:rsidP="00B349EA">
      <w:pPr>
        <w:pStyle w:val="Sinespaciado"/>
        <w:numPr>
          <w:ilvl w:val="1"/>
          <w:numId w:val="2"/>
        </w:numPr>
        <w:spacing w:line="276" w:lineRule="auto"/>
        <w:jc w:val="both"/>
        <w:rPr>
          <w:rFonts w:ascii="Century Gothic" w:hAnsi="Century Gothic"/>
        </w:rPr>
      </w:pPr>
      <w:r>
        <w:rPr>
          <w:rFonts w:ascii="Century Gothic" w:hAnsi="Century Gothic"/>
        </w:rPr>
        <w:t>No se ha completado la información de identificación de los máximos responsables, incluyendo información sobre los miembros del Patronato.</w:t>
      </w:r>
    </w:p>
    <w:p w14:paraId="30FAAEEF" w14:textId="77777777" w:rsidR="00B349EA" w:rsidRDefault="00B349EA" w:rsidP="00B349EA">
      <w:pPr>
        <w:pStyle w:val="Sinespaciado"/>
        <w:numPr>
          <w:ilvl w:val="1"/>
          <w:numId w:val="2"/>
        </w:numPr>
        <w:spacing w:line="276" w:lineRule="auto"/>
        <w:jc w:val="both"/>
        <w:rPr>
          <w:rFonts w:ascii="Century Gothic" w:hAnsi="Century Gothic"/>
        </w:rPr>
      </w:pPr>
      <w:r>
        <w:rPr>
          <w:rFonts w:ascii="Century Gothic" w:hAnsi="Century Gothic"/>
        </w:rPr>
        <w:t>El perfil y trayectoria profesional de los máximos responsables</w:t>
      </w:r>
    </w:p>
    <w:p w14:paraId="1C15C504" w14:textId="77777777" w:rsidR="00B349EA" w:rsidRDefault="00B349EA" w:rsidP="00B349EA">
      <w:pPr>
        <w:pStyle w:val="Sinespaciado"/>
        <w:numPr>
          <w:ilvl w:val="0"/>
          <w:numId w:val="2"/>
        </w:numPr>
        <w:spacing w:line="276" w:lineRule="auto"/>
        <w:jc w:val="both"/>
        <w:rPr>
          <w:rFonts w:ascii="Century Gothic" w:hAnsi="Century Gothic"/>
        </w:rPr>
      </w:pPr>
      <w:r>
        <w:rPr>
          <w:rFonts w:ascii="Century Gothic" w:hAnsi="Century Gothic"/>
        </w:rPr>
        <w:t>En el bloque de información económica no se publica ninguna de las informaciones obligatorias.</w:t>
      </w:r>
    </w:p>
    <w:p w14:paraId="0A33FB28" w14:textId="77777777" w:rsidR="00B349EA" w:rsidRPr="007154D5" w:rsidRDefault="00B349EA" w:rsidP="00B349EA">
      <w:pPr>
        <w:pStyle w:val="Sinespaciado"/>
        <w:spacing w:line="276" w:lineRule="auto"/>
        <w:ind w:left="2160"/>
        <w:jc w:val="both"/>
        <w:rPr>
          <w:rFonts w:ascii="Century Gothic" w:hAnsi="Century Gothic"/>
        </w:rPr>
      </w:pPr>
    </w:p>
    <w:p w14:paraId="722636C1" w14:textId="7010F0E0" w:rsidR="005D528D" w:rsidRPr="00B349EA" w:rsidRDefault="00773F70">
      <w:pPr>
        <w:rPr>
          <w:b/>
          <w:bCs/>
          <w:u w:val="single"/>
        </w:rPr>
      </w:pPr>
      <w:r>
        <w:rPr>
          <w:b/>
          <w:bCs/>
          <w:u w:val="single"/>
        </w:rPr>
        <w:t xml:space="preserve">OBSERVACIONES </w:t>
      </w:r>
      <w:bookmarkStart w:id="0" w:name="_GoBack"/>
      <w:bookmarkEnd w:id="0"/>
      <w:r w:rsidR="0077026C" w:rsidRPr="00B349EA">
        <w:rPr>
          <w:b/>
          <w:bCs/>
          <w:u w:val="single"/>
        </w:rPr>
        <w:t>AL INFORME</w:t>
      </w:r>
      <w:r w:rsidR="005B2969" w:rsidRPr="00B349EA">
        <w:rPr>
          <w:b/>
          <w:bCs/>
          <w:u w:val="single"/>
        </w:rPr>
        <w:t xml:space="preserve"> EN MATERIA DE PUBLICIDAD ACTIVA</w:t>
      </w:r>
      <w:r w:rsidR="0077026C" w:rsidRPr="00B349EA">
        <w:rPr>
          <w:b/>
          <w:bCs/>
          <w:u w:val="single"/>
        </w:rPr>
        <w:t>:</w:t>
      </w:r>
    </w:p>
    <w:p w14:paraId="0FB4ABB6" w14:textId="212C2290" w:rsidR="00703948" w:rsidRDefault="00703948"/>
    <w:p w14:paraId="4B1DB7CA" w14:textId="20730EAA" w:rsidR="008E7B46" w:rsidRDefault="008E7B46" w:rsidP="008E7B46">
      <w:pPr>
        <w:pStyle w:val="Prrafodelista"/>
        <w:numPr>
          <w:ilvl w:val="0"/>
          <w:numId w:val="3"/>
        </w:numPr>
        <w:jc w:val="both"/>
      </w:pPr>
      <w:r>
        <w:t>Aunque para sus tareas diarias de comunicación y difusión de actividades, la Fundación UIMP-CG utiliza la red social de Facebook (</w:t>
      </w:r>
      <w:hyperlink r:id="rId6" w:history="1">
        <w:r w:rsidRPr="004946F7">
          <w:rPr>
            <w:rStyle w:val="Hipervnculo"/>
          </w:rPr>
          <w:t>https://www.facebook.com/UIMPCampodeGibraltar/?locale=es_ES</w:t>
        </w:r>
      </w:hyperlink>
      <w:r>
        <w:t xml:space="preserve"> ) </w:t>
      </w:r>
    </w:p>
    <w:p w14:paraId="4E20956D" w14:textId="5B43BFCC" w:rsidR="008E7B46" w:rsidRDefault="008E7B46" w:rsidP="008E7B46">
      <w:pPr>
        <w:pStyle w:val="Prrafodelista"/>
        <w:jc w:val="both"/>
      </w:pPr>
      <w:r>
        <w:t>se juzga más conveniente que la información relativa al Informe esté en la propia web de la Universidad Internacional Menéndez Pelayo.</w:t>
      </w:r>
    </w:p>
    <w:p w14:paraId="061B9812" w14:textId="77777777" w:rsidR="008E7B46" w:rsidRDefault="008E7B46" w:rsidP="008E7B46">
      <w:pPr>
        <w:pStyle w:val="Prrafodelista"/>
        <w:jc w:val="both"/>
      </w:pPr>
    </w:p>
    <w:p w14:paraId="76C52612" w14:textId="10B17030" w:rsidR="00703948" w:rsidRDefault="00703948" w:rsidP="008E7B46">
      <w:pPr>
        <w:pStyle w:val="Prrafodelista"/>
        <w:jc w:val="both"/>
      </w:pPr>
      <w:r>
        <w:t>Al tratarse de una entidad que actúa como sede de la U</w:t>
      </w:r>
      <w:r w:rsidR="008E7B46">
        <w:t>IMP</w:t>
      </w:r>
      <w:r>
        <w:t>, y cuyos fines y actuaciones son los de la UIMP, actividades de docencia y extensión universitaria,</w:t>
      </w:r>
      <w:r w:rsidR="008E7B46">
        <w:t xml:space="preserve"> compartiendo misión, visión y planteamiento estratégico general, </w:t>
      </w:r>
      <w:r>
        <w:t>el espacio específico para la publicación de la información está en el apartado de sedes de la página web de la UIMP, más concretamente en el apartado sede de "La Línea de la Concepción”</w:t>
      </w:r>
      <w:r w:rsidR="00B11A73">
        <w:t>:</w:t>
      </w:r>
    </w:p>
    <w:p w14:paraId="17C2D405" w14:textId="77777777" w:rsidR="00B11A73" w:rsidRDefault="00B11A73" w:rsidP="00B11A73">
      <w:pPr>
        <w:pStyle w:val="Prrafodelista"/>
        <w:jc w:val="both"/>
      </w:pPr>
    </w:p>
    <w:p w14:paraId="199B55D1" w14:textId="1780E2F4" w:rsidR="00B11A73" w:rsidRDefault="00773F70" w:rsidP="00B11A73">
      <w:pPr>
        <w:pStyle w:val="Prrafodelista"/>
        <w:jc w:val="both"/>
      </w:pPr>
      <w:hyperlink r:id="rId7" w:history="1">
        <w:r w:rsidR="00B11A73" w:rsidRPr="004946F7">
          <w:rPr>
            <w:rStyle w:val="Hipervnculo"/>
          </w:rPr>
          <w:t>https://www.uimp.es/sedes/linea-de-la-concepcion.html</w:t>
        </w:r>
      </w:hyperlink>
    </w:p>
    <w:p w14:paraId="712F6668" w14:textId="20840D87" w:rsidR="008E7B46" w:rsidRDefault="008E7B46" w:rsidP="008E7B46">
      <w:pPr>
        <w:jc w:val="both"/>
      </w:pPr>
    </w:p>
    <w:p w14:paraId="0507BDDA" w14:textId="239CD53E" w:rsidR="008E7B46" w:rsidRDefault="008E7B46" w:rsidP="008E7B46">
      <w:pPr>
        <w:pStyle w:val="Prrafodelista"/>
        <w:numPr>
          <w:ilvl w:val="0"/>
          <w:numId w:val="3"/>
        </w:numPr>
        <w:jc w:val="both"/>
      </w:pPr>
      <w:r>
        <w:t xml:space="preserve">En dicho apartado se encuentra, el link al directorio, así </w:t>
      </w:r>
      <w:r w:rsidR="00B349EA">
        <w:t xml:space="preserve">como </w:t>
      </w:r>
      <w:r>
        <w:t>el apartado de “Transparencia” donde se encuentra la información relativa a :</w:t>
      </w:r>
    </w:p>
    <w:p w14:paraId="5EEA4C5D" w14:textId="2B3C2FF2" w:rsidR="008E7B46" w:rsidRDefault="008E7B46" w:rsidP="008E7B46">
      <w:pPr>
        <w:pStyle w:val="Prrafodelista"/>
        <w:numPr>
          <w:ilvl w:val="0"/>
          <w:numId w:val="4"/>
        </w:numPr>
        <w:jc w:val="both"/>
      </w:pPr>
      <w:r>
        <w:t>Los Estatutos de la Fundación UIMP-CG</w:t>
      </w:r>
    </w:p>
    <w:p w14:paraId="3F08151B" w14:textId="29AD27A8" w:rsidR="008E7B46" w:rsidRDefault="008E7B46" w:rsidP="008E7B46">
      <w:pPr>
        <w:pStyle w:val="Prrafodelista"/>
        <w:numPr>
          <w:ilvl w:val="0"/>
          <w:numId w:val="4"/>
        </w:numPr>
        <w:jc w:val="both"/>
      </w:pPr>
      <w:r>
        <w:t>Miembros del Patronato</w:t>
      </w:r>
    </w:p>
    <w:p w14:paraId="385DD0FF" w14:textId="3D8B1681" w:rsidR="008E7B46" w:rsidRDefault="008E7B46" w:rsidP="008E7B46">
      <w:pPr>
        <w:pStyle w:val="Prrafodelista"/>
        <w:numPr>
          <w:ilvl w:val="0"/>
          <w:numId w:val="4"/>
        </w:numPr>
        <w:jc w:val="both"/>
      </w:pPr>
      <w:r>
        <w:t>Plan estratégico y planes de actuación</w:t>
      </w:r>
    </w:p>
    <w:p w14:paraId="1BEB2297" w14:textId="64ED1DCE" w:rsidR="008E7B46" w:rsidRDefault="008E7B46" w:rsidP="008E7B46">
      <w:pPr>
        <w:pStyle w:val="Prrafodelista"/>
        <w:numPr>
          <w:ilvl w:val="0"/>
          <w:numId w:val="4"/>
        </w:numPr>
        <w:jc w:val="both"/>
      </w:pPr>
      <w:r>
        <w:t>Memoria de actividades del año anterior</w:t>
      </w:r>
    </w:p>
    <w:p w14:paraId="779D5527" w14:textId="240D9FDF" w:rsidR="008E7B46" w:rsidRDefault="008E7B46" w:rsidP="008E7B46">
      <w:pPr>
        <w:pStyle w:val="Prrafodelista"/>
        <w:numPr>
          <w:ilvl w:val="0"/>
          <w:numId w:val="4"/>
        </w:numPr>
        <w:jc w:val="both"/>
      </w:pPr>
      <w:r>
        <w:t>Presupuestos</w:t>
      </w:r>
      <w:r w:rsidR="0077026C">
        <w:t xml:space="preserve"> (2023 y 2024)</w:t>
      </w:r>
    </w:p>
    <w:p w14:paraId="026584F2" w14:textId="15C0E47E" w:rsidR="008E7B46" w:rsidRDefault="001E5D8F" w:rsidP="008E7B46">
      <w:pPr>
        <w:pStyle w:val="Prrafodelista"/>
        <w:numPr>
          <w:ilvl w:val="0"/>
          <w:numId w:val="4"/>
        </w:numPr>
        <w:jc w:val="both"/>
      </w:pPr>
      <w:r>
        <w:t>Cuentas anuales 2021</w:t>
      </w:r>
    </w:p>
    <w:p w14:paraId="4742C258" w14:textId="2EAAF342" w:rsidR="00703948" w:rsidRDefault="001E5D8F" w:rsidP="00B349EA">
      <w:pPr>
        <w:pStyle w:val="Prrafodelista"/>
        <w:numPr>
          <w:ilvl w:val="0"/>
          <w:numId w:val="4"/>
        </w:numPr>
        <w:jc w:val="both"/>
      </w:pPr>
      <w:r>
        <w:t>Cuantas anuales 2022</w:t>
      </w:r>
    </w:p>
    <w:sectPr w:rsidR="007039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33_"/>
      </v:shape>
    </w:pict>
  </w:numPicBullet>
  <w:abstractNum w:abstractNumId="0" w15:restartNumberingAfterBreak="0">
    <w:nsid w:val="15DC5149"/>
    <w:multiLevelType w:val="hybridMultilevel"/>
    <w:tmpl w:val="E5FC6FE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66C22FA"/>
    <w:multiLevelType w:val="hybridMultilevel"/>
    <w:tmpl w:val="287EDA10"/>
    <w:lvl w:ilvl="0" w:tplc="0C0A0003">
      <w:start w:val="1"/>
      <w:numFmt w:val="bullet"/>
      <w:lvlText w:val="o"/>
      <w:lvlJc w:val="left"/>
      <w:pPr>
        <w:ind w:left="1440" w:hanging="360"/>
      </w:pPr>
      <w:rPr>
        <w:rFonts w:ascii="Courier New" w:hAnsi="Courier New" w:cs="Courier New" w:hint="default"/>
        <w:color w:val="00B050"/>
      </w:rPr>
    </w:lvl>
    <w:lvl w:ilvl="1" w:tplc="E3421DD8">
      <w:start w:val="1"/>
      <w:numFmt w:val="bullet"/>
      <w:lvlText w:val="o"/>
      <w:lvlJc w:val="left"/>
      <w:pPr>
        <w:ind w:left="2160" w:hanging="360"/>
      </w:pPr>
      <w:rPr>
        <w:rFonts w:ascii="Courier New" w:hAnsi="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6E81115B"/>
    <w:multiLevelType w:val="hybridMultilevel"/>
    <w:tmpl w:val="1164A240"/>
    <w:lvl w:ilvl="0" w:tplc="2FE839CE">
      <w:start w:val="2"/>
      <w:numFmt w:val="bullet"/>
      <w:lvlText w:val="-"/>
      <w:lvlJc w:val="left"/>
      <w:pPr>
        <w:ind w:left="1080" w:hanging="360"/>
      </w:pPr>
      <w:rPr>
        <w:rFonts w:ascii="Century Gothic" w:eastAsiaTheme="minorHAnsi" w:hAnsi="Century Gothic"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5C"/>
    <w:rsid w:val="000E4F5C"/>
    <w:rsid w:val="001728AA"/>
    <w:rsid w:val="001E5D8F"/>
    <w:rsid w:val="005B2969"/>
    <w:rsid w:val="005D528D"/>
    <w:rsid w:val="00703948"/>
    <w:rsid w:val="0077026C"/>
    <w:rsid w:val="00773F70"/>
    <w:rsid w:val="008E7B46"/>
    <w:rsid w:val="00B11A73"/>
    <w:rsid w:val="00B349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22C1"/>
  <w15:chartTrackingRefBased/>
  <w15:docId w15:val="{C5977D58-5B79-4169-BA05-8F3AE8E6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3948"/>
    <w:pPr>
      <w:spacing w:after="0" w:line="240" w:lineRule="auto"/>
    </w:pPr>
    <w:rPr>
      <w:rFonts w:ascii="Century Gothic" w:hAnsi="Century Gothic"/>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delboletn">
    <w:name w:val="Cuerpo del boletín"/>
    <w:basedOn w:val="Normal"/>
    <w:qFormat/>
    <w:rsid w:val="00703948"/>
    <w:pPr>
      <w:spacing w:after="200"/>
      <w:jc w:val="both"/>
    </w:pPr>
    <w:rPr>
      <w:color w:val="000000"/>
    </w:rPr>
  </w:style>
  <w:style w:type="paragraph" w:styleId="Prrafodelista">
    <w:name w:val="List Paragraph"/>
    <w:basedOn w:val="Normal"/>
    <w:uiPriority w:val="34"/>
    <w:qFormat/>
    <w:rsid w:val="00703948"/>
    <w:pPr>
      <w:ind w:left="720"/>
      <w:contextualSpacing/>
    </w:pPr>
  </w:style>
  <w:style w:type="paragraph" w:styleId="Sinespaciado">
    <w:name w:val="No Spacing"/>
    <w:link w:val="SinespaciadoCar"/>
    <w:uiPriority w:val="1"/>
    <w:qFormat/>
    <w:rsid w:val="00703948"/>
    <w:pPr>
      <w:spacing w:after="0" w:line="240" w:lineRule="auto"/>
    </w:pPr>
  </w:style>
  <w:style w:type="character" w:customStyle="1" w:styleId="SinespaciadoCar">
    <w:name w:val="Sin espaciado Car"/>
    <w:basedOn w:val="Fuentedeprrafopredeter"/>
    <w:link w:val="Sinespaciado"/>
    <w:uiPriority w:val="1"/>
    <w:rsid w:val="00703948"/>
  </w:style>
  <w:style w:type="character" w:styleId="Hipervnculo">
    <w:name w:val="Hyperlink"/>
    <w:basedOn w:val="Fuentedeprrafopredeter"/>
    <w:uiPriority w:val="99"/>
    <w:unhideWhenUsed/>
    <w:rsid w:val="00B11A73"/>
    <w:rPr>
      <w:color w:val="0563C1" w:themeColor="hyperlink"/>
      <w:u w:val="single"/>
    </w:rPr>
  </w:style>
  <w:style w:type="character" w:styleId="Mencinsinresolver">
    <w:name w:val="Unresolved Mention"/>
    <w:basedOn w:val="Fuentedeprrafopredeter"/>
    <w:uiPriority w:val="99"/>
    <w:semiHidden/>
    <w:unhideWhenUsed/>
    <w:rsid w:val="00B11A73"/>
    <w:rPr>
      <w:color w:val="605E5C"/>
      <w:shd w:val="clear" w:color="auto" w:fill="E1DFDD"/>
    </w:rPr>
  </w:style>
  <w:style w:type="character" w:styleId="Hipervnculovisitado">
    <w:name w:val="FollowedHyperlink"/>
    <w:basedOn w:val="Fuentedeprrafopredeter"/>
    <w:uiPriority w:val="99"/>
    <w:semiHidden/>
    <w:unhideWhenUsed/>
    <w:rsid w:val="008E7B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imp.es/sedes/linea-de-la-concepc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UIMPCampodeGibraltar/?locale=es_ES" TargetMode="External"/><Relationship Id="rId5"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326</Words>
  <Characters>1795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Felicidad RodriguezSánchez</dc:creator>
  <cp:keywords/>
  <dc:description/>
  <cp:lastModifiedBy>Felicidad RodriguezSánchez</cp:lastModifiedBy>
  <cp:revision>15</cp:revision>
  <dcterms:created xsi:type="dcterms:W3CDTF">2024-04-19T09:39:00Z</dcterms:created>
  <dcterms:modified xsi:type="dcterms:W3CDTF">2024-04-19T10:20:00Z</dcterms:modified>
</cp:coreProperties>
</file>