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00000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" filled="f" stroked="f">
                <v:textbox inset=",7.2pt,,7.2pt">
                  <w:txbxContent>
                    <w:p w14:paraId="0CBE6B62" w14:textId="61547E57" w:rsidR="00EB68A3" w:rsidRDefault="0000000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1184C" w:rsidRDefault="0082470D"/>
    <w:p w14:paraId="00CD97DB" w14:textId="77777777" w:rsidR="0082470D" w:rsidRPr="00B1184C" w:rsidRDefault="0082470D"/>
    <w:p w14:paraId="6A476580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500DE180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3F90D66C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45D00841" w14:textId="77777777"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Default="00415DBD" w:rsidP="00415D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CB5511" w14:paraId="69022734" w14:textId="77777777" w:rsidTr="00623CFC">
        <w:tc>
          <w:tcPr>
            <w:tcW w:w="3625" w:type="dxa"/>
          </w:tcPr>
          <w:p w14:paraId="705ACB26" w14:textId="77777777" w:rsidR="00623CFC" w:rsidRPr="00E34195" w:rsidRDefault="00623CFC" w:rsidP="00B77E42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9668530" w:rsidR="00623CFC" w:rsidRPr="00CB5511" w:rsidRDefault="00537AFB" w:rsidP="00B77E42">
            <w:pPr>
              <w:rPr>
                <w:sz w:val="24"/>
              </w:rPr>
            </w:pPr>
            <w:r>
              <w:rPr>
                <w:sz w:val="24"/>
              </w:rPr>
              <w:t>Agencia de Información y Control Alimentario</w:t>
            </w:r>
            <w:r w:rsidR="00225D96">
              <w:rPr>
                <w:sz w:val="24"/>
              </w:rPr>
              <w:t xml:space="preserve"> (</w:t>
            </w:r>
            <w:r>
              <w:rPr>
                <w:sz w:val="24"/>
              </w:rPr>
              <w:t>AICA</w:t>
            </w:r>
            <w:r w:rsidR="00225D96">
              <w:rPr>
                <w:sz w:val="24"/>
              </w:rPr>
              <w:t>)</w:t>
            </w:r>
          </w:p>
        </w:tc>
      </w:tr>
      <w:tr w:rsidR="00623CFC" w:rsidRPr="00CB5511" w14:paraId="0EABDAFA" w14:textId="77777777" w:rsidTr="00623CFC">
        <w:tc>
          <w:tcPr>
            <w:tcW w:w="3625" w:type="dxa"/>
          </w:tcPr>
          <w:p w14:paraId="12A6D2F4" w14:textId="77777777" w:rsidR="00623CFC" w:rsidRPr="00E34195" w:rsidRDefault="00623CFC" w:rsidP="00B77E42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B7BFA80" w:rsidR="00623CFC" w:rsidRDefault="009A15A6" w:rsidP="00B77E42">
            <w:pPr>
              <w:rPr>
                <w:sz w:val="24"/>
              </w:rPr>
            </w:pPr>
            <w:r>
              <w:rPr>
                <w:sz w:val="24"/>
              </w:rPr>
              <w:t>28/02/2024</w:t>
            </w:r>
          </w:p>
          <w:p w14:paraId="4B837EFF" w14:textId="47A78C4C" w:rsidR="00623CFC" w:rsidRPr="00CB5511" w:rsidRDefault="00623CFC" w:rsidP="00B77E42">
            <w:pPr>
              <w:rPr>
                <w:sz w:val="24"/>
              </w:rPr>
            </w:pPr>
            <w:r>
              <w:rPr>
                <w:sz w:val="24"/>
              </w:rPr>
              <w:t xml:space="preserve">Segunda revisión: </w:t>
            </w:r>
            <w:r w:rsidR="00FA6255">
              <w:rPr>
                <w:sz w:val="24"/>
              </w:rPr>
              <w:t>19/03/2024</w:t>
            </w:r>
          </w:p>
        </w:tc>
      </w:tr>
    </w:tbl>
    <w:p w14:paraId="460832EE" w14:textId="77777777" w:rsidR="00623CFC" w:rsidRDefault="00623CFC" w:rsidP="00415DBD"/>
    <w:p w14:paraId="5C6C9FDA" w14:textId="77777777" w:rsidR="00623CFC" w:rsidRPr="00B1184C" w:rsidRDefault="00623CFC" w:rsidP="00415DBD"/>
    <w:p w14:paraId="2A8B3BDC" w14:textId="77777777" w:rsidR="0082470D" w:rsidRPr="002D27E4" w:rsidRDefault="0000000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1184C" w:rsidRDefault="0082470D" w:rsidP="0082470D">
      <w:pPr>
        <w:rPr>
          <w:rFonts w:ascii="Arial" w:hAnsi="Arial"/>
        </w:rPr>
      </w:pPr>
    </w:p>
    <w:p w14:paraId="79FB20F4" w14:textId="77777777"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6"/>
        <w:gridCol w:w="1758"/>
        <w:gridCol w:w="404"/>
        <w:gridCol w:w="6908"/>
      </w:tblGrid>
      <w:tr w:rsidR="00A249BB" w:rsidRPr="007465AA" w14:paraId="20B915EC" w14:textId="77777777" w:rsidTr="005019BE">
        <w:trPr>
          <w:tblHeader/>
        </w:trPr>
        <w:tc>
          <w:tcPr>
            <w:tcW w:w="1386" w:type="dxa"/>
            <w:shd w:val="clear" w:color="auto" w:fill="008A3E"/>
          </w:tcPr>
          <w:p w14:paraId="322C3903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2162" w:type="dxa"/>
            <w:gridSpan w:val="2"/>
            <w:shd w:val="clear" w:color="auto" w:fill="008A3E"/>
          </w:tcPr>
          <w:p w14:paraId="6593F20B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6908" w:type="dxa"/>
            <w:shd w:val="clear" w:color="auto" w:fill="008A3E"/>
          </w:tcPr>
          <w:p w14:paraId="77B9748C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7465AA" w14:paraId="4E526B9A" w14:textId="77777777" w:rsidTr="005019BE">
        <w:tc>
          <w:tcPr>
            <w:tcW w:w="1386" w:type="dxa"/>
            <w:vMerge w:val="restart"/>
            <w:vAlign w:val="center"/>
          </w:tcPr>
          <w:p w14:paraId="778ACA55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1758" w:type="dxa"/>
          </w:tcPr>
          <w:p w14:paraId="228129A6" w14:textId="77777777" w:rsidR="00D77D83" w:rsidRPr="00FF15FB" w:rsidRDefault="00D77D83" w:rsidP="002E1A55">
            <w:pPr>
              <w:rPr>
                <w:sz w:val="18"/>
                <w:szCs w:val="18"/>
              </w:rPr>
            </w:pPr>
            <w:r w:rsidRPr="00FF15FB">
              <w:rPr>
                <w:sz w:val="18"/>
                <w:szCs w:val="18"/>
              </w:rPr>
              <w:t>Portal de Transparencia</w:t>
            </w:r>
          </w:p>
        </w:tc>
        <w:tc>
          <w:tcPr>
            <w:tcW w:w="404" w:type="dxa"/>
            <w:vAlign w:val="center"/>
          </w:tcPr>
          <w:p w14:paraId="50278811" w14:textId="1A8993BE" w:rsidR="00D77D83" w:rsidRPr="00FF15FB" w:rsidRDefault="009B7998" w:rsidP="005D4D3C">
            <w:pPr>
              <w:jc w:val="center"/>
              <w:rPr>
                <w:sz w:val="18"/>
                <w:szCs w:val="18"/>
              </w:rPr>
            </w:pPr>
            <w:r w:rsidRPr="00FF15F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305526C8" w14:textId="211E0607" w:rsidR="00D77D83" w:rsidRPr="000147B1" w:rsidRDefault="00D77D83" w:rsidP="00FA6255">
            <w:pPr>
              <w:jc w:val="both"/>
              <w:rPr>
                <w:sz w:val="18"/>
                <w:szCs w:val="18"/>
              </w:rPr>
            </w:pPr>
          </w:p>
          <w:p w14:paraId="179BC7F3" w14:textId="732F7C36" w:rsidR="00FF15FB" w:rsidRPr="000147B1" w:rsidRDefault="00FF15FB" w:rsidP="00FA6255">
            <w:pPr>
              <w:jc w:val="both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elaborará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D77D83" w:rsidRPr="007465AA" w14:paraId="57F659DE" w14:textId="77777777" w:rsidTr="005019BE">
        <w:tc>
          <w:tcPr>
            <w:tcW w:w="1386" w:type="dxa"/>
            <w:vMerge/>
          </w:tcPr>
          <w:p w14:paraId="4AF6C0DF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77520140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404" w:type="dxa"/>
            <w:vAlign w:val="center"/>
          </w:tcPr>
          <w:p w14:paraId="2006F714" w14:textId="77777777" w:rsidR="00D77D83" w:rsidRPr="007465AA" w:rsidRDefault="00D77D83" w:rsidP="005D4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46417370" w14:textId="77777777" w:rsidR="00D77D83" w:rsidRPr="000147B1" w:rsidRDefault="00D77D83" w:rsidP="002E1A55">
            <w:pPr>
              <w:rPr>
                <w:sz w:val="18"/>
                <w:szCs w:val="18"/>
              </w:rPr>
            </w:pPr>
          </w:p>
        </w:tc>
      </w:tr>
      <w:tr w:rsidR="00D77D83" w:rsidRPr="007465AA" w14:paraId="27402B8A" w14:textId="77777777" w:rsidTr="005019BE">
        <w:tc>
          <w:tcPr>
            <w:tcW w:w="1386" w:type="dxa"/>
            <w:vMerge/>
          </w:tcPr>
          <w:p w14:paraId="20E26CBF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29729FB9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404" w:type="dxa"/>
            <w:vAlign w:val="center"/>
          </w:tcPr>
          <w:p w14:paraId="2D6648DC" w14:textId="54891FA9" w:rsidR="00D77D83" w:rsidRPr="00537AFB" w:rsidRDefault="00D77D83" w:rsidP="00537AFB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4805F2CB" w14:textId="6D10893B" w:rsidR="00D77D83" w:rsidRPr="000147B1" w:rsidRDefault="00D77D83" w:rsidP="002E1A55">
            <w:pPr>
              <w:rPr>
                <w:sz w:val="18"/>
                <w:szCs w:val="18"/>
              </w:rPr>
            </w:pPr>
          </w:p>
        </w:tc>
      </w:tr>
      <w:tr w:rsidR="00D77D83" w:rsidRPr="007465AA" w14:paraId="7F1C0DEC" w14:textId="77777777" w:rsidTr="005019BE">
        <w:trPr>
          <w:trHeight w:val="451"/>
        </w:trPr>
        <w:tc>
          <w:tcPr>
            <w:tcW w:w="1386" w:type="dxa"/>
            <w:vMerge/>
          </w:tcPr>
          <w:p w14:paraId="63D32625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366B518D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404" w:type="dxa"/>
            <w:vAlign w:val="center"/>
          </w:tcPr>
          <w:p w14:paraId="4E246E94" w14:textId="1E85A52D" w:rsidR="00D77D83" w:rsidRPr="005D4D3C" w:rsidRDefault="00D77D83" w:rsidP="005D4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66B3143B" w14:textId="2E6D93F2" w:rsidR="00D77D83" w:rsidRPr="000147B1" w:rsidRDefault="00D77D83" w:rsidP="002E1A55">
            <w:pPr>
              <w:rPr>
                <w:sz w:val="18"/>
                <w:szCs w:val="18"/>
              </w:rPr>
            </w:pPr>
          </w:p>
        </w:tc>
      </w:tr>
      <w:tr w:rsidR="005019BE" w:rsidRPr="007465AA" w14:paraId="25FD81B6" w14:textId="77777777" w:rsidTr="005019BE">
        <w:trPr>
          <w:trHeight w:val="263"/>
        </w:trPr>
        <w:tc>
          <w:tcPr>
            <w:tcW w:w="1386" w:type="dxa"/>
            <w:vMerge w:val="restart"/>
            <w:vAlign w:val="center"/>
          </w:tcPr>
          <w:p w14:paraId="00C65C61" w14:textId="77D313E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1758" w:type="dxa"/>
          </w:tcPr>
          <w:p w14:paraId="54D2B6E0" w14:textId="5643589F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Normativa aplicable: completar información</w:t>
            </w:r>
          </w:p>
        </w:tc>
        <w:tc>
          <w:tcPr>
            <w:tcW w:w="404" w:type="dxa"/>
          </w:tcPr>
          <w:p w14:paraId="32BE8DB6" w14:textId="081E7B7B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534F585B" w14:textId="5382C9E0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7F8723A8" w14:textId="77777777" w:rsidTr="005019BE">
        <w:tc>
          <w:tcPr>
            <w:tcW w:w="1386" w:type="dxa"/>
            <w:vMerge/>
            <w:vAlign w:val="center"/>
          </w:tcPr>
          <w:p w14:paraId="39CCF68C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071B1C00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Funciones</w:t>
            </w:r>
          </w:p>
        </w:tc>
        <w:tc>
          <w:tcPr>
            <w:tcW w:w="404" w:type="dxa"/>
          </w:tcPr>
          <w:p w14:paraId="360DD5E3" w14:textId="77777777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4BD32D8C" w14:textId="18CA4DDA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3E7A1C26" w14:textId="77777777" w:rsidTr="005019BE">
        <w:tc>
          <w:tcPr>
            <w:tcW w:w="1386" w:type="dxa"/>
            <w:vMerge/>
            <w:vAlign w:val="center"/>
          </w:tcPr>
          <w:p w14:paraId="7E6FCF06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22662812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404" w:type="dxa"/>
          </w:tcPr>
          <w:p w14:paraId="441BFD00" w14:textId="77777777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00C5C744" w14:textId="7411E3D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5188F761" w14:textId="77777777" w:rsidTr="005019BE">
        <w:tc>
          <w:tcPr>
            <w:tcW w:w="1386" w:type="dxa"/>
            <w:vMerge/>
            <w:vAlign w:val="center"/>
          </w:tcPr>
          <w:p w14:paraId="6D96AA3B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480D893A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404" w:type="dxa"/>
          </w:tcPr>
          <w:p w14:paraId="4A565035" w14:textId="7D119627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6C4FEECC" w14:textId="02D72C0C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0E100D74" w14:textId="77777777" w:rsidTr="005019BE">
        <w:tc>
          <w:tcPr>
            <w:tcW w:w="1386" w:type="dxa"/>
            <w:vMerge/>
            <w:vAlign w:val="center"/>
          </w:tcPr>
          <w:p w14:paraId="0E87140A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6F188844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Organigrama</w:t>
            </w:r>
          </w:p>
        </w:tc>
        <w:tc>
          <w:tcPr>
            <w:tcW w:w="404" w:type="dxa"/>
          </w:tcPr>
          <w:p w14:paraId="1B30813B" w14:textId="760110F2" w:rsidR="005019BE" w:rsidRPr="00B87AA0" w:rsidRDefault="005019BE" w:rsidP="005019BE">
            <w:pPr>
              <w:jc w:val="center"/>
              <w:rPr>
                <w:sz w:val="18"/>
                <w:szCs w:val="18"/>
              </w:rPr>
            </w:pPr>
            <w:r w:rsidRPr="00B87AA0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2EDA76E5" w14:textId="28A3CC64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03D79CE5" w14:textId="77777777" w:rsidTr="005019BE">
        <w:tc>
          <w:tcPr>
            <w:tcW w:w="1386" w:type="dxa"/>
            <w:vMerge/>
            <w:vAlign w:val="center"/>
          </w:tcPr>
          <w:p w14:paraId="18E0E1F3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0648F3B5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</w:p>
        </w:tc>
        <w:tc>
          <w:tcPr>
            <w:tcW w:w="404" w:type="dxa"/>
          </w:tcPr>
          <w:p w14:paraId="37BA24B8" w14:textId="4AF43015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9B7998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7B1F88FF" w14:textId="006E28ED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</w:tr>
      <w:tr w:rsidR="005019BE" w:rsidRPr="007465AA" w14:paraId="01720E37" w14:textId="77777777" w:rsidTr="005019BE">
        <w:tc>
          <w:tcPr>
            <w:tcW w:w="1386" w:type="dxa"/>
            <w:vMerge/>
            <w:vAlign w:val="center"/>
          </w:tcPr>
          <w:p w14:paraId="01AAB338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0CAA1D66" w14:textId="0D07A274" w:rsidR="005019BE" w:rsidRPr="007465AA" w:rsidRDefault="005019BE" w:rsidP="00501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Perfil y trayectoria </w:t>
            </w:r>
            <w:r>
              <w:rPr>
                <w:sz w:val="18"/>
                <w:szCs w:val="18"/>
              </w:rPr>
              <w:lastRenderedPageBreak/>
              <w:t>profesional de los máximos responsables</w:t>
            </w:r>
          </w:p>
        </w:tc>
        <w:tc>
          <w:tcPr>
            <w:tcW w:w="404" w:type="dxa"/>
          </w:tcPr>
          <w:p w14:paraId="7536926B" w14:textId="3ED5B894" w:rsidR="005019BE" w:rsidRPr="000F410E" w:rsidRDefault="005019BE" w:rsidP="005019BE">
            <w:pPr>
              <w:jc w:val="center"/>
              <w:rPr>
                <w:sz w:val="18"/>
                <w:szCs w:val="18"/>
              </w:rPr>
            </w:pPr>
            <w:r w:rsidRPr="009B7998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908" w:type="dxa"/>
          </w:tcPr>
          <w:p w14:paraId="499C04D4" w14:textId="47CABE9B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7C1D17D4" w14:textId="77777777" w:rsidTr="005019BE">
        <w:tc>
          <w:tcPr>
            <w:tcW w:w="1386" w:type="dxa"/>
            <w:vMerge/>
            <w:vAlign w:val="center"/>
          </w:tcPr>
          <w:p w14:paraId="0F97F540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53A8649A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404" w:type="dxa"/>
          </w:tcPr>
          <w:p w14:paraId="7E2850CE" w14:textId="22D32474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6BB0E3B9" w14:textId="22EC0F9F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Si los hubiera, se incluirán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0EA6C8C5" w14:textId="77777777" w:rsidTr="005019BE">
        <w:tc>
          <w:tcPr>
            <w:tcW w:w="1386" w:type="dxa"/>
            <w:vMerge/>
            <w:vAlign w:val="center"/>
          </w:tcPr>
          <w:p w14:paraId="03282850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369F4820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404" w:type="dxa"/>
          </w:tcPr>
          <w:p w14:paraId="179EBCE9" w14:textId="0659ACB9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3FC1F37D" w14:textId="4CF901F1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Si los hubiera, se incluirán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6338E894" w14:textId="77777777" w:rsidTr="005019BE">
        <w:tc>
          <w:tcPr>
            <w:tcW w:w="1386" w:type="dxa"/>
            <w:vMerge/>
            <w:vAlign w:val="center"/>
          </w:tcPr>
          <w:p w14:paraId="2F70F68C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1BAF2F8E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404" w:type="dxa"/>
          </w:tcPr>
          <w:p w14:paraId="2AC01422" w14:textId="7D539277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25D12303" w14:textId="4829CB55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Si los hubiera, se incluirán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77FDFB7D" w14:textId="77777777" w:rsidTr="005019BE">
        <w:tc>
          <w:tcPr>
            <w:tcW w:w="1386" w:type="dxa"/>
            <w:vMerge/>
            <w:vAlign w:val="center"/>
          </w:tcPr>
          <w:p w14:paraId="193F6257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2FAC5EA6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404" w:type="dxa"/>
          </w:tcPr>
          <w:p w14:paraId="02B7E53E" w14:textId="20F7D560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63E23451" w14:textId="1074FBAC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Si los hubiera, se incluirán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370980B3" w14:textId="77777777" w:rsidTr="005019BE">
        <w:tc>
          <w:tcPr>
            <w:tcW w:w="1386" w:type="dxa"/>
            <w:vMerge/>
            <w:vAlign w:val="center"/>
          </w:tcPr>
          <w:p w14:paraId="65A5E91D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28ECDD5F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>Documentos sometidos a informa</w:t>
            </w:r>
            <w:r>
              <w:rPr>
                <w:sz w:val="18"/>
                <w:szCs w:val="18"/>
              </w:rPr>
              <w:t>ción pública</w:t>
            </w:r>
          </w:p>
        </w:tc>
        <w:tc>
          <w:tcPr>
            <w:tcW w:w="404" w:type="dxa"/>
          </w:tcPr>
          <w:p w14:paraId="21F54534" w14:textId="435F3794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596C9E80" w14:textId="235DD88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</w:tr>
      <w:tr w:rsidR="005019BE" w:rsidRPr="007465AA" w14:paraId="21918000" w14:textId="77777777" w:rsidTr="005019BE">
        <w:tc>
          <w:tcPr>
            <w:tcW w:w="1386" w:type="dxa"/>
            <w:vMerge/>
            <w:vAlign w:val="center"/>
          </w:tcPr>
          <w:p w14:paraId="029B1199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11FEC166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404" w:type="dxa"/>
          </w:tcPr>
          <w:p w14:paraId="754E1CFA" w14:textId="70586B37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1C46BAFE" w14:textId="77777777" w:rsidR="005019BE" w:rsidRPr="000147B1" w:rsidRDefault="005019BE" w:rsidP="005019BE">
            <w:pPr>
              <w:jc w:val="both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No. El acceso AICA/Perfil del contratante abre una página que contiene dos enlaces, a la Resolución por la que se crea la Mesa de Contratación y al Plan de contratación. No se enlaza al perfil del contratante de AICA en la PCSP.</w:t>
            </w:r>
          </w:p>
          <w:p w14:paraId="52348041" w14:textId="77777777" w:rsidR="005019BE" w:rsidRPr="000147B1" w:rsidRDefault="005019BE" w:rsidP="005019BE">
            <w:pPr>
              <w:jc w:val="both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Se incorporará el enlace del perfil del contratante de la AICA en la PCSP:</w:t>
            </w:r>
          </w:p>
          <w:p w14:paraId="5273D3C7" w14:textId="0577C96D" w:rsidR="005019BE" w:rsidRPr="000147B1" w:rsidRDefault="005019BE" w:rsidP="005019BE">
            <w:pPr>
              <w:jc w:val="both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https://contrataciondelestado.es/wps/</w:t>
            </w:r>
          </w:p>
          <w:p w14:paraId="3C88F432" w14:textId="77777777" w:rsidR="005019BE" w:rsidRPr="000147B1" w:rsidRDefault="005019BE" w:rsidP="005019BE">
            <w:pPr>
              <w:jc w:val="both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poc?uri=deeplink%3AperfilContratante&amp;idBp=0HLxD9%2BftQCiEJrVRqloyA%3D%3D</w:t>
            </w:r>
          </w:p>
          <w:p w14:paraId="50BA9922" w14:textId="63EB886E" w:rsidR="005019BE" w:rsidRPr="000147B1" w:rsidRDefault="005019BE" w:rsidP="005019BE">
            <w:pPr>
              <w:jc w:val="both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Y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7E530259" w14:textId="77777777" w:rsidTr="005019BE">
        <w:tc>
          <w:tcPr>
            <w:tcW w:w="1386" w:type="dxa"/>
            <w:vMerge/>
            <w:vAlign w:val="center"/>
          </w:tcPr>
          <w:p w14:paraId="65E840E3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1A0E29D8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404" w:type="dxa"/>
          </w:tcPr>
          <w:p w14:paraId="2C681418" w14:textId="6B533B45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2FD7A148" w14:textId="2EC0E531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60CA308C" w14:textId="77777777" w:rsidTr="005019BE">
        <w:tc>
          <w:tcPr>
            <w:tcW w:w="1386" w:type="dxa"/>
            <w:vMerge/>
            <w:vAlign w:val="center"/>
          </w:tcPr>
          <w:p w14:paraId="518DFD34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4F378AE2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404" w:type="dxa"/>
          </w:tcPr>
          <w:p w14:paraId="20D7D586" w14:textId="214AE618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13272BDB" w14:textId="624889D8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</w:tr>
      <w:tr w:rsidR="005019BE" w:rsidRPr="007465AA" w14:paraId="6CC992DC" w14:textId="77777777" w:rsidTr="005019BE">
        <w:tc>
          <w:tcPr>
            <w:tcW w:w="1386" w:type="dxa"/>
            <w:vMerge/>
            <w:vAlign w:val="center"/>
          </w:tcPr>
          <w:p w14:paraId="47B54958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10CB90AF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404" w:type="dxa"/>
          </w:tcPr>
          <w:p w14:paraId="6C7A49A3" w14:textId="68205C97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2A67D7AB" w14:textId="3226253D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5D8E0EF9" w14:textId="77777777" w:rsidTr="005019BE">
        <w:tc>
          <w:tcPr>
            <w:tcW w:w="1386" w:type="dxa"/>
            <w:vMerge/>
            <w:vAlign w:val="center"/>
          </w:tcPr>
          <w:p w14:paraId="73883C6F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4C835A25" w14:textId="35660924" w:rsidR="005019BE" w:rsidRPr="007465AA" w:rsidRDefault="005019BE" w:rsidP="00501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estadísticos de contratación de PYMES</w:t>
            </w:r>
          </w:p>
        </w:tc>
        <w:tc>
          <w:tcPr>
            <w:tcW w:w="404" w:type="dxa"/>
          </w:tcPr>
          <w:p w14:paraId="662625F7" w14:textId="04C5C8FA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608B5D7B" w14:textId="67F3D35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6E029383" w14:textId="77777777" w:rsidTr="005019BE">
        <w:tc>
          <w:tcPr>
            <w:tcW w:w="1386" w:type="dxa"/>
            <w:vMerge/>
            <w:vAlign w:val="center"/>
          </w:tcPr>
          <w:p w14:paraId="0C13F6AA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74EA8B3B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 Menores</w:t>
            </w:r>
          </w:p>
        </w:tc>
        <w:tc>
          <w:tcPr>
            <w:tcW w:w="404" w:type="dxa"/>
          </w:tcPr>
          <w:p w14:paraId="64EC4E78" w14:textId="6B9EF259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8476EB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5E2EF261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 La información sobre contratos se encuentran incorporados en la PCSP, así como en el correspondiente apartado del Portal de Transparencia.</w:t>
            </w:r>
          </w:p>
          <w:p w14:paraId="588B2B22" w14:textId="4A156222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6E9F2F8F" w14:textId="77777777" w:rsidTr="005019BE">
        <w:tc>
          <w:tcPr>
            <w:tcW w:w="1386" w:type="dxa"/>
            <w:vMerge/>
            <w:vAlign w:val="center"/>
          </w:tcPr>
          <w:p w14:paraId="73E1F276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3E1F8C08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404" w:type="dxa"/>
          </w:tcPr>
          <w:p w14:paraId="5B4BEFCA" w14:textId="7BE6628F" w:rsidR="005019BE" w:rsidRPr="008476EB" w:rsidRDefault="005019BE" w:rsidP="005019BE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0B3AECE8" w14:textId="55D2DB64" w:rsidR="005019BE" w:rsidRPr="000147B1" w:rsidRDefault="005019BE" w:rsidP="005019BE">
            <w:pPr>
              <w:jc w:val="both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Sí, a través del acceso AICA/Legislación, se localizan diversos convenios con Comunidades Autónomas. Todos los convenios son convenios de encomienda de gestión de las CCAA a AICA. </w:t>
            </w:r>
          </w:p>
        </w:tc>
      </w:tr>
      <w:tr w:rsidR="005019BE" w:rsidRPr="007465AA" w14:paraId="3F1DD625" w14:textId="77777777" w:rsidTr="005019BE">
        <w:tc>
          <w:tcPr>
            <w:tcW w:w="1386" w:type="dxa"/>
            <w:vMerge/>
            <w:vAlign w:val="center"/>
          </w:tcPr>
          <w:p w14:paraId="6BF07263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02614079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</w:t>
            </w:r>
          </w:p>
        </w:tc>
        <w:tc>
          <w:tcPr>
            <w:tcW w:w="404" w:type="dxa"/>
          </w:tcPr>
          <w:p w14:paraId="67F302D9" w14:textId="506011AB" w:rsidR="005019BE" w:rsidRPr="00D671B7" w:rsidRDefault="005019BE" w:rsidP="005019BE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70C13512" w14:textId="0D16676C" w:rsidR="005019BE" w:rsidRPr="000147B1" w:rsidRDefault="005019BE" w:rsidP="005019BE">
            <w:pPr>
              <w:jc w:val="both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Sí. A la vista de la información publicada en relación con los convenios, se considera no aplicable la obligación, dado que AICA es el organismo receptor de las encomiendas de gestión.</w:t>
            </w:r>
          </w:p>
        </w:tc>
      </w:tr>
      <w:tr w:rsidR="005019BE" w:rsidRPr="007465AA" w14:paraId="5B009B82" w14:textId="77777777" w:rsidTr="005019BE">
        <w:tc>
          <w:tcPr>
            <w:tcW w:w="1386" w:type="dxa"/>
            <w:vMerge/>
            <w:vAlign w:val="center"/>
          </w:tcPr>
          <w:p w14:paraId="76AD24C7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6B68D03D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Subcontrataciones derivadas de encomiendas</w:t>
            </w:r>
          </w:p>
        </w:tc>
        <w:tc>
          <w:tcPr>
            <w:tcW w:w="404" w:type="dxa"/>
          </w:tcPr>
          <w:p w14:paraId="2F09AE5F" w14:textId="1092A192" w:rsidR="005019BE" w:rsidRPr="00D671B7" w:rsidRDefault="005019BE" w:rsidP="005019BE">
            <w:pPr>
              <w:pStyle w:val="Prrafodelista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21732FE1" w14:textId="662D83CC" w:rsidR="005019BE" w:rsidRPr="000147B1" w:rsidRDefault="005019BE" w:rsidP="005019BE">
            <w:pPr>
              <w:jc w:val="both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Sí. A la vista de la información publicada en relación con los convenios, se considera no aplicable la obligación, dado que AICA es el organismo receptor de las encomiendas de gestión.</w:t>
            </w:r>
          </w:p>
        </w:tc>
      </w:tr>
      <w:tr w:rsidR="005019BE" w:rsidRPr="007465AA" w14:paraId="4E136257" w14:textId="77777777" w:rsidTr="005019BE">
        <w:tc>
          <w:tcPr>
            <w:tcW w:w="1386" w:type="dxa"/>
            <w:vMerge/>
            <w:vAlign w:val="center"/>
          </w:tcPr>
          <w:p w14:paraId="415AC316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51FAFC4E" w14:textId="3549E058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>
              <w:rPr>
                <w:sz w:val="18"/>
                <w:szCs w:val="18"/>
              </w:rPr>
              <w:t>y ayudas públicas</w:t>
            </w:r>
          </w:p>
        </w:tc>
        <w:tc>
          <w:tcPr>
            <w:tcW w:w="404" w:type="dxa"/>
          </w:tcPr>
          <w:p w14:paraId="24AE29F5" w14:textId="21236118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D671B7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2BAC10DB" w14:textId="3812EF1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No. AICA no da subvenciones. No está dentro de sus funciones</w:t>
            </w:r>
          </w:p>
          <w:p w14:paraId="488C6BE1" w14:textId="496B208B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</w:tr>
      <w:tr w:rsidR="005019BE" w:rsidRPr="007465AA" w14:paraId="48BA35CC" w14:textId="77777777" w:rsidTr="005019BE">
        <w:tc>
          <w:tcPr>
            <w:tcW w:w="1386" w:type="dxa"/>
            <w:vMerge/>
            <w:vAlign w:val="center"/>
          </w:tcPr>
          <w:p w14:paraId="58B08802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075E9DDB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404" w:type="dxa"/>
          </w:tcPr>
          <w:p w14:paraId="53DA87F7" w14:textId="601EB8A4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D671B7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019EEB6C" w14:textId="4BB2D199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5AD8D378" w14:textId="77777777" w:rsidTr="005019BE">
        <w:tc>
          <w:tcPr>
            <w:tcW w:w="1386" w:type="dxa"/>
            <w:vMerge/>
            <w:vAlign w:val="center"/>
          </w:tcPr>
          <w:p w14:paraId="2AAEA95B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09A3C9A0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404" w:type="dxa"/>
          </w:tcPr>
          <w:p w14:paraId="6B7AB020" w14:textId="772145C7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D671B7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5CC3B3E2" w14:textId="636452A3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7465AA" w14:paraId="1A7F527C" w14:textId="77777777" w:rsidTr="005019BE">
        <w:tc>
          <w:tcPr>
            <w:tcW w:w="1386" w:type="dxa"/>
            <w:vMerge/>
            <w:vAlign w:val="center"/>
          </w:tcPr>
          <w:p w14:paraId="4B3591C9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6126BB23" w14:textId="77777777" w:rsidR="005019BE" w:rsidRPr="007465AA" w:rsidRDefault="005019BE" w:rsidP="005019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404" w:type="dxa"/>
          </w:tcPr>
          <w:p w14:paraId="25E615DE" w14:textId="66BCA9F8" w:rsidR="005019BE" w:rsidRPr="007465AA" w:rsidRDefault="005019BE" w:rsidP="005019BE">
            <w:pPr>
              <w:jc w:val="center"/>
              <w:rPr>
                <w:sz w:val="18"/>
                <w:szCs w:val="18"/>
              </w:rPr>
            </w:pPr>
            <w:r w:rsidRPr="00D671B7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7D5454CE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 -</w:t>
            </w:r>
            <w:r w:rsidRPr="000147B1">
              <w:t xml:space="preserve"> </w:t>
            </w:r>
            <w:r w:rsidRPr="000147B1">
              <w:rPr>
                <w:sz w:val="18"/>
                <w:szCs w:val="18"/>
              </w:rPr>
              <w:t>Las cuentas anuales completas y el informe de auditoría de cuentas están disponibles en la página web de la AICA, así como en el BOE.</w:t>
            </w:r>
          </w:p>
          <w:p w14:paraId="06E1AB8F" w14:textId="27465388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0147B1" w14:paraId="77D5A25D" w14:textId="77777777" w:rsidTr="005019BE">
        <w:tc>
          <w:tcPr>
            <w:tcW w:w="1386" w:type="dxa"/>
            <w:vMerge/>
            <w:vAlign w:val="center"/>
          </w:tcPr>
          <w:p w14:paraId="218C281B" w14:textId="77777777" w:rsidR="005019BE" w:rsidRPr="007465AA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18EB4B1C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404" w:type="dxa"/>
          </w:tcPr>
          <w:p w14:paraId="15AD2699" w14:textId="788187A2" w:rsidR="005019BE" w:rsidRPr="000147B1" w:rsidRDefault="005019BE" w:rsidP="005019BE">
            <w:pPr>
              <w:jc w:val="center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0EBD125D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 - Las cuentas anuales completas y el informe de auditoría de cuentas están disponibles en la página web de la AICA, así como en el BOE.</w:t>
            </w:r>
          </w:p>
          <w:p w14:paraId="2EAE829E" w14:textId="067620D4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0147B1" w14:paraId="1EA39982" w14:textId="77777777" w:rsidTr="005019BE">
        <w:tc>
          <w:tcPr>
            <w:tcW w:w="1386" w:type="dxa"/>
            <w:vMerge/>
            <w:vAlign w:val="center"/>
          </w:tcPr>
          <w:p w14:paraId="59C2C81D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2083E3F8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404" w:type="dxa"/>
          </w:tcPr>
          <w:p w14:paraId="7ECD55FD" w14:textId="745CD90B" w:rsidR="005019BE" w:rsidRPr="000147B1" w:rsidRDefault="005019BE" w:rsidP="005019BE">
            <w:pPr>
              <w:jc w:val="center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3A5CE3A1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 – Se encuentra publicado en el BOE a través de la Resolución de 7 de julio de 2019, de la Subsecretaría (BOE 15/07/2019), y la resolución de la convocatoria de libre designación, anunciada por Resolución de 29 de mayo de 2019 (BOE 1/06/2019).</w:t>
            </w:r>
          </w:p>
          <w:p w14:paraId="2668D441" w14:textId="18957454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0147B1" w14:paraId="237143E8" w14:textId="77777777" w:rsidTr="005019BE">
        <w:tc>
          <w:tcPr>
            <w:tcW w:w="1386" w:type="dxa"/>
            <w:vMerge/>
            <w:vAlign w:val="center"/>
          </w:tcPr>
          <w:p w14:paraId="0544C62E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3A737DCC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404" w:type="dxa"/>
          </w:tcPr>
          <w:p w14:paraId="7BADBF97" w14:textId="67D37723" w:rsidR="005019BE" w:rsidRPr="000147B1" w:rsidRDefault="005019BE" w:rsidP="005019BE">
            <w:pPr>
              <w:jc w:val="center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539C04CE" w14:textId="056D7EC2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 -No procede, la persona que ejerce la dirección de la Agencia de Información y Control Alimentarios, O.A., tiene rango de Subdirector General (art. 5. RD 227/2014), por tanto, no tiene la condición de alto cargo.</w:t>
            </w:r>
          </w:p>
        </w:tc>
      </w:tr>
      <w:tr w:rsidR="005019BE" w:rsidRPr="000147B1" w14:paraId="406221E7" w14:textId="77777777" w:rsidTr="005019BE">
        <w:tc>
          <w:tcPr>
            <w:tcW w:w="1386" w:type="dxa"/>
            <w:vMerge/>
            <w:vAlign w:val="center"/>
          </w:tcPr>
          <w:p w14:paraId="4B46D26E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770393CF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404" w:type="dxa"/>
          </w:tcPr>
          <w:p w14:paraId="5F4A61D6" w14:textId="113BB151" w:rsidR="005019BE" w:rsidRPr="000147B1" w:rsidRDefault="005019BE" w:rsidP="005019BE">
            <w:pPr>
              <w:jc w:val="center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7E8A8E62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No </w:t>
            </w:r>
          </w:p>
          <w:p w14:paraId="26680547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 procede. La compatibilidad con actividad privada compete al Ministerio de Transformación Digital y Función Pública.</w:t>
            </w:r>
          </w:p>
          <w:p w14:paraId="43982F7A" w14:textId="6B3852E4" w:rsidR="005019BE" w:rsidRPr="000147B1" w:rsidRDefault="005019BE" w:rsidP="005019BE">
            <w:pPr>
              <w:pStyle w:val="Sinespaciado"/>
              <w:spacing w:line="276" w:lineRule="auto"/>
              <w:ind w:left="2160"/>
              <w:jc w:val="both"/>
              <w:rPr>
                <w:sz w:val="18"/>
                <w:szCs w:val="18"/>
              </w:rPr>
            </w:pPr>
          </w:p>
        </w:tc>
      </w:tr>
      <w:tr w:rsidR="005019BE" w:rsidRPr="000147B1" w14:paraId="707312F6" w14:textId="77777777" w:rsidTr="005019BE">
        <w:tc>
          <w:tcPr>
            <w:tcW w:w="1386" w:type="dxa"/>
            <w:vMerge/>
            <w:vAlign w:val="center"/>
          </w:tcPr>
          <w:p w14:paraId="7B13A18D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3B299788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404" w:type="dxa"/>
          </w:tcPr>
          <w:p w14:paraId="45A7193E" w14:textId="66007680" w:rsidR="005019BE" w:rsidRPr="000147B1" w:rsidRDefault="005019BE" w:rsidP="005019BE">
            <w:pPr>
              <w:jc w:val="center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6D8BF8CD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 – No procede, la persona que ejerce la dirección de la Agencia de Información y Control Alimentarios, O.A., tiene rango de Subdirector General (art. 5. RD 227/2014), por tanto, no tiene la condición de alto cargo. Asimismo, La compatibilidad con actividad privada compete al Ministerio de Transformación Digital y Función Pública.</w:t>
            </w:r>
          </w:p>
          <w:p w14:paraId="36803B63" w14:textId="2DD4CA75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</w:tr>
      <w:tr w:rsidR="005019BE" w:rsidRPr="000147B1" w14:paraId="11757693" w14:textId="77777777" w:rsidTr="005019BE">
        <w:tc>
          <w:tcPr>
            <w:tcW w:w="1386" w:type="dxa"/>
            <w:vMerge/>
            <w:vAlign w:val="center"/>
          </w:tcPr>
          <w:p w14:paraId="09AB6AF2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103277E5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404" w:type="dxa"/>
          </w:tcPr>
          <w:p w14:paraId="7B2E4595" w14:textId="77777777" w:rsidR="005019BE" w:rsidRPr="000147B1" w:rsidRDefault="005019BE" w:rsidP="00501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39306A94" w14:textId="262654B6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Si los hubiera, se incluirán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0147B1" w14:paraId="651DCB43" w14:textId="77777777" w:rsidTr="005019BE">
        <w:tc>
          <w:tcPr>
            <w:tcW w:w="1386" w:type="dxa"/>
            <w:vMerge/>
            <w:vAlign w:val="center"/>
          </w:tcPr>
          <w:p w14:paraId="6252B1D4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197CF659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404" w:type="dxa"/>
          </w:tcPr>
          <w:p w14:paraId="6A03701F" w14:textId="5A736284" w:rsidR="005019BE" w:rsidRPr="000147B1" w:rsidRDefault="005019BE" w:rsidP="005019BE">
            <w:pPr>
              <w:jc w:val="center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20F15385" w14:textId="7AC0677B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incluirán los enlaces en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0147B1" w14:paraId="338C8CDA" w14:textId="77777777" w:rsidTr="005019BE">
        <w:trPr>
          <w:trHeight w:val="265"/>
        </w:trPr>
        <w:tc>
          <w:tcPr>
            <w:tcW w:w="1386" w:type="dxa"/>
            <w:vMerge w:val="restart"/>
            <w:vAlign w:val="center"/>
          </w:tcPr>
          <w:p w14:paraId="430BC126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1758" w:type="dxa"/>
          </w:tcPr>
          <w:p w14:paraId="34FDB9A7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Estructuración</w:t>
            </w:r>
          </w:p>
        </w:tc>
        <w:tc>
          <w:tcPr>
            <w:tcW w:w="404" w:type="dxa"/>
            <w:vAlign w:val="center"/>
          </w:tcPr>
          <w:p w14:paraId="04C81643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0B0AAC9C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</w:tr>
      <w:tr w:rsidR="005019BE" w:rsidRPr="000147B1" w14:paraId="7E99D04C" w14:textId="77777777" w:rsidTr="005019BE">
        <w:tc>
          <w:tcPr>
            <w:tcW w:w="1386" w:type="dxa"/>
            <w:vMerge/>
          </w:tcPr>
          <w:p w14:paraId="3204592B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6BDD9585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404" w:type="dxa"/>
            <w:vAlign w:val="center"/>
          </w:tcPr>
          <w:p w14:paraId="2EBDF36C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4830437C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</w:tr>
      <w:tr w:rsidR="005019BE" w:rsidRPr="000147B1" w14:paraId="636DEA3E" w14:textId="77777777" w:rsidTr="005019BE">
        <w:tc>
          <w:tcPr>
            <w:tcW w:w="1386" w:type="dxa"/>
            <w:vMerge/>
          </w:tcPr>
          <w:p w14:paraId="6DD8F528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374201FB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Claridad</w:t>
            </w:r>
          </w:p>
        </w:tc>
        <w:tc>
          <w:tcPr>
            <w:tcW w:w="404" w:type="dxa"/>
            <w:vAlign w:val="center"/>
          </w:tcPr>
          <w:p w14:paraId="7A52DD29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57FB6C13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</w:tr>
      <w:tr w:rsidR="005019BE" w:rsidRPr="000147B1" w14:paraId="30A1D485" w14:textId="77777777" w:rsidTr="005019BE">
        <w:tc>
          <w:tcPr>
            <w:tcW w:w="1386" w:type="dxa"/>
            <w:vMerge/>
          </w:tcPr>
          <w:p w14:paraId="0AC04875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0DA8749E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404" w:type="dxa"/>
            <w:vAlign w:val="center"/>
          </w:tcPr>
          <w:p w14:paraId="128E8926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6908" w:type="dxa"/>
          </w:tcPr>
          <w:p w14:paraId="01302FAE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</w:tr>
      <w:tr w:rsidR="005019BE" w:rsidRPr="000147B1" w14:paraId="643E9693" w14:textId="77777777" w:rsidTr="005019BE">
        <w:tc>
          <w:tcPr>
            <w:tcW w:w="1386" w:type="dxa"/>
            <w:vMerge/>
          </w:tcPr>
          <w:p w14:paraId="4B62AF89" w14:textId="77777777" w:rsidR="005019BE" w:rsidRPr="000147B1" w:rsidRDefault="005019BE" w:rsidP="005019BE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23F4E91C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404" w:type="dxa"/>
            <w:vAlign w:val="center"/>
          </w:tcPr>
          <w:p w14:paraId="059F9A29" w14:textId="717E89A9" w:rsidR="005019BE" w:rsidRPr="000147B1" w:rsidRDefault="005019BE" w:rsidP="005019BE">
            <w:pPr>
              <w:jc w:val="center"/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x</w:t>
            </w:r>
          </w:p>
        </w:tc>
        <w:tc>
          <w:tcPr>
            <w:tcW w:w="6908" w:type="dxa"/>
          </w:tcPr>
          <w:p w14:paraId="665A2797" w14:textId="77777777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>No</w:t>
            </w:r>
          </w:p>
          <w:p w14:paraId="56E9D934" w14:textId="39ACA158" w:rsidR="005019BE" w:rsidRPr="000147B1" w:rsidRDefault="005019BE" w:rsidP="005019BE">
            <w:pPr>
              <w:rPr>
                <w:sz w:val="18"/>
                <w:szCs w:val="18"/>
              </w:rPr>
            </w:pPr>
            <w:r w:rsidRPr="000147B1">
              <w:rPr>
                <w:sz w:val="18"/>
                <w:szCs w:val="18"/>
              </w:rPr>
              <w:t xml:space="preserve">Se </w:t>
            </w:r>
            <w:proofErr w:type="spellStart"/>
            <w:r w:rsidRPr="000147B1">
              <w:rPr>
                <w:sz w:val="18"/>
                <w:szCs w:val="18"/>
              </w:rPr>
              <w:t>alaborará</w:t>
            </w:r>
            <w:proofErr w:type="spellEnd"/>
            <w:r w:rsidRPr="000147B1">
              <w:rPr>
                <w:sz w:val="18"/>
                <w:szCs w:val="18"/>
              </w:rPr>
              <w:t xml:space="preserve"> una página </w:t>
            </w:r>
            <w:r w:rsidRPr="000147B1">
              <w:rPr>
                <w:i/>
                <w:iCs/>
                <w:sz w:val="18"/>
                <w:szCs w:val="18"/>
              </w:rPr>
              <w:t>ad hoc</w:t>
            </w:r>
          </w:p>
        </w:tc>
      </w:tr>
      <w:tr w:rsidR="005019BE" w:rsidRPr="000147B1" w14:paraId="2F13D281" w14:textId="77777777" w:rsidTr="005019BE">
        <w:tc>
          <w:tcPr>
            <w:tcW w:w="3144" w:type="dxa"/>
            <w:gridSpan w:val="2"/>
          </w:tcPr>
          <w:p w14:paraId="50237AD0" w14:textId="77777777" w:rsidR="005019BE" w:rsidRPr="000147B1" w:rsidRDefault="005019BE" w:rsidP="005019BE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 w:rsidRPr="000147B1">
              <w:rPr>
                <w:b/>
                <w:sz w:val="18"/>
                <w:szCs w:val="18"/>
              </w:rPr>
              <w:t>Total</w:t>
            </w:r>
            <w:proofErr w:type="gramEnd"/>
            <w:r w:rsidRPr="000147B1">
              <w:rPr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404" w:type="dxa"/>
            <w:vAlign w:val="center"/>
          </w:tcPr>
          <w:p w14:paraId="7C2B6F9A" w14:textId="6DCCEBCA" w:rsidR="005019BE" w:rsidRPr="000147B1" w:rsidRDefault="005019BE" w:rsidP="005019BE">
            <w:pPr>
              <w:jc w:val="center"/>
              <w:rPr>
                <w:b/>
                <w:sz w:val="18"/>
                <w:szCs w:val="18"/>
              </w:rPr>
            </w:pPr>
            <w:r w:rsidRPr="000147B1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908" w:type="dxa"/>
          </w:tcPr>
          <w:p w14:paraId="29655252" w14:textId="77777777" w:rsidR="005019BE" w:rsidRPr="000147B1" w:rsidRDefault="005019BE" w:rsidP="005019BE">
            <w:pPr>
              <w:rPr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0147B1" w:rsidRDefault="003A1694" w:rsidP="00AC4A6F"/>
    <w:p w14:paraId="037740DE" w14:textId="77777777" w:rsidR="00DF56A7" w:rsidRPr="000147B1" w:rsidRDefault="00DF56A7" w:rsidP="00DF56A7">
      <w:pPr>
        <w:jc w:val="both"/>
      </w:pPr>
    </w:p>
    <w:p w14:paraId="11003E59" w14:textId="36D715C5" w:rsidR="00BA4354" w:rsidRPr="000147B1" w:rsidRDefault="00D671B7" w:rsidP="00DF56A7">
      <w:pPr>
        <w:jc w:val="both"/>
      </w:pPr>
      <w:r w:rsidRPr="000147B1">
        <w:t>AICA</w:t>
      </w:r>
      <w:r w:rsidR="00A0730E" w:rsidRPr="000147B1">
        <w:t xml:space="preserve"> ha aplicado </w:t>
      </w:r>
      <w:r w:rsidRPr="000147B1">
        <w:t>3</w:t>
      </w:r>
      <w:r w:rsidR="00C52EE5" w:rsidRPr="000147B1">
        <w:t xml:space="preserve"> de las </w:t>
      </w:r>
      <w:r w:rsidRPr="000147B1">
        <w:t>30</w:t>
      </w:r>
      <w:r w:rsidR="00F94891" w:rsidRPr="000147B1">
        <w:t xml:space="preserve"> </w:t>
      </w:r>
      <w:r w:rsidR="00C52EE5" w:rsidRPr="000147B1">
        <w:t>recomendaciones derivadas de la evaluación realizada en 202</w:t>
      </w:r>
      <w:r w:rsidR="00F94891" w:rsidRPr="000147B1">
        <w:t>3</w:t>
      </w:r>
      <w:r w:rsidR="00C52EE5" w:rsidRPr="000147B1">
        <w:t>.</w:t>
      </w:r>
    </w:p>
    <w:p w14:paraId="51648A90" w14:textId="77777777" w:rsidR="00FA5AFD" w:rsidRPr="000147B1" w:rsidRDefault="00FA5AFD" w:rsidP="00AC4A6F"/>
    <w:p w14:paraId="192492ED" w14:textId="10D3D221" w:rsidR="00E17DF6" w:rsidRPr="000147B1" w:rsidRDefault="00E17DF6" w:rsidP="00AC4A6F"/>
    <w:p w14:paraId="2930F0F7" w14:textId="5598F751" w:rsidR="00A0730E" w:rsidRPr="000147B1" w:rsidRDefault="00A0730E" w:rsidP="00AC4A6F"/>
    <w:p w14:paraId="6854B21E" w14:textId="144224FC" w:rsidR="00A0730E" w:rsidRPr="000147B1" w:rsidRDefault="00A0730E" w:rsidP="00AC4A6F"/>
    <w:p w14:paraId="4891833B" w14:textId="1164444E" w:rsidR="00A0730E" w:rsidRPr="000147B1" w:rsidRDefault="00A0730E" w:rsidP="00AC4A6F"/>
    <w:p w14:paraId="4E9D1DF5" w14:textId="7C930DA0" w:rsidR="00A0730E" w:rsidRPr="000147B1" w:rsidRDefault="00A0730E" w:rsidP="00AC4A6F"/>
    <w:p w14:paraId="307EBA39" w14:textId="77777777" w:rsidR="00A0730E" w:rsidRPr="000147B1" w:rsidRDefault="00A0730E" w:rsidP="00AC4A6F"/>
    <w:p w14:paraId="2B25550E" w14:textId="04BC4CF3" w:rsidR="00FA5AFD" w:rsidRPr="000147B1" w:rsidRDefault="00FA5AFD" w:rsidP="00AC4A6F"/>
    <w:p w14:paraId="523CD473" w14:textId="77777777" w:rsidR="003F6EDC" w:rsidRPr="000147B1" w:rsidRDefault="0000000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0147B1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0147B1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383F41B" w14:textId="322D0BA5" w:rsidR="00D671B7" w:rsidRPr="000147B1" w:rsidRDefault="00D671B7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D671B7" w:rsidRPr="000147B1" w14:paraId="1BC7CD5A" w14:textId="77777777" w:rsidTr="00D671B7">
        <w:trPr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91C04EE" w14:textId="4B5914E8" w:rsidR="00D671B7" w:rsidRPr="000147B1" w:rsidRDefault="00D671B7" w:rsidP="00D671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147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2F5C3EE" w14:textId="77777777" w:rsidR="00D671B7" w:rsidRPr="000147B1" w:rsidRDefault="00D671B7" w:rsidP="00D671B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6A2E0A" w14:textId="77777777" w:rsidR="00D671B7" w:rsidRPr="000147B1" w:rsidRDefault="00D671B7" w:rsidP="00D671B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7538C1" w14:textId="77777777" w:rsidR="00D671B7" w:rsidRPr="000147B1" w:rsidRDefault="00D671B7" w:rsidP="00D671B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10F3F86" w14:textId="77777777" w:rsidR="00D671B7" w:rsidRPr="000147B1" w:rsidRDefault="00D671B7" w:rsidP="00D671B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04B173" w14:textId="77777777" w:rsidR="00D671B7" w:rsidRPr="000147B1" w:rsidRDefault="00D671B7" w:rsidP="00D671B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C186458" w14:textId="77777777" w:rsidR="00D671B7" w:rsidRPr="000147B1" w:rsidRDefault="00D671B7" w:rsidP="00D671B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ECE3619" w14:textId="77777777" w:rsidR="00D671B7" w:rsidRPr="000147B1" w:rsidRDefault="00D671B7" w:rsidP="00D671B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7FE2469" w14:textId="77777777" w:rsidR="00D671B7" w:rsidRPr="000147B1" w:rsidRDefault="00D671B7" w:rsidP="00D671B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671B7" w:rsidRPr="000147B1" w14:paraId="203131F8" w14:textId="77777777" w:rsidTr="00D671B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B1DBD2D" w14:textId="77777777" w:rsidR="00D671B7" w:rsidRPr="000147B1" w:rsidRDefault="00D671B7" w:rsidP="00D671B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EF4C21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484D3A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C78F99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DCBF24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9DAAC3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ACB6C7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ECFC7B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9EF531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26,4</w:t>
            </w:r>
          </w:p>
        </w:tc>
      </w:tr>
      <w:tr w:rsidR="00D671B7" w:rsidRPr="000147B1" w14:paraId="3715726B" w14:textId="77777777" w:rsidTr="00D671B7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A56B06B" w14:textId="77777777" w:rsidR="00D671B7" w:rsidRPr="000147B1" w:rsidRDefault="00D671B7" w:rsidP="00D671B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BAAAA1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3086FB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B71044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F7ECAD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3F78F1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0FBC6D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BC5347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D38EAF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D671B7" w:rsidRPr="000147B1" w14:paraId="44783574" w14:textId="77777777" w:rsidTr="00D671B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CD3381B" w14:textId="77777777" w:rsidR="00D671B7" w:rsidRPr="000147B1" w:rsidRDefault="00D671B7" w:rsidP="00D671B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1C375A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8465D6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43C365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ABCEE3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2CA219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53656E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6730AF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C39001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</w:tr>
      <w:tr w:rsidR="00D671B7" w:rsidRPr="000147B1" w14:paraId="44E9A56C" w14:textId="77777777" w:rsidTr="00D671B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2A77ABB" w14:textId="77777777" w:rsidR="00D671B7" w:rsidRPr="000147B1" w:rsidRDefault="00D671B7" w:rsidP="00D671B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1C3EBB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9F943B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065E7F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63F76A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179014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FEF853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8976AD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9A9242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D671B7" w:rsidRPr="000147B1" w14:paraId="5E2992DA" w14:textId="77777777" w:rsidTr="00D671B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27C09F5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96EC9E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0069D3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E8AA60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DD2633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0F6025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E861AE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F81BD1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4FDEF7" w14:textId="77777777" w:rsidR="00D671B7" w:rsidRPr="000147B1" w:rsidRDefault="00D671B7" w:rsidP="00D671B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47B1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15,5</w:t>
            </w:r>
          </w:p>
        </w:tc>
      </w:tr>
    </w:tbl>
    <w:p w14:paraId="3F907A1B" w14:textId="62996872" w:rsidR="00B7547A" w:rsidRPr="000147B1" w:rsidRDefault="00B7547A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B9B75B4" w14:textId="05247497" w:rsidR="00EB68A3" w:rsidRPr="000147B1" w:rsidRDefault="004061BC" w:rsidP="00F05E2C">
      <w:pPr>
        <w:pStyle w:val="Cuerpodelboletn"/>
        <w:sectPr w:rsidR="00EB68A3" w:rsidRPr="000147B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0147B1">
        <w:rPr>
          <w:lang w:bidi="es-ES"/>
        </w:rPr>
        <w:t xml:space="preserve">El Índice de Cumplimiento de la Información Obligatoria (ICIO) se sitúa en el </w:t>
      </w:r>
      <w:r w:rsidR="00D671B7" w:rsidRPr="000147B1">
        <w:rPr>
          <w:lang w:bidi="es-ES"/>
        </w:rPr>
        <w:t>15,5</w:t>
      </w:r>
      <w:r w:rsidRPr="000147B1">
        <w:rPr>
          <w:lang w:bidi="es-ES"/>
        </w:rPr>
        <w:t>%.</w:t>
      </w:r>
      <w:r w:rsidR="00BB3652" w:rsidRPr="000147B1">
        <w:rPr>
          <w:lang w:bidi="es-ES"/>
        </w:rPr>
        <w:t xml:space="preserve"> Respecto de 202</w:t>
      </w:r>
      <w:r w:rsidR="00B7547A" w:rsidRPr="000147B1">
        <w:rPr>
          <w:lang w:bidi="es-ES"/>
        </w:rPr>
        <w:t>3</w:t>
      </w:r>
      <w:r w:rsidR="00BB3652" w:rsidRPr="000147B1">
        <w:rPr>
          <w:lang w:bidi="es-ES"/>
        </w:rPr>
        <w:t xml:space="preserve"> </w:t>
      </w:r>
      <w:r w:rsidR="00A0730E" w:rsidRPr="000147B1">
        <w:rPr>
          <w:lang w:bidi="es-ES"/>
        </w:rPr>
        <w:t xml:space="preserve">se produce un incremento de </w:t>
      </w:r>
      <w:r w:rsidR="00D671B7" w:rsidRPr="000147B1">
        <w:rPr>
          <w:lang w:bidi="es-ES"/>
        </w:rPr>
        <w:t>1 punto porcentual</w:t>
      </w:r>
      <w:r w:rsidR="00B7547A" w:rsidRPr="000147B1">
        <w:rPr>
          <w:lang w:bidi="es-ES"/>
        </w:rPr>
        <w:t xml:space="preserve">, dado </w:t>
      </w:r>
      <w:r w:rsidR="00D671B7" w:rsidRPr="000147B1">
        <w:rPr>
          <w:lang w:bidi="es-ES"/>
        </w:rPr>
        <w:t xml:space="preserve">que el incremento derivado de la aplicación de 3 recomendaciones, se </w:t>
      </w:r>
      <w:r w:rsidR="00A41CB7" w:rsidRPr="000147B1">
        <w:rPr>
          <w:lang w:bidi="es-ES"/>
        </w:rPr>
        <w:t>ha visto compensado por la revisión a la baja de la obligación descripción de la estructura organizativa – No se ha localizado la información que en 2023 se publicaba en el acceso AICA/Quiénes somos -y, porque</w:t>
      </w:r>
      <w:r w:rsidR="00A0730E" w:rsidRPr="000147B1">
        <w:rPr>
          <w:lang w:bidi="es-ES"/>
        </w:rPr>
        <w:t xml:space="preserve">, tal y como se </w:t>
      </w:r>
      <w:r w:rsidR="008A77F6" w:rsidRPr="000147B1">
        <w:rPr>
          <w:lang w:bidi="es-ES"/>
        </w:rPr>
        <w:t>señaló</w:t>
      </w:r>
      <w:r w:rsidR="00A0730E" w:rsidRPr="000147B1">
        <w:rPr>
          <w:lang w:bidi="es-ES"/>
        </w:rPr>
        <w:t xml:space="preserve"> en el informe de evaluación 2023, </w:t>
      </w:r>
      <w:r w:rsidR="008A77F6" w:rsidRPr="000147B1">
        <w:t xml:space="preserve">a partir de julio de dicho año se  ha incorporado una nueva obligación dentro del grupo contratos, para la que  </w:t>
      </w:r>
      <w:r w:rsidR="00A41CB7" w:rsidRPr="000147B1">
        <w:t>AICA</w:t>
      </w:r>
      <w:r w:rsidR="008A77F6" w:rsidRPr="000147B1">
        <w:t xml:space="preserve"> no publica información.</w:t>
      </w: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14:paraId="45FF60F8" w14:textId="77777777" w:rsidR="00C259F4" w:rsidRPr="000147B1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0147B1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0147B1" w:rsidRDefault="00965C69" w:rsidP="00965C69">
      <w:pPr>
        <w:pStyle w:val="Cuerpodelboletn"/>
      </w:pPr>
    </w:p>
    <w:p w14:paraId="06476F7C" w14:textId="51E81E96" w:rsidR="00BB3652" w:rsidRPr="000147B1" w:rsidRDefault="00BB3652" w:rsidP="00BB3652">
      <w:pPr>
        <w:pStyle w:val="Cuerpodelboletn"/>
      </w:pPr>
      <w:r w:rsidRPr="000147B1">
        <w:t xml:space="preserve">Este CTBG no puede menos que </w:t>
      </w:r>
      <w:r w:rsidRPr="000147B1">
        <w:rPr>
          <w:b/>
        </w:rPr>
        <w:t xml:space="preserve">valorar </w:t>
      </w:r>
      <w:r w:rsidR="00B7547A" w:rsidRPr="000147B1">
        <w:rPr>
          <w:b/>
        </w:rPr>
        <w:t xml:space="preserve">muy </w:t>
      </w:r>
      <w:r w:rsidRPr="000147B1">
        <w:rPr>
          <w:b/>
        </w:rPr>
        <w:t>negativamente</w:t>
      </w:r>
      <w:r w:rsidRPr="000147B1">
        <w:t xml:space="preserve"> la evolución del cumplimiento de las obligaciones de publicidad activa por parte de </w:t>
      </w:r>
      <w:r w:rsidR="00A41CB7" w:rsidRPr="000147B1">
        <w:t>la Agencia de Información y Control Alimentario</w:t>
      </w:r>
      <w:r w:rsidRPr="000147B1">
        <w:t xml:space="preserve">. </w:t>
      </w:r>
      <w:r w:rsidR="0076567C" w:rsidRPr="000147B1">
        <w:t>Sólo</w:t>
      </w:r>
      <w:r w:rsidRPr="000147B1">
        <w:t xml:space="preserve"> se ha aplicado </w:t>
      </w:r>
      <w:r w:rsidR="00B7547A" w:rsidRPr="000147B1">
        <w:t>el 10%</w:t>
      </w:r>
      <w:r w:rsidRPr="000147B1">
        <w:t xml:space="preserve"> </w:t>
      </w:r>
      <w:r w:rsidR="009E1C3F" w:rsidRPr="000147B1">
        <w:t xml:space="preserve">de las </w:t>
      </w:r>
      <w:r w:rsidRPr="000147B1">
        <w:t>recomendaciones efectuadas como consecuencia de la evaluación realizada en 202</w:t>
      </w:r>
      <w:r w:rsidR="00B7547A" w:rsidRPr="000147B1">
        <w:t>3</w:t>
      </w:r>
      <w:r w:rsidR="007154D5" w:rsidRPr="000147B1">
        <w:t xml:space="preserve"> y el Índice de Cumplimiento no ha experimentado ninguna mejoría </w:t>
      </w:r>
      <w:r w:rsidR="008A77F6" w:rsidRPr="000147B1">
        <w:t xml:space="preserve">apreciable </w:t>
      </w:r>
      <w:r w:rsidR="007154D5" w:rsidRPr="000147B1">
        <w:t xml:space="preserve">respecto de los valores alcanzados en </w:t>
      </w:r>
      <w:r w:rsidR="00A41CB7" w:rsidRPr="000147B1">
        <w:t>ese año</w:t>
      </w:r>
      <w:r w:rsidRPr="000147B1">
        <w:t>.</w:t>
      </w:r>
    </w:p>
    <w:p w14:paraId="7D8CA51C" w14:textId="77777777" w:rsidR="004061BC" w:rsidRPr="000147B1" w:rsidRDefault="00BB3652" w:rsidP="00A670E9">
      <w:pPr>
        <w:pStyle w:val="Cuerpodelboletn"/>
      </w:pPr>
      <w:r w:rsidRPr="000147B1">
        <w:t>Como consecuencia de esto persisten los déficits evidenciados en dicha evaluación</w:t>
      </w:r>
      <w:r w:rsidR="00A670E9" w:rsidRPr="000147B1">
        <w:t xml:space="preserve">: </w:t>
      </w:r>
    </w:p>
    <w:p w14:paraId="17A724CD" w14:textId="77777777" w:rsidR="004061BC" w:rsidRPr="000147B1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0147B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BD12D68" w14:textId="618714E1" w:rsidR="008A77F6" w:rsidRPr="000147B1" w:rsidRDefault="008A77F6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Respecto de la localización y estructuración de la información, </w:t>
      </w:r>
      <w:r w:rsidR="00A41CB7" w:rsidRPr="000147B1">
        <w:rPr>
          <w:rFonts w:ascii="Century Gothic" w:hAnsi="Century Gothic"/>
        </w:rPr>
        <w:t>no se ha habilitado un especio específico para la publicación de las informaciones sujetas a obligaciones de publicidad activa. La información se encuentra dispersa en diferentes accesos de la web.</w:t>
      </w:r>
    </w:p>
    <w:p w14:paraId="7FE944F1" w14:textId="7F0E62AD" w:rsidR="00D5465D" w:rsidRPr="000147B1" w:rsidRDefault="00D5465D" w:rsidP="00D5465D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Al final de la página web de la Agencia se encuentra un enlace al Portal de Transparencia donde se encuentran publicadas las obligaciones de publicidad activa contenidas dentro de los </w:t>
      </w:r>
      <w:proofErr w:type="gramStart"/>
      <w:r w:rsidRPr="000147B1">
        <w:rPr>
          <w:rFonts w:ascii="Century Gothic" w:hAnsi="Century Gothic"/>
        </w:rPr>
        <w:t>apartado correspondientes</w:t>
      </w:r>
      <w:proofErr w:type="gramEnd"/>
      <w:r w:rsidRPr="000147B1">
        <w:rPr>
          <w:rFonts w:ascii="Century Gothic" w:hAnsi="Century Gothic"/>
        </w:rPr>
        <w:t xml:space="preserve"> al MAPA. </w:t>
      </w:r>
    </w:p>
    <w:p w14:paraId="11C55AE3" w14:textId="55CD1865" w:rsidR="00332FA7" w:rsidRDefault="00332FA7" w:rsidP="00D5465D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elaborará una página </w:t>
      </w:r>
      <w:r w:rsidRPr="000147B1">
        <w:rPr>
          <w:rFonts w:ascii="Century Gothic" w:hAnsi="Century Gothic"/>
          <w:i/>
          <w:iCs/>
        </w:rPr>
        <w:t>ad hoc</w:t>
      </w:r>
    </w:p>
    <w:p w14:paraId="24BECBCD" w14:textId="77777777" w:rsidR="008A77F6" w:rsidRDefault="008A77F6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236AB41D" w14:textId="45CAB010"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14:paraId="4F8C837E" w14:textId="77777777" w:rsidR="00CC3B31" w:rsidRDefault="00CC3B31" w:rsidP="00CC3B31">
      <w:pPr>
        <w:pStyle w:val="Prrafodelista"/>
      </w:pPr>
    </w:p>
    <w:p w14:paraId="3C22CC2F" w14:textId="77777777" w:rsidR="00CB34FB" w:rsidRDefault="00A670E9" w:rsidP="001E763F">
      <w:pPr>
        <w:pStyle w:val="Sinespaciado"/>
        <w:numPr>
          <w:ilvl w:val="0"/>
          <w:numId w:val="20"/>
        </w:numPr>
        <w:spacing w:line="276" w:lineRule="auto"/>
        <w:ind w:firstLine="26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Institucional y Organizativa:</w:t>
      </w:r>
    </w:p>
    <w:p w14:paraId="48D65BD0" w14:textId="77777777" w:rsidR="00F31E7F" w:rsidRPr="005019BE" w:rsidRDefault="001E763F" w:rsidP="001E763F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  <w:r w:rsidRPr="005019BE">
        <w:rPr>
          <w:rFonts w:ascii="Century Gothic" w:hAnsi="Century Gothic"/>
        </w:rPr>
        <w:t xml:space="preserve">La </w:t>
      </w:r>
      <w:r w:rsidR="0049326F" w:rsidRPr="005019BE">
        <w:rPr>
          <w:rFonts w:ascii="Century Gothic" w:hAnsi="Century Gothic"/>
        </w:rPr>
        <w:t xml:space="preserve">información institucional y </w:t>
      </w:r>
      <w:r w:rsidRPr="005019BE">
        <w:rPr>
          <w:rFonts w:ascii="Century Gothic" w:hAnsi="Century Gothic"/>
        </w:rPr>
        <w:t xml:space="preserve">estructura organizativa se encuentra </w:t>
      </w:r>
      <w:r w:rsidR="00F31E7F" w:rsidRPr="005019BE">
        <w:rPr>
          <w:rFonts w:ascii="Century Gothic" w:hAnsi="Century Gothic"/>
        </w:rPr>
        <w:t>en la web:</w:t>
      </w:r>
    </w:p>
    <w:p w14:paraId="5B0F312C" w14:textId="3DD8F6C3" w:rsidR="00F31E7F" w:rsidRPr="005019BE" w:rsidRDefault="00F31E7F" w:rsidP="001E763F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  <w:r w:rsidRPr="005019BE">
        <w:rPr>
          <w:rFonts w:ascii="Century Gothic" w:hAnsi="Century Gothic"/>
        </w:rPr>
        <w:t>https://www.aica.gob.es/la-agencia/</w:t>
      </w:r>
    </w:p>
    <w:p w14:paraId="0DCACF95" w14:textId="68E20569" w:rsidR="00CB34FB" w:rsidRPr="005019BE" w:rsidRDefault="00F31E7F" w:rsidP="001E763F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  <w:r w:rsidRPr="005019BE">
        <w:rPr>
          <w:rFonts w:ascii="Century Gothic" w:hAnsi="Century Gothic"/>
        </w:rPr>
        <w:t xml:space="preserve">Y </w:t>
      </w:r>
      <w:r w:rsidR="001E763F" w:rsidRPr="005019BE">
        <w:rPr>
          <w:rFonts w:ascii="Century Gothic" w:hAnsi="Century Gothic"/>
        </w:rPr>
        <w:t xml:space="preserve">recogida en el artículo 1 y 4 del RD 227/2014 y consta de una </w:t>
      </w:r>
      <w:r w:rsidR="0049326F" w:rsidRPr="005019BE">
        <w:rPr>
          <w:rFonts w:ascii="Century Gothic" w:hAnsi="Century Gothic"/>
        </w:rPr>
        <w:t xml:space="preserve">presidencia que recae en el Secretario General Recursos </w:t>
      </w:r>
      <w:r w:rsidRPr="005019BE">
        <w:rPr>
          <w:rFonts w:ascii="Century Gothic" w:hAnsi="Century Gothic"/>
        </w:rPr>
        <w:t>Agrarios</w:t>
      </w:r>
      <w:r w:rsidR="0049326F" w:rsidRPr="005019BE">
        <w:rPr>
          <w:rFonts w:ascii="Century Gothic" w:hAnsi="Century Gothic"/>
        </w:rPr>
        <w:t xml:space="preserve"> y </w:t>
      </w:r>
      <w:r w:rsidRPr="005019BE">
        <w:rPr>
          <w:rFonts w:ascii="Century Gothic" w:hAnsi="Century Gothic"/>
        </w:rPr>
        <w:t>Seguridad</w:t>
      </w:r>
      <w:r w:rsidR="0049326F" w:rsidRPr="005019BE">
        <w:rPr>
          <w:rFonts w:ascii="Century Gothic" w:hAnsi="Century Gothic"/>
        </w:rPr>
        <w:t xml:space="preserve"> Alimentaria, de un </w:t>
      </w:r>
      <w:r w:rsidR="001E763F" w:rsidRPr="005019BE">
        <w:rPr>
          <w:rFonts w:ascii="Century Gothic" w:hAnsi="Century Gothic"/>
        </w:rPr>
        <w:t>órgano ejecutivo de la Agencia de Información y Control Alimentarios, O.A., que es el Director y un órgano consultivo y de participación es el Consejo Asesor</w:t>
      </w:r>
      <w:r w:rsidRPr="005019BE">
        <w:rPr>
          <w:rFonts w:ascii="Century Gothic" w:hAnsi="Century Gothic"/>
        </w:rPr>
        <w:t>.</w:t>
      </w:r>
    </w:p>
    <w:p w14:paraId="6F86FBC1" w14:textId="3E881F6C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elaborará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255AFD67" w14:textId="77777777" w:rsidR="00F31E7F" w:rsidRPr="000147B1" w:rsidRDefault="00F31E7F" w:rsidP="001E763F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</w:p>
    <w:p w14:paraId="341EDA5F" w14:textId="77777777" w:rsidR="00CB34FB" w:rsidRPr="000147B1" w:rsidRDefault="00CB34FB" w:rsidP="001E763F">
      <w:pPr>
        <w:pStyle w:val="Sinespaciado"/>
        <w:numPr>
          <w:ilvl w:val="1"/>
          <w:numId w:val="20"/>
        </w:numPr>
        <w:spacing w:line="276" w:lineRule="auto"/>
        <w:ind w:left="1800" w:firstLine="0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El organigrama</w:t>
      </w:r>
    </w:p>
    <w:p w14:paraId="6845BD99" w14:textId="1CD01D6D" w:rsidR="001E763F" w:rsidRPr="000147B1" w:rsidRDefault="001E763F" w:rsidP="001E763F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El organigrama está publicado de acuerdo con el RD  227/2014 y RD 430/2020 en:</w:t>
      </w:r>
    </w:p>
    <w:p w14:paraId="6EB99528" w14:textId="34CC1410" w:rsidR="00D5465D" w:rsidRPr="000147B1" w:rsidRDefault="00000000" w:rsidP="001E763F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  <w:hyperlink r:id="rId21" w:history="1">
        <w:r w:rsidR="00F31E7F" w:rsidRPr="000147B1">
          <w:rPr>
            <w:rStyle w:val="Hipervnculo"/>
            <w:rFonts w:ascii="Century Gothic" w:hAnsi="Century Gothic"/>
          </w:rPr>
          <w:t>https://transparencia.gob.es/transparencia/dam/jcr:0b32bd76-6e7e-454b-ba3c-1f19cb218c75/ORG-MAPA-OP-AICA.pdf</w:t>
        </w:r>
      </w:hyperlink>
    </w:p>
    <w:p w14:paraId="28750729" w14:textId="52ED996B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elaborará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6074814D" w14:textId="77777777" w:rsidR="00D5465D" w:rsidRPr="000147B1" w:rsidRDefault="00D5465D" w:rsidP="001E763F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14:paraId="3D751520" w14:textId="77777777" w:rsidR="00CB34FB" w:rsidRPr="000147B1" w:rsidRDefault="00CB34FB" w:rsidP="001E763F">
      <w:pPr>
        <w:pStyle w:val="Sinespaciado"/>
        <w:numPr>
          <w:ilvl w:val="1"/>
          <w:numId w:val="20"/>
        </w:numPr>
        <w:spacing w:line="276" w:lineRule="auto"/>
        <w:ind w:left="1800" w:firstLine="0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identificación de los máximos responsables</w:t>
      </w:r>
    </w:p>
    <w:p w14:paraId="175C1F18" w14:textId="5CD11558" w:rsidR="00F31E7F" w:rsidRPr="000147B1" w:rsidRDefault="00F31E7F" w:rsidP="00F31E7F">
      <w:pPr>
        <w:pStyle w:val="Sinespaciado"/>
        <w:spacing w:line="276" w:lineRule="auto"/>
        <w:ind w:left="142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persona directora de la AICA O.A. x, si bien es público su nombramiento, no tiene la condición de alto cargo: Se encuentra publicado en el BOE a través de la Resolución de 7 de julio de 2019, de la Subsecretaría (BOE 15/07/2019), y la resolución de la convocatoria de libre designación, anunciada por Resolución de 29 de mayo de 2019 (BOE 1/06/2019).</w:t>
      </w:r>
    </w:p>
    <w:p w14:paraId="072A446F" w14:textId="4CB09B5D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elaborará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459CFE5F" w14:textId="77777777" w:rsidR="00F31E7F" w:rsidRPr="000147B1" w:rsidRDefault="00F31E7F" w:rsidP="00F31E7F">
      <w:pPr>
        <w:pStyle w:val="Sinespaciado"/>
        <w:spacing w:line="276" w:lineRule="auto"/>
        <w:ind w:left="142"/>
        <w:jc w:val="both"/>
        <w:rPr>
          <w:rFonts w:ascii="Century Gothic" w:hAnsi="Century Gothic"/>
        </w:rPr>
      </w:pPr>
    </w:p>
    <w:p w14:paraId="5C9D5323" w14:textId="2231E031" w:rsidR="00A670E9" w:rsidRPr="000147B1" w:rsidRDefault="00CB34FB" w:rsidP="001E763F">
      <w:pPr>
        <w:pStyle w:val="Sinespaciado"/>
        <w:numPr>
          <w:ilvl w:val="1"/>
          <w:numId w:val="20"/>
        </w:numPr>
        <w:spacing w:line="276" w:lineRule="auto"/>
        <w:ind w:left="1800" w:firstLine="0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El perfil y trayectoria profesional de los máximos responsables</w:t>
      </w:r>
    </w:p>
    <w:p w14:paraId="03C6A180" w14:textId="77777777" w:rsidR="00F31E7F" w:rsidRPr="000147B1" w:rsidRDefault="00F31E7F" w:rsidP="00F31E7F">
      <w:pPr>
        <w:pStyle w:val="Sinespaciado"/>
        <w:spacing w:line="276" w:lineRule="auto"/>
        <w:ind w:left="142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persona directora de la AICA O.A. x, si bien es público su nombramiento, no tiene la condición de alto cargo: Se encuentra publicado en el BOE a través de la Resolución de 7 de julio de 2019, de la Subsecretaría (BOE 15/07/2019), y la resolución de la convocatoria de libre designación, anunciada por Resolución de 29 de mayo de 2019 (BOE 1/06/2019).</w:t>
      </w:r>
    </w:p>
    <w:p w14:paraId="2CD41808" w14:textId="72D257E6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elaborará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548F99E9" w14:textId="2E451F72" w:rsidR="00F31E7F" w:rsidRPr="000147B1" w:rsidRDefault="00F31E7F" w:rsidP="00F31E7F">
      <w:pPr>
        <w:pStyle w:val="Sinespaciado"/>
        <w:spacing w:line="276" w:lineRule="auto"/>
        <w:ind w:firstLine="142"/>
        <w:jc w:val="both"/>
        <w:rPr>
          <w:rFonts w:ascii="Century Gothic" w:hAnsi="Century Gothic"/>
        </w:rPr>
      </w:pPr>
    </w:p>
    <w:p w14:paraId="03AFA12B" w14:textId="77777777" w:rsidR="00F31E7F" w:rsidRPr="000147B1" w:rsidRDefault="00F31E7F" w:rsidP="00F3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E727CF5" w14:textId="2616B0B1" w:rsidR="00CB34FB" w:rsidRPr="000147B1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Los planes y programas</w:t>
      </w:r>
    </w:p>
    <w:p w14:paraId="0D996B85" w14:textId="3D94284E" w:rsidR="00F31E7F" w:rsidRPr="000147B1" w:rsidRDefault="00EE42B1" w:rsidP="00F31E7F">
      <w:pPr>
        <w:pStyle w:val="Sinespaciado"/>
        <w:spacing w:line="276" w:lineRule="auto"/>
        <w:ind w:left="142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No procede. </w:t>
      </w:r>
      <w:r w:rsidR="00F31E7F" w:rsidRPr="000147B1">
        <w:rPr>
          <w:rFonts w:ascii="Century Gothic" w:hAnsi="Century Gothic"/>
        </w:rPr>
        <w:t>La AICA no dispone de planes ni programas de acuerdo con el art.6.2 de la LTAIPBG.</w:t>
      </w:r>
    </w:p>
    <w:p w14:paraId="705D7A37" w14:textId="21EEF113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Si los hubiera, se incorporarán a una página </w:t>
      </w:r>
      <w:r w:rsidRPr="000147B1">
        <w:rPr>
          <w:rFonts w:ascii="Century Gothic" w:hAnsi="Century Gothic"/>
          <w:i/>
          <w:iCs/>
        </w:rPr>
        <w:t>ad hoc</w:t>
      </w:r>
    </w:p>
    <w:p w14:paraId="29D6E58C" w14:textId="4D267BE0" w:rsidR="00F31E7F" w:rsidRPr="000147B1" w:rsidRDefault="00F31E7F" w:rsidP="00F3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F85414E" w14:textId="2AEA9D36" w:rsidR="00CB34FB" w:rsidRPr="000147B1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información sobre el grado de cumplimiento de planes y programas</w:t>
      </w:r>
      <w:r w:rsidR="00F31E7F" w:rsidRPr="000147B1">
        <w:rPr>
          <w:rFonts w:ascii="Century Gothic" w:hAnsi="Century Gothic"/>
        </w:rPr>
        <w:t>.</w:t>
      </w:r>
    </w:p>
    <w:p w14:paraId="169BA354" w14:textId="54E6FEFE" w:rsidR="00F31E7F" w:rsidRPr="000147B1" w:rsidRDefault="00F31E7F" w:rsidP="00F3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No procede.</w:t>
      </w:r>
    </w:p>
    <w:p w14:paraId="03F2D6C6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Si los hubiera, se incorporarán a una página </w:t>
      </w:r>
      <w:r w:rsidRPr="000147B1">
        <w:rPr>
          <w:rFonts w:ascii="Century Gothic" w:hAnsi="Century Gothic"/>
          <w:i/>
          <w:iCs/>
        </w:rPr>
        <w:t>ad hoc</w:t>
      </w:r>
    </w:p>
    <w:p w14:paraId="3D80741A" w14:textId="77777777" w:rsidR="00332FA7" w:rsidRPr="000147B1" w:rsidRDefault="00332FA7" w:rsidP="00F3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57375A1" w14:textId="185B9D5C" w:rsidR="00CB34FB" w:rsidRPr="000147B1" w:rsidRDefault="00CB34FB" w:rsidP="00CB34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Los indicadores de valoración del grado de cumplimiento de los objetivos</w:t>
      </w:r>
    </w:p>
    <w:p w14:paraId="08A51508" w14:textId="77777777" w:rsidR="00F31E7F" w:rsidRPr="000147B1" w:rsidRDefault="00F31E7F" w:rsidP="00F3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No procede.</w:t>
      </w:r>
    </w:p>
    <w:p w14:paraId="45DF622A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Si los hubiera, se incorporarán a una página </w:t>
      </w:r>
      <w:r w:rsidRPr="000147B1">
        <w:rPr>
          <w:rFonts w:ascii="Century Gothic" w:hAnsi="Century Gothic"/>
          <w:i/>
          <w:iCs/>
        </w:rPr>
        <w:t>ad hoc</w:t>
      </w:r>
    </w:p>
    <w:p w14:paraId="51DDD273" w14:textId="77777777" w:rsidR="00332FA7" w:rsidRPr="000147B1" w:rsidRDefault="00332FA7" w:rsidP="00F3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DB089B9" w14:textId="77777777" w:rsidR="00CB34FB" w:rsidRPr="000147B1" w:rsidRDefault="00CB34FB" w:rsidP="00F3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72585530" w14:textId="44E994E2" w:rsidR="00A41CB7" w:rsidRPr="000147B1" w:rsidRDefault="00B77B79" w:rsidP="00B77B7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Dentro del bloque de información de relevancia jurídica:</w:t>
      </w:r>
    </w:p>
    <w:p w14:paraId="00731AB9" w14:textId="0F9077BA" w:rsidR="00CB34FB" w:rsidRPr="000147B1" w:rsidRDefault="00CB34FB" w:rsidP="00CB34FB">
      <w:pPr>
        <w:pStyle w:val="Prrafodelista"/>
        <w:numPr>
          <w:ilvl w:val="1"/>
          <w:numId w:val="20"/>
        </w:numPr>
        <w:rPr>
          <w:szCs w:val="22"/>
        </w:rPr>
      </w:pPr>
      <w:r w:rsidRPr="000147B1">
        <w:rPr>
          <w:szCs w:val="22"/>
        </w:rPr>
        <w:t>las directrices, instrucciones, acuerdos, circulares o respuestas a consultas que supongan una interpretación del derecho o tengan efectos jurídicos sobre terceros.</w:t>
      </w:r>
    </w:p>
    <w:p w14:paraId="36671F7B" w14:textId="2E5DEE22" w:rsidR="00CB34FB" w:rsidRPr="000147B1" w:rsidRDefault="00CB34FB" w:rsidP="00CB34FB">
      <w:pPr>
        <w:pStyle w:val="Prrafodelista"/>
        <w:numPr>
          <w:ilvl w:val="1"/>
          <w:numId w:val="20"/>
        </w:numPr>
        <w:rPr>
          <w:szCs w:val="22"/>
        </w:rPr>
      </w:pPr>
      <w:r w:rsidRPr="000147B1">
        <w:rPr>
          <w:szCs w:val="22"/>
        </w:rPr>
        <w:t>Los documentos que deban ser sometidos a información pública en aplicación de normativa sectorial.</w:t>
      </w:r>
    </w:p>
    <w:p w14:paraId="3AF678E8" w14:textId="1E74024C" w:rsidR="00EE42B1" w:rsidRPr="000147B1" w:rsidRDefault="00EE42B1" w:rsidP="00EE42B1">
      <w:pPr>
        <w:rPr>
          <w:szCs w:val="22"/>
        </w:rPr>
      </w:pPr>
      <w:r w:rsidRPr="000147B1">
        <w:rPr>
          <w:szCs w:val="22"/>
        </w:rPr>
        <w:t>No procede. La AICA, como, O.A.  no dispone de directrices, instrucciones… independientes del MAPA, de acuerdo con el art.7.a) de la LTAIPBG ni de documentos sometidos a información pública, de acuerdo con el art.7.a) de la LTAIPBG.</w:t>
      </w:r>
    </w:p>
    <w:p w14:paraId="7F468B3B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Si los hubiera, se incorporarán a una página </w:t>
      </w:r>
      <w:r w:rsidRPr="000147B1">
        <w:rPr>
          <w:rFonts w:ascii="Century Gothic" w:hAnsi="Century Gothic"/>
          <w:i/>
          <w:iCs/>
        </w:rPr>
        <w:t>ad hoc</w:t>
      </w:r>
    </w:p>
    <w:p w14:paraId="5D9A3094" w14:textId="77777777" w:rsidR="00332FA7" w:rsidRPr="000147B1" w:rsidRDefault="00332FA7" w:rsidP="00EE42B1">
      <w:pPr>
        <w:rPr>
          <w:szCs w:val="22"/>
        </w:rPr>
      </w:pPr>
    </w:p>
    <w:p w14:paraId="5001836F" w14:textId="77777777" w:rsidR="00CB34FB" w:rsidRPr="000147B1" w:rsidRDefault="00CB34FB" w:rsidP="00CB34F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14:paraId="653DC6AB" w14:textId="64855F7F" w:rsidR="00B7547A" w:rsidRPr="000147B1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En el bloque de información económica</w:t>
      </w:r>
      <w:r w:rsidR="00B7547A" w:rsidRPr="000147B1">
        <w:rPr>
          <w:rFonts w:ascii="Century Gothic" w:hAnsi="Century Gothic"/>
        </w:rPr>
        <w:t>:</w:t>
      </w:r>
    </w:p>
    <w:p w14:paraId="4444E495" w14:textId="77777777" w:rsidR="00EF73DD" w:rsidRPr="000147B1" w:rsidRDefault="00EF73DD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Se incorporará el enlace del perfil del contratante de la AICA en la PCSP:</w:t>
      </w:r>
    </w:p>
    <w:p w14:paraId="22020B1D" w14:textId="77777777" w:rsidR="00EF73DD" w:rsidRPr="000147B1" w:rsidRDefault="00EF73DD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https://contrataciondelestado.es/wps/</w:t>
      </w:r>
    </w:p>
    <w:p w14:paraId="403745AC" w14:textId="2378B12D" w:rsidR="00332FA7" w:rsidRPr="000147B1" w:rsidRDefault="00EF73DD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poc?uri=deeplink%3AperfilContratante&amp;idBp=0HLxD9%2BftQCiEJrVRqloyA%3D%3D</w:t>
      </w:r>
      <w:r w:rsidR="00332FA7" w:rsidRPr="000147B1">
        <w:rPr>
          <w:rFonts w:ascii="Century Gothic" w:hAnsi="Century Gothic"/>
        </w:rPr>
        <w:t xml:space="preserve">  </w:t>
      </w:r>
    </w:p>
    <w:p w14:paraId="7477BBEA" w14:textId="748A2FB6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215AB049" w14:textId="3070FCFD" w:rsidR="00B9769A" w:rsidRPr="000147B1" w:rsidRDefault="00B9769A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7A268D07" w14:textId="4FC96680" w:rsidR="00CB34FB" w:rsidRPr="000147B1" w:rsidRDefault="00CB34FB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Los contratos mayores y menores</w:t>
      </w:r>
    </w:p>
    <w:p w14:paraId="3B458FF0" w14:textId="672384F1" w:rsidR="00B9769A" w:rsidRPr="000147B1" w:rsidRDefault="00B9769A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información sobre contratos se encuentra incorporados en la PCSP, así como en el correspondiente apartado del Portal de Transparencia.</w:t>
      </w:r>
    </w:p>
    <w:p w14:paraId="71E1407F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139262B4" w14:textId="77777777" w:rsidR="00332FA7" w:rsidRPr="000147B1" w:rsidRDefault="00332FA7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24F3F40A" w14:textId="7C6E20C0" w:rsidR="00B7547A" w:rsidRPr="000147B1" w:rsidRDefault="00B7547A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Las modificaciones de contratos adjudicados</w:t>
      </w:r>
    </w:p>
    <w:p w14:paraId="2F6B8B60" w14:textId="77777777" w:rsidR="00B9769A" w:rsidRPr="000147B1" w:rsidRDefault="00B9769A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información sobre contratos se encuentra incorporados en la PCSP, así como en el correspondiente apartado del Portal de Transparencia.</w:t>
      </w:r>
    </w:p>
    <w:p w14:paraId="47974C92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2947EE8C" w14:textId="77777777" w:rsidR="00332FA7" w:rsidRPr="000147B1" w:rsidRDefault="00332FA7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27EB674E" w14:textId="37FC8886" w:rsidR="00CB34FB" w:rsidRPr="000147B1" w:rsidRDefault="00CB34FB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Los desistimientos y renuncias a contratos adjudicados</w:t>
      </w:r>
    </w:p>
    <w:p w14:paraId="12653EEC" w14:textId="77777777" w:rsidR="00B9769A" w:rsidRPr="000147B1" w:rsidRDefault="00B9769A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información sobre contratos se encuentra incorporados en la PCSP, así como en el correspondiente apartado del Portal de Transparencia.</w:t>
      </w:r>
    </w:p>
    <w:p w14:paraId="367A5E2B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3D31B1AF" w14:textId="77777777" w:rsidR="00332FA7" w:rsidRPr="000147B1" w:rsidRDefault="00332FA7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F88FB4C" w14:textId="7B8B12D6" w:rsidR="007154D5" w:rsidRPr="000147B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Información estadística sobre el volumen de contratación según procedimiento de licitación.</w:t>
      </w:r>
    </w:p>
    <w:p w14:paraId="28FA0D05" w14:textId="77777777" w:rsidR="00B9769A" w:rsidRPr="000147B1" w:rsidRDefault="00B9769A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información sobre contratos se encuentra incorporados en la PCSP, así como en el correspondiente apartado del Portal de Transparencia.</w:t>
      </w:r>
    </w:p>
    <w:p w14:paraId="0E508797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09EE1962" w14:textId="77777777" w:rsidR="00332FA7" w:rsidRPr="000147B1" w:rsidRDefault="00332FA7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51D4CC2" w14:textId="4A5C2637" w:rsidR="007154D5" w:rsidRPr="000147B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Información estadística sobre el número y el porcentaje en volumen presupuestario de contratos adjudicados a PYMES según tipo de contrato y según procedimiento de licitación.</w:t>
      </w:r>
    </w:p>
    <w:p w14:paraId="3791C512" w14:textId="77777777" w:rsidR="00B9769A" w:rsidRPr="000147B1" w:rsidRDefault="00B9769A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información sobre contratos se encuentra incorporados en la PCSP, así como en el correspondiente apartado del Portal de Transparencia.</w:t>
      </w:r>
    </w:p>
    <w:p w14:paraId="0EC00DF7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218537F2" w14:textId="77777777" w:rsidR="00332FA7" w:rsidRPr="000147B1" w:rsidRDefault="00332FA7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0184080" w14:textId="3B65BDA1" w:rsidR="007154D5" w:rsidRPr="000147B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  <w:strike/>
        </w:rPr>
      </w:pPr>
      <w:r w:rsidRPr="000147B1">
        <w:rPr>
          <w:rFonts w:ascii="Century Gothic" w:hAnsi="Century Gothic"/>
        </w:rPr>
        <w:t>Información sobre las subcontrataciones derivadas de las encomiendas de gestión.  Esta información sólo es obtenible si se publica expresamente, ya que, a partir del documento de la encomienda, no es posible conocer el procedimiento de adjudicación de la subcontratación, el adjudicatario y la cuantía, ítems informativos que establece la LTAIBG para esta obligación</w:t>
      </w:r>
      <w:r w:rsidRPr="000147B1">
        <w:rPr>
          <w:rFonts w:ascii="Century Gothic" w:hAnsi="Century Gothic"/>
          <w:strike/>
        </w:rPr>
        <w:t>.</w:t>
      </w:r>
    </w:p>
    <w:p w14:paraId="772669A0" w14:textId="387F207A" w:rsidR="00B9769A" w:rsidRPr="000147B1" w:rsidRDefault="00B9769A" w:rsidP="00B9769A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Esta información requeriría un proceso de reelaboración para el organismo. No obstante, en todo caso, podría ser proporcionada a través de un</w:t>
      </w:r>
      <w:r w:rsidR="00EF73DD" w:rsidRPr="000147B1">
        <w:rPr>
          <w:rFonts w:ascii="Century Gothic" w:hAnsi="Century Gothic"/>
        </w:rPr>
        <w:t>a</w:t>
      </w:r>
      <w:r w:rsidRPr="000147B1">
        <w:rPr>
          <w:rFonts w:ascii="Century Gothic" w:hAnsi="Century Gothic"/>
        </w:rPr>
        <w:t xml:space="preserve"> solicitud de información tramitada por cualquier ciudadano interesado. De hecho, en los </w:t>
      </w:r>
      <w:r w:rsidR="00EF73DD" w:rsidRPr="000147B1">
        <w:rPr>
          <w:rFonts w:ascii="Century Gothic" w:hAnsi="Century Gothic"/>
        </w:rPr>
        <w:t>11</w:t>
      </w:r>
      <w:r w:rsidRPr="000147B1">
        <w:rPr>
          <w:rFonts w:ascii="Century Gothic" w:hAnsi="Century Gothic"/>
        </w:rPr>
        <w:t xml:space="preserve"> años de aplicación de la LTAIBG nunca ha sido solicitada la citada información.</w:t>
      </w:r>
    </w:p>
    <w:p w14:paraId="5B921AE1" w14:textId="77777777" w:rsidR="00EF73DD" w:rsidRPr="000147B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Información sobre las subvenciones o ayudas públicas concedidas por </w:t>
      </w:r>
      <w:r w:rsidR="008A77F6" w:rsidRPr="000147B1">
        <w:rPr>
          <w:rFonts w:ascii="Century Gothic" w:hAnsi="Century Gothic"/>
        </w:rPr>
        <w:t xml:space="preserve">la </w:t>
      </w:r>
      <w:r w:rsidR="00BE6305" w:rsidRPr="000147B1">
        <w:rPr>
          <w:rFonts w:ascii="Century Gothic" w:hAnsi="Century Gothic"/>
        </w:rPr>
        <w:t>Agencia</w:t>
      </w:r>
      <w:r w:rsidRPr="000147B1">
        <w:rPr>
          <w:rFonts w:ascii="Century Gothic" w:hAnsi="Century Gothic"/>
        </w:rPr>
        <w:t>. Esta información debe incluir el objeto de la subvención o ayuda, los beneficiarios y la cuantía concedida a cada uno de ellos.</w:t>
      </w:r>
      <w:r w:rsidR="00EF73DD" w:rsidRPr="000147B1">
        <w:t xml:space="preserve"> </w:t>
      </w:r>
    </w:p>
    <w:p w14:paraId="4D6F420B" w14:textId="6BE729D9" w:rsidR="007154D5" w:rsidRPr="000147B1" w:rsidRDefault="00993C38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Dentro de las funciones de AICA, no está la de conceder subvenciones.</w:t>
      </w:r>
    </w:p>
    <w:p w14:paraId="4B6A623F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7251E927" w14:textId="77777777" w:rsidR="00332FA7" w:rsidRPr="000147B1" w:rsidRDefault="00332FA7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695C3F0" w14:textId="6C008507" w:rsidR="00CB34FB" w:rsidRPr="000147B1" w:rsidRDefault="00CB34FB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Los presupuestos</w:t>
      </w:r>
      <w:r w:rsidR="00EF73DD" w:rsidRPr="000147B1">
        <w:rPr>
          <w:rFonts w:ascii="Century Gothic" w:hAnsi="Century Gothic"/>
        </w:rPr>
        <w:t>.</w:t>
      </w:r>
    </w:p>
    <w:p w14:paraId="6EC4D8C9" w14:textId="4E714831" w:rsidR="00EF73DD" w:rsidRPr="000147B1" w:rsidRDefault="00EF73DD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  <w:proofErr w:type="gramStart"/>
      <w:r w:rsidRPr="000147B1">
        <w:rPr>
          <w:rFonts w:ascii="Century Gothic" w:hAnsi="Century Gothic"/>
        </w:rPr>
        <w:t>La información sobre presupuestos se encuentran</w:t>
      </w:r>
      <w:proofErr w:type="gramEnd"/>
      <w:r w:rsidRPr="000147B1">
        <w:rPr>
          <w:rFonts w:ascii="Century Gothic" w:hAnsi="Century Gothic"/>
        </w:rPr>
        <w:t xml:space="preserve"> incorporados en la web de la SEPG, así como en el correspondiente apartado del Portal de Transparencia.</w:t>
      </w:r>
    </w:p>
    <w:p w14:paraId="0EDDE6F3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205242EB" w14:textId="77777777" w:rsidR="00332FA7" w:rsidRPr="000147B1" w:rsidRDefault="00332FA7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0458E24" w14:textId="11C627DF" w:rsidR="007154D5" w:rsidRPr="000147B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Información sobre ejecución presupuestaria</w:t>
      </w:r>
      <w:r w:rsidR="0056502A" w:rsidRPr="000147B1">
        <w:rPr>
          <w:rFonts w:ascii="Century Gothic" w:hAnsi="Century Gothic"/>
        </w:rPr>
        <w:t>.</w:t>
      </w:r>
    </w:p>
    <w:p w14:paraId="592EEC32" w14:textId="77777777" w:rsidR="00EF73DD" w:rsidRPr="000147B1" w:rsidRDefault="00EF73DD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  <w:proofErr w:type="gramStart"/>
      <w:r w:rsidRPr="000147B1">
        <w:rPr>
          <w:rFonts w:ascii="Century Gothic" w:hAnsi="Century Gothic"/>
        </w:rPr>
        <w:t>La información sobre presupuestos se encuentran</w:t>
      </w:r>
      <w:proofErr w:type="gramEnd"/>
      <w:r w:rsidRPr="000147B1">
        <w:rPr>
          <w:rFonts w:ascii="Century Gothic" w:hAnsi="Century Gothic"/>
        </w:rPr>
        <w:t xml:space="preserve"> incorporados en la web de la SEPG, así como en el correspondiente apartado del Portal de Transparencia.</w:t>
      </w:r>
    </w:p>
    <w:p w14:paraId="22800198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5E9C0531" w14:textId="77777777" w:rsidR="00332FA7" w:rsidRPr="000147B1" w:rsidRDefault="00332FA7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79F445D0" w14:textId="789181A7" w:rsidR="00CB34FB" w:rsidRPr="000147B1" w:rsidRDefault="00CB34FB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Las cuentas anuales</w:t>
      </w:r>
    </w:p>
    <w:p w14:paraId="648D663A" w14:textId="65F09FC6" w:rsidR="00EF73DD" w:rsidRPr="000147B1" w:rsidRDefault="00EF73DD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  <w:proofErr w:type="gramStart"/>
      <w:r w:rsidRPr="000147B1">
        <w:rPr>
          <w:rFonts w:ascii="Century Gothic" w:hAnsi="Century Gothic"/>
        </w:rPr>
        <w:t>La información sobre presupuestos se encuentran</w:t>
      </w:r>
      <w:proofErr w:type="gramEnd"/>
      <w:r w:rsidRPr="000147B1">
        <w:rPr>
          <w:rFonts w:ascii="Century Gothic" w:hAnsi="Century Gothic"/>
        </w:rPr>
        <w:t xml:space="preserve"> incorporados en la web de la SEPG, así como en el correspondiente apartado del Portal de Transparencia.</w:t>
      </w:r>
      <w:r w:rsidR="003C0BB6" w:rsidRPr="000147B1">
        <w:rPr>
          <w:rFonts w:ascii="Century Gothic" w:hAnsi="Century Gothic"/>
        </w:rPr>
        <w:t xml:space="preserve"> Asimismo, Las cuentas anuales completas y el informe de auditoría de cuentas están disponibles en la página web de la AICA, así como en el BOE.</w:t>
      </w:r>
    </w:p>
    <w:p w14:paraId="33BD05F7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12CBE92C" w14:textId="77777777" w:rsidR="00332FA7" w:rsidRPr="000147B1" w:rsidRDefault="00332FA7" w:rsidP="00EF73D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76AD55E" w14:textId="27F6F09A" w:rsidR="007154D5" w:rsidRPr="000147B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Los informes de auditoría y fiscalización elaborados por el Tribunal de Cuentas.</w:t>
      </w:r>
    </w:p>
    <w:p w14:paraId="194A2C5B" w14:textId="47372FBD" w:rsidR="00EF73DD" w:rsidRPr="000147B1" w:rsidRDefault="00EF73DD" w:rsidP="003C0BB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información sobre elaborada por el Tribunal de Cuentas se encuentra en la web del citado organismo.</w:t>
      </w:r>
      <w:r w:rsidR="003C0BB6" w:rsidRPr="000147B1">
        <w:rPr>
          <w:rFonts w:ascii="Century Gothic" w:hAnsi="Century Gothic"/>
        </w:rPr>
        <w:tab/>
      </w:r>
    </w:p>
    <w:p w14:paraId="608A0819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49AF2E24" w14:textId="77777777" w:rsidR="00332FA7" w:rsidRPr="000147B1" w:rsidRDefault="00332FA7" w:rsidP="003C0BB6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8884C44" w14:textId="09E35771" w:rsidR="007154D5" w:rsidRPr="000147B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Las retribuciones percibidas por altos cargos y máximos responsables.</w:t>
      </w:r>
    </w:p>
    <w:p w14:paraId="3523A813" w14:textId="31D02509" w:rsidR="003C0BB6" w:rsidRPr="000147B1" w:rsidRDefault="003C0BB6" w:rsidP="003C0BB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No procede, la persona que ejerce la dirección de la Agencia de Información y Control Alimentarios, O.A., tiene rango de Subdirector General (art. 5. RD 227/2014), por tanto, no tiene la condición de alto cargo.</w:t>
      </w:r>
    </w:p>
    <w:p w14:paraId="1200F497" w14:textId="76925471" w:rsidR="00332FA7" w:rsidRPr="000147B1" w:rsidRDefault="00332FA7" w:rsidP="003C0BB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No obstante, la retribución se encuentra publicada en el BOE a través de la Resolución de 7 de julio de 2019, de la Subsecretaría (BOE 15/07/2019), y la resolución de la convocatoria de libre designación, anunciada por Resolución de 29 de mayo de 2019 (BOE 1/06/2019).</w:t>
      </w:r>
    </w:p>
    <w:p w14:paraId="2E37D019" w14:textId="77777777" w:rsidR="00332FA7" w:rsidRPr="000147B1" w:rsidRDefault="00332FA7" w:rsidP="00332FA7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lastRenderedPageBreak/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14B63C66" w14:textId="77777777" w:rsidR="00332FA7" w:rsidRPr="000147B1" w:rsidRDefault="00332FA7" w:rsidP="003C0BB6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FE2B3BB" w14:textId="5CEAC9E3" w:rsidR="007154D5" w:rsidRPr="000147B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Las indemnizaciones percibidas por altos cargos y máximos responsables con ocasión del cese.</w:t>
      </w:r>
    </w:p>
    <w:p w14:paraId="6CF6BA74" w14:textId="77777777" w:rsidR="003C0BB6" w:rsidRPr="000147B1" w:rsidRDefault="003C0BB6" w:rsidP="003C0BB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No procede, la persona que ejerce la dirección de la Agencia de Información y Control Alimentarios, O.A., tiene rango de Subdirector General (art. 5. RD 227/2014), por tanto, no tiene la condición de alto cargo.</w:t>
      </w:r>
    </w:p>
    <w:p w14:paraId="4715DD68" w14:textId="19100BC7" w:rsidR="007154D5" w:rsidRPr="000147B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Las autorizaciones de compatibilidad concedidas a empleados </w:t>
      </w:r>
      <w:r w:rsidR="00BE6305" w:rsidRPr="000147B1">
        <w:rPr>
          <w:rFonts w:ascii="Century Gothic" w:hAnsi="Century Gothic"/>
        </w:rPr>
        <w:t>de la Agencia</w:t>
      </w:r>
      <w:r w:rsidR="0056502A" w:rsidRPr="000147B1">
        <w:rPr>
          <w:rFonts w:ascii="Century Gothic" w:hAnsi="Century Gothic"/>
        </w:rPr>
        <w:t>.</w:t>
      </w:r>
    </w:p>
    <w:p w14:paraId="68C06C32" w14:textId="7BB7F664" w:rsidR="00FF0DF5" w:rsidRPr="000147B1" w:rsidRDefault="00FF0DF5" w:rsidP="00FF0DF5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No procede.</w:t>
      </w:r>
      <w:r w:rsidRPr="000147B1">
        <w:t xml:space="preserve"> </w:t>
      </w:r>
      <w:r w:rsidRPr="000147B1">
        <w:rPr>
          <w:rFonts w:ascii="Century Gothic" w:hAnsi="Century Gothic"/>
        </w:rPr>
        <w:t>La compatibilidad con actividad privada compete al Ministerio de Transformación Digital y Función Pública.</w:t>
      </w:r>
    </w:p>
    <w:p w14:paraId="057E927B" w14:textId="648B3D90" w:rsidR="00D55DB7" w:rsidRPr="000147B1" w:rsidRDefault="007154D5" w:rsidP="00D55D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Las autorizaciones para el ejercicio de actividades privadas concedidas a altos cargos.</w:t>
      </w:r>
    </w:p>
    <w:p w14:paraId="1640090C" w14:textId="542C137D" w:rsidR="003C0BB6" w:rsidRPr="000147B1" w:rsidRDefault="003C0BB6" w:rsidP="003C0BB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No procede, la persona que ejerce la dirección de la Agencia de Información y Control Alimentarios, O.A., tiene rango de Subdirector General (art. 5. RD 227/2014), por tanto, no tiene la condición de alto cargo</w:t>
      </w:r>
      <w:r w:rsidR="00FF0DF5" w:rsidRPr="000147B1">
        <w:rPr>
          <w:rFonts w:ascii="Century Gothic" w:hAnsi="Century Gothic"/>
        </w:rPr>
        <w:t>, asimismo, la compatibilidad con actividad privada compete al Ministerio de Transformación Digital y Función Pública.</w:t>
      </w:r>
    </w:p>
    <w:p w14:paraId="4CC5AB28" w14:textId="29A7707F" w:rsidR="00D55DB7" w:rsidRPr="000147B1" w:rsidRDefault="00D55DB7" w:rsidP="003C0BB6">
      <w:pPr>
        <w:pStyle w:val="Sinespaciado"/>
        <w:numPr>
          <w:ilvl w:val="1"/>
          <w:numId w:val="20"/>
        </w:numPr>
        <w:spacing w:line="276" w:lineRule="auto"/>
        <w:ind w:left="1418" w:firstLine="425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En el bloque de información Patrimonial, los bienes inmuebles propiedad de AICA o sobre los que ejerza algún derecho real.</w:t>
      </w:r>
    </w:p>
    <w:p w14:paraId="176C1CAD" w14:textId="3C16095F" w:rsidR="003C0BB6" w:rsidRPr="000147B1" w:rsidRDefault="003C0BB6" w:rsidP="003C0BB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información sobre bienes inmuebles que sean de su propiedad o sobre los que ostenten algún derecho real se encuentran incorporados en el correspondiente apartado del Portal de Transparencia.</w:t>
      </w:r>
    </w:p>
    <w:p w14:paraId="29027350" w14:textId="77777777" w:rsidR="00E45A5F" w:rsidRPr="000147B1" w:rsidRDefault="00E45A5F" w:rsidP="00E45A5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07357627" w14:textId="77777777" w:rsidR="00E45A5F" w:rsidRPr="000147B1" w:rsidRDefault="00E45A5F" w:rsidP="003C0BB6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B683860" w14:textId="77777777" w:rsidR="00C52EE5" w:rsidRPr="000147B1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14:paraId="1847B217" w14:textId="17937668" w:rsidR="004061BC" w:rsidRPr="000147B1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Respecto del cumplimiento de los</w:t>
      </w:r>
      <w:r w:rsidR="00C52EE5" w:rsidRPr="000147B1">
        <w:rPr>
          <w:rFonts w:ascii="Century Gothic" w:hAnsi="Century Gothic"/>
        </w:rPr>
        <w:t xml:space="preserve"> </w:t>
      </w:r>
      <w:r w:rsidRPr="000147B1">
        <w:rPr>
          <w:rFonts w:ascii="Century Gothic" w:hAnsi="Century Gothic"/>
        </w:rPr>
        <w:t xml:space="preserve">criterios de calidad en la publicación de la información, </w:t>
      </w:r>
      <w:r w:rsidR="0076567C" w:rsidRPr="000147B1">
        <w:rPr>
          <w:rFonts w:ascii="Century Gothic" w:hAnsi="Century Gothic"/>
        </w:rPr>
        <w:t xml:space="preserve">gran parte de la información no está datada y </w:t>
      </w:r>
      <w:r w:rsidRPr="000147B1">
        <w:rPr>
          <w:rFonts w:ascii="Century Gothic" w:hAnsi="Century Gothic"/>
        </w:rPr>
        <w:t xml:space="preserve">sigue sin publicarse </w:t>
      </w:r>
      <w:r w:rsidR="004D4B3E" w:rsidRPr="000147B1">
        <w:rPr>
          <w:rFonts w:ascii="Century Gothic" w:hAnsi="Century Gothic"/>
        </w:rPr>
        <w:t xml:space="preserve">la fecha </w:t>
      </w:r>
      <w:r w:rsidRPr="000147B1">
        <w:rPr>
          <w:rFonts w:ascii="Century Gothic" w:hAnsi="Century Gothic"/>
        </w:rPr>
        <w:t xml:space="preserve">en </w:t>
      </w:r>
      <w:r w:rsidR="004D4B3E" w:rsidRPr="000147B1">
        <w:rPr>
          <w:rFonts w:ascii="Century Gothic" w:hAnsi="Century Gothic"/>
        </w:rPr>
        <w:t xml:space="preserve">que se revisó o actualizó por última vez </w:t>
      </w:r>
      <w:r w:rsidR="00CC3B31" w:rsidRPr="000147B1">
        <w:rPr>
          <w:rFonts w:ascii="Century Gothic" w:hAnsi="Century Gothic"/>
        </w:rPr>
        <w:t>la información obligatoria publicada en el Portal de Transparencia o en la web de la entidad.</w:t>
      </w:r>
    </w:p>
    <w:p w14:paraId="0F322516" w14:textId="77777777" w:rsidR="00D55DB7" w:rsidRPr="000147B1" w:rsidRDefault="00D55DB7" w:rsidP="00D55DB7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6244899D" w14:textId="5E0E7FEE" w:rsidR="00D55DB7" w:rsidRPr="000147B1" w:rsidRDefault="00D55DB7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Se reitera la recomendación de que en el caso de que no hubiera información que publicar, se señale expresamente esta circunstancia</w:t>
      </w:r>
    </w:p>
    <w:p w14:paraId="69FA7814" w14:textId="77777777" w:rsidR="00E45A5F" w:rsidRPr="000147B1" w:rsidRDefault="00E45A5F" w:rsidP="00E45A5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Se incorporarán enlaces en una página </w:t>
      </w:r>
      <w:r w:rsidRPr="000147B1">
        <w:rPr>
          <w:rFonts w:ascii="Century Gothic" w:hAnsi="Century Gothic"/>
          <w:i/>
          <w:iCs/>
        </w:rPr>
        <w:t>ad hoc</w:t>
      </w:r>
    </w:p>
    <w:p w14:paraId="7E359DFA" w14:textId="77777777" w:rsidR="00E45A5F" w:rsidRPr="000147B1" w:rsidRDefault="00E45A5F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58711354" w14:textId="77777777" w:rsidR="00D55DB7" w:rsidRPr="000147B1" w:rsidRDefault="00D55DB7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212EE63A" w14:textId="03DF269F" w:rsidR="008A77F6" w:rsidRPr="000147B1" w:rsidRDefault="00D55DB7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Finalmente, la información debe publicarse en formatos reutilizables según lo dispuesto por la Ley 17/2007, de reutilización de la información del sector público, proporcionando los documentos en formato abierto y legibles por máquina y </w:t>
      </w:r>
      <w:proofErr w:type="gramStart"/>
      <w:r w:rsidRPr="000147B1">
        <w:rPr>
          <w:rFonts w:ascii="Century Gothic" w:hAnsi="Century Gothic"/>
        </w:rPr>
        <w:t>conjuntamente con</w:t>
      </w:r>
      <w:proofErr w:type="gramEnd"/>
      <w:r w:rsidRPr="000147B1">
        <w:rPr>
          <w:rFonts w:ascii="Century Gothic" w:hAnsi="Century Gothic"/>
        </w:rPr>
        <w:t xml:space="preserve"> sus metadatos. Al menos, la información publicada debería permitir su edición (copiar y pegar)</w:t>
      </w:r>
    </w:p>
    <w:p w14:paraId="0F32C925" w14:textId="77777777" w:rsidR="003C0BB6" w:rsidRPr="000147B1" w:rsidRDefault="003C0BB6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0C714737" w14:textId="0BCE4F24" w:rsidR="003C0BB6" w:rsidRPr="000147B1" w:rsidRDefault="003C0BB6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>La información publicada en la propia web, así como sus documentos</w:t>
      </w:r>
      <w:r w:rsidR="00D61156" w:rsidRPr="000147B1">
        <w:rPr>
          <w:rFonts w:ascii="Century Gothic" w:hAnsi="Century Gothic"/>
        </w:rPr>
        <w:t xml:space="preserve">, como </w:t>
      </w:r>
      <w:r w:rsidRPr="000147B1">
        <w:rPr>
          <w:rFonts w:ascii="Century Gothic" w:hAnsi="Century Gothic"/>
        </w:rPr>
        <w:t>memorias</w:t>
      </w:r>
      <w:r w:rsidR="00D61156" w:rsidRPr="000147B1">
        <w:rPr>
          <w:rFonts w:ascii="Century Gothic" w:hAnsi="Century Gothic"/>
        </w:rPr>
        <w:t xml:space="preserve"> e</w:t>
      </w:r>
      <w:r w:rsidRPr="000147B1">
        <w:rPr>
          <w:rFonts w:ascii="Century Gothic" w:hAnsi="Century Gothic"/>
        </w:rPr>
        <w:t xml:space="preserve"> informes de actividad, se encuentra</w:t>
      </w:r>
      <w:r w:rsidR="00D61156" w:rsidRPr="000147B1">
        <w:rPr>
          <w:rFonts w:ascii="Century Gothic" w:hAnsi="Century Gothic"/>
        </w:rPr>
        <w:t>n</w:t>
      </w:r>
      <w:r w:rsidRPr="000147B1">
        <w:rPr>
          <w:rFonts w:ascii="Century Gothic" w:hAnsi="Century Gothic"/>
        </w:rPr>
        <w:t xml:space="preserve"> en formato </w:t>
      </w:r>
      <w:proofErr w:type="spellStart"/>
      <w:r w:rsidRPr="000147B1">
        <w:rPr>
          <w:rFonts w:ascii="Century Gothic" w:hAnsi="Century Gothic"/>
        </w:rPr>
        <w:t>pdf</w:t>
      </w:r>
      <w:proofErr w:type="spellEnd"/>
      <w:r w:rsidRPr="000147B1">
        <w:rPr>
          <w:rFonts w:ascii="Century Gothic" w:hAnsi="Century Gothic"/>
        </w:rPr>
        <w:t xml:space="preserve"> que permite su edición (cortar y pegar)</w:t>
      </w:r>
    </w:p>
    <w:p w14:paraId="1187CF89" w14:textId="77777777" w:rsidR="004D4B3E" w:rsidRPr="000147B1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22317092" w14:textId="07197C90" w:rsidR="004061BC" w:rsidRDefault="004061BC" w:rsidP="007154D5">
      <w:pPr>
        <w:pStyle w:val="Sinespaciado"/>
        <w:spacing w:line="276" w:lineRule="auto"/>
        <w:ind w:left="6480" w:firstLine="720"/>
        <w:jc w:val="both"/>
        <w:rPr>
          <w:rFonts w:ascii="Century Gothic" w:hAnsi="Century Gothic"/>
        </w:rPr>
      </w:pPr>
      <w:r w:rsidRPr="000147B1">
        <w:rPr>
          <w:rFonts w:ascii="Century Gothic" w:hAnsi="Century Gothic"/>
        </w:rPr>
        <w:t xml:space="preserve">Madrid, </w:t>
      </w:r>
      <w:r w:rsidR="00D55DB7" w:rsidRPr="000147B1">
        <w:rPr>
          <w:rFonts w:ascii="Century Gothic" w:hAnsi="Century Gothic"/>
        </w:rPr>
        <w:t>marzo</w:t>
      </w:r>
      <w:r w:rsidRPr="000147B1">
        <w:rPr>
          <w:rFonts w:ascii="Century Gothic" w:hAnsi="Century Gothic"/>
        </w:rPr>
        <w:t xml:space="preserve"> de 202</w:t>
      </w:r>
      <w:r w:rsidR="007154D5" w:rsidRPr="000147B1">
        <w:rPr>
          <w:rFonts w:ascii="Century Gothic" w:hAnsi="Century Gothic"/>
        </w:rPr>
        <w:t>4</w:t>
      </w:r>
    </w:p>
    <w:p w14:paraId="5DB8548C" w14:textId="77777777"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770511E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AE4BD93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449636F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E784130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6699A31" w14:textId="77777777" w:rsidR="004061BC" w:rsidRDefault="004061BC">
      <w:pPr>
        <w:rPr>
          <w:szCs w:val="22"/>
        </w:rPr>
      </w:pPr>
      <w:r>
        <w:br w:type="page"/>
      </w:r>
    </w:p>
    <w:p w14:paraId="0C4D15C8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449542E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1518"/>
        <w:gridCol w:w="2755"/>
        <w:gridCol w:w="757"/>
        <w:gridCol w:w="4049"/>
      </w:tblGrid>
      <w:tr w:rsidR="009654DA" w:rsidRPr="009654DA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9654DA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9654DA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9654DA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49D815C6"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05A2" w14:textId="77777777" w:rsidR="007E6993" w:rsidRDefault="007E6993" w:rsidP="00F31BC3">
      <w:r>
        <w:separator/>
      </w:r>
    </w:p>
  </w:endnote>
  <w:endnote w:type="continuationSeparator" w:id="0">
    <w:p w14:paraId="090802FB" w14:textId="77777777" w:rsidR="007E6993" w:rsidRDefault="007E699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8D5F" w14:textId="77777777" w:rsidR="00AC5358" w:rsidRDefault="00AC53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7876" w14:textId="77777777" w:rsidR="00AC5358" w:rsidRDefault="00AC53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2D41" w14:textId="77777777" w:rsidR="00AC5358" w:rsidRDefault="00AC53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7109" w14:textId="77777777" w:rsidR="007E6993" w:rsidRDefault="007E6993" w:rsidP="00F31BC3">
      <w:r>
        <w:separator/>
      </w:r>
    </w:p>
  </w:footnote>
  <w:footnote w:type="continuationSeparator" w:id="0">
    <w:p w14:paraId="57F8559E" w14:textId="77777777" w:rsidR="007E6993" w:rsidRDefault="007E699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5B34" w14:textId="58368749" w:rsidR="00AC5358" w:rsidRDefault="00000000">
    <w:pPr>
      <w:pStyle w:val="Encabezado"/>
    </w:pPr>
    <w:r>
      <w:rPr>
        <w:noProof/>
      </w:rPr>
      <w:pict w14:anchorId="25917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50751" o:spid="_x0000_s1026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8FDD" w14:textId="3393F293" w:rsidR="00AC5358" w:rsidRDefault="00000000">
    <w:pPr>
      <w:pStyle w:val="Encabezado"/>
    </w:pPr>
    <w:r>
      <w:rPr>
        <w:noProof/>
      </w:rPr>
      <w:pict w14:anchorId="0FC27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50752" o:spid="_x0000_s1027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A1FA" w14:textId="7ADDE9B2" w:rsidR="00AC5358" w:rsidRDefault="00000000">
    <w:pPr>
      <w:pStyle w:val="Encabezado"/>
    </w:pPr>
    <w:r>
      <w:rPr>
        <w:noProof/>
      </w:rPr>
      <w:pict w14:anchorId="127DB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50750" o:spid="_x0000_s1025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B15"/>
    <w:multiLevelType w:val="hybridMultilevel"/>
    <w:tmpl w:val="308AA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7626B2B"/>
    <w:multiLevelType w:val="hybridMultilevel"/>
    <w:tmpl w:val="0136C1A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CE04273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268F4"/>
    <w:multiLevelType w:val="hybridMultilevel"/>
    <w:tmpl w:val="5C6CF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41725"/>
    <w:multiLevelType w:val="hybridMultilevel"/>
    <w:tmpl w:val="34DE9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60456">
    <w:abstractNumId w:val="9"/>
  </w:num>
  <w:num w:numId="2" w16cid:durableId="929316798">
    <w:abstractNumId w:val="19"/>
  </w:num>
  <w:num w:numId="3" w16cid:durableId="1775126537">
    <w:abstractNumId w:val="10"/>
  </w:num>
  <w:num w:numId="4" w16cid:durableId="1466924413">
    <w:abstractNumId w:val="0"/>
  </w:num>
  <w:num w:numId="5" w16cid:durableId="770395084">
    <w:abstractNumId w:val="15"/>
  </w:num>
  <w:num w:numId="6" w16cid:durableId="1418136109">
    <w:abstractNumId w:val="18"/>
  </w:num>
  <w:num w:numId="7" w16cid:durableId="1823615189">
    <w:abstractNumId w:val="14"/>
  </w:num>
  <w:num w:numId="8" w16cid:durableId="61758976">
    <w:abstractNumId w:val="1"/>
  </w:num>
  <w:num w:numId="9" w16cid:durableId="1431123953">
    <w:abstractNumId w:val="4"/>
  </w:num>
  <w:num w:numId="10" w16cid:durableId="1854031831">
    <w:abstractNumId w:val="3"/>
  </w:num>
  <w:num w:numId="11" w16cid:durableId="45102737">
    <w:abstractNumId w:val="20"/>
  </w:num>
  <w:num w:numId="12" w16cid:durableId="46027181">
    <w:abstractNumId w:val="13"/>
  </w:num>
  <w:num w:numId="13" w16cid:durableId="1206019015">
    <w:abstractNumId w:val="8"/>
  </w:num>
  <w:num w:numId="14" w16cid:durableId="1261333107">
    <w:abstractNumId w:val="21"/>
  </w:num>
  <w:num w:numId="15" w16cid:durableId="1706978950">
    <w:abstractNumId w:val="2"/>
  </w:num>
  <w:num w:numId="16" w16cid:durableId="2084642222">
    <w:abstractNumId w:val="24"/>
  </w:num>
  <w:num w:numId="17" w16cid:durableId="151139893">
    <w:abstractNumId w:val="12"/>
  </w:num>
  <w:num w:numId="18" w16cid:durableId="1720591023">
    <w:abstractNumId w:val="7"/>
  </w:num>
  <w:num w:numId="19" w16cid:durableId="2007512696">
    <w:abstractNumId w:val="6"/>
  </w:num>
  <w:num w:numId="20" w16cid:durableId="1932084788">
    <w:abstractNumId w:val="16"/>
  </w:num>
  <w:num w:numId="21" w16cid:durableId="1445418030">
    <w:abstractNumId w:val="25"/>
  </w:num>
  <w:num w:numId="22" w16cid:durableId="1510217735">
    <w:abstractNumId w:val="22"/>
  </w:num>
  <w:num w:numId="23" w16cid:durableId="604844819">
    <w:abstractNumId w:val="11"/>
  </w:num>
  <w:num w:numId="24" w16cid:durableId="496844407">
    <w:abstractNumId w:val="17"/>
  </w:num>
  <w:num w:numId="25" w16cid:durableId="1487433093">
    <w:abstractNumId w:val="5"/>
  </w:num>
  <w:num w:numId="26" w16cid:durableId="20088205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47B1"/>
    <w:rsid w:val="00016718"/>
    <w:rsid w:val="00032D8A"/>
    <w:rsid w:val="00040AF4"/>
    <w:rsid w:val="00053A0E"/>
    <w:rsid w:val="000553C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375F0"/>
    <w:rsid w:val="00146C3C"/>
    <w:rsid w:val="00164876"/>
    <w:rsid w:val="001763F8"/>
    <w:rsid w:val="00183301"/>
    <w:rsid w:val="00187CDD"/>
    <w:rsid w:val="001939F3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6A0E"/>
    <w:rsid w:val="001E763F"/>
    <w:rsid w:val="0021682B"/>
    <w:rsid w:val="00225D96"/>
    <w:rsid w:val="00231D61"/>
    <w:rsid w:val="00243294"/>
    <w:rsid w:val="00244EDA"/>
    <w:rsid w:val="002467FA"/>
    <w:rsid w:val="00250846"/>
    <w:rsid w:val="00263F79"/>
    <w:rsid w:val="0029419B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2FA7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C0BB6"/>
    <w:rsid w:val="003D2C4A"/>
    <w:rsid w:val="003E564B"/>
    <w:rsid w:val="003E5D2F"/>
    <w:rsid w:val="003F4DDD"/>
    <w:rsid w:val="003F6AD2"/>
    <w:rsid w:val="003F6EDC"/>
    <w:rsid w:val="004061BC"/>
    <w:rsid w:val="004143F2"/>
    <w:rsid w:val="00415DBD"/>
    <w:rsid w:val="00422B18"/>
    <w:rsid w:val="004720A5"/>
    <w:rsid w:val="0047735C"/>
    <w:rsid w:val="004859CC"/>
    <w:rsid w:val="0049326F"/>
    <w:rsid w:val="004A1663"/>
    <w:rsid w:val="004C6440"/>
    <w:rsid w:val="004D4B3E"/>
    <w:rsid w:val="004D50CC"/>
    <w:rsid w:val="004D7037"/>
    <w:rsid w:val="004E7B33"/>
    <w:rsid w:val="005019BE"/>
    <w:rsid w:val="00506864"/>
    <w:rsid w:val="00521C69"/>
    <w:rsid w:val="005301DF"/>
    <w:rsid w:val="00536832"/>
    <w:rsid w:val="00537AFB"/>
    <w:rsid w:val="00540929"/>
    <w:rsid w:val="00563295"/>
    <w:rsid w:val="005639CD"/>
    <w:rsid w:val="00564E23"/>
    <w:rsid w:val="0056502A"/>
    <w:rsid w:val="00582A8C"/>
    <w:rsid w:val="005B1544"/>
    <w:rsid w:val="005C4778"/>
    <w:rsid w:val="005D1F32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87985"/>
    <w:rsid w:val="0069673B"/>
    <w:rsid w:val="006B2C2E"/>
    <w:rsid w:val="006B75D8"/>
    <w:rsid w:val="006C0CDD"/>
    <w:rsid w:val="006D49E7"/>
    <w:rsid w:val="006D4C90"/>
    <w:rsid w:val="006E75DE"/>
    <w:rsid w:val="006F4719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3A45"/>
    <w:rsid w:val="007C65C5"/>
    <w:rsid w:val="007D1701"/>
    <w:rsid w:val="007D5CBF"/>
    <w:rsid w:val="007D69D9"/>
    <w:rsid w:val="007E6993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476EB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B3C7E"/>
    <w:rsid w:val="008B476B"/>
    <w:rsid w:val="008D6E75"/>
    <w:rsid w:val="008E09B7"/>
    <w:rsid w:val="008F25EB"/>
    <w:rsid w:val="008F2EF6"/>
    <w:rsid w:val="00902A71"/>
    <w:rsid w:val="009039FD"/>
    <w:rsid w:val="00903FE0"/>
    <w:rsid w:val="0091159B"/>
    <w:rsid w:val="00912DB4"/>
    <w:rsid w:val="00912E49"/>
    <w:rsid w:val="00947271"/>
    <w:rsid w:val="009654DA"/>
    <w:rsid w:val="00965C69"/>
    <w:rsid w:val="00982299"/>
    <w:rsid w:val="00993C38"/>
    <w:rsid w:val="00993D2A"/>
    <w:rsid w:val="009A15A6"/>
    <w:rsid w:val="009B75CD"/>
    <w:rsid w:val="009B7998"/>
    <w:rsid w:val="009C5469"/>
    <w:rsid w:val="009D2D1D"/>
    <w:rsid w:val="009D35A4"/>
    <w:rsid w:val="009D3CC3"/>
    <w:rsid w:val="009D4047"/>
    <w:rsid w:val="009D78D2"/>
    <w:rsid w:val="009E049D"/>
    <w:rsid w:val="009E1C3F"/>
    <w:rsid w:val="009E2E6F"/>
    <w:rsid w:val="009E7254"/>
    <w:rsid w:val="00A03993"/>
    <w:rsid w:val="00A05F57"/>
    <w:rsid w:val="00A0626F"/>
    <w:rsid w:val="00A06BF1"/>
    <w:rsid w:val="00A0730E"/>
    <w:rsid w:val="00A10B8C"/>
    <w:rsid w:val="00A1361E"/>
    <w:rsid w:val="00A237EE"/>
    <w:rsid w:val="00A249BB"/>
    <w:rsid w:val="00A24E51"/>
    <w:rsid w:val="00A41A90"/>
    <w:rsid w:val="00A41CB7"/>
    <w:rsid w:val="00A51AAD"/>
    <w:rsid w:val="00A670E9"/>
    <w:rsid w:val="00A82709"/>
    <w:rsid w:val="00AA0AE1"/>
    <w:rsid w:val="00AC2723"/>
    <w:rsid w:val="00AC4A6F"/>
    <w:rsid w:val="00AC5358"/>
    <w:rsid w:val="00AD6065"/>
    <w:rsid w:val="00AE4F68"/>
    <w:rsid w:val="00AE6A4F"/>
    <w:rsid w:val="00AF0253"/>
    <w:rsid w:val="00AF196B"/>
    <w:rsid w:val="00AF5151"/>
    <w:rsid w:val="00B1184C"/>
    <w:rsid w:val="00B220EC"/>
    <w:rsid w:val="00B5314A"/>
    <w:rsid w:val="00B56A3A"/>
    <w:rsid w:val="00B7547A"/>
    <w:rsid w:val="00B77B79"/>
    <w:rsid w:val="00B77C12"/>
    <w:rsid w:val="00B85EA1"/>
    <w:rsid w:val="00B87734"/>
    <w:rsid w:val="00B87AA0"/>
    <w:rsid w:val="00B9769A"/>
    <w:rsid w:val="00BA03C4"/>
    <w:rsid w:val="00BA14E6"/>
    <w:rsid w:val="00BA3611"/>
    <w:rsid w:val="00BA4354"/>
    <w:rsid w:val="00BB2529"/>
    <w:rsid w:val="00BB2FBA"/>
    <w:rsid w:val="00BB3652"/>
    <w:rsid w:val="00BC61D1"/>
    <w:rsid w:val="00BD18E4"/>
    <w:rsid w:val="00BD1E44"/>
    <w:rsid w:val="00BD2172"/>
    <w:rsid w:val="00BD2842"/>
    <w:rsid w:val="00BE6305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34FB"/>
    <w:rsid w:val="00CB6837"/>
    <w:rsid w:val="00CC3B31"/>
    <w:rsid w:val="00CC48E8"/>
    <w:rsid w:val="00CD0FA1"/>
    <w:rsid w:val="00CD3DE8"/>
    <w:rsid w:val="00CE50EE"/>
    <w:rsid w:val="00CF21EB"/>
    <w:rsid w:val="00D014E1"/>
    <w:rsid w:val="00D01CA1"/>
    <w:rsid w:val="00D1453D"/>
    <w:rsid w:val="00D41F4C"/>
    <w:rsid w:val="00D45F5C"/>
    <w:rsid w:val="00D520C8"/>
    <w:rsid w:val="00D5465D"/>
    <w:rsid w:val="00D55DB7"/>
    <w:rsid w:val="00D61156"/>
    <w:rsid w:val="00D671B7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45A5F"/>
    <w:rsid w:val="00E51AC4"/>
    <w:rsid w:val="00E6528C"/>
    <w:rsid w:val="00E73F4D"/>
    <w:rsid w:val="00E83650"/>
    <w:rsid w:val="00EB68A3"/>
    <w:rsid w:val="00EC39C5"/>
    <w:rsid w:val="00EC6A3E"/>
    <w:rsid w:val="00ED30F1"/>
    <w:rsid w:val="00ED57F6"/>
    <w:rsid w:val="00ED6104"/>
    <w:rsid w:val="00ED7D79"/>
    <w:rsid w:val="00EE42B1"/>
    <w:rsid w:val="00EE5F85"/>
    <w:rsid w:val="00EF4B82"/>
    <w:rsid w:val="00EF5B46"/>
    <w:rsid w:val="00EF6910"/>
    <w:rsid w:val="00EF73DD"/>
    <w:rsid w:val="00F00C74"/>
    <w:rsid w:val="00F04B4F"/>
    <w:rsid w:val="00F05E2C"/>
    <w:rsid w:val="00F132F9"/>
    <w:rsid w:val="00F23609"/>
    <w:rsid w:val="00F24BAF"/>
    <w:rsid w:val="00F25044"/>
    <w:rsid w:val="00F31BC3"/>
    <w:rsid w:val="00F31E7F"/>
    <w:rsid w:val="00F36022"/>
    <w:rsid w:val="00F361B3"/>
    <w:rsid w:val="00F614CD"/>
    <w:rsid w:val="00F724B6"/>
    <w:rsid w:val="00F7274D"/>
    <w:rsid w:val="00F94891"/>
    <w:rsid w:val="00F95333"/>
    <w:rsid w:val="00FA0C58"/>
    <w:rsid w:val="00FA11BE"/>
    <w:rsid w:val="00FA1911"/>
    <w:rsid w:val="00FA5997"/>
    <w:rsid w:val="00FA5AFD"/>
    <w:rsid w:val="00FA6255"/>
    <w:rsid w:val="00FB5F9E"/>
    <w:rsid w:val="00FC4E74"/>
    <w:rsid w:val="00FD4E10"/>
    <w:rsid w:val="00FF0DF5"/>
    <w:rsid w:val="00FF15FB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F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transparencia.gob.es/transparencia/dam/jcr:0b32bd76-6e7e-454b-ba3c-1f19cb218c75/ORG-MAPA-OP-AICA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A5518"/>
    <w:rsid w:val="00111B02"/>
    <w:rsid w:val="00127690"/>
    <w:rsid w:val="00443EA4"/>
    <w:rsid w:val="004C544F"/>
    <w:rsid w:val="00583D19"/>
    <w:rsid w:val="005865B3"/>
    <w:rsid w:val="00722728"/>
    <w:rsid w:val="00787EBD"/>
    <w:rsid w:val="007C3485"/>
    <w:rsid w:val="00884551"/>
    <w:rsid w:val="008E118A"/>
    <w:rsid w:val="00A04651"/>
    <w:rsid w:val="00A104A7"/>
    <w:rsid w:val="00AB484A"/>
    <w:rsid w:val="00BD17CC"/>
    <w:rsid w:val="00C32372"/>
    <w:rsid w:val="00D60B8C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</Template>
  <TotalTime>1</TotalTime>
  <Pages>11</Pages>
  <Words>2975</Words>
  <Characters>16363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Gema Hernandez Maroñas</cp:lastModifiedBy>
  <cp:revision>2</cp:revision>
  <cp:lastPrinted>2008-09-26T23:14:00Z</cp:lastPrinted>
  <dcterms:created xsi:type="dcterms:W3CDTF">2024-06-03T14:06:00Z</dcterms:created>
  <dcterms:modified xsi:type="dcterms:W3CDTF">2024-06-03T14:06:00Z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