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012E753F"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A52A4D">
        <w:rPr>
          <w:color w:val="079386"/>
        </w:rPr>
        <w:t>LOGIRAIL SA,</w:t>
      </w:r>
      <w:r w:rsidR="00FA580C">
        <w:rPr>
          <w:color w:val="079386"/>
        </w:rPr>
        <w:t xml:space="preserve"> </w:t>
      </w:r>
      <w:r w:rsidR="00A52A4D">
        <w:rPr>
          <w:color w:val="079386"/>
        </w:rPr>
        <w:t>SME</w:t>
      </w:r>
      <w:r w:rsidR="007704A4">
        <w:rPr>
          <w:color w:val="079386"/>
        </w:rPr>
        <w:t xml:space="preserve">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14:paraId="5E6F6CF0" w14:textId="6E1D21F2"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</w:t>
      </w:r>
      <w:r w:rsidR="00FA580C">
        <w:rPr>
          <w:rFonts w:asciiTheme="minorHAnsi" w:hAnsiTheme="minorHAnsi" w:cstheme="minorHAnsi"/>
          <w:szCs w:val="24"/>
        </w:rPr>
        <w:t>correo</w:t>
      </w:r>
      <w:r w:rsidR="00C25FA5">
        <w:rPr>
          <w:rFonts w:asciiTheme="minorHAnsi" w:hAnsiTheme="minorHAnsi" w:cstheme="minorHAnsi"/>
          <w:szCs w:val="24"/>
        </w:rPr>
        <w:t xml:space="preserve">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FA580C">
        <w:rPr>
          <w:rFonts w:asciiTheme="minorHAnsi" w:hAnsiTheme="minorHAnsi" w:cstheme="minorHAnsi"/>
          <w:szCs w:val="24"/>
        </w:rPr>
        <w:t>15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FA580C">
        <w:rPr>
          <w:rFonts w:asciiTheme="minorHAnsi" w:hAnsiTheme="minorHAnsi" w:cstheme="minorHAnsi"/>
          <w:szCs w:val="24"/>
        </w:rPr>
        <w:t>abril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FA580C">
        <w:rPr>
          <w:rFonts w:asciiTheme="minorHAnsi" w:hAnsiTheme="minorHAnsi" w:cstheme="minorHAnsi"/>
          <w:szCs w:val="24"/>
        </w:rPr>
        <w:t>4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14:paraId="73B32EE4" w14:textId="77777777"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3C1ADCC3" w14:textId="24243559" w:rsidR="007704A4" w:rsidRDefault="00FA580C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Se aceptan las siguientes observaciones</w:t>
      </w:r>
      <w:r w:rsidR="007704A4">
        <w:rPr>
          <w:rFonts w:asciiTheme="minorHAnsi" w:hAnsiTheme="minorHAnsi" w:cstheme="minorHAnsi"/>
          <w:b/>
          <w:szCs w:val="24"/>
        </w:rPr>
        <w:t>.</w:t>
      </w:r>
    </w:p>
    <w:p w14:paraId="1C1F6A48" w14:textId="65BA3F2F" w:rsidR="00FA580C" w:rsidRPr="00FA580C" w:rsidRDefault="00FA580C" w:rsidP="00FA580C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Cs/>
          <w:szCs w:val="24"/>
        </w:rPr>
      </w:pPr>
      <w:r w:rsidRPr="00FA580C">
        <w:rPr>
          <w:rFonts w:asciiTheme="minorHAnsi" w:hAnsiTheme="minorHAnsi" w:cstheme="minorHAnsi"/>
          <w:bCs/>
          <w:szCs w:val="24"/>
        </w:rPr>
        <w:t>La publicación de la normativa de carácter general aplicable a la sociedad. Esta obligación se había considerado totalmente cumplida, aunque</w:t>
      </w:r>
      <w:r w:rsidR="0049491F">
        <w:rPr>
          <w:rFonts w:asciiTheme="minorHAnsi" w:hAnsiTheme="minorHAnsi" w:cstheme="minorHAnsi"/>
          <w:bCs/>
          <w:szCs w:val="24"/>
        </w:rPr>
        <w:t>,</w:t>
      </w:r>
      <w:r w:rsidRPr="00FA580C">
        <w:rPr>
          <w:rFonts w:asciiTheme="minorHAnsi" w:hAnsiTheme="minorHAnsi" w:cstheme="minorHAnsi"/>
          <w:bCs/>
          <w:szCs w:val="24"/>
        </w:rPr>
        <w:t xml:space="preserve"> por error</w:t>
      </w:r>
      <w:r>
        <w:rPr>
          <w:rFonts w:asciiTheme="minorHAnsi" w:hAnsiTheme="minorHAnsi" w:cstheme="minorHAnsi"/>
          <w:bCs/>
          <w:szCs w:val="24"/>
        </w:rPr>
        <w:t>, se incluyó una referencia a la falta de publicación en el informe de evaluación. Se corrige el informe de evaluación.</w:t>
      </w:r>
    </w:p>
    <w:p w14:paraId="6D93E919" w14:textId="77777777" w:rsidR="007704A4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14:paraId="5633FDF7" w14:textId="77777777" w:rsidR="00FA580C" w:rsidRDefault="00FA580C" w:rsidP="00FA580C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FA580C">
        <w:rPr>
          <w:rFonts w:asciiTheme="minorHAnsi" w:hAnsiTheme="minorHAnsi" w:cstheme="minorHAnsi"/>
          <w:b/>
          <w:bCs/>
          <w:szCs w:val="24"/>
        </w:rPr>
        <w:t>No se aceptan las siguientes observaciones</w:t>
      </w:r>
      <w:r>
        <w:rPr>
          <w:rFonts w:asciiTheme="minorHAnsi" w:hAnsiTheme="minorHAnsi" w:cstheme="minorHAnsi"/>
          <w:szCs w:val="24"/>
        </w:rPr>
        <w:t>:</w:t>
      </w:r>
    </w:p>
    <w:p w14:paraId="59E17EBC" w14:textId="533C5155" w:rsidR="00FA580C" w:rsidRDefault="00FA580C" w:rsidP="00FA580C">
      <w:pPr>
        <w:pStyle w:val="Prrafodelista"/>
        <w:numPr>
          <w:ilvl w:val="1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Información estadística sobre contratos adjudicados a </w:t>
      </w:r>
      <w:proofErr w:type="spellStart"/>
      <w:r>
        <w:rPr>
          <w:rFonts w:asciiTheme="minorHAnsi" w:hAnsiTheme="minorHAnsi" w:cstheme="minorHAnsi"/>
          <w:szCs w:val="24"/>
        </w:rPr>
        <w:t>PYMEs</w:t>
      </w:r>
      <w:proofErr w:type="spellEnd"/>
      <w:r>
        <w:rPr>
          <w:rFonts w:asciiTheme="minorHAnsi" w:hAnsiTheme="minorHAnsi" w:cstheme="minorHAnsi"/>
          <w:szCs w:val="24"/>
        </w:rPr>
        <w:t xml:space="preserve">. Efectivamente </w:t>
      </w:r>
      <w:proofErr w:type="spellStart"/>
      <w:r>
        <w:rPr>
          <w:rFonts w:asciiTheme="minorHAnsi" w:hAnsiTheme="minorHAnsi" w:cstheme="minorHAnsi"/>
          <w:szCs w:val="24"/>
        </w:rPr>
        <w:t>LogiRail</w:t>
      </w:r>
      <w:proofErr w:type="spellEnd"/>
      <w:r>
        <w:rPr>
          <w:rFonts w:asciiTheme="minorHAnsi" w:hAnsiTheme="minorHAnsi" w:cstheme="minorHAnsi"/>
          <w:szCs w:val="24"/>
        </w:rPr>
        <w:t xml:space="preserve"> ha incluido una columna en la que se informa sobre la condición de Pyme o no, de las empresas adjudicatarias de las licitaciones. El problema es que la obligación hace referencia </w:t>
      </w:r>
      <w:r w:rsidR="0049491F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l número y el porcentaje en volumen presupuestario de los contratos adjudicados a </w:t>
      </w:r>
      <w:proofErr w:type="spellStart"/>
      <w:r>
        <w:rPr>
          <w:rFonts w:asciiTheme="minorHAnsi" w:hAnsiTheme="minorHAnsi" w:cstheme="minorHAnsi"/>
          <w:szCs w:val="24"/>
        </w:rPr>
        <w:t>PYMEs</w:t>
      </w:r>
      <w:proofErr w:type="spellEnd"/>
      <w:r>
        <w:rPr>
          <w:rFonts w:asciiTheme="minorHAnsi" w:hAnsiTheme="minorHAnsi" w:cstheme="minorHAnsi"/>
          <w:szCs w:val="24"/>
        </w:rPr>
        <w:t xml:space="preserve"> según tipo de contrato y según procedimiento de licitación. Se trata de información estadística agregada. A través de este enlace </w:t>
      </w:r>
      <w:hyperlink r:id="rId8" w:history="1">
        <w:r w:rsidRPr="00534499">
          <w:rPr>
            <w:rStyle w:val="Hipervnculo"/>
            <w:rFonts w:asciiTheme="minorHAnsi" w:hAnsiTheme="minorHAnsi" w:cstheme="minorHAnsi"/>
            <w:szCs w:val="24"/>
          </w:rPr>
          <w:t>https://www.consejodetransparencia.es/ct_Home/transparencia/portal-transparencia/informacion-econ/contratos.html</w:t>
        </w:r>
      </w:hyperlink>
      <w:r>
        <w:rPr>
          <w:rFonts w:asciiTheme="minorHAnsi" w:hAnsiTheme="minorHAnsi" w:cstheme="minorHAnsi"/>
          <w:szCs w:val="24"/>
        </w:rPr>
        <w:t xml:space="preserve">, se localiza esta información relativa al CTBG que puede servir de orientación para </w:t>
      </w:r>
      <w:r w:rsidR="0049491F">
        <w:rPr>
          <w:rFonts w:asciiTheme="minorHAnsi" w:hAnsiTheme="minorHAnsi" w:cstheme="minorHAnsi"/>
          <w:szCs w:val="24"/>
        </w:rPr>
        <w:t>su</w:t>
      </w:r>
      <w:r>
        <w:rPr>
          <w:rFonts w:asciiTheme="minorHAnsi" w:hAnsiTheme="minorHAnsi" w:cstheme="minorHAnsi"/>
          <w:szCs w:val="24"/>
        </w:rPr>
        <w:t xml:space="preserve"> elaboración.</w:t>
      </w:r>
      <w:r w:rsidR="001C701F">
        <w:rPr>
          <w:rFonts w:asciiTheme="minorHAnsi" w:hAnsiTheme="minorHAnsi" w:cstheme="minorHAnsi"/>
          <w:szCs w:val="24"/>
        </w:rPr>
        <w:t xml:space="preserve"> No obstante, se ha considerado parcialmente cumplida la obligación, dado que se aporta información para cada licitación, aunque no en los términos establecidos en la LTAIBG.</w:t>
      </w:r>
    </w:p>
    <w:p w14:paraId="5E625021" w14:textId="216403A3" w:rsidR="007704A4" w:rsidRDefault="00FA580C" w:rsidP="00FA580C">
      <w:pPr>
        <w:pStyle w:val="Prrafodelista"/>
        <w:numPr>
          <w:ilvl w:val="1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En cuanto a las autorizaciones de compatibilidad concedidas a empleados, la información a la que hace referencia </w:t>
      </w:r>
      <w:proofErr w:type="spellStart"/>
      <w:r>
        <w:rPr>
          <w:rFonts w:asciiTheme="minorHAnsi" w:hAnsiTheme="minorHAnsi" w:cstheme="minorHAnsi"/>
          <w:szCs w:val="24"/>
        </w:rPr>
        <w:t>LogiRail</w:t>
      </w:r>
      <w:proofErr w:type="spellEnd"/>
      <w:r>
        <w:rPr>
          <w:rFonts w:asciiTheme="minorHAnsi" w:hAnsiTheme="minorHAnsi" w:cstheme="minorHAnsi"/>
          <w:szCs w:val="24"/>
        </w:rPr>
        <w:t xml:space="preserve">, es la correspondiente a las autorizaciones para el ejercicio de actividades privadas concedidas a altos cargos tras el cese. Esta es una obligación diferente de la </w:t>
      </w:r>
      <w:r w:rsidR="0049491F">
        <w:rPr>
          <w:rFonts w:asciiTheme="minorHAnsi" w:hAnsiTheme="minorHAnsi" w:cstheme="minorHAnsi"/>
          <w:szCs w:val="24"/>
        </w:rPr>
        <w:t>relativa a la publicación de las autorizaciones de compatibilidad con actividades públicas y privadas concedidas a empleados. Es para esta segunda obligación para la que no se ha localizado información.</w:t>
      </w:r>
    </w:p>
    <w:p w14:paraId="14EC4196" w14:textId="77777777" w:rsidR="0049491F" w:rsidRDefault="0049491F" w:rsidP="0049491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14:paraId="35F1209C" w14:textId="1EDF0A7B" w:rsidR="0049491F" w:rsidRPr="00FA580C" w:rsidRDefault="0049491F" w:rsidP="0049491F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ha revisado de oficio la valoración del Índice de Cumplimiento, ya que se ha detectado un error en la fórmula a través de la que se calcula el cumplimiento del bloque de información económica y presupuestaria. Tras esta revisión </w:t>
      </w:r>
      <w:r w:rsidR="001C701F">
        <w:rPr>
          <w:rFonts w:asciiTheme="minorHAnsi" w:hAnsiTheme="minorHAnsi" w:cstheme="minorHAnsi"/>
          <w:szCs w:val="24"/>
        </w:rPr>
        <w:t xml:space="preserve">más la relativa al cumplimiento parcial de la obligación </w:t>
      </w:r>
      <w:r w:rsidR="001C701F">
        <w:rPr>
          <w:rFonts w:asciiTheme="minorHAnsi" w:hAnsiTheme="minorHAnsi" w:cstheme="minorHAnsi"/>
          <w:szCs w:val="24"/>
        </w:rPr>
        <w:lastRenderedPageBreak/>
        <w:t xml:space="preserve">información estadística sobre contratación de </w:t>
      </w:r>
      <w:proofErr w:type="spellStart"/>
      <w:r w:rsidR="001C701F">
        <w:rPr>
          <w:rFonts w:asciiTheme="minorHAnsi" w:hAnsiTheme="minorHAnsi" w:cstheme="minorHAnsi"/>
          <w:szCs w:val="24"/>
        </w:rPr>
        <w:t>PYMEs</w:t>
      </w:r>
      <w:proofErr w:type="spellEnd"/>
      <w:r w:rsidR="001C701F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el Índice de Cumplimiento obtenido por </w:t>
      </w:r>
      <w:proofErr w:type="spellStart"/>
      <w:r>
        <w:rPr>
          <w:rFonts w:asciiTheme="minorHAnsi" w:hAnsiTheme="minorHAnsi" w:cstheme="minorHAnsi"/>
          <w:szCs w:val="24"/>
        </w:rPr>
        <w:t>LogRail</w:t>
      </w:r>
      <w:proofErr w:type="spellEnd"/>
      <w:r>
        <w:rPr>
          <w:rFonts w:asciiTheme="minorHAnsi" w:hAnsiTheme="minorHAnsi" w:cstheme="minorHAnsi"/>
          <w:szCs w:val="24"/>
        </w:rPr>
        <w:t xml:space="preserve"> se sitúa en el </w:t>
      </w:r>
      <w:r w:rsidR="00CD6E49">
        <w:rPr>
          <w:rFonts w:asciiTheme="minorHAnsi" w:hAnsiTheme="minorHAnsi" w:cstheme="minorHAnsi"/>
          <w:szCs w:val="24"/>
        </w:rPr>
        <w:t>89,7</w:t>
      </w:r>
      <w:r>
        <w:rPr>
          <w:rFonts w:asciiTheme="minorHAnsi" w:hAnsiTheme="minorHAnsi" w:cstheme="minorHAnsi"/>
          <w:szCs w:val="24"/>
        </w:rPr>
        <w:t>%.</w:t>
      </w:r>
    </w:p>
    <w:p w14:paraId="7CA8D920" w14:textId="77777777" w:rsidR="007704A4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14:paraId="01EC247A" w14:textId="77777777" w:rsidR="00B4112D" w:rsidRDefault="00B4112D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Theme="minorHAnsi" w:hAnsiTheme="minorHAnsi" w:cstheme="minorHAnsi"/>
          <w:szCs w:val="24"/>
        </w:rPr>
      </w:pPr>
    </w:p>
    <w:p w14:paraId="5B401E42" w14:textId="586FDCD0"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1C701F">
        <w:rPr>
          <w:rFonts w:asciiTheme="minorHAnsi" w:hAnsiTheme="minorHAnsi" w:cstheme="minorHAnsi"/>
          <w:szCs w:val="24"/>
        </w:rPr>
        <w:t>abril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1C701F">
        <w:rPr>
          <w:rFonts w:asciiTheme="minorHAnsi" w:hAnsiTheme="minorHAnsi" w:cstheme="minorHAnsi"/>
          <w:szCs w:val="24"/>
        </w:rPr>
        <w:t>4</w:t>
      </w:r>
    </w:p>
    <w:sectPr w:rsidR="006F17B5" w:rsidRPr="002C000A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11.25pt;height:11.25pt" o:bullet="t">
        <v:imagedata r:id="rId1" o:title="BD14529_"/>
      </v:shape>
    </w:pict>
  </w:numPicBullet>
  <w:numPicBullet w:numPicBulletId="1">
    <w:pict>
      <v:shape id="_x0000_i1312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72384DF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4030"/>
    <w:rsid w:val="000D4422"/>
    <w:rsid w:val="001257F9"/>
    <w:rsid w:val="0013625B"/>
    <w:rsid w:val="0014196C"/>
    <w:rsid w:val="00151290"/>
    <w:rsid w:val="0016439B"/>
    <w:rsid w:val="001750A8"/>
    <w:rsid w:val="00175D6C"/>
    <w:rsid w:val="0018324C"/>
    <w:rsid w:val="00186B56"/>
    <w:rsid w:val="0019362B"/>
    <w:rsid w:val="00194E05"/>
    <w:rsid w:val="001B16D9"/>
    <w:rsid w:val="001B7352"/>
    <w:rsid w:val="001C701F"/>
    <w:rsid w:val="001E44BC"/>
    <w:rsid w:val="00235A40"/>
    <w:rsid w:val="00251194"/>
    <w:rsid w:val="00292806"/>
    <w:rsid w:val="002A4771"/>
    <w:rsid w:val="002A7933"/>
    <w:rsid w:val="002C000A"/>
    <w:rsid w:val="002F5D0B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25FCA"/>
    <w:rsid w:val="0055202A"/>
    <w:rsid w:val="00565608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D6E49"/>
    <w:rsid w:val="00CF0704"/>
    <w:rsid w:val="00D23111"/>
    <w:rsid w:val="00D445A4"/>
    <w:rsid w:val="00D44E9D"/>
    <w:rsid w:val="00D55DED"/>
    <w:rsid w:val="00D72EF9"/>
    <w:rsid w:val="00D847B0"/>
    <w:rsid w:val="00DA126F"/>
    <w:rsid w:val="00DB21EC"/>
    <w:rsid w:val="00DB2CB4"/>
    <w:rsid w:val="00DB2CCC"/>
    <w:rsid w:val="00DD07B5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jodetransparencia.es/ct_Home/transparencia/portal-transparencia/informacion-econ/contrato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4</cp:revision>
  <cp:lastPrinted>2015-01-27T17:42:00Z</cp:lastPrinted>
  <dcterms:created xsi:type="dcterms:W3CDTF">2024-04-15T15:01:00Z</dcterms:created>
  <dcterms:modified xsi:type="dcterms:W3CDTF">2024-05-23T11:21:00Z</dcterms:modified>
</cp:coreProperties>
</file>