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53402079"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405A70">
        <w:rPr>
          <w:rFonts w:ascii="Mulish" w:hAnsi="Mulish"/>
          <w:color w:val="079386"/>
        </w:rPr>
        <w:t>LA AGENCIA ESPAÑOLA DE MEDICAMENTOS Y PRODUCTOS SANITARIOS (AEMPS)</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4BA5F62A" w:rsidR="00D23111" w:rsidRPr="0029634D" w:rsidRDefault="00D23111" w:rsidP="009E16B5">
      <w:pPr>
        <w:tabs>
          <w:tab w:val="left" w:pos="284"/>
        </w:tabs>
        <w:spacing w:before="120" w:after="120" w:line="312" w:lineRule="auto"/>
        <w:contextualSpacing/>
        <w:jc w:val="both"/>
        <w:rPr>
          <w:rFonts w:ascii="Mulish" w:hAnsi="Mulish" w:cstheme="minorHAnsi"/>
          <w:szCs w:val="24"/>
        </w:rPr>
      </w:pPr>
      <w:r w:rsidRPr="0029634D">
        <w:rPr>
          <w:rFonts w:ascii="Mulish" w:hAnsi="Mulish" w:cstheme="minorHAnsi"/>
          <w:szCs w:val="24"/>
        </w:rPr>
        <w:t>En contestación a su</w:t>
      </w:r>
      <w:r w:rsidR="00C25FA5" w:rsidRPr="0029634D">
        <w:rPr>
          <w:rFonts w:ascii="Mulish" w:hAnsi="Mulish" w:cstheme="minorHAnsi"/>
          <w:szCs w:val="24"/>
        </w:rPr>
        <w:t xml:space="preserve"> </w:t>
      </w:r>
      <w:r w:rsidR="00C506D3" w:rsidRPr="0029634D">
        <w:rPr>
          <w:rFonts w:ascii="Mulish" w:hAnsi="Mulish" w:cstheme="minorHAnsi"/>
          <w:szCs w:val="24"/>
        </w:rPr>
        <w:t>escrito</w:t>
      </w:r>
      <w:r w:rsidR="00190952" w:rsidRPr="0029634D">
        <w:rPr>
          <w:rFonts w:ascii="Mulish" w:hAnsi="Mulish" w:cstheme="minorHAnsi"/>
          <w:szCs w:val="24"/>
        </w:rPr>
        <w:t xml:space="preserve"> </w:t>
      </w:r>
      <w:r w:rsidR="00565608" w:rsidRPr="0029634D">
        <w:rPr>
          <w:rFonts w:ascii="Mulish" w:hAnsi="Mulish" w:cstheme="minorHAnsi"/>
          <w:szCs w:val="24"/>
        </w:rPr>
        <w:t xml:space="preserve">de fecha </w:t>
      </w:r>
      <w:r w:rsidR="00405A70" w:rsidRPr="0029634D">
        <w:rPr>
          <w:rFonts w:ascii="Mulish" w:hAnsi="Mulish" w:cstheme="minorHAnsi"/>
          <w:szCs w:val="24"/>
        </w:rPr>
        <w:t>30</w:t>
      </w:r>
      <w:r w:rsidRPr="0029634D">
        <w:rPr>
          <w:rFonts w:ascii="Mulish" w:hAnsi="Mulish" w:cstheme="minorHAnsi"/>
          <w:szCs w:val="24"/>
        </w:rPr>
        <w:t xml:space="preserve"> de </w:t>
      </w:r>
      <w:r w:rsidR="00FA580C" w:rsidRPr="0029634D">
        <w:rPr>
          <w:rFonts w:ascii="Mulish" w:hAnsi="Mulish" w:cstheme="minorHAnsi"/>
          <w:szCs w:val="24"/>
        </w:rPr>
        <w:t>abril</w:t>
      </w:r>
      <w:r w:rsidRPr="0029634D">
        <w:rPr>
          <w:rFonts w:ascii="Mulish" w:hAnsi="Mulish" w:cstheme="minorHAnsi"/>
          <w:szCs w:val="24"/>
        </w:rPr>
        <w:t xml:space="preserve"> de 202</w:t>
      </w:r>
      <w:r w:rsidR="00FA580C" w:rsidRPr="0029634D">
        <w:rPr>
          <w:rFonts w:ascii="Mulish" w:hAnsi="Mulish" w:cstheme="minorHAnsi"/>
          <w:szCs w:val="24"/>
        </w:rPr>
        <w:t>4</w:t>
      </w:r>
      <w:r w:rsidR="00C119CE" w:rsidRPr="0029634D">
        <w:rPr>
          <w:rFonts w:ascii="Mulish" w:hAnsi="Mulish" w:cstheme="minorHAnsi"/>
          <w:szCs w:val="24"/>
        </w:rPr>
        <w:t>,</w:t>
      </w:r>
      <w:r w:rsidR="005B1C12" w:rsidRPr="0029634D">
        <w:rPr>
          <w:rFonts w:ascii="Mulish" w:hAnsi="Mulish" w:cstheme="minorHAnsi"/>
          <w:szCs w:val="24"/>
        </w:rPr>
        <w:t xml:space="preserve"> </w:t>
      </w:r>
      <w:r w:rsidRPr="0029634D">
        <w:rPr>
          <w:rFonts w:ascii="Mulish" w:hAnsi="Mulish" w:cstheme="minorHAnsi"/>
          <w:szCs w:val="24"/>
        </w:rPr>
        <w:t xml:space="preserve">una vez analizadas </w:t>
      </w:r>
      <w:r w:rsidR="00C119CE" w:rsidRPr="0029634D">
        <w:rPr>
          <w:rFonts w:ascii="Mulish" w:hAnsi="Mulish" w:cstheme="minorHAnsi"/>
          <w:szCs w:val="24"/>
        </w:rPr>
        <w:t xml:space="preserve">todas </w:t>
      </w:r>
      <w:r w:rsidRPr="0029634D">
        <w:rPr>
          <w:rFonts w:ascii="Mulish" w:hAnsi="Mulish" w:cstheme="minorHAnsi"/>
          <w:szCs w:val="24"/>
        </w:rPr>
        <w:t xml:space="preserve">las observaciones realizadas al borrador de informe de evaluación </w:t>
      </w:r>
      <w:r w:rsidR="00B81EE6" w:rsidRPr="0029634D">
        <w:rPr>
          <w:rFonts w:ascii="Mulish" w:hAnsi="Mulish" w:cstheme="minorHAnsi"/>
          <w:szCs w:val="24"/>
        </w:rPr>
        <w:t xml:space="preserve">relativo al </w:t>
      </w:r>
      <w:r w:rsidRPr="0029634D">
        <w:rPr>
          <w:rFonts w:ascii="Mulish" w:hAnsi="Mulish" w:cstheme="minorHAnsi"/>
          <w:szCs w:val="24"/>
        </w:rPr>
        <w:t xml:space="preserve">cumplimiento de las obligaciones de publicidad activa por parte de esa </w:t>
      </w:r>
      <w:r w:rsidR="00855ECA" w:rsidRPr="0029634D">
        <w:rPr>
          <w:rFonts w:ascii="Mulish" w:hAnsi="Mulish" w:cstheme="minorHAnsi"/>
          <w:szCs w:val="24"/>
        </w:rPr>
        <w:t>Institución</w:t>
      </w:r>
      <w:r w:rsidRPr="0029634D">
        <w:rPr>
          <w:rFonts w:ascii="Mulish" w:hAnsi="Mulish" w:cstheme="minorHAnsi"/>
          <w:szCs w:val="24"/>
        </w:rPr>
        <w:t>, este CTBG efectúa las siguientes consideraciones:</w:t>
      </w:r>
    </w:p>
    <w:p w14:paraId="6E0359F5" w14:textId="77777777" w:rsidR="00897F59" w:rsidRPr="0029634D" w:rsidRDefault="00897F59" w:rsidP="0029634D">
      <w:pPr>
        <w:tabs>
          <w:tab w:val="left" w:pos="284"/>
        </w:tabs>
        <w:spacing w:before="120" w:after="120" w:line="312" w:lineRule="auto"/>
        <w:jc w:val="both"/>
        <w:rPr>
          <w:rFonts w:ascii="Mulish" w:hAnsi="Mulish" w:cstheme="minorHAnsi"/>
          <w:bCs/>
          <w:szCs w:val="24"/>
        </w:rPr>
      </w:pPr>
    </w:p>
    <w:p w14:paraId="2807F5AD" w14:textId="77777777" w:rsidR="00BC1739" w:rsidRPr="0029634D" w:rsidRDefault="00BC1739" w:rsidP="00897F59">
      <w:pPr>
        <w:pStyle w:val="Prrafodelista"/>
        <w:numPr>
          <w:ilvl w:val="0"/>
          <w:numId w:val="11"/>
        </w:numPr>
        <w:tabs>
          <w:tab w:val="left" w:pos="284"/>
        </w:tabs>
        <w:spacing w:before="120" w:after="120" w:line="312" w:lineRule="auto"/>
        <w:jc w:val="both"/>
        <w:rPr>
          <w:rFonts w:ascii="Mulish" w:eastAsia="Calibri" w:hAnsi="Mulish" w:cs="Calibri"/>
          <w:sz w:val="24"/>
          <w:szCs w:val="24"/>
        </w:rPr>
      </w:pPr>
      <w:bookmarkStart w:id="0" w:name="_Hlk165887391"/>
      <w:r w:rsidRPr="0029634D">
        <w:rPr>
          <w:rFonts w:ascii="Mulish" w:hAnsi="Mulish" w:cstheme="minorHAnsi"/>
          <w:bCs/>
          <w:sz w:val="24"/>
          <w:szCs w:val="24"/>
        </w:rPr>
        <w:t>No se aceptan las siguientes observaciones</w:t>
      </w:r>
    </w:p>
    <w:p w14:paraId="4D71D9C8" w14:textId="2A46B929" w:rsidR="00BC1739" w:rsidRPr="0029634D" w:rsidRDefault="00BC1739"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 xml:space="preserve">La relativa a la publicación de la Ley 40/2015 en el área de proyectos en tramitación. De lo que se </w:t>
      </w:r>
      <w:r w:rsidR="007479B0" w:rsidRPr="0029634D">
        <w:rPr>
          <w:rFonts w:ascii="Mulish" w:eastAsia="Calibri" w:hAnsi="Mulish" w:cs="Calibri"/>
          <w:sz w:val="24"/>
          <w:szCs w:val="24"/>
        </w:rPr>
        <w:t>trata,</w:t>
      </w:r>
      <w:r w:rsidRPr="0029634D">
        <w:rPr>
          <w:rFonts w:ascii="Mulish" w:eastAsia="Calibri" w:hAnsi="Mulish" w:cs="Calibri"/>
          <w:sz w:val="24"/>
          <w:szCs w:val="24"/>
        </w:rPr>
        <w:t xml:space="preserve"> dado que la AEMPS carece de Portal de Transparencia, es que, al menos, en el acceso de su web que contiene toda la información institucional (La AEMPS) se publique</w:t>
      </w:r>
      <w:r w:rsidR="0029634D" w:rsidRPr="0029634D">
        <w:rPr>
          <w:rFonts w:ascii="Mulish" w:eastAsia="Calibri" w:hAnsi="Mulish" w:cs="Calibri"/>
          <w:sz w:val="24"/>
          <w:szCs w:val="24"/>
        </w:rPr>
        <w:t>,</w:t>
      </w:r>
      <w:r w:rsidRPr="0029634D">
        <w:rPr>
          <w:rFonts w:ascii="Mulish" w:eastAsia="Calibri" w:hAnsi="Mulish" w:cs="Calibri"/>
          <w:sz w:val="24"/>
          <w:szCs w:val="24"/>
        </w:rPr>
        <w:t xml:space="preserve"> junto a los Estatutos y la normativa sectorial que ya </w:t>
      </w:r>
      <w:r w:rsidR="0029634D" w:rsidRPr="0029634D">
        <w:rPr>
          <w:rFonts w:ascii="Mulish" w:eastAsia="Calibri" w:hAnsi="Mulish" w:cs="Calibri"/>
          <w:sz w:val="24"/>
          <w:szCs w:val="24"/>
        </w:rPr>
        <w:t>está</w:t>
      </w:r>
      <w:r w:rsidRPr="0029634D">
        <w:rPr>
          <w:rFonts w:ascii="Mulish" w:eastAsia="Calibri" w:hAnsi="Mulish" w:cs="Calibri"/>
          <w:sz w:val="24"/>
          <w:szCs w:val="24"/>
        </w:rPr>
        <w:t xml:space="preserve"> incorporada</w:t>
      </w:r>
      <w:r w:rsidR="0029634D" w:rsidRPr="0029634D">
        <w:rPr>
          <w:rFonts w:ascii="Mulish" w:eastAsia="Calibri" w:hAnsi="Mulish" w:cs="Calibri"/>
          <w:sz w:val="24"/>
          <w:szCs w:val="24"/>
        </w:rPr>
        <w:t>,</w:t>
      </w:r>
      <w:r w:rsidRPr="0029634D">
        <w:rPr>
          <w:rFonts w:ascii="Mulish" w:eastAsia="Calibri" w:hAnsi="Mulish" w:cs="Calibri"/>
          <w:sz w:val="24"/>
          <w:szCs w:val="24"/>
        </w:rPr>
        <w:t xml:space="preserve"> las normas a las que hace referencia el informe provisional de evaluación, entre otras, la Ley 40/2015.</w:t>
      </w:r>
    </w:p>
    <w:p w14:paraId="310BC890" w14:textId="40274539" w:rsidR="00BC1739" w:rsidRPr="0029634D" w:rsidRDefault="00BC1739"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 xml:space="preserve">La relativa a la publicación de los resultados de planes y programas a </w:t>
      </w:r>
      <w:r w:rsidR="0029634D">
        <w:rPr>
          <w:rFonts w:ascii="Mulish" w:eastAsia="Calibri" w:hAnsi="Mulish" w:cs="Calibri"/>
          <w:sz w:val="24"/>
          <w:szCs w:val="24"/>
        </w:rPr>
        <w:t>en</w:t>
      </w:r>
      <w:r w:rsidRPr="0029634D">
        <w:rPr>
          <w:rFonts w:ascii="Mulish" w:eastAsia="Calibri" w:hAnsi="Mulish" w:cs="Calibri"/>
          <w:sz w:val="24"/>
          <w:szCs w:val="24"/>
        </w:rPr>
        <w:t xml:space="preserve"> las memorias anuales y </w:t>
      </w:r>
      <w:r w:rsidR="0029634D">
        <w:rPr>
          <w:rFonts w:ascii="Mulish" w:eastAsia="Calibri" w:hAnsi="Mulish" w:cs="Calibri"/>
          <w:sz w:val="24"/>
          <w:szCs w:val="24"/>
        </w:rPr>
        <w:t>en</w:t>
      </w:r>
      <w:r w:rsidRPr="0029634D">
        <w:rPr>
          <w:rFonts w:ascii="Mulish" w:eastAsia="Calibri" w:hAnsi="Mulish" w:cs="Calibri"/>
          <w:sz w:val="24"/>
          <w:szCs w:val="24"/>
        </w:rPr>
        <w:t xml:space="preserve"> las evaluaciones</w:t>
      </w:r>
      <w:r w:rsidR="0029634D">
        <w:rPr>
          <w:rFonts w:ascii="Mulish" w:eastAsia="Calibri" w:hAnsi="Mulish" w:cs="Calibri"/>
          <w:sz w:val="24"/>
          <w:szCs w:val="24"/>
        </w:rPr>
        <w:t xml:space="preserve"> del cumplimiento de los compromisos de la Carta de Servicios</w:t>
      </w:r>
      <w:r w:rsidR="007479B0" w:rsidRPr="0029634D">
        <w:rPr>
          <w:rFonts w:ascii="Mulish" w:eastAsia="Calibri" w:hAnsi="Mulish" w:cs="Calibri"/>
          <w:sz w:val="24"/>
          <w:szCs w:val="24"/>
        </w:rPr>
        <w:t xml:space="preserve">. El contenido material de esta obligación </w:t>
      </w:r>
      <w:r w:rsidR="0029634D">
        <w:rPr>
          <w:rFonts w:ascii="Mulish" w:eastAsia="Calibri" w:hAnsi="Mulish" w:cs="Calibri"/>
          <w:sz w:val="24"/>
          <w:szCs w:val="24"/>
        </w:rPr>
        <w:t xml:space="preserve">en el caso de la Agencias Estatales, </w:t>
      </w:r>
      <w:r w:rsidR="007479B0" w:rsidRPr="0029634D">
        <w:rPr>
          <w:rFonts w:ascii="Mulish" w:eastAsia="Calibri" w:hAnsi="Mulish" w:cs="Calibri"/>
          <w:sz w:val="24"/>
          <w:szCs w:val="24"/>
        </w:rPr>
        <w:t>se refiere a los informes de seguimiento del Contrato de Gestión o de los planes anuales de acción – lo que, en la derogada Ley de Agencias Estatales, se denominaba informe general de actividad -. Tanto los contenidos de la Memoria como las evaluaciones del cumplimiento de los compromisos de la Carta de Servicios, se relacionan con el contenido material de la obligación “Información estadística sobre cumplimiento y calidad de los servicios”. Ambos documentos han sido considerados para valorar el cumplimiento de esta última obligación, tal y como se refleja en el informe provisional de evaluación.</w:t>
      </w:r>
    </w:p>
    <w:p w14:paraId="10DB4C98" w14:textId="7C1BBE10" w:rsidR="00516CD7" w:rsidRPr="0029634D" w:rsidRDefault="00516CD7"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lastRenderedPageBreak/>
        <w:t>La relativa a la publicación de los documentos que deban ser sometidos a información pública en aplicación de normativa sectorial. La información que se publica por la AEMPS en los apartados consultas públicas previas y Audiencia e Información pública, está referida a proyectos normativos. Esta obligación est</w:t>
      </w:r>
      <w:r w:rsidR="002540DD" w:rsidRPr="0029634D">
        <w:rPr>
          <w:rFonts w:ascii="Mulish" w:eastAsia="Calibri" w:hAnsi="Mulish" w:cs="Calibri"/>
          <w:sz w:val="24"/>
          <w:szCs w:val="24"/>
        </w:rPr>
        <w:t>á</w:t>
      </w:r>
      <w:r w:rsidRPr="0029634D">
        <w:rPr>
          <w:rFonts w:ascii="Mulish" w:eastAsia="Calibri" w:hAnsi="Mulish" w:cs="Calibri"/>
          <w:sz w:val="24"/>
          <w:szCs w:val="24"/>
        </w:rPr>
        <w:t xml:space="preserve"> referida a la publicación de documentos de carácter no normativo que</w:t>
      </w:r>
      <w:r w:rsidR="002540DD" w:rsidRPr="0029634D">
        <w:rPr>
          <w:rFonts w:ascii="Mulish" w:eastAsia="Calibri" w:hAnsi="Mulish" w:cs="Calibri"/>
          <w:sz w:val="24"/>
          <w:szCs w:val="24"/>
        </w:rPr>
        <w:t>,</w:t>
      </w:r>
      <w:r w:rsidRPr="0029634D">
        <w:rPr>
          <w:rFonts w:ascii="Mulish" w:eastAsia="Calibri" w:hAnsi="Mulish" w:cs="Calibri"/>
          <w:sz w:val="24"/>
          <w:szCs w:val="24"/>
        </w:rPr>
        <w:t xml:space="preserve"> en el transcurso de un procedimiento administrativo, deban de ser sometidos a información pública porque una norma sectorial así lo impone. </w:t>
      </w:r>
      <w:r w:rsidR="002540DD" w:rsidRPr="0029634D">
        <w:rPr>
          <w:rFonts w:ascii="Mulish" w:eastAsia="Calibri" w:hAnsi="Mulish" w:cs="Calibri"/>
          <w:sz w:val="24"/>
          <w:szCs w:val="24"/>
        </w:rPr>
        <w:t>Es posible, que ninguna norma sectorial obligue a la AEMPS a iniciar un proceso de información pública sobre la base de ese supuesto. En ese caso, para dar cumplimiento a la obligación, debería indicarse expresamente que ninguna norma sectorial obliga a la Agencia a la realización de este tipo de trámite.</w:t>
      </w:r>
      <w:r w:rsidRPr="0029634D">
        <w:rPr>
          <w:rFonts w:ascii="Mulish" w:eastAsia="Calibri" w:hAnsi="Mulish" w:cs="Calibri"/>
          <w:sz w:val="24"/>
          <w:szCs w:val="24"/>
        </w:rPr>
        <w:t xml:space="preserve"> </w:t>
      </w:r>
    </w:p>
    <w:p w14:paraId="4F577767" w14:textId="46D3B64F" w:rsidR="002540DD" w:rsidRPr="0029634D" w:rsidRDefault="002540DD"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Las relativas a la publicación de información estadística sobre contratación en la Plataforma de Contratación del Sector Público.</w:t>
      </w:r>
      <w:r w:rsidR="00D14C16" w:rsidRPr="0029634D">
        <w:rPr>
          <w:rFonts w:ascii="Mulish" w:eastAsia="Calibri" w:hAnsi="Mulish" w:cs="Calibri"/>
          <w:sz w:val="24"/>
          <w:szCs w:val="24"/>
        </w:rPr>
        <w:t xml:space="preserve"> La PCSP no publica información estadística sobre contratación según procedimiento de licitación ni información estadística sobre contratos adjudicados a </w:t>
      </w:r>
      <w:proofErr w:type="spellStart"/>
      <w:r w:rsidR="00D14C16" w:rsidRPr="0029634D">
        <w:rPr>
          <w:rFonts w:ascii="Mulish" w:eastAsia="Calibri" w:hAnsi="Mulish" w:cs="Calibri"/>
          <w:sz w:val="24"/>
          <w:szCs w:val="24"/>
        </w:rPr>
        <w:t>PYMEs</w:t>
      </w:r>
      <w:proofErr w:type="spellEnd"/>
      <w:r w:rsidR="00D14C16" w:rsidRPr="0029634D">
        <w:rPr>
          <w:rFonts w:ascii="Mulish" w:eastAsia="Calibri" w:hAnsi="Mulish" w:cs="Calibri"/>
          <w:sz w:val="24"/>
          <w:szCs w:val="24"/>
        </w:rPr>
        <w:t>. La información que proporciona la Plataforma a través de los dos perfiles del contratante de la Agencia son las licitaciones, los contratos menores y los encargos a medios propios.</w:t>
      </w:r>
    </w:p>
    <w:p w14:paraId="24EC3410" w14:textId="3D97649D" w:rsidR="00005113" w:rsidRPr="0029634D" w:rsidRDefault="00D14C16" w:rsidP="00BC1739">
      <w:pPr>
        <w:pStyle w:val="Prrafodelista"/>
        <w:numPr>
          <w:ilvl w:val="1"/>
          <w:numId w:val="11"/>
        </w:numPr>
        <w:tabs>
          <w:tab w:val="left" w:pos="284"/>
        </w:tabs>
        <w:spacing w:before="120" w:after="120" w:line="312" w:lineRule="auto"/>
        <w:jc w:val="both"/>
        <w:rPr>
          <w:rFonts w:ascii="Mulish" w:eastAsia="Calibri" w:hAnsi="Mulish" w:cs="Calibri"/>
          <w:sz w:val="24"/>
          <w:szCs w:val="24"/>
        </w:rPr>
      </w:pPr>
      <w:bookmarkStart w:id="1" w:name="_Hlk166074780"/>
      <w:r w:rsidRPr="0029634D">
        <w:rPr>
          <w:rFonts w:ascii="Mulish" w:hAnsi="Mulish" w:cstheme="minorHAnsi"/>
          <w:bCs/>
          <w:sz w:val="24"/>
          <w:szCs w:val="24"/>
        </w:rPr>
        <w:t xml:space="preserve">La relativa a la sustitución de las encomiendas de gestión por los encargos a medios propios. </w:t>
      </w:r>
      <w:r w:rsidR="00005113" w:rsidRPr="0029634D">
        <w:rPr>
          <w:rFonts w:ascii="Mulish" w:hAnsi="Mulish" w:cstheme="minorHAnsi"/>
          <w:bCs/>
          <w:sz w:val="24"/>
          <w:szCs w:val="24"/>
        </w:rPr>
        <w:t>El artículo 6.3 de la Ley de Contratos del Sector Público excluye expresamente del ámbito de aplicación de la Ley a las encomiendas de gestión, cuya regulación se recoge a través del artículo 11 de la Ley 40/2015. Los Encargos a medios propios se encuentran regulados en los artículos 32 y</w:t>
      </w:r>
      <w:r w:rsidR="00752071" w:rsidRPr="0029634D">
        <w:rPr>
          <w:rFonts w:ascii="Mulish" w:hAnsi="Mulish" w:cstheme="minorHAnsi"/>
          <w:bCs/>
          <w:sz w:val="24"/>
          <w:szCs w:val="24"/>
        </w:rPr>
        <w:t xml:space="preserve"> </w:t>
      </w:r>
      <w:r w:rsidR="00005113" w:rsidRPr="0029634D">
        <w:rPr>
          <w:rFonts w:ascii="Mulish" w:hAnsi="Mulish" w:cstheme="minorHAnsi"/>
          <w:bCs/>
          <w:sz w:val="24"/>
          <w:szCs w:val="24"/>
        </w:rPr>
        <w:t>33 de la Ley de Contratos del Sector Público. Se trata</w:t>
      </w:r>
      <w:r w:rsidR="00752071" w:rsidRPr="0029634D">
        <w:rPr>
          <w:rFonts w:ascii="Mulish" w:hAnsi="Mulish" w:cstheme="minorHAnsi"/>
          <w:bCs/>
          <w:sz w:val="24"/>
          <w:szCs w:val="24"/>
        </w:rPr>
        <w:t>, por lo tanto,</w:t>
      </w:r>
      <w:r w:rsidR="00005113" w:rsidRPr="0029634D">
        <w:rPr>
          <w:rFonts w:ascii="Mulish" w:hAnsi="Mulish" w:cstheme="minorHAnsi"/>
          <w:bCs/>
          <w:sz w:val="24"/>
          <w:szCs w:val="24"/>
        </w:rPr>
        <w:t xml:space="preserve"> de dos </w:t>
      </w:r>
      <w:r w:rsidR="00752071" w:rsidRPr="0029634D">
        <w:rPr>
          <w:rFonts w:ascii="Mulish" w:hAnsi="Mulish" w:cstheme="minorHAnsi"/>
          <w:bCs/>
          <w:sz w:val="24"/>
          <w:szCs w:val="24"/>
        </w:rPr>
        <w:t>figuras</w:t>
      </w:r>
      <w:r w:rsidR="00005113" w:rsidRPr="0029634D">
        <w:rPr>
          <w:rFonts w:ascii="Mulish" w:hAnsi="Mulish" w:cstheme="minorHAnsi"/>
          <w:bCs/>
          <w:sz w:val="24"/>
          <w:szCs w:val="24"/>
        </w:rPr>
        <w:t xml:space="preserve"> jurídicas</w:t>
      </w:r>
      <w:r w:rsidR="00752071" w:rsidRPr="0029634D">
        <w:rPr>
          <w:rFonts w:ascii="Mulish" w:hAnsi="Mulish" w:cstheme="minorHAnsi"/>
          <w:bCs/>
          <w:sz w:val="24"/>
          <w:szCs w:val="24"/>
        </w:rPr>
        <w:t xml:space="preserve"> diferentes. En el caso de que la AEMPS no haya suscrito encomiendas de gestión debería informar expresamente.</w:t>
      </w:r>
    </w:p>
    <w:bookmarkEnd w:id="1"/>
    <w:p w14:paraId="22BB2191" w14:textId="1044C542" w:rsidR="00752071" w:rsidRPr="0029634D" w:rsidRDefault="00752071" w:rsidP="00752071">
      <w:pPr>
        <w:pStyle w:val="Prrafodelista"/>
        <w:tabs>
          <w:tab w:val="left" w:pos="284"/>
        </w:tabs>
        <w:spacing w:before="120" w:after="120" w:line="312" w:lineRule="auto"/>
        <w:ind w:left="1440"/>
        <w:jc w:val="both"/>
        <w:rPr>
          <w:rFonts w:ascii="Mulish" w:eastAsia="Calibri" w:hAnsi="Mulish" w:cs="Calibri"/>
          <w:sz w:val="24"/>
          <w:szCs w:val="24"/>
        </w:rPr>
      </w:pPr>
      <w:r w:rsidRPr="0029634D">
        <w:rPr>
          <w:rFonts w:ascii="Mulish" w:hAnsi="Mulish" w:cstheme="minorHAnsi"/>
          <w:bCs/>
          <w:sz w:val="24"/>
          <w:szCs w:val="24"/>
        </w:rPr>
        <w:t xml:space="preserve">Por otra </w:t>
      </w:r>
      <w:r w:rsidR="009B18C5" w:rsidRPr="0029634D">
        <w:rPr>
          <w:rFonts w:ascii="Mulish" w:hAnsi="Mulish" w:cstheme="minorHAnsi"/>
          <w:bCs/>
          <w:sz w:val="24"/>
          <w:szCs w:val="24"/>
        </w:rPr>
        <w:t>parte,</w:t>
      </w:r>
      <w:r w:rsidRPr="0029634D">
        <w:rPr>
          <w:rFonts w:ascii="Mulish" w:hAnsi="Mulish" w:cstheme="minorHAnsi"/>
          <w:bCs/>
          <w:sz w:val="24"/>
          <w:szCs w:val="24"/>
        </w:rPr>
        <w:t xml:space="preserve"> indica la AEMPS que la subcontrataciones derivadas de las encomiendas de gestión se encuentran publicadas en la PCSP – entendemos que la referencia es a los encargos a medios propios -. Lo que se publica en la PCSP, es el documento de formalización del </w:t>
      </w:r>
      <w:r w:rsidR="009B18C5" w:rsidRPr="0029634D">
        <w:rPr>
          <w:rFonts w:ascii="Mulish" w:hAnsi="Mulish" w:cstheme="minorHAnsi"/>
          <w:bCs/>
          <w:sz w:val="24"/>
          <w:szCs w:val="24"/>
        </w:rPr>
        <w:t>encargo, no</w:t>
      </w:r>
      <w:r w:rsidRPr="0029634D">
        <w:rPr>
          <w:rFonts w:ascii="Mulish" w:hAnsi="Mulish" w:cstheme="minorHAnsi"/>
          <w:bCs/>
          <w:sz w:val="24"/>
          <w:szCs w:val="24"/>
        </w:rPr>
        <w:t xml:space="preserve"> se informa sobre las posibles subcontrataciones</w:t>
      </w:r>
      <w:r w:rsidR="009B18C5" w:rsidRPr="0029634D">
        <w:rPr>
          <w:rFonts w:ascii="Mulish" w:hAnsi="Mulish" w:cstheme="minorHAnsi"/>
          <w:bCs/>
          <w:sz w:val="24"/>
          <w:szCs w:val="24"/>
        </w:rPr>
        <w:t xml:space="preserve">, lo que es </w:t>
      </w:r>
      <w:r w:rsidR="009B18C5" w:rsidRPr="0029634D">
        <w:rPr>
          <w:rFonts w:ascii="Mulish" w:hAnsi="Mulish" w:cstheme="minorHAnsi"/>
          <w:bCs/>
          <w:sz w:val="24"/>
          <w:szCs w:val="24"/>
        </w:rPr>
        <w:lastRenderedPageBreak/>
        <w:t>lógico dado que la subcontratación deberá producirse una vez formalizado el encargo. Por otra parte, tal y como se indica en el apartado conclusiones del informe provisional de evaluación en relación con esta obligación, e</w:t>
      </w:r>
      <w:r w:rsidR="009B18C5" w:rsidRPr="0029634D">
        <w:rPr>
          <w:rFonts w:ascii="Mulish" w:hAnsi="Mulish" w:cstheme="minorHAnsi"/>
          <w:bCs/>
          <w:sz w:val="24"/>
          <w:szCs w:val="24"/>
        </w:rPr>
        <w:t>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7C58A1B3" w14:textId="73317ECA" w:rsidR="009B18C5" w:rsidRPr="0029634D" w:rsidRDefault="00C506D3" w:rsidP="009B18C5">
      <w:pPr>
        <w:pStyle w:val="Prrafodelista"/>
        <w:numPr>
          <w:ilvl w:val="1"/>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t xml:space="preserve">Indica </w:t>
      </w:r>
      <w:r w:rsidR="009B18C5" w:rsidRPr="0029634D">
        <w:rPr>
          <w:rFonts w:ascii="Mulish" w:hAnsi="Mulish" w:cstheme="minorHAnsi"/>
          <w:bCs/>
          <w:sz w:val="24"/>
          <w:szCs w:val="24"/>
        </w:rPr>
        <w:t>la AEMPS</w:t>
      </w:r>
      <w:r w:rsidRPr="0029634D">
        <w:rPr>
          <w:rFonts w:ascii="Mulish" w:hAnsi="Mulish" w:cstheme="minorHAnsi"/>
          <w:bCs/>
          <w:sz w:val="24"/>
          <w:szCs w:val="24"/>
        </w:rPr>
        <w:t xml:space="preserve">, </w:t>
      </w:r>
      <w:r w:rsidR="009B18C5" w:rsidRPr="0029634D">
        <w:rPr>
          <w:rFonts w:ascii="Mulish" w:hAnsi="Mulish" w:cstheme="minorHAnsi"/>
          <w:bCs/>
          <w:sz w:val="24"/>
          <w:szCs w:val="24"/>
        </w:rPr>
        <w:t xml:space="preserve">para diversas obligaciones que la información se encuentra publicada en diversas fuentes centralizadas, por ejemplo, la Base de Datos Nacional de Subvenciones o la web de la Secretaría </w:t>
      </w:r>
      <w:r w:rsidR="0029634D">
        <w:rPr>
          <w:rFonts w:ascii="Mulish" w:hAnsi="Mulish" w:cstheme="minorHAnsi"/>
          <w:bCs/>
          <w:sz w:val="24"/>
          <w:szCs w:val="24"/>
        </w:rPr>
        <w:t xml:space="preserve">de Estado </w:t>
      </w:r>
      <w:r w:rsidR="009B18C5" w:rsidRPr="0029634D">
        <w:rPr>
          <w:rFonts w:ascii="Mulish" w:hAnsi="Mulish" w:cstheme="minorHAnsi"/>
          <w:bCs/>
          <w:sz w:val="24"/>
          <w:szCs w:val="24"/>
        </w:rPr>
        <w:t xml:space="preserve">de Presupuestos y Gastos. Por parte de este Consejo, se ha señalado reiteradamente, </w:t>
      </w:r>
      <w:r w:rsidR="009B18C5" w:rsidRPr="0029634D">
        <w:rPr>
          <w:rFonts w:ascii="Mulish" w:hAnsi="Mulish" w:cstheme="minorHAnsi"/>
          <w:bCs/>
          <w:sz w:val="24"/>
          <w:szCs w:val="24"/>
        </w:rPr>
        <w:t>que el recurso a fuentes centralizadas para la publicación de informaciones obligatorias</w:t>
      </w:r>
      <w:r w:rsidR="009B18C5" w:rsidRPr="0029634D">
        <w:rPr>
          <w:rFonts w:ascii="Mulish" w:hAnsi="Mulish" w:cstheme="minorHAnsi"/>
          <w:bCs/>
          <w:sz w:val="24"/>
          <w:szCs w:val="24"/>
        </w:rPr>
        <w:t xml:space="preserve">, </w:t>
      </w:r>
      <w:r w:rsidR="009B18C5" w:rsidRPr="0029634D">
        <w:rPr>
          <w:rFonts w:ascii="Mulish" w:hAnsi="Mulish" w:cstheme="minorHAnsi"/>
          <w:bCs/>
          <w:sz w:val="24"/>
          <w:szCs w:val="24"/>
        </w:rPr>
        <w:t>plantea diversos problemas:</w:t>
      </w:r>
    </w:p>
    <w:p w14:paraId="6F4040A4" w14:textId="77777777" w:rsidR="009B18C5" w:rsidRPr="0029634D" w:rsidRDefault="009B18C5" w:rsidP="009B18C5">
      <w:pPr>
        <w:pStyle w:val="Prrafodelista"/>
        <w:numPr>
          <w:ilvl w:val="2"/>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t>En primer lugar, se trata de fuentes de información de difícil acceso para la ciudadanía por las dificultades de manejo que presentan y porque requieren unos conocimientos sobre la gestión interna de las organizaciones públicas y de los procedimientos administrativos, que no tienen por qué tener los ciudadanos.</w:t>
      </w:r>
    </w:p>
    <w:p w14:paraId="0EFCD415" w14:textId="7E2FBB4D" w:rsidR="009B18C5" w:rsidRPr="0029634D" w:rsidRDefault="009B18C5" w:rsidP="009B18C5">
      <w:pPr>
        <w:pStyle w:val="Prrafodelista"/>
        <w:numPr>
          <w:ilvl w:val="2"/>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t>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w:t>
      </w:r>
      <w:r w:rsidRPr="0029634D">
        <w:rPr>
          <w:rFonts w:ascii="Mulish" w:hAnsi="Mulish" w:cstheme="minorHAnsi"/>
          <w:bCs/>
          <w:sz w:val="24"/>
          <w:szCs w:val="24"/>
        </w:rPr>
        <w:t xml:space="preserve"> – como es el caso de la AEMPS -</w:t>
      </w:r>
      <w:r w:rsidRPr="0029634D">
        <w:rPr>
          <w:rFonts w:ascii="Mulish" w:hAnsi="Mulish" w:cstheme="minorHAnsi"/>
          <w:bCs/>
          <w:sz w:val="24"/>
          <w:szCs w:val="24"/>
        </w:rPr>
        <w:t xml:space="preserve">, lo que supone una dificultad añadida. </w:t>
      </w:r>
    </w:p>
    <w:p w14:paraId="1460F0E4" w14:textId="77777777" w:rsidR="009B18C5" w:rsidRPr="0029634D" w:rsidRDefault="009B18C5" w:rsidP="009B18C5">
      <w:pPr>
        <w:pStyle w:val="Prrafodelista"/>
        <w:numPr>
          <w:ilvl w:val="2"/>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lastRenderedPageBreak/>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66060456" w14:textId="77777777" w:rsidR="009B18C5" w:rsidRPr="0029634D" w:rsidRDefault="009B18C5" w:rsidP="009B18C5">
      <w:pPr>
        <w:pStyle w:val="Prrafodelista"/>
        <w:tabs>
          <w:tab w:val="left" w:pos="284"/>
        </w:tabs>
        <w:spacing w:before="120" w:after="120" w:line="312" w:lineRule="auto"/>
        <w:ind w:left="1440"/>
        <w:jc w:val="both"/>
        <w:rPr>
          <w:rFonts w:ascii="Mulish" w:hAnsi="Mulish" w:cstheme="minorHAnsi"/>
          <w:bCs/>
          <w:sz w:val="24"/>
          <w:szCs w:val="24"/>
        </w:rPr>
      </w:pPr>
      <w:r w:rsidRPr="0029634D">
        <w:rPr>
          <w:rFonts w:ascii="Mulish" w:hAnsi="Mulish" w:cstheme="minorHAnsi"/>
          <w:bCs/>
          <w:sz w:val="24"/>
          <w:szCs w:val="24"/>
        </w:rPr>
        <w:t>Por esta razón, año tras año, este Consejo reitera la recomendación, de que la información se publique en la web del sujeto obligado, incluyendo todos los ítems informativos que, en su caso, establezca la Ley.</w:t>
      </w:r>
    </w:p>
    <w:p w14:paraId="2F5FC884" w14:textId="656F393C" w:rsidR="006803DF" w:rsidRPr="0029634D" w:rsidRDefault="009B18C5" w:rsidP="006803DF">
      <w:pPr>
        <w:pStyle w:val="Prrafodelista"/>
        <w:numPr>
          <w:ilvl w:val="1"/>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 xml:space="preserve">Para otras obligaciones, indica la AEMPS que </w:t>
      </w:r>
      <w:r w:rsidR="0007734F">
        <w:rPr>
          <w:rFonts w:ascii="Mulish" w:eastAsia="Calibri" w:hAnsi="Mulish" w:cs="Calibri"/>
          <w:sz w:val="24"/>
          <w:szCs w:val="24"/>
        </w:rPr>
        <w:t xml:space="preserve">la información </w:t>
      </w:r>
      <w:r w:rsidRPr="0029634D">
        <w:rPr>
          <w:rFonts w:ascii="Mulish" w:eastAsia="Calibri" w:hAnsi="Mulish" w:cs="Calibri"/>
          <w:sz w:val="24"/>
          <w:szCs w:val="24"/>
        </w:rPr>
        <w:t>se encuentra publicada en el Portal de Transparencia de la AGE</w:t>
      </w:r>
      <w:r w:rsidR="006803DF" w:rsidRPr="0029634D">
        <w:rPr>
          <w:rFonts w:ascii="Mulish" w:eastAsia="Calibri" w:hAnsi="Mulish" w:cs="Calibri"/>
          <w:sz w:val="24"/>
          <w:szCs w:val="24"/>
        </w:rPr>
        <w:t xml:space="preserve">. </w:t>
      </w:r>
      <w:r w:rsidRPr="0029634D">
        <w:rPr>
          <w:rFonts w:ascii="Mulish" w:eastAsia="Calibri" w:hAnsi="Mulish" w:cs="Calibri"/>
          <w:sz w:val="24"/>
          <w:szCs w:val="24"/>
        </w:rPr>
        <w:t xml:space="preserve"> </w:t>
      </w:r>
      <w:r w:rsidR="006803DF" w:rsidRPr="0029634D">
        <w:rPr>
          <w:rFonts w:ascii="Mulish" w:eastAsia="Calibri" w:hAnsi="Mulish" w:cs="Calibri"/>
          <w:sz w:val="24"/>
          <w:szCs w:val="24"/>
        </w:rPr>
        <w:t>Como se ha señalado en el informe provisional de evaluación, el criterio que viene manteniendo este Consejo, es que a los organismos públicos vinculados o dependientes de la AGE, les aplica la obligación establecida en el artículo 5.4 de la LTAIBG, de publicar todas sus informaciones obligatorias en sus webs institucionales o sedes electrónicas.</w:t>
      </w:r>
    </w:p>
    <w:p w14:paraId="089C2E39" w14:textId="77777777" w:rsidR="006803DF" w:rsidRPr="0029634D" w:rsidRDefault="006803DF" w:rsidP="006803DF">
      <w:pPr>
        <w:pStyle w:val="Prrafodelista"/>
        <w:tabs>
          <w:tab w:val="left" w:pos="284"/>
        </w:tabs>
        <w:spacing w:before="120" w:after="120" w:line="312" w:lineRule="auto"/>
        <w:ind w:left="1440"/>
        <w:jc w:val="both"/>
        <w:rPr>
          <w:rFonts w:ascii="Mulish" w:eastAsia="Calibri" w:hAnsi="Mulish" w:cs="Calibri"/>
          <w:sz w:val="24"/>
          <w:szCs w:val="24"/>
        </w:rPr>
      </w:pPr>
    </w:p>
    <w:p w14:paraId="6AA5F202" w14:textId="63CB30A2" w:rsidR="006803DF" w:rsidRPr="0029634D" w:rsidRDefault="006803DF" w:rsidP="006803DF">
      <w:pPr>
        <w:pStyle w:val="Prrafodelista"/>
        <w:numPr>
          <w:ilvl w:val="2"/>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 xml:space="preserve">En primer lugar, porque conforme al artículo 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w:t>
      </w:r>
      <w:bookmarkStart w:id="2" w:name="_Hlk166075570"/>
      <w:r w:rsidRPr="0029634D">
        <w:rPr>
          <w:rFonts w:ascii="Mulish" w:eastAsia="Calibri" w:hAnsi="Mulish" w:cs="Calibri"/>
          <w:sz w:val="24"/>
          <w:szCs w:val="24"/>
        </w:rPr>
        <w:t xml:space="preserve">los organismos públicos vinculados o dependientes no </w:t>
      </w:r>
      <w:r w:rsidRPr="0029634D">
        <w:rPr>
          <w:rFonts w:ascii="Mulish" w:eastAsia="Calibri" w:hAnsi="Mulish" w:cs="Calibri"/>
          <w:sz w:val="24"/>
          <w:szCs w:val="24"/>
        </w:rPr>
        <w:t xml:space="preserve">se contemplan en la delimitación que la Ley 40/2015 efectúa de </w:t>
      </w:r>
      <w:r w:rsidRPr="0029634D">
        <w:rPr>
          <w:rFonts w:ascii="Mulish" w:eastAsia="Calibri" w:hAnsi="Mulish" w:cs="Calibri"/>
          <w:sz w:val="24"/>
          <w:szCs w:val="24"/>
        </w:rPr>
        <w:t>la AGE</w:t>
      </w:r>
      <w:bookmarkEnd w:id="2"/>
      <w:r w:rsidRPr="0029634D">
        <w:rPr>
          <w:rFonts w:ascii="Mulish" w:eastAsia="Calibri" w:hAnsi="Mulish" w:cs="Calibri"/>
          <w:sz w:val="24"/>
          <w:szCs w:val="24"/>
        </w:rPr>
        <w:t xml:space="preserve">, y no deberían publicar los datos o informaciones relativos a su actividad en el Portal general de transparencia que el artículo 10 de la LTAIBG prevé para </w:t>
      </w:r>
      <w:r w:rsidRPr="0029634D">
        <w:rPr>
          <w:rFonts w:ascii="Mulish" w:eastAsia="Calibri" w:hAnsi="Mulish" w:cs="Calibri"/>
          <w:sz w:val="24"/>
          <w:szCs w:val="24"/>
        </w:rPr>
        <w:t>la AGE</w:t>
      </w:r>
      <w:r w:rsidRPr="0029634D">
        <w:rPr>
          <w:rFonts w:ascii="Mulish" w:eastAsia="Calibri" w:hAnsi="Mulish" w:cs="Calibri"/>
          <w:sz w:val="24"/>
          <w:szCs w:val="24"/>
        </w:rPr>
        <w:t xml:space="preserve"> sino en sus propias webs institucionales o sedes electrónicas, tal y como les obliga el artículo 5.4 de la LTAIBG.</w:t>
      </w:r>
    </w:p>
    <w:p w14:paraId="7B42247E" w14:textId="77777777" w:rsidR="006803DF" w:rsidRPr="0029634D" w:rsidRDefault="006803DF" w:rsidP="006803DF">
      <w:pPr>
        <w:pStyle w:val="Prrafodelista"/>
        <w:tabs>
          <w:tab w:val="left" w:pos="284"/>
        </w:tabs>
        <w:spacing w:before="120" w:after="120" w:line="312" w:lineRule="auto"/>
        <w:ind w:left="1440"/>
        <w:jc w:val="both"/>
        <w:rPr>
          <w:rFonts w:ascii="Mulish" w:eastAsia="Calibri" w:hAnsi="Mulish" w:cs="Calibri"/>
          <w:sz w:val="24"/>
          <w:szCs w:val="24"/>
        </w:rPr>
      </w:pPr>
    </w:p>
    <w:p w14:paraId="3D6F524B" w14:textId="32C43983" w:rsidR="009B18C5" w:rsidRPr="0029634D" w:rsidRDefault="006803DF" w:rsidP="006803DF">
      <w:pPr>
        <w:pStyle w:val="Prrafodelista"/>
        <w:numPr>
          <w:ilvl w:val="2"/>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lastRenderedPageBreak/>
        <w:t xml:space="preserve">En segundo lugar, porque el Portal de Transparencia AGE no publica información de todos los organismos vinculados o dependientes ni tampoco, todas las informaciones obligatorias correspondientes a un organismo vinculado o dependiente.  </w:t>
      </w:r>
      <w:r w:rsidRPr="0029634D">
        <w:rPr>
          <w:rFonts w:ascii="Mulish" w:eastAsia="Calibri" w:hAnsi="Mulish" w:cs="Calibri"/>
          <w:sz w:val="24"/>
          <w:szCs w:val="24"/>
        </w:rPr>
        <w:t xml:space="preserve">A lo largo de los últimos años, este Consejo ha analizado la proporción de informaciones obligatorias que se publican en el Portal AGE correspondientes a diversos organismos y entidades dependientes. Y la conclusión, es que, en promedio, la proporción de informaciones obligatorias </w:t>
      </w:r>
      <w:r w:rsidR="0007734F">
        <w:rPr>
          <w:rFonts w:ascii="Mulish" w:eastAsia="Calibri" w:hAnsi="Mulish" w:cs="Calibri"/>
          <w:sz w:val="24"/>
          <w:szCs w:val="24"/>
        </w:rPr>
        <w:t xml:space="preserve">publicadas en el Portal </w:t>
      </w:r>
      <w:r w:rsidRPr="0029634D">
        <w:rPr>
          <w:rFonts w:ascii="Mulish" w:eastAsia="Calibri" w:hAnsi="Mulish" w:cs="Calibri"/>
          <w:sz w:val="24"/>
          <w:szCs w:val="24"/>
        </w:rPr>
        <w:t>correspondientes a este tipo de entidades se sitúa en torno a un tercio.</w:t>
      </w:r>
    </w:p>
    <w:p w14:paraId="48AF2E4B" w14:textId="77777777" w:rsidR="006803DF" w:rsidRPr="0029634D" w:rsidRDefault="006803DF" w:rsidP="006803DF">
      <w:pPr>
        <w:pStyle w:val="Prrafodelista"/>
        <w:rPr>
          <w:rFonts w:ascii="Mulish" w:eastAsia="Calibri" w:hAnsi="Mulish" w:cs="Calibri"/>
          <w:sz w:val="24"/>
          <w:szCs w:val="24"/>
        </w:rPr>
      </w:pPr>
    </w:p>
    <w:p w14:paraId="4B16E72B" w14:textId="7E0C7B97" w:rsidR="006803DF" w:rsidRPr="0029634D" w:rsidRDefault="006803DF" w:rsidP="006803DF">
      <w:pPr>
        <w:pStyle w:val="Prrafodelista"/>
        <w:numPr>
          <w:ilvl w:val="2"/>
          <w:numId w:val="11"/>
        </w:numPr>
        <w:tabs>
          <w:tab w:val="left" w:pos="284"/>
        </w:tabs>
        <w:spacing w:before="120" w:after="120" w:line="312" w:lineRule="auto"/>
        <w:jc w:val="both"/>
        <w:rPr>
          <w:rFonts w:ascii="Mulish" w:eastAsia="Calibri" w:hAnsi="Mulish" w:cs="Calibri"/>
          <w:sz w:val="24"/>
          <w:szCs w:val="24"/>
        </w:rPr>
      </w:pPr>
      <w:r w:rsidRPr="0029634D">
        <w:rPr>
          <w:rFonts w:ascii="Mulish" w:eastAsia="Calibri" w:hAnsi="Mulish" w:cs="Calibri"/>
          <w:sz w:val="24"/>
          <w:szCs w:val="24"/>
        </w:rPr>
        <w:t>Una cuestión adicional en relación con la publicación de informaciones obligatorias correspondientes a organismos dependientes a través del Portal de Transparencia de la AGE, son las dificultades de localización y accesibilidad a dichas informaciones, que suponen auténticas barreras de acceso a la información y</w:t>
      </w:r>
      <w:r w:rsidR="00F74B17" w:rsidRPr="0029634D">
        <w:rPr>
          <w:rFonts w:ascii="Mulish" w:eastAsia="Calibri" w:hAnsi="Mulish" w:cs="Calibri"/>
          <w:sz w:val="24"/>
          <w:szCs w:val="24"/>
        </w:rPr>
        <w:t>,</w:t>
      </w:r>
      <w:r w:rsidRPr="0029634D">
        <w:rPr>
          <w:rFonts w:ascii="Mulish" w:eastAsia="Calibri" w:hAnsi="Mulish" w:cs="Calibri"/>
          <w:sz w:val="24"/>
          <w:szCs w:val="24"/>
        </w:rPr>
        <w:t xml:space="preserve"> por lo tanto, son contrarias a la transparencia.</w:t>
      </w:r>
    </w:p>
    <w:p w14:paraId="1D3ABC8D" w14:textId="77777777" w:rsidR="009B18C5" w:rsidRPr="0029634D" w:rsidRDefault="009B18C5" w:rsidP="006803DF">
      <w:pPr>
        <w:pStyle w:val="Prrafodelista"/>
        <w:tabs>
          <w:tab w:val="left" w:pos="284"/>
        </w:tabs>
        <w:spacing w:before="120" w:after="120" w:line="312" w:lineRule="auto"/>
        <w:ind w:left="1440"/>
        <w:jc w:val="both"/>
        <w:rPr>
          <w:rFonts w:ascii="Mulish" w:eastAsia="Calibri" w:hAnsi="Mulish" w:cs="Calibri"/>
          <w:sz w:val="24"/>
          <w:szCs w:val="24"/>
        </w:rPr>
      </w:pPr>
    </w:p>
    <w:p w14:paraId="0095138F" w14:textId="4D4157D5" w:rsidR="006803DF" w:rsidRPr="0029634D" w:rsidRDefault="006803DF" w:rsidP="006803DF">
      <w:pPr>
        <w:pStyle w:val="Prrafodelista"/>
        <w:numPr>
          <w:ilvl w:val="1"/>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t>E</w:t>
      </w:r>
      <w:r w:rsidR="00C506D3" w:rsidRPr="0029634D">
        <w:rPr>
          <w:rFonts w:ascii="Mulish" w:hAnsi="Mulish" w:cstheme="minorHAnsi"/>
          <w:bCs/>
          <w:sz w:val="24"/>
          <w:szCs w:val="24"/>
        </w:rPr>
        <w:t xml:space="preserve">n relación con </w:t>
      </w:r>
      <w:bookmarkEnd w:id="0"/>
      <w:r w:rsidRPr="0029634D">
        <w:rPr>
          <w:rFonts w:ascii="Mulish" w:hAnsi="Mulish" w:cstheme="minorHAnsi"/>
          <w:bCs/>
          <w:sz w:val="24"/>
          <w:szCs w:val="24"/>
        </w:rPr>
        <w:t xml:space="preserve">la obligación ejecución presupuestaria, se indica por parte de la AEMPS que esta información se localiza en las cuentas anuales.  </w:t>
      </w:r>
      <w:r w:rsidRPr="0029634D">
        <w:rPr>
          <w:rFonts w:ascii="Mulish" w:hAnsi="Mulish" w:cstheme="minorHAnsi"/>
          <w:bCs/>
          <w:sz w:val="24"/>
          <w:szCs w:val="24"/>
        </w:rPr>
        <w:t xml:space="preserve">En cuanto a la publicación de información de una obligación a través de los documentos correspondientes a otra obligación – u otros documentos, como las memorias -, este CTBG </w:t>
      </w:r>
      <w:r w:rsidR="0029634D" w:rsidRPr="0029634D">
        <w:rPr>
          <w:rFonts w:ascii="Mulish" w:hAnsi="Mulish" w:cstheme="minorHAnsi"/>
          <w:bCs/>
          <w:sz w:val="24"/>
          <w:szCs w:val="24"/>
        </w:rPr>
        <w:t>ya indicaba en el informe provisional de evaluación.</w:t>
      </w:r>
      <w:r w:rsidRPr="0029634D">
        <w:rPr>
          <w:rFonts w:ascii="Mulish" w:hAnsi="Mulish" w:cstheme="minorHAnsi"/>
          <w:bCs/>
          <w:sz w:val="24"/>
          <w:szCs w:val="24"/>
        </w:rPr>
        <w:t xml:space="preserve"> que, de la misma manera que la LTAIBG distingue y enumera todas y cada una de las obligaciones de publicidad activa, la publicación de las informaciones relativas a estas obligaciones debe realizarse manera individualizada.</w:t>
      </w:r>
    </w:p>
    <w:p w14:paraId="721BFD8F" w14:textId="77777777" w:rsidR="006803DF" w:rsidRPr="0029634D" w:rsidRDefault="006803DF" w:rsidP="0029634D">
      <w:pPr>
        <w:pStyle w:val="Prrafodelista"/>
        <w:tabs>
          <w:tab w:val="left" w:pos="284"/>
        </w:tabs>
        <w:spacing w:before="120" w:after="120" w:line="312" w:lineRule="auto"/>
        <w:ind w:left="1440"/>
        <w:jc w:val="both"/>
        <w:rPr>
          <w:rFonts w:ascii="Mulish" w:hAnsi="Mulish" w:cstheme="minorHAnsi"/>
          <w:bCs/>
          <w:sz w:val="24"/>
          <w:szCs w:val="24"/>
        </w:rPr>
      </w:pPr>
    </w:p>
    <w:p w14:paraId="046B01B8" w14:textId="072BA77B" w:rsidR="009B1497" w:rsidRPr="0029634D" w:rsidRDefault="006803DF" w:rsidP="0029634D">
      <w:pPr>
        <w:pStyle w:val="Prrafodelista"/>
        <w:tabs>
          <w:tab w:val="left" w:pos="284"/>
        </w:tabs>
        <w:spacing w:before="120" w:after="120" w:line="312" w:lineRule="auto"/>
        <w:ind w:left="1440"/>
        <w:jc w:val="both"/>
        <w:rPr>
          <w:rFonts w:ascii="Mulish" w:hAnsi="Mulish" w:cstheme="minorHAnsi"/>
          <w:bCs/>
          <w:sz w:val="24"/>
          <w:szCs w:val="24"/>
        </w:rPr>
      </w:pPr>
      <w:r w:rsidRPr="0029634D">
        <w:rPr>
          <w:rFonts w:ascii="Mulish" w:hAnsi="Mulish" w:cstheme="minorHAnsi"/>
          <w:bCs/>
          <w:sz w:val="24"/>
          <w:szCs w:val="24"/>
        </w:rPr>
        <w:t>Además,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w:t>
      </w:r>
      <w:r w:rsidR="0007734F">
        <w:rPr>
          <w:rFonts w:ascii="Mulish" w:hAnsi="Mulish" w:cstheme="minorHAnsi"/>
          <w:bCs/>
          <w:sz w:val="24"/>
          <w:szCs w:val="24"/>
        </w:rPr>
        <w:t>n</w:t>
      </w:r>
      <w:r w:rsidRPr="0029634D">
        <w:rPr>
          <w:rFonts w:ascii="Mulish" w:hAnsi="Mulish" w:cstheme="minorHAnsi"/>
          <w:bCs/>
          <w:sz w:val="24"/>
          <w:szCs w:val="24"/>
        </w:rPr>
        <w:t xml:space="preserve"> tener para personas no especializadas. A </w:t>
      </w:r>
      <w:r w:rsidRPr="0029634D">
        <w:rPr>
          <w:rFonts w:ascii="Mulish" w:hAnsi="Mulish" w:cstheme="minorHAnsi"/>
          <w:bCs/>
          <w:sz w:val="24"/>
          <w:szCs w:val="24"/>
        </w:rPr>
        <w:lastRenderedPageBreak/>
        <w:t xml:space="preserve">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14:paraId="18C42141" w14:textId="373C804C" w:rsidR="0029634D" w:rsidRPr="0029634D" w:rsidRDefault="0029634D" w:rsidP="0029634D">
      <w:pPr>
        <w:pStyle w:val="Prrafodelista"/>
        <w:tabs>
          <w:tab w:val="left" w:pos="284"/>
        </w:tabs>
        <w:spacing w:before="120" w:after="120" w:line="312" w:lineRule="auto"/>
        <w:ind w:left="1440"/>
        <w:jc w:val="both"/>
        <w:rPr>
          <w:rFonts w:ascii="Mulish" w:hAnsi="Mulish" w:cstheme="minorHAnsi"/>
          <w:bCs/>
          <w:sz w:val="24"/>
          <w:szCs w:val="24"/>
        </w:rPr>
      </w:pPr>
    </w:p>
    <w:p w14:paraId="4132EFC4" w14:textId="77777777" w:rsidR="0029634D" w:rsidRPr="0029634D" w:rsidRDefault="0029634D" w:rsidP="0002111F">
      <w:pPr>
        <w:pStyle w:val="Prrafodelista"/>
        <w:numPr>
          <w:ilvl w:val="1"/>
          <w:numId w:val="11"/>
        </w:numPr>
        <w:tabs>
          <w:tab w:val="left" w:pos="284"/>
        </w:tabs>
        <w:spacing w:before="120" w:after="120" w:line="312" w:lineRule="auto"/>
        <w:jc w:val="both"/>
        <w:rPr>
          <w:rFonts w:ascii="Mulish" w:hAnsi="Mulish" w:cstheme="minorHAnsi"/>
          <w:bCs/>
          <w:sz w:val="24"/>
          <w:szCs w:val="24"/>
        </w:rPr>
      </w:pPr>
      <w:r w:rsidRPr="0029634D">
        <w:rPr>
          <w:rFonts w:ascii="Mulish" w:hAnsi="Mulish" w:cstheme="minorHAnsi"/>
          <w:bCs/>
          <w:sz w:val="24"/>
          <w:szCs w:val="24"/>
        </w:rPr>
        <w:t xml:space="preserve">Para otras obligaciones, señala la AEMPS en sus observaciones que “no es de aplicación”, o que “no se ha dado la circunstancia”. </w:t>
      </w:r>
      <w:r w:rsidRPr="0029634D">
        <w:rPr>
          <w:rFonts w:ascii="Mulish" w:hAnsi="Mulish" w:cstheme="minorHAnsi"/>
          <w:bCs/>
          <w:sz w:val="24"/>
          <w:szCs w:val="24"/>
        </w:rPr>
        <w:t xml:space="preserve">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a </w:t>
      </w:r>
      <w:r w:rsidRPr="0029634D">
        <w:rPr>
          <w:rFonts w:ascii="Mulish" w:hAnsi="Mulish" w:cstheme="minorHAnsi"/>
          <w:bCs/>
          <w:sz w:val="24"/>
          <w:szCs w:val="24"/>
        </w:rPr>
        <w:t>la AEMPS</w:t>
      </w:r>
      <w:r w:rsidRPr="0029634D">
        <w:rPr>
          <w:rFonts w:ascii="Mulish" w:hAnsi="Mulish" w:cstheme="minorHAnsi"/>
          <w:bCs/>
          <w:sz w:val="24"/>
          <w:szCs w:val="24"/>
        </w:rPr>
        <w:t xml:space="preserve"> que en el apartado correspondiente a la obligación de publicidad activa para la que no ha existido actividad, se haga constar que la falta de publicación se debe a la falta de actividad en ese ámbito.</w:t>
      </w:r>
    </w:p>
    <w:p w14:paraId="5BC74298" w14:textId="77777777" w:rsidR="0029634D" w:rsidRDefault="0029634D" w:rsidP="0029634D">
      <w:pPr>
        <w:pStyle w:val="Prrafodelista"/>
        <w:tabs>
          <w:tab w:val="left" w:pos="284"/>
        </w:tabs>
        <w:spacing w:before="120" w:after="120" w:line="312" w:lineRule="auto"/>
        <w:ind w:left="1440"/>
        <w:jc w:val="both"/>
        <w:rPr>
          <w:rFonts w:ascii="Mulish" w:hAnsi="Mulish" w:cstheme="minorHAnsi"/>
          <w:bCs/>
          <w:szCs w:val="24"/>
        </w:rPr>
      </w:pPr>
    </w:p>
    <w:p w14:paraId="5B401E42" w14:textId="385F0438"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B1497">
        <w:rPr>
          <w:rFonts w:ascii="Mulish" w:hAnsi="Mulish" w:cstheme="minorHAnsi"/>
          <w:szCs w:val="24"/>
        </w:rPr>
        <w:t>mayo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11.25pt;height:11.25pt" o:bullet="t">
        <v:imagedata r:id="rId1" o:title="BD14529_"/>
      </v:shape>
    </w:pict>
  </w:numPicBullet>
  <w:numPicBullet w:numPicBulletId="1">
    <w:pict>
      <v:shape id="_x0000_i1466"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33E75"/>
    <w:rsid w:val="00034F48"/>
    <w:rsid w:val="00036A5D"/>
    <w:rsid w:val="0005249D"/>
    <w:rsid w:val="00070294"/>
    <w:rsid w:val="00070950"/>
    <w:rsid w:val="00073E04"/>
    <w:rsid w:val="00074030"/>
    <w:rsid w:val="0007734F"/>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540DD"/>
    <w:rsid w:val="00292806"/>
    <w:rsid w:val="0029634D"/>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B1C12"/>
    <w:rsid w:val="005E2370"/>
    <w:rsid w:val="005F0570"/>
    <w:rsid w:val="005F4305"/>
    <w:rsid w:val="005F59A5"/>
    <w:rsid w:val="00614890"/>
    <w:rsid w:val="00620AB5"/>
    <w:rsid w:val="00636FF6"/>
    <w:rsid w:val="006615ED"/>
    <w:rsid w:val="006803DF"/>
    <w:rsid w:val="006F17B5"/>
    <w:rsid w:val="006F5890"/>
    <w:rsid w:val="006F5AFB"/>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E5BF4"/>
    <w:rsid w:val="00AF587E"/>
    <w:rsid w:val="00B263E1"/>
    <w:rsid w:val="00B2797F"/>
    <w:rsid w:val="00B31F84"/>
    <w:rsid w:val="00B35A53"/>
    <w:rsid w:val="00B4112D"/>
    <w:rsid w:val="00B81EE6"/>
    <w:rsid w:val="00BB48B9"/>
    <w:rsid w:val="00BC1739"/>
    <w:rsid w:val="00BC7A82"/>
    <w:rsid w:val="00BE33B9"/>
    <w:rsid w:val="00C01613"/>
    <w:rsid w:val="00C0201F"/>
    <w:rsid w:val="00C119CE"/>
    <w:rsid w:val="00C13C51"/>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2024-05-08T12:26:00Z</dcterms:created>
  <dcterms:modified xsi:type="dcterms:W3CDTF">2024-05-08T14:05:00Z</dcterms:modified>
</cp:coreProperties>
</file>