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2EF0157D" w:rsidR="006F17B5" w:rsidRPr="00406F06" w:rsidRDefault="006F17B5" w:rsidP="001B16D9">
      <w:pPr>
        <w:pStyle w:val="Ttulo1"/>
        <w:jc w:val="both"/>
        <w:rPr>
          <w:rFonts w:ascii="Mulish" w:hAnsi="Mulish"/>
          <w:color w:val="079386"/>
        </w:rPr>
      </w:pPr>
      <w:r w:rsidRPr="00406F06">
        <w:rPr>
          <w:rFonts w:ascii="Mulish" w:hAnsi="Mulish"/>
          <w:color w:val="079386"/>
        </w:rPr>
        <w:t xml:space="preserve">INFORME RELATIVO A LAS OBSERVACIONES REMITIDAS POR </w:t>
      </w:r>
      <w:r w:rsidR="00180025">
        <w:rPr>
          <w:rFonts w:ascii="Mulish" w:hAnsi="Mulish"/>
          <w:color w:val="079386"/>
        </w:rPr>
        <w:t xml:space="preserve">LA </w:t>
      </w:r>
      <w:r w:rsidR="00DE14A2">
        <w:rPr>
          <w:rFonts w:ascii="Mulish" w:hAnsi="Mulish"/>
          <w:color w:val="079386"/>
        </w:rPr>
        <w:t>AUTORIDAD PORTUARIA DE ALICANTE</w:t>
      </w:r>
      <w:r w:rsidR="007704A4" w:rsidRPr="00406F06">
        <w:rPr>
          <w:rFonts w:ascii="Mulish" w:hAnsi="Mulish"/>
          <w:color w:val="079386"/>
        </w:rPr>
        <w:t xml:space="preserve"> </w:t>
      </w:r>
      <w:r w:rsidRPr="00406F06">
        <w:rPr>
          <w:rFonts w:ascii="Mulish" w:hAnsi="Mulish"/>
          <w:color w:val="079386"/>
        </w:rPr>
        <w:t>EN RELACIÓN CON EL INFORME DEL CTBG SOBRE CUMPLIMIENTO DE LAS OBLIGACIONES DE PUBLICIDAD ACTIVA ESTABLECIDAS POR LA LTAIBG</w:t>
      </w:r>
    </w:p>
    <w:p w14:paraId="093557A1" w14:textId="77777777" w:rsidR="006F17B5" w:rsidRPr="00406F06" w:rsidRDefault="006F17B5" w:rsidP="006F17B5">
      <w:pPr>
        <w:jc w:val="center"/>
        <w:rPr>
          <w:rFonts w:ascii="Mulish" w:hAnsi="Mulish" w:cstheme="minorHAnsi"/>
          <w:szCs w:val="24"/>
        </w:rPr>
      </w:pPr>
    </w:p>
    <w:p w14:paraId="5E6F6CF0" w14:textId="44D2BEEE" w:rsidR="00D23111" w:rsidRPr="002129F6" w:rsidRDefault="00D23111" w:rsidP="009E16B5">
      <w:pPr>
        <w:tabs>
          <w:tab w:val="left" w:pos="284"/>
        </w:tabs>
        <w:spacing w:before="120" w:after="120" w:line="312" w:lineRule="auto"/>
        <w:contextualSpacing/>
        <w:jc w:val="both"/>
        <w:rPr>
          <w:rFonts w:ascii="Mulish" w:hAnsi="Mulish" w:cstheme="minorHAnsi"/>
          <w:sz w:val="22"/>
        </w:rPr>
      </w:pPr>
      <w:r w:rsidRPr="002129F6">
        <w:rPr>
          <w:rFonts w:ascii="Mulish" w:hAnsi="Mulish" w:cstheme="minorHAnsi"/>
          <w:sz w:val="22"/>
        </w:rPr>
        <w:t>En contestación a su</w:t>
      </w:r>
      <w:r w:rsidR="00C25FA5" w:rsidRPr="002129F6">
        <w:rPr>
          <w:rFonts w:ascii="Mulish" w:hAnsi="Mulish" w:cstheme="minorHAnsi"/>
          <w:sz w:val="22"/>
        </w:rPr>
        <w:t xml:space="preserve"> </w:t>
      </w:r>
      <w:r w:rsidR="00CB0050" w:rsidRPr="002129F6">
        <w:rPr>
          <w:rFonts w:ascii="Mulish" w:hAnsi="Mulish" w:cstheme="minorHAnsi"/>
          <w:sz w:val="22"/>
        </w:rPr>
        <w:t xml:space="preserve">escrito </w:t>
      </w:r>
      <w:r w:rsidR="00565608" w:rsidRPr="002129F6">
        <w:rPr>
          <w:rFonts w:ascii="Mulish" w:hAnsi="Mulish" w:cstheme="minorHAnsi"/>
          <w:sz w:val="22"/>
        </w:rPr>
        <w:t xml:space="preserve">de fecha </w:t>
      </w:r>
      <w:r w:rsidR="00CB0050" w:rsidRPr="002129F6">
        <w:rPr>
          <w:rFonts w:ascii="Mulish" w:hAnsi="Mulish" w:cstheme="minorHAnsi"/>
          <w:sz w:val="22"/>
        </w:rPr>
        <w:t>8</w:t>
      </w:r>
      <w:r w:rsidRPr="002129F6">
        <w:rPr>
          <w:rFonts w:ascii="Mulish" w:hAnsi="Mulish" w:cstheme="minorHAnsi"/>
          <w:sz w:val="22"/>
        </w:rPr>
        <w:t xml:space="preserve"> de </w:t>
      </w:r>
      <w:r w:rsidR="00762141" w:rsidRPr="002129F6">
        <w:rPr>
          <w:rFonts w:ascii="Mulish" w:hAnsi="Mulish" w:cstheme="minorHAnsi"/>
          <w:sz w:val="22"/>
        </w:rPr>
        <w:t xml:space="preserve">mayo </w:t>
      </w:r>
      <w:r w:rsidRPr="002129F6">
        <w:rPr>
          <w:rFonts w:ascii="Mulish" w:hAnsi="Mulish" w:cstheme="minorHAnsi"/>
          <w:sz w:val="22"/>
        </w:rPr>
        <w:t>de 202</w:t>
      </w:r>
      <w:r w:rsidR="00FA580C" w:rsidRPr="002129F6">
        <w:rPr>
          <w:rFonts w:ascii="Mulish" w:hAnsi="Mulish" w:cstheme="minorHAnsi"/>
          <w:sz w:val="22"/>
        </w:rPr>
        <w:t>4</w:t>
      </w:r>
      <w:r w:rsidR="00C119CE" w:rsidRPr="002129F6">
        <w:rPr>
          <w:rFonts w:ascii="Mulish" w:hAnsi="Mulish" w:cstheme="minorHAnsi"/>
          <w:sz w:val="22"/>
        </w:rPr>
        <w:t>,</w:t>
      </w:r>
      <w:r w:rsidR="005B1C12" w:rsidRPr="002129F6">
        <w:rPr>
          <w:rFonts w:ascii="Mulish" w:hAnsi="Mulish" w:cstheme="minorHAnsi"/>
          <w:sz w:val="22"/>
        </w:rPr>
        <w:t xml:space="preserve"> </w:t>
      </w:r>
      <w:r w:rsidRPr="002129F6">
        <w:rPr>
          <w:rFonts w:ascii="Mulish" w:hAnsi="Mulish" w:cstheme="minorHAnsi"/>
          <w:sz w:val="22"/>
        </w:rPr>
        <w:t xml:space="preserve">una vez analizadas </w:t>
      </w:r>
      <w:r w:rsidR="00C119CE" w:rsidRPr="002129F6">
        <w:rPr>
          <w:rFonts w:ascii="Mulish" w:hAnsi="Mulish" w:cstheme="minorHAnsi"/>
          <w:sz w:val="22"/>
        </w:rPr>
        <w:t xml:space="preserve">todas </w:t>
      </w:r>
      <w:r w:rsidRPr="002129F6">
        <w:rPr>
          <w:rFonts w:ascii="Mulish" w:hAnsi="Mulish" w:cstheme="minorHAnsi"/>
          <w:sz w:val="22"/>
        </w:rPr>
        <w:t xml:space="preserve">las observaciones realizadas al borrador de informe de evaluación </w:t>
      </w:r>
      <w:r w:rsidR="00B81EE6" w:rsidRPr="002129F6">
        <w:rPr>
          <w:rFonts w:ascii="Mulish" w:hAnsi="Mulish" w:cstheme="minorHAnsi"/>
          <w:sz w:val="22"/>
        </w:rPr>
        <w:t xml:space="preserve">relativo al </w:t>
      </w:r>
      <w:r w:rsidRPr="002129F6">
        <w:rPr>
          <w:rFonts w:ascii="Mulish" w:hAnsi="Mulish" w:cstheme="minorHAnsi"/>
          <w:sz w:val="22"/>
        </w:rPr>
        <w:t xml:space="preserve">cumplimiento de las obligaciones de publicidad activa por parte de esa </w:t>
      </w:r>
      <w:r w:rsidR="00180025" w:rsidRPr="002129F6">
        <w:rPr>
          <w:rFonts w:ascii="Mulish" w:hAnsi="Mulish" w:cstheme="minorHAnsi"/>
          <w:sz w:val="22"/>
        </w:rPr>
        <w:t>entidad</w:t>
      </w:r>
      <w:r w:rsidRPr="002129F6">
        <w:rPr>
          <w:rFonts w:ascii="Mulish" w:hAnsi="Mulish" w:cstheme="minorHAnsi"/>
          <w:sz w:val="22"/>
        </w:rPr>
        <w:t>, este CTBG efectúa las siguientes consideraciones:</w:t>
      </w:r>
    </w:p>
    <w:p w14:paraId="73B32EE4" w14:textId="77777777" w:rsidR="00855ECA" w:rsidRPr="002129F6" w:rsidRDefault="00855ECA" w:rsidP="009E16B5">
      <w:pPr>
        <w:tabs>
          <w:tab w:val="left" w:pos="284"/>
        </w:tabs>
        <w:spacing w:before="120" w:after="120" w:line="312" w:lineRule="auto"/>
        <w:contextualSpacing/>
        <w:jc w:val="both"/>
        <w:rPr>
          <w:rFonts w:ascii="Mulish" w:hAnsi="Mulish" w:cstheme="minorHAnsi"/>
          <w:sz w:val="22"/>
        </w:rPr>
      </w:pPr>
    </w:p>
    <w:p w14:paraId="348154CE" w14:textId="1160898A" w:rsidR="00CB0050" w:rsidRPr="002129F6" w:rsidRDefault="006B3E77" w:rsidP="00180025">
      <w:pPr>
        <w:pStyle w:val="Prrafodelista"/>
        <w:numPr>
          <w:ilvl w:val="0"/>
          <w:numId w:val="18"/>
        </w:numPr>
        <w:tabs>
          <w:tab w:val="left" w:pos="284"/>
        </w:tabs>
        <w:spacing w:before="120" w:after="120" w:line="312" w:lineRule="auto"/>
        <w:jc w:val="both"/>
        <w:rPr>
          <w:rFonts w:ascii="Mulish" w:hAnsi="Mulish" w:cstheme="minorHAnsi"/>
        </w:rPr>
      </w:pPr>
      <w:r w:rsidRPr="002129F6">
        <w:rPr>
          <w:rFonts w:ascii="Mulish" w:hAnsi="Mulish" w:cstheme="minorHAnsi"/>
        </w:rPr>
        <w:t>No s</w:t>
      </w:r>
      <w:r w:rsidR="00180025" w:rsidRPr="002129F6">
        <w:rPr>
          <w:rFonts w:ascii="Mulish" w:hAnsi="Mulish" w:cstheme="minorHAnsi"/>
        </w:rPr>
        <w:t>e acepta</w:t>
      </w:r>
      <w:r w:rsidR="00CB0050" w:rsidRPr="002129F6">
        <w:rPr>
          <w:rFonts w:ascii="Mulish" w:hAnsi="Mulish" w:cstheme="minorHAnsi"/>
        </w:rPr>
        <w:t>n</w:t>
      </w:r>
      <w:r w:rsidR="00180025" w:rsidRPr="002129F6">
        <w:rPr>
          <w:rFonts w:ascii="Mulish" w:hAnsi="Mulish" w:cstheme="minorHAnsi"/>
        </w:rPr>
        <w:t xml:space="preserve"> la</w:t>
      </w:r>
      <w:r w:rsidR="00CB0050" w:rsidRPr="002129F6">
        <w:rPr>
          <w:rFonts w:ascii="Mulish" w:hAnsi="Mulish" w:cstheme="minorHAnsi"/>
        </w:rPr>
        <w:t>s</w:t>
      </w:r>
      <w:r w:rsidR="00180025" w:rsidRPr="002129F6">
        <w:rPr>
          <w:rFonts w:ascii="Mulish" w:hAnsi="Mulish" w:cstheme="minorHAnsi"/>
        </w:rPr>
        <w:t xml:space="preserve"> </w:t>
      </w:r>
      <w:r w:rsidR="00CB0050" w:rsidRPr="002129F6">
        <w:rPr>
          <w:rFonts w:ascii="Mulish" w:hAnsi="Mulish" w:cstheme="minorHAnsi"/>
        </w:rPr>
        <w:t>siguientes observaciones:</w:t>
      </w:r>
    </w:p>
    <w:p w14:paraId="1312B135" w14:textId="6A02E10C" w:rsidR="00180025" w:rsidRPr="002129F6" w:rsidRDefault="006B3E77" w:rsidP="00CB0050">
      <w:pPr>
        <w:pStyle w:val="Prrafodelista"/>
        <w:numPr>
          <w:ilvl w:val="1"/>
          <w:numId w:val="18"/>
        </w:numPr>
        <w:tabs>
          <w:tab w:val="left" w:pos="284"/>
        </w:tabs>
        <w:spacing w:before="120" w:after="120" w:line="312" w:lineRule="auto"/>
        <w:jc w:val="both"/>
        <w:rPr>
          <w:rFonts w:ascii="Mulish" w:hAnsi="Mulish" w:cstheme="minorHAnsi"/>
        </w:rPr>
      </w:pPr>
      <w:r w:rsidRPr="002129F6">
        <w:rPr>
          <w:rFonts w:ascii="Mulish" w:hAnsi="Mulish" w:cstheme="minorHAnsi"/>
        </w:rPr>
        <w:t>La relativa</w:t>
      </w:r>
      <w:r w:rsidR="00180025" w:rsidRPr="002129F6">
        <w:rPr>
          <w:rFonts w:ascii="Mulish" w:hAnsi="Mulish" w:cstheme="minorHAnsi"/>
        </w:rPr>
        <w:t xml:space="preserve"> a la </w:t>
      </w:r>
      <w:r w:rsidRPr="002129F6">
        <w:rPr>
          <w:rFonts w:ascii="Mulish" w:hAnsi="Mulish" w:cstheme="minorHAnsi"/>
        </w:rPr>
        <w:t>publicación del Plan de Medidas Antifraude</w:t>
      </w:r>
      <w:r w:rsidR="00C15CF2" w:rsidRPr="002129F6">
        <w:rPr>
          <w:rFonts w:ascii="Mulish" w:hAnsi="Mulish" w:cstheme="minorHAnsi"/>
        </w:rPr>
        <w:t>.</w:t>
      </w:r>
      <w:r w:rsidR="00CB0050" w:rsidRPr="002129F6">
        <w:rPr>
          <w:rFonts w:ascii="Mulish" w:hAnsi="Mulish" w:cstheme="minorHAnsi"/>
        </w:rPr>
        <w:t xml:space="preserve"> </w:t>
      </w:r>
      <w:r w:rsidRPr="002129F6">
        <w:rPr>
          <w:rFonts w:ascii="Mulish" w:hAnsi="Mulish" w:cstheme="minorHAnsi"/>
        </w:rPr>
        <w:t xml:space="preserve">A juicio de este Consejo, el contenido material de esta obligación se refiere a los planes y programas que ordenen estratégica u operativamente las actividades de la organización o las políticas públicas que dicha organización gestiona. </w:t>
      </w:r>
      <w:r w:rsidR="00860263" w:rsidRPr="002129F6">
        <w:rPr>
          <w:rFonts w:ascii="Mulish" w:hAnsi="Mulish" w:cstheme="minorHAnsi"/>
        </w:rPr>
        <w:t>El Plan de Medidas Antifraude, está vinculado a los requerimientos establecidos para la percepción de las ayudas concedidas por la Unión Europea a través del PRTR. Sus contenidos consisten en un conjunto de medidas orientadas al control del riego de fraude, no se vinculan, por lo tanto, a objetivos y</w:t>
      </w:r>
      <w:r w:rsidR="00860263" w:rsidRPr="002129F6">
        <w:rPr>
          <w:rFonts w:ascii="Mulish" w:hAnsi="Mulish" w:cstheme="minorHAnsi"/>
        </w:rPr>
        <w:t xml:space="preserve"> actividades </w:t>
      </w:r>
      <w:r w:rsidR="00860263" w:rsidRPr="002129F6">
        <w:rPr>
          <w:rFonts w:ascii="Mulish" w:hAnsi="Mulish" w:cstheme="minorHAnsi"/>
        </w:rPr>
        <w:t>de carácter general,</w:t>
      </w:r>
      <w:r w:rsidR="00860263" w:rsidRPr="002129F6">
        <w:rPr>
          <w:rFonts w:ascii="Mulish" w:hAnsi="Mulish" w:cstheme="minorHAnsi"/>
        </w:rPr>
        <w:t xml:space="preserve"> ligad</w:t>
      </w:r>
      <w:r w:rsidR="00860263" w:rsidRPr="002129F6">
        <w:rPr>
          <w:rFonts w:ascii="Mulish" w:hAnsi="Mulish" w:cstheme="minorHAnsi"/>
        </w:rPr>
        <w:t>o</w:t>
      </w:r>
      <w:r w:rsidR="00860263" w:rsidRPr="002129F6">
        <w:rPr>
          <w:rFonts w:ascii="Mulish" w:hAnsi="Mulish" w:cstheme="minorHAnsi"/>
        </w:rPr>
        <w:t xml:space="preserve">s a los grandes objetivos o políticas propuestas por </w:t>
      </w:r>
      <w:r w:rsidR="00860263" w:rsidRPr="002129F6">
        <w:rPr>
          <w:rFonts w:ascii="Mulish" w:hAnsi="Mulish" w:cstheme="minorHAnsi"/>
        </w:rPr>
        <w:t>la AP</w:t>
      </w:r>
      <w:r w:rsidR="00860263" w:rsidRPr="002129F6">
        <w:rPr>
          <w:rFonts w:ascii="Mulish" w:hAnsi="Mulish" w:cstheme="minorHAnsi"/>
        </w:rPr>
        <w:t xml:space="preserve"> o que le son encomendadas por el Gobierno u otras Autoridades</w:t>
      </w:r>
      <w:r w:rsidR="00860263" w:rsidRPr="002129F6">
        <w:rPr>
          <w:rFonts w:ascii="Mulish" w:hAnsi="Mulish" w:cstheme="minorHAnsi"/>
        </w:rPr>
        <w:t>.</w:t>
      </w:r>
    </w:p>
    <w:p w14:paraId="728697D4" w14:textId="36F368E5" w:rsidR="00C15CF2" w:rsidRPr="002129F6" w:rsidRDefault="00C15CF2" w:rsidP="00CB0050">
      <w:pPr>
        <w:pStyle w:val="Prrafodelista"/>
        <w:numPr>
          <w:ilvl w:val="1"/>
          <w:numId w:val="18"/>
        </w:numPr>
        <w:tabs>
          <w:tab w:val="left" w:pos="284"/>
        </w:tabs>
        <w:spacing w:before="120" w:after="120" w:line="312" w:lineRule="auto"/>
        <w:jc w:val="both"/>
        <w:rPr>
          <w:rFonts w:ascii="Mulish" w:hAnsi="Mulish" w:cstheme="minorHAnsi"/>
        </w:rPr>
      </w:pPr>
      <w:r w:rsidRPr="002129F6">
        <w:rPr>
          <w:rFonts w:ascii="Mulish" w:hAnsi="Mulish" w:cstheme="minorHAnsi"/>
        </w:rPr>
        <w:t xml:space="preserve">La relativa </w:t>
      </w:r>
      <w:r w:rsidR="00860263" w:rsidRPr="002129F6">
        <w:rPr>
          <w:rFonts w:ascii="Mulish" w:hAnsi="Mulish" w:cstheme="minorHAnsi"/>
        </w:rPr>
        <w:t xml:space="preserve">a que se considere parcialmente cumplida la obligación convenios, a partir de la publicación de 3 de los 7 ítems </w:t>
      </w:r>
      <w:r w:rsidR="00025194" w:rsidRPr="002129F6">
        <w:rPr>
          <w:rFonts w:ascii="Mulish" w:hAnsi="Mulish" w:cstheme="minorHAnsi"/>
        </w:rPr>
        <w:t>obligatorios.</w:t>
      </w:r>
      <w:r w:rsidRPr="002129F6">
        <w:rPr>
          <w:rFonts w:ascii="Mulish" w:hAnsi="Mulish" w:cstheme="minorHAnsi"/>
        </w:rPr>
        <w:t xml:space="preserve"> </w:t>
      </w:r>
      <w:r w:rsidR="00025194" w:rsidRPr="002129F6">
        <w:rPr>
          <w:rFonts w:ascii="Mulish" w:hAnsi="Mulish" w:cstheme="minorHAnsi"/>
        </w:rPr>
        <w:t xml:space="preserve">Los ítems que se publican – objeto del convenio, fecha de la firma y partes firmantes – no permiten conocer ni la duración del convenio, ni los sujetos obligados a la realización de las prestaciones, ni las obligaciones económicas que, en su caso, deriven del convenio, ni las modificaciones en el contenido de los convenios que se hayan producido durante su periodo de vigencia. Por otra parte, como la única referencia temporal que se publica, es la fecha de firma del convenio, tampoco es posible </w:t>
      </w:r>
      <w:r w:rsidR="00512EF9" w:rsidRPr="002129F6">
        <w:rPr>
          <w:rFonts w:ascii="Mulish" w:hAnsi="Mulish" w:cstheme="minorHAnsi"/>
        </w:rPr>
        <w:t xml:space="preserve">conocer </w:t>
      </w:r>
      <w:r w:rsidR="00025194" w:rsidRPr="002129F6">
        <w:rPr>
          <w:rFonts w:ascii="Mulish" w:hAnsi="Mulish" w:cstheme="minorHAnsi"/>
        </w:rPr>
        <w:t xml:space="preserve">si los convenios publicados mantienen su vigencia – de </w:t>
      </w:r>
      <w:r w:rsidR="00E80B05" w:rsidRPr="002129F6">
        <w:rPr>
          <w:rFonts w:ascii="Mulish" w:hAnsi="Mulish" w:cstheme="minorHAnsi"/>
        </w:rPr>
        <w:t>hecho,</w:t>
      </w:r>
      <w:r w:rsidR="00025194" w:rsidRPr="002129F6">
        <w:rPr>
          <w:rFonts w:ascii="Mulish" w:hAnsi="Mulish" w:cstheme="minorHAnsi"/>
        </w:rPr>
        <w:t xml:space="preserve"> todos los convenios publicados </w:t>
      </w:r>
      <w:r w:rsidR="002129F6">
        <w:rPr>
          <w:rFonts w:ascii="Mulish" w:hAnsi="Mulish" w:cstheme="minorHAnsi"/>
        </w:rPr>
        <w:t xml:space="preserve">han sido </w:t>
      </w:r>
      <w:r w:rsidR="00025194" w:rsidRPr="002129F6">
        <w:rPr>
          <w:rFonts w:ascii="Mulish" w:hAnsi="Mulish" w:cstheme="minorHAnsi"/>
        </w:rPr>
        <w:t xml:space="preserve"> </w:t>
      </w:r>
      <w:r w:rsidR="002129F6">
        <w:rPr>
          <w:rFonts w:ascii="Mulish" w:hAnsi="Mulish" w:cstheme="minorHAnsi"/>
        </w:rPr>
        <w:t xml:space="preserve">suscritos en el </w:t>
      </w:r>
      <w:r w:rsidR="00025194" w:rsidRPr="002129F6">
        <w:rPr>
          <w:rFonts w:ascii="Mulish" w:hAnsi="Mulish" w:cstheme="minorHAnsi"/>
        </w:rPr>
        <w:t xml:space="preserve">periodo 2020-2022 </w:t>
      </w:r>
      <w:r w:rsidR="00512EF9" w:rsidRPr="002129F6">
        <w:rPr>
          <w:rFonts w:ascii="Mulish" w:hAnsi="Mulish" w:cstheme="minorHAnsi"/>
        </w:rPr>
        <w:t>-</w:t>
      </w:r>
      <w:r w:rsidR="00E80B05" w:rsidRPr="002129F6">
        <w:rPr>
          <w:rFonts w:ascii="Mulish" w:hAnsi="Mulish" w:cstheme="minorHAnsi"/>
        </w:rPr>
        <w:t xml:space="preserve">. </w:t>
      </w:r>
    </w:p>
    <w:p w14:paraId="22338B97" w14:textId="0C94D710" w:rsidR="002129F6" w:rsidRPr="002129F6" w:rsidRDefault="002129F6" w:rsidP="002129F6">
      <w:pPr>
        <w:pStyle w:val="Prrafodelista"/>
        <w:numPr>
          <w:ilvl w:val="1"/>
          <w:numId w:val="18"/>
        </w:numPr>
        <w:tabs>
          <w:tab w:val="left" w:pos="284"/>
        </w:tabs>
        <w:spacing w:before="120" w:after="120" w:line="312" w:lineRule="auto"/>
        <w:jc w:val="both"/>
        <w:rPr>
          <w:rFonts w:ascii="Mulish" w:hAnsi="Mulish" w:cstheme="minorHAnsi"/>
        </w:rPr>
      </w:pPr>
      <w:r w:rsidRPr="002129F6">
        <w:rPr>
          <w:rFonts w:ascii="Mulish" w:hAnsi="Mulish" w:cstheme="minorHAnsi"/>
        </w:rPr>
        <w:t xml:space="preserve">La relativa a la obligación “Informes de auditoría y fiscalización elaborados por órganos de control externo”, respecto de la que, en sus observaciones, la Autoridad Portuaria de Alicante indica que se publican los informes de auditoría elaborados por la Intervención General de la Administración del </w:t>
      </w:r>
      <w:r w:rsidRPr="002129F6">
        <w:rPr>
          <w:rFonts w:ascii="Mulish" w:hAnsi="Mulish" w:cstheme="minorHAnsi"/>
        </w:rPr>
        <w:lastRenderedPageBreak/>
        <w:t xml:space="preserve">Estado. Como se ha indicado en el informe provisional de evaluación, el contenido material de esta obligación, en el caso de la Administración General del Estado y de los organismos y entidades que integran el Sector Público Institucional Estatal, se refiere a los informes elaborados por el Tribunal de Cuentas. </w:t>
      </w:r>
      <w:r w:rsidRPr="002129F6">
        <w:rPr>
          <w:rFonts w:ascii="Mulish" w:hAnsi="Mulish" w:cstheme="minorHAnsi"/>
        </w:rPr>
        <w:t xml:space="preserve">La consideración por parte de este </w:t>
      </w:r>
      <w:r w:rsidRPr="002129F6">
        <w:rPr>
          <w:rFonts w:ascii="Mulish" w:hAnsi="Mulish" w:cstheme="minorHAnsi"/>
        </w:rPr>
        <w:t>Consejo, de</w:t>
      </w:r>
      <w:r w:rsidRPr="002129F6">
        <w:rPr>
          <w:rFonts w:ascii="Mulish" w:hAnsi="Mulish" w:cstheme="minorHAnsi"/>
        </w:rPr>
        <w:t xml:space="preserve"> que los informes de auditoría elaborados por la IGAE no se corresponden con el contenido material de esta obligación, se fundamenta en el artículo 140 de la Ley General Presupuestaria, que se transcribe a continuación</w:t>
      </w:r>
    </w:p>
    <w:p w14:paraId="2E7ED92D" w14:textId="77777777" w:rsidR="002129F6" w:rsidRPr="002129F6" w:rsidRDefault="002129F6" w:rsidP="002129F6">
      <w:pPr>
        <w:pStyle w:val="Prrafodelista"/>
        <w:tabs>
          <w:tab w:val="left" w:pos="284"/>
        </w:tabs>
        <w:spacing w:before="120" w:after="120" w:line="312" w:lineRule="auto"/>
        <w:ind w:left="1440"/>
        <w:jc w:val="both"/>
        <w:rPr>
          <w:rFonts w:ascii="Mulish" w:hAnsi="Mulish" w:cstheme="minorHAnsi"/>
        </w:rPr>
      </w:pPr>
    </w:p>
    <w:p w14:paraId="535E6B76" w14:textId="77777777" w:rsidR="002129F6" w:rsidRPr="002129F6" w:rsidRDefault="002129F6" w:rsidP="002129F6">
      <w:pPr>
        <w:pStyle w:val="Prrafodelista"/>
        <w:tabs>
          <w:tab w:val="left" w:pos="284"/>
        </w:tabs>
        <w:spacing w:before="120" w:after="120" w:line="312" w:lineRule="auto"/>
        <w:ind w:left="1440"/>
        <w:jc w:val="both"/>
        <w:rPr>
          <w:rFonts w:ascii="Mulish" w:hAnsi="Mulish" w:cstheme="minorHAnsi"/>
        </w:rPr>
      </w:pPr>
      <w:r w:rsidRPr="002129F6">
        <w:rPr>
          <w:rFonts w:ascii="Mulish" w:hAnsi="Mulish" w:cstheme="minorHAnsi"/>
        </w:rPr>
        <w:t xml:space="preserve"> “Artículo 140. Del control de la gestión económico-financiera del sector público estatal.</w:t>
      </w:r>
    </w:p>
    <w:p w14:paraId="684D7F15" w14:textId="77777777" w:rsidR="002129F6" w:rsidRPr="002129F6" w:rsidRDefault="002129F6" w:rsidP="002129F6">
      <w:pPr>
        <w:pStyle w:val="Prrafodelista"/>
        <w:tabs>
          <w:tab w:val="left" w:pos="284"/>
        </w:tabs>
        <w:spacing w:before="120" w:after="120" w:line="312" w:lineRule="auto"/>
        <w:ind w:left="1440"/>
        <w:jc w:val="both"/>
        <w:rPr>
          <w:rFonts w:ascii="Mulish" w:hAnsi="Mulish" w:cstheme="minorHAnsi"/>
        </w:rPr>
      </w:pPr>
      <w:r w:rsidRPr="002129F6">
        <w:rPr>
          <w:rFonts w:ascii="Mulish" w:hAnsi="Mulish" w:cstheme="minorHAnsi"/>
        </w:rPr>
        <w:t xml:space="preserve">1. En su condición de supremo órgano fiscalizador de las cuentas y de la gestión económica del Estado y del sector público, </w:t>
      </w:r>
      <w:r w:rsidRPr="002129F6">
        <w:rPr>
          <w:rFonts w:ascii="Mulish" w:hAnsi="Mulish" w:cstheme="minorHAnsi"/>
          <w:b/>
          <w:bCs/>
        </w:rPr>
        <w:t>corresponde al Tribunal de Cuentas el control externo del sector público estatal</w:t>
      </w:r>
      <w:r w:rsidRPr="002129F6">
        <w:rPr>
          <w:rFonts w:ascii="Mulish" w:hAnsi="Mulish" w:cstheme="minorHAnsi"/>
        </w:rPr>
        <w:t>, en los términos establecidos en la Constitución, en su ley orgánica y en las demás leyes que regulen su competencia.</w:t>
      </w:r>
    </w:p>
    <w:p w14:paraId="00113415" w14:textId="77777777" w:rsidR="002129F6" w:rsidRPr="002129F6" w:rsidRDefault="002129F6" w:rsidP="002129F6">
      <w:pPr>
        <w:pStyle w:val="Prrafodelista"/>
        <w:tabs>
          <w:tab w:val="left" w:pos="284"/>
        </w:tabs>
        <w:spacing w:before="120" w:after="120" w:line="312" w:lineRule="auto"/>
        <w:ind w:left="1440"/>
        <w:jc w:val="both"/>
        <w:rPr>
          <w:rFonts w:ascii="Mulish" w:hAnsi="Mulish" w:cstheme="minorHAnsi"/>
        </w:rPr>
      </w:pPr>
      <w:r w:rsidRPr="002129F6">
        <w:rPr>
          <w:rFonts w:ascii="Mulish" w:hAnsi="Mulish" w:cstheme="minorHAnsi"/>
        </w:rPr>
        <w:t xml:space="preserve">2. </w:t>
      </w:r>
      <w:r w:rsidRPr="002129F6">
        <w:rPr>
          <w:rFonts w:ascii="Mulish" w:hAnsi="Mulish" w:cstheme="minorHAnsi"/>
          <w:b/>
          <w:bCs/>
        </w:rPr>
        <w:t>La Intervención General de la Administración del Estado ejercerá en los términos previstos en esta ley el control interno</w:t>
      </w:r>
      <w:r w:rsidRPr="002129F6">
        <w:rPr>
          <w:rFonts w:ascii="Mulish" w:hAnsi="Mulish" w:cstheme="minorHAnsi"/>
        </w:rPr>
        <w:t xml:space="preserve"> de la gestión económica y financiera del sector público estatal, con plena autonomía respecto de las autoridades y demás entidades cuya gestión controle”. </w:t>
      </w:r>
    </w:p>
    <w:p w14:paraId="1047BD6E" w14:textId="77777777" w:rsidR="002129F6" w:rsidRPr="002129F6" w:rsidRDefault="002129F6" w:rsidP="002129F6">
      <w:pPr>
        <w:pStyle w:val="Prrafodelista"/>
        <w:tabs>
          <w:tab w:val="left" w:pos="284"/>
        </w:tabs>
        <w:spacing w:before="120" w:after="120" w:line="312" w:lineRule="auto"/>
        <w:ind w:left="1440"/>
        <w:jc w:val="both"/>
        <w:rPr>
          <w:rFonts w:ascii="Mulish" w:hAnsi="Mulish" w:cstheme="minorHAnsi"/>
        </w:rPr>
      </w:pPr>
    </w:p>
    <w:p w14:paraId="5970FFE0" w14:textId="797C8F49" w:rsidR="002129F6" w:rsidRPr="002129F6" w:rsidRDefault="002129F6" w:rsidP="002129F6">
      <w:pPr>
        <w:pStyle w:val="Prrafodelista"/>
        <w:tabs>
          <w:tab w:val="left" w:pos="284"/>
        </w:tabs>
        <w:spacing w:before="120" w:after="120" w:line="312" w:lineRule="auto"/>
        <w:ind w:left="1440"/>
        <w:jc w:val="both"/>
        <w:rPr>
          <w:rFonts w:ascii="Mulish" w:hAnsi="Mulish" w:cstheme="minorHAnsi"/>
        </w:rPr>
      </w:pPr>
      <w:r w:rsidRPr="002129F6">
        <w:rPr>
          <w:rFonts w:ascii="Mulish" w:hAnsi="Mulish" w:cstheme="minorHAnsi"/>
        </w:rPr>
        <w:t xml:space="preserve">El artículo 8.1 e) de la LTAIBG establece que deberán publicarse “…..y los informes de auditoría de cuentas y de fiscalización por parte de los órganos de control externo que sobre ellos se emitan”.  Por lo tanto, claramente, el cumplimiento de esta obligación implica la </w:t>
      </w:r>
      <w:r w:rsidRPr="002129F6">
        <w:rPr>
          <w:rFonts w:ascii="Mulish" w:hAnsi="Mulish" w:cstheme="minorHAnsi"/>
        </w:rPr>
        <w:t>publicación de</w:t>
      </w:r>
      <w:r w:rsidRPr="002129F6">
        <w:rPr>
          <w:rFonts w:ascii="Mulish" w:hAnsi="Mulish" w:cstheme="minorHAnsi"/>
        </w:rPr>
        <w:t xml:space="preserve"> los informes del Tribunal de Cuentas, o, si ese es el caso, </w:t>
      </w:r>
      <w:r w:rsidR="00B5205A">
        <w:rPr>
          <w:rFonts w:ascii="Mulish" w:hAnsi="Mulish" w:cstheme="minorHAnsi"/>
        </w:rPr>
        <w:t xml:space="preserve">que </w:t>
      </w:r>
      <w:proofErr w:type="spellStart"/>
      <w:r w:rsidR="00B5205A">
        <w:rPr>
          <w:rFonts w:ascii="Mulish" w:hAnsi="Mulish" w:cstheme="minorHAnsi"/>
        </w:rPr>
        <w:t>se</w:t>
      </w:r>
      <w:proofErr w:type="spellEnd"/>
      <w:r w:rsidR="00B5205A">
        <w:rPr>
          <w:rFonts w:ascii="Mulish" w:hAnsi="Mulish" w:cstheme="minorHAnsi"/>
        </w:rPr>
        <w:t xml:space="preserve"> informe expresamente de</w:t>
      </w:r>
      <w:r w:rsidRPr="002129F6">
        <w:rPr>
          <w:rFonts w:ascii="Mulish" w:hAnsi="Mulish" w:cstheme="minorHAnsi"/>
        </w:rPr>
        <w:t xml:space="preserve"> que la entidad no ha sido sometida a ningún proceso de fiscalización por parte del Tribunal de Cuentas.</w:t>
      </w:r>
    </w:p>
    <w:p w14:paraId="24C76B44" w14:textId="77777777" w:rsidR="002129F6" w:rsidRPr="002129F6" w:rsidRDefault="002129F6" w:rsidP="002129F6">
      <w:pPr>
        <w:pStyle w:val="Prrafodelista"/>
        <w:tabs>
          <w:tab w:val="left" w:pos="284"/>
        </w:tabs>
        <w:spacing w:before="120" w:after="120" w:line="312" w:lineRule="auto"/>
        <w:ind w:left="1440"/>
        <w:jc w:val="both"/>
        <w:rPr>
          <w:rFonts w:ascii="Mulish" w:hAnsi="Mulish" w:cstheme="minorHAnsi"/>
        </w:rPr>
      </w:pPr>
    </w:p>
    <w:p w14:paraId="7CA8D920" w14:textId="77777777" w:rsidR="007704A4" w:rsidRPr="002129F6" w:rsidRDefault="007704A4" w:rsidP="007704A4">
      <w:pPr>
        <w:pStyle w:val="Prrafodelista"/>
        <w:tabs>
          <w:tab w:val="left" w:pos="284"/>
        </w:tabs>
        <w:spacing w:before="120" w:after="120" w:line="312" w:lineRule="auto"/>
        <w:jc w:val="both"/>
        <w:rPr>
          <w:rFonts w:ascii="Mulish" w:hAnsi="Mulish" w:cstheme="minorHAnsi"/>
        </w:rPr>
      </w:pPr>
    </w:p>
    <w:p w14:paraId="5B401E42" w14:textId="385F0438" w:rsidR="006F17B5" w:rsidRPr="002129F6" w:rsidRDefault="006F17B5" w:rsidP="009557B1">
      <w:pPr>
        <w:autoSpaceDE w:val="0"/>
        <w:autoSpaceDN w:val="0"/>
        <w:adjustRightInd w:val="0"/>
        <w:spacing w:after="0"/>
        <w:jc w:val="right"/>
        <w:rPr>
          <w:rFonts w:ascii="Mulish" w:hAnsi="Mulish"/>
          <w:sz w:val="22"/>
        </w:rPr>
      </w:pPr>
      <w:r w:rsidRPr="002129F6">
        <w:rPr>
          <w:rFonts w:ascii="Mulish" w:hAnsi="Mulish" w:cstheme="minorHAnsi"/>
          <w:sz w:val="22"/>
        </w:rPr>
        <w:t xml:space="preserve">Madrid, </w:t>
      </w:r>
      <w:r w:rsidR="009B1497" w:rsidRPr="002129F6">
        <w:rPr>
          <w:rFonts w:ascii="Mulish" w:hAnsi="Mulish" w:cstheme="minorHAnsi"/>
          <w:sz w:val="22"/>
        </w:rPr>
        <w:t>mayo</w:t>
      </w:r>
      <w:r w:rsidRPr="002129F6">
        <w:rPr>
          <w:rFonts w:ascii="Mulish" w:hAnsi="Mulish" w:cstheme="minorHAnsi"/>
          <w:sz w:val="22"/>
        </w:rPr>
        <w:t xml:space="preserve"> de 202</w:t>
      </w:r>
      <w:r w:rsidR="001C701F" w:rsidRPr="002129F6">
        <w:rPr>
          <w:rFonts w:ascii="Mulish" w:hAnsi="Mulish" w:cstheme="minorHAnsi"/>
          <w:sz w:val="22"/>
        </w:rPr>
        <w:t>4</w:t>
      </w:r>
    </w:p>
    <w:sectPr w:rsidR="006F17B5" w:rsidRPr="002129F6"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7" type="#_x0000_t75" style="width:11pt;height:11pt" o:bullet="t">
        <v:imagedata r:id="rId1" o:title="BD14529_"/>
      </v:shape>
    </w:pict>
  </w:numPicBullet>
  <w:numPicBullet w:numPicBulletId="1">
    <w:pict>
      <v:shape id="_x0000_i1678" type="#_x0000_t75" style="width:11pt;height:11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6F06D24E"/>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15:restartNumberingAfterBreak="0">
    <w:nsid w:val="7979609B"/>
    <w:multiLevelType w:val="hybridMultilevel"/>
    <w:tmpl w:val="E1DEA3D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25194"/>
    <w:rsid w:val="00033E75"/>
    <w:rsid w:val="00034F48"/>
    <w:rsid w:val="00036A5D"/>
    <w:rsid w:val="0005249D"/>
    <w:rsid w:val="00070294"/>
    <w:rsid w:val="00070950"/>
    <w:rsid w:val="00073E04"/>
    <w:rsid w:val="00074030"/>
    <w:rsid w:val="000A7C47"/>
    <w:rsid w:val="000B3139"/>
    <w:rsid w:val="000D4422"/>
    <w:rsid w:val="000E5D1F"/>
    <w:rsid w:val="001257F9"/>
    <w:rsid w:val="0013625B"/>
    <w:rsid w:val="0014196C"/>
    <w:rsid w:val="00151290"/>
    <w:rsid w:val="0016439B"/>
    <w:rsid w:val="00173960"/>
    <w:rsid w:val="001750A8"/>
    <w:rsid w:val="00175D6C"/>
    <w:rsid w:val="00180025"/>
    <w:rsid w:val="0018324C"/>
    <w:rsid w:val="00186B56"/>
    <w:rsid w:val="00190952"/>
    <w:rsid w:val="00192060"/>
    <w:rsid w:val="0019362B"/>
    <w:rsid w:val="00194E05"/>
    <w:rsid w:val="001B16D9"/>
    <w:rsid w:val="001B7352"/>
    <w:rsid w:val="001C701F"/>
    <w:rsid w:val="001E44BC"/>
    <w:rsid w:val="001F290B"/>
    <w:rsid w:val="002129F6"/>
    <w:rsid w:val="00235A40"/>
    <w:rsid w:val="00251194"/>
    <w:rsid w:val="00292806"/>
    <w:rsid w:val="002A4771"/>
    <w:rsid w:val="002A7933"/>
    <w:rsid w:val="002C000A"/>
    <w:rsid w:val="002C05E9"/>
    <w:rsid w:val="002F5D0B"/>
    <w:rsid w:val="00316F9A"/>
    <w:rsid w:val="003245B8"/>
    <w:rsid w:val="003259B9"/>
    <w:rsid w:val="00344FE7"/>
    <w:rsid w:val="00351475"/>
    <w:rsid w:val="003656B1"/>
    <w:rsid w:val="003B5DE7"/>
    <w:rsid w:val="003D10D1"/>
    <w:rsid w:val="003D2C6C"/>
    <w:rsid w:val="003D52DF"/>
    <w:rsid w:val="003F0972"/>
    <w:rsid w:val="003F38BD"/>
    <w:rsid w:val="00406F06"/>
    <w:rsid w:val="004108BB"/>
    <w:rsid w:val="004124E7"/>
    <w:rsid w:val="00431713"/>
    <w:rsid w:val="0045134F"/>
    <w:rsid w:val="00466973"/>
    <w:rsid w:val="00470F02"/>
    <w:rsid w:val="0049491F"/>
    <w:rsid w:val="004B15B8"/>
    <w:rsid w:val="004D4EF1"/>
    <w:rsid w:val="00511BED"/>
    <w:rsid w:val="00512EF9"/>
    <w:rsid w:val="00525FCA"/>
    <w:rsid w:val="0055202A"/>
    <w:rsid w:val="00565608"/>
    <w:rsid w:val="005B1C12"/>
    <w:rsid w:val="005E2370"/>
    <w:rsid w:val="005F0570"/>
    <w:rsid w:val="005F4305"/>
    <w:rsid w:val="005F59A5"/>
    <w:rsid w:val="00614890"/>
    <w:rsid w:val="00620AB5"/>
    <w:rsid w:val="00636FF6"/>
    <w:rsid w:val="006615ED"/>
    <w:rsid w:val="006B3E77"/>
    <w:rsid w:val="006F17B5"/>
    <w:rsid w:val="006F5890"/>
    <w:rsid w:val="006F5AFB"/>
    <w:rsid w:val="0071472F"/>
    <w:rsid w:val="007342F2"/>
    <w:rsid w:val="00745E83"/>
    <w:rsid w:val="00753179"/>
    <w:rsid w:val="00762141"/>
    <w:rsid w:val="007704A4"/>
    <w:rsid w:val="00772C2A"/>
    <w:rsid w:val="007759D6"/>
    <w:rsid w:val="007A662D"/>
    <w:rsid w:val="007B482F"/>
    <w:rsid w:val="007C00E5"/>
    <w:rsid w:val="007C0642"/>
    <w:rsid w:val="007D24E2"/>
    <w:rsid w:val="00815DA2"/>
    <w:rsid w:val="0085302F"/>
    <w:rsid w:val="00855ECA"/>
    <w:rsid w:val="00860263"/>
    <w:rsid w:val="0089717A"/>
    <w:rsid w:val="00897F59"/>
    <w:rsid w:val="008B79BD"/>
    <w:rsid w:val="00901F1F"/>
    <w:rsid w:val="009029E0"/>
    <w:rsid w:val="00910EC2"/>
    <w:rsid w:val="00915434"/>
    <w:rsid w:val="00950524"/>
    <w:rsid w:val="009557B1"/>
    <w:rsid w:val="009951FE"/>
    <w:rsid w:val="009B1497"/>
    <w:rsid w:val="009B7ADA"/>
    <w:rsid w:val="009D2560"/>
    <w:rsid w:val="009D6677"/>
    <w:rsid w:val="009E084D"/>
    <w:rsid w:val="009E16B5"/>
    <w:rsid w:val="009E30AA"/>
    <w:rsid w:val="009E6E79"/>
    <w:rsid w:val="00A24192"/>
    <w:rsid w:val="00A26523"/>
    <w:rsid w:val="00A41DE8"/>
    <w:rsid w:val="00A52A4D"/>
    <w:rsid w:val="00A603C7"/>
    <w:rsid w:val="00A62936"/>
    <w:rsid w:val="00A70779"/>
    <w:rsid w:val="00A74B96"/>
    <w:rsid w:val="00AE5BF4"/>
    <w:rsid w:val="00AF587E"/>
    <w:rsid w:val="00B06690"/>
    <w:rsid w:val="00B263E1"/>
    <w:rsid w:val="00B2797F"/>
    <w:rsid w:val="00B31F84"/>
    <w:rsid w:val="00B35A53"/>
    <w:rsid w:val="00B4112D"/>
    <w:rsid w:val="00B5205A"/>
    <w:rsid w:val="00B81EE6"/>
    <w:rsid w:val="00BB48B9"/>
    <w:rsid w:val="00BC7A82"/>
    <w:rsid w:val="00BE33B9"/>
    <w:rsid w:val="00C01613"/>
    <w:rsid w:val="00C0201F"/>
    <w:rsid w:val="00C119CE"/>
    <w:rsid w:val="00C13C51"/>
    <w:rsid w:val="00C15CF2"/>
    <w:rsid w:val="00C23F36"/>
    <w:rsid w:val="00C25FA5"/>
    <w:rsid w:val="00C305B6"/>
    <w:rsid w:val="00C3135F"/>
    <w:rsid w:val="00C506D3"/>
    <w:rsid w:val="00C736B9"/>
    <w:rsid w:val="00C80C7C"/>
    <w:rsid w:val="00C82AB2"/>
    <w:rsid w:val="00C87BC3"/>
    <w:rsid w:val="00C90859"/>
    <w:rsid w:val="00C93842"/>
    <w:rsid w:val="00CB0050"/>
    <w:rsid w:val="00CB4447"/>
    <w:rsid w:val="00CD334A"/>
    <w:rsid w:val="00CE0196"/>
    <w:rsid w:val="00CF0704"/>
    <w:rsid w:val="00D23111"/>
    <w:rsid w:val="00D445A4"/>
    <w:rsid w:val="00D44E9D"/>
    <w:rsid w:val="00D55DED"/>
    <w:rsid w:val="00D72EF9"/>
    <w:rsid w:val="00D847B0"/>
    <w:rsid w:val="00D91A37"/>
    <w:rsid w:val="00D96715"/>
    <w:rsid w:val="00DA126F"/>
    <w:rsid w:val="00DB1735"/>
    <w:rsid w:val="00DB21EC"/>
    <w:rsid w:val="00DB2CB4"/>
    <w:rsid w:val="00DB2CCC"/>
    <w:rsid w:val="00DD07B5"/>
    <w:rsid w:val="00DD49EF"/>
    <w:rsid w:val="00DE14A2"/>
    <w:rsid w:val="00DE1A6C"/>
    <w:rsid w:val="00DF5982"/>
    <w:rsid w:val="00E03C82"/>
    <w:rsid w:val="00E35741"/>
    <w:rsid w:val="00E4386D"/>
    <w:rsid w:val="00E475B6"/>
    <w:rsid w:val="00E5135F"/>
    <w:rsid w:val="00E64F85"/>
    <w:rsid w:val="00E80B05"/>
    <w:rsid w:val="00EB7058"/>
    <w:rsid w:val="00EB79A4"/>
    <w:rsid w:val="00EC3AAE"/>
    <w:rsid w:val="00ED6FD3"/>
    <w:rsid w:val="00EF173E"/>
    <w:rsid w:val="00EF5F68"/>
    <w:rsid w:val="00F17B00"/>
    <w:rsid w:val="00F5121D"/>
    <w:rsid w:val="00F55923"/>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642</Words>
  <Characters>3533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javier.amoros</dc:creator>
  <cp:lastModifiedBy>ANA MARIA RUIZ MARTINEZ</cp:lastModifiedBy>
  <cp:revision>4</cp:revision>
  <cp:lastPrinted>2015-01-27T17:42:00Z</cp:lastPrinted>
  <dcterms:created xsi:type="dcterms:W3CDTF">2024-05-17T09:26:00Z</dcterms:created>
  <dcterms:modified xsi:type="dcterms:W3CDTF">2024-05-17T10:31:00Z</dcterms:modified>
</cp:coreProperties>
</file>