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799C1FB7" w:rsidR="006F17B5" w:rsidRPr="00526AC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526ACE">
        <w:rPr>
          <w:rFonts w:ascii="Mulish" w:hAnsi="Mulish"/>
          <w:color w:val="079386"/>
        </w:rPr>
        <w:t xml:space="preserve">INFORME RELATIVO A LAS OBSERVACIONES REMITIDAS POR </w:t>
      </w:r>
      <w:r w:rsidR="00190952" w:rsidRPr="00526ACE">
        <w:rPr>
          <w:rFonts w:ascii="Mulish" w:hAnsi="Mulish"/>
          <w:color w:val="079386"/>
        </w:rPr>
        <w:t xml:space="preserve">LA </w:t>
      </w:r>
      <w:r w:rsidR="00DD49EF" w:rsidRPr="00526ACE">
        <w:rPr>
          <w:rFonts w:ascii="Mulish" w:hAnsi="Mulish"/>
          <w:color w:val="079386"/>
        </w:rPr>
        <w:t>AUTORIDAD PORTUARIA DE BILBAO</w:t>
      </w:r>
      <w:r w:rsidR="007704A4" w:rsidRPr="00526ACE">
        <w:rPr>
          <w:rFonts w:ascii="Mulish" w:hAnsi="Mulish"/>
          <w:color w:val="079386"/>
        </w:rPr>
        <w:t xml:space="preserve"> </w:t>
      </w:r>
      <w:r w:rsidRPr="00526AC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0634A6" w:rsidRDefault="006F17B5" w:rsidP="006F17B5">
      <w:pPr>
        <w:jc w:val="center"/>
        <w:rPr>
          <w:rFonts w:ascii="Mulish" w:hAnsi="Mulish" w:cstheme="minorHAnsi"/>
          <w:sz w:val="22"/>
        </w:rPr>
      </w:pPr>
    </w:p>
    <w:p w14:paraId="5E6F6CF0" w14:textId="59E52C6B" w:rsidR="00D23111" w:rsidRPr="000634A6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0634A6">
        <w:rPr>
          <w:rFonts w:ascii="Mulish" w:hAnsi="Mulish" w:cstheme="minorHAnsi"/>
          <w:sz w:val="22"/>
        </w:rPr>
        <w:t>En contestación a su</w:t>
      </w:r>
      <w:r w:rsidR="00C25FA5" w:rsidRPr="000634A6">
        <w:rPr>
          <w:rFonts w:ascii="Mulish" w:hAnsi="Mulish" w:cstheme="minorHAnsi"/>
          <w:sz w:val="22"/>
        </w:rPr>
        <w:t xml:space="preserve"> </w:t>
      </w:r>
      <w:r w:rsidR="00190952" w:rsidRPr="000634A6">
        <w:rPr>
          <w:rFonts w:ascii="Mulish" w:hAnsi="Mulish" w:cstheme="minorHAnsi"/>
          <w:sz w:val="22"/>
        </w:rPr>
        <w:t xml:space="preserve">escrito </w:t>
      </w:r>
      <w:r w:rsidR="00565608" w:rsidRPr="000634A6">
        <w:rPr>
          <w:rFonts w:ascii="Mulish" w:hAnsi="Mulish" w:cstheme="minorHAnsi"/>
          <w:sz w:val="22"/>
        </w:rPr>
        <w:t xml:space="preserve">de fecha </w:t>
      </w:r>
      <w:r w:rsidR="00FA580C" w:rsidRPr="000634A6">
        <w:rPr>
          <w:rFonts w:ascii="Mulish" w:hAnsi="Mulish" w:cstheme="minorHAnsi"/>
          <w:sz w:val="22"/>
        </w:rPr>
        <w:t>1</w:t>
      </w:r>
      <w:r w:rsidR="00DD49EF" w:rsidRPr="000634A6">
        <w:rPr>
          <w:rFonts w:ascii="Mulish" w:hAnsi="Mulish" w:cstheme="minorHAnsi"/>
          <w:sz w:val="22"/>
        </w:rPr>
        <w:t>7</w:t>
      </w:r>
      <w:r w:rsidRPr="000634A6">
        <w:rPr>
          <w:rFonts w:ascii="Mulish" w:hAnsi="Mulish" w:cstheme="minorHAnsi"/>
          <w:sz w:val="22"/>
        </w:rPr>
        <w:t xml:space="preserve"> de </w:t>
      </w:r>
      <w:r w:rsidR="00FA580C" w:rsidRPr="000634A6">
        <w:rPr>
          <w:rFonts w:ascii="Mulish" w:hAnsi="Mulish" w:cstheme="minorHAnsi"/>
          <w:sz w:val="22"/>
        </w:rPr>
        <w:t>abril</w:t>
      </w:r>
      <w:r w:rsidRPr="000634A6">
        <w:rPr>
          <w:rFonts w:ascii="Mulish" w:hAnsi="Mulish" w:cstheme="minorHAnsi"/>
          <w:sz w:val="22"/>
        </w:rPr>
        <w:t xml:space="preserve"> de 202</w:t>
      </w:r>
      <w:r w:rsidR="00FA580C" w:rsidRPr="000634A6">
        <w:rPr>
          <w:rFonts w:ascii="Mulish" w:hAnsi="Mulish" w:cstheme="minorHAnsi"/>
          <w:sz w:val="22"/>
        </w:rPr>
        <w:t>4</w:t>
      </w:r>
      <w:r w:rsidR="00C119CE" w:rsidRPr="000634A6">
        <w:rPr>
          <w:rFonts w:ascii="Mulish" w:hAnsi="Mulish" w:cstheme="minorHAnsi"/>
          <w:sz w:val="22"/>
        </w:rPr>
        <w:t>,</w:t>
      </w:r>
      <w:r w:rsidR="005B1C12" w:rsidRPr="000634A6">
        <w:rPr>
          <w:rFonts w:ascii="Mulish" w:hAnsi="Mulish" w:cstheme="minorHAnsi"/>
          <w:sz w:val="22"/>
        </w:rPr>
        <w:t xml:space="preserve"> </w:t>
      </w:r>
      <w:r w:rsidRPr="000634A6">
        <w:rPr>
          <w:rFonts w:ascii="Mulish" w:hAnsi="Mulish" w:cstheme="minorHAnsi"/>
          <w:sz w:val="22"/>
        </w:rPr>
        <w:t xml:space="preserve">una vez analizadas </w:t>
      </w:r>
      <w:r w:rsidR="00C119CE" w:rsidRPr="000634A6">
        <w:rPr>
          <w:rFonts w:ascii="Mulish" w:hAnsi="Mulish" w:cstheme="minorHAnsi"/>
          <w:sz w:val="22"/>
        </w:rPr>
        <w:t xml:space="preserve">todas </w:t>
      </w:r>
      <w:r w:rsidRPr="000634A6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0634A6">
        <w:rPr>
          <w:rFonts w:ascii="Mulish" w:hAnsi="Mulish" w:cstheme="minorHAnsi"/>
          <w:sz w:val="22"/>
        </w:rPr>
        <w:t xml:space="preserve">relativo al </w:t>
      </w:r>
      <w:r w:rsidRPr="000634A6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855ECA" w:rsidRPr="000634A6">
        <w:rPr>
          <w:rFonts w:ascii="Mulish" w:hAnsi="Mulish" w:cstheme="minorHAnsi"/>
          <w:sz w:val="22"/>
        </w:rPr>
        <w:t>Institución</w:t>
      </w:r>
      <w:r w:rsidRPr="000634A6">
        <w:rPr>
          <w:rFonts w:ascii="Mulish" w:hAnsi="Mulish" w:cstheme="minorHAnsi"/>
          <w:sz w:val="22"/>
        </w:rPr>
        <w:t>, este CTBG efectúa las siguientes consideraciones:</w:t>
      </w:r>
    </w:p>
    <w:p w14:paraId="73B32EE4" w14:textId="77777777" w:rsidR="00855ECA" w:rsidRPr="000634A6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3C1ADCC3" w14:textId="24243559" w:rsidR="007704A4" w:rsidRPr="000634A6" w:rsidRDefault="00FA580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/>
        </w:rPr>
      </w:pPr>
      <w:r w:rsidRPr="000634A6">
        <w:rPr>
          <w:rFonts w:ascii="Mulish" w:hAnsi="Mulish" w:cstheme="minorHAnsi"/>
          <w:b/>
        </w:rPr>
        <w:t>Se aceptan las siguientes observaciones</w:t>
      </w:r>
      <w:r w:rsidR="007704A4" w:rsidRPr="000634A6">
        <w:rPr>
          <w:rFonts w:ascii="Mulish" w:hAnsi="Mulish" w:cstheme="minorHAnsi"/>
          <w:b/>
        </w:rPr>
        <w:t>.</w:t>
      </w:r>
    </w:p>
    <w:p w14:paraId="1C1F6A48" w14:textId="61AB7DF4" w:rsidR="00FA580C" w:rsidRPr="000634A6" w:rsidRDefault="003245B8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0634A6">
        <w:rPr>
          <w:rFonts w:ascii="Mulish" w:hAnsi="Mulish" w:cstheme="minorHAnsi"/>
          <w:bCs/>
        </w:rPr>
        <w:t xml:space="preserve">La publicación </w:t>
      </w:r>
      <w:r w:rsidR="00DD49EF" w:rsidRPr="000634A6">
        <w:rPr>
          <w:rFonts w:ascii="Mulish" w:hAnsi="Mulish" w:cstheme="minorHAnsi"/>
          <w:bCs/>
        </w:rPr>
        <w:t>del Registro de Actividades de Tratamiento que no había sido localizado en el momento de efectuar la evaluación.</w:t>
      </w:r>
    </w:p>
    <w:p w14:paraId="0B0BD7FB" w14:textId="41BAA177" w:rsidR="00173960" w:rsidRPr="000634A6" w:rsidRDefault="00173960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0634A6">
        <w:rPr>
          <w:rFonts w:ascii="Mulish" w:hAnsi="Mulish" w:cstheme="minorHAnsi"/>
          <w:bCs/>
        </w:rPr>
        <w:t>El hecho de que las Autoridades Portuarias carecen de Estatutos propios</w:t>
      </w:r>
      <w:r w:rsidR="000B3139" w:rsidRPr="000634A6">
        <w:rPr>
          <w:rFonts w:ascii="Mulish" w:hAnsi="Mulish" w:cstheme="minorHAnsi"/>
          <w:bCs/>
        </w:rPr>
        <w:t xml:space="preserve"> y que, por lo tanto, no pueden ser objeto de publicación.</w:t>
      </w:r>
      <w:r w:rsidRPr="000634A6">
        <w:rPr>
          <w:rFonts w:ascii="Mulish" w:hAnsi="Mulish" w:cstheme="minorHAnsi"/>
          <w:bCs/>
        </w:rPr>
        <w:t xml:space="preserve"> </w:t>
      </w:r>
    </w:p>
    <w:p w14:paraId="0557C62C" w14:textId="426D5CAC" w:rsidR="00173960" w:rsidRPr="000634A6" w:rsidRDefault="00173960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0634A6">
        <w:rPr>
          <w:rFonts w:ascii="Mulish" w:hAnsi="Mulish" w:cstheme="minorHAnsi"/>
          <w:bCs/>
        </w:rPr>
        <w:t>La publicación de los presupuestos que no habían sido localizados durante la evaluación.</w:t>
      </w:r>
      <w:r w:rsidR="00070950" w:rsidRPr="000634A6">
        <w:rPr>
          <w:rFonts w:ascii="Mulish" w:hAnsi="Mulish" w:cstheme="minorHAnsi"/>
          <w:bCs/>
        </w:rPr>
        <w:t xml:space="preserve"> No obstante, se recomienda que esta información se traslade al apartado Información Económica, Presupuestaria y Estadística, dado que esta obligación está incluida en este bloque de informaciones obligatorias y, además, se facilitaría la localización de la información.</w:t>
      </w:r>
    </w:p>
    <w:p w14:paraId="7888F7A4" w14:textId="77777777" w:rsidR="00073E04" w:rsidRPr="000634A6" w:rsidRDefault="00073E04" w:rsidP="00073E04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="Mulish" w:hAnsi="Mulish" w:cstheme="minorHAnsi"/>
          <w:bCs/>
        </w:rPr>
      </w:pPr>
    </w:p>
    <w:p w14:paraId="6F1B5A0A" w14:textId="135A2E4D" w:rsidR="00173960" w:rsidRPr="000634A6" w:rsidRDefault="00173960" w:rsidP="0017396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/>
        </w:rPr>
      </w:pPr>
      <w:r w:rsidRPr="000634A6">
        <w:rPr>
          <w:rFonts w:ascii="Mulish" w:hAnsi="Mulish" w:cstheme="minorHAnsi"/>
          <w:b/>
        </w:rPr>
        <w:t>No se aceptan las siguientes observaciones</w:t>
      </w:r>
    </w:p>
    <w:p w14:paraId="05AEE8D0" w14:textId="05473C33" w:rsidR="00173960" w:rsidRPr="000634A6" w:rsidRDefault="00173960" w:rsidP="00173960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0634A6">
        <w:rPr>
          <w:rFonts w:ascii="Mulish" w:hAnsi="Mulish" w:cstheme="minorHAnsi"/>
          <w:bCs/>
        </w:rPr>
        <w:t>En relación con la publicación de los indicadores de medida y valoración, señala la AP de Bilbao, que se publica diferente información estadística relativa a los tráficos del puerto y a buques. Esta</w:t>
      </w:r>
      <w:r w:rsidR="000B3139" w:rsidRPr="000634A6">
        <w:rPr>
          <w:rFonts w:ascii="Mulish" w:hAnsi="Mulish" w:cstheme="minorHAnsi"/>
          <w:bCs/>
        </w:rPr>
        <w:t>s</w:t>
      </w:r>
      <w:r w:rsidRPr="000634A6">
        <w:rPr>
          <w:rFonts w:ascii="Mulish" w:hAnsi="Mulish" w:cstheme="minorHAnsi"/>
          <w:bCs/>
        </w:rPr>
        <w:t xml:space="preserve"> informaciones se relacionan con la obligación “información estadística sobre cumplimiento y calidad de los servicios que se prestan”, y ha sido considerada por este Consejo para evaluar el cumplimiento de esta obligación. La obligación “Indicadores de medida y valoración”, se contempla por la LTAIBG dentro del grupo de obligaciones relativas a planificación </w:t>
      </w:r>
      <w:r w:rsidR="00511BED" w:rsidRPr="000634A6">
        <w:rPr>
          <w:rFonts w:ascii="Mulish" w:hAnsi="Mulish" w:cstheme="minorHAnsi"/>
          <w:bCs/>
        </w:rPr>
        <w:t>y,</w:t>
      </w:r>
      <w:r w:rsidRPr="000634A6">
        <w:rPr>
          <w:rFonts w:ascii="Mulish" w:hAnsi="Mulish" w:cstheme="minorHAnsi"/>
          <w:bCs/>
        </w:rPr>
        <w:t xml:space="preserve"> por lo tanto, se vincula al grado de cumplimiento de los objetivos contemplados en los planes y programas que ordenen estratégica y operativamente las actividades de la Autoridad Portuaria.</w:t>
      </w:r>
    </w:p>
    <w:p w14:paraId="148B575F" w14:textId="77777777" w:rsidR="00073E04" w:rsidRPr="000634A6" w:rsidRDefault="00073E04" w:rsidP="00073E04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="Mulish" w:hAnsi="Mulish" w:cstheme="minorHAnsi"/>
          <w:bCs/>
        </w:rPr>
      </w:pPr>
    </w:p>
    <w:p w14:paraId="4E4E98D7" w14:textId="069FFFB3" w:rsidR="00070950" w:rsidRPr="000634A6" w:rsidRDefault="00070950" w:rsidP="0007095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0634A6">
        <w:rPr>
          <w:rFonts w:ascii="Mulish" w:hAnsi="Mulish" w:cstheme="minorHAnsi"/>
          <w:bCs/>
        </w:rPr>
        <w:t>En relación con la observación relativa a las subcontrataciones, este Consejo quiere realizar una aclaración. Del contenido de la observación, parece deducirse, que la AP de Bilbao</w:t>
      </w:r>
      <w:r w:rsidR="000A7C47" w:rsidRPr="000634A6">
        <w:rPr>
          <w:rFonts w:ascii="Mulish" w:hAnsi="Mulish" w:cstheme="minorHAnsi"/>
          <w:bCs/>
        </w:rPr>
        <w:t>,</w:t>
      </w:r>
      <w:r w:rsidRPr="000634A6">
        <w:rPr>
          <w:rFonts w:ascii="Mulish" w:hAnsi="Mulish" w:cstheme="minorHAnsi"/>
          <w:bCs/>
        </w:rPr>
        <w:t xml:space="preserve"> en aplicación de esta recomendación, va a publicar información relativa a </w:t>
      </w:r>
      <w:r w:rsidRPr="000634A6">
        <w:rPr>
          <w:rFonts w:ascii="Mulish" w:hAnsi="Mulish" w:cstheme="minorHAnsi"/>
          <w:bCs/>
        </w:rPr>
        <w:lastRenderedPageBreak/>
        <w:t xml:space="preserve">todas las subcontrataciones que realiza. Esta obligación está vinculada a las encomiendas de gestión, es decir, se trata de aquellas subcontrataciones que puedan haberse realizado </w:t>
      </w:r>
      <w:r w:rsidR="000A7C47" w:rsidRPr="000634A6">
        <w:rPr>
          <w:rFonts w:ascii="Mulish" w:hAnsi="Mulish" w:cstheme="minorHAnsi"/>
          <w:bCs/>
        </w:rPr>
        <w:t>en el marco de una encomienda de gestión única y exclusivamente. En el caso de que no exista</w:t>
      </w:r>
      <w:r w:rsidR="000B3139" w:rsidRPr="000634A6">
        <w:rPr>
          <w:rFonts w:ascii="Mulish" w:hAnsi="Mulish" w:cstheme="minorHAnsi"/>
          <w:bCs/>
        </w:rPr>
        <w:t>n</w:t>
      </w:r>
      <w:r w:rsidR="000A7C47" w:rsidRPr="000634A6">
        <w:rPr>
          <w:rFonts w:ascii="Mulish" w:hAnsi="Mulish" w:cstheme="minorHAnsi"/>
          <w:bCs/>
        </w:rPr>
        <w:t xml:space="preserve"> este tipo de subcontrataciones debería informarse expresamente.</w:t>
      </w:r>
    </w:p>
    <w:p w14:paraId="1FB294A8" w14:textId="18DD1D43" w:rsidR="000A7C47" w:rsidRPr="000634A6" w:rsidRDefault="000A7C47" w:rsidP="0007095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0634A6">
        <w:rPr>
          <w:rFonts w:ascii="Mulish" w:hAnsi="Mulish" w:cstheme="minorHAnsi"/>
          <w:bCs/>
        </w:rPr>
        <w:t xml:space="preserve">En relación con las cuestiones que se recogen en el apartado observaciones, indicar que se trata de recomendaciones genéricas que efectúa este Consejo y que contienen criterios en cuanto a la forma de publicación de las informaciones obligatorias. Su finalidad es orientar a las organizaciones evaluadas sobre la manera en que deben aplicar las recomendaciones efectuadas.  </w:t>
      </w:r>
    </w:p>
    <w:p w14:paraId="14EC4196" w14:textId="77777777" w:rsidR="0049491F" w:rsidRPr="000634A6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="Mulish" w:hAnsi="Mulish" w:cstheme="minorHAnsi"/>
        </w:rPr>
      </w:pPr>
    </w:p>
    <w:p w14:paraId="049EF239" w14:textId="2CCD2BA2" w:rsidR="006F5AFB" w:rsidRPr="000634A6" w:rsidRDefault="006F5AFB" w:rsidP="006F5AFB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0634A6">
        <w:rPr>
          <w:rFonts w:ascii="Mulish" w:hAnsi="Mulish" w:cstheme="minorHAnsi"/>
        </w:rPr>
        <w:t xml:space="preserve">Tras </w:t>
      </w:r>
      <w:r w:rsidR="00D91A37" w:rsidRPr="000634A6">
        <w:rPr>
          <w:rFonts w:ascii="Mulish" w:hAnsi="Mulish" w:cstheme="minorHAnsi"/>
        </w:rPr>
        <w:t>la</w:t>
      </w:r>
      <w:r w:rsidRPr="000634A6">
        <w:rPr>
          <w:rFonts w:ascii="Mulish" w:hAnsi="Mulish" w:cstheme="minorHAnsi"/>
        </w:rPr>
        <w:t xml:space="preserve"> revisión</w:t>
      </w:r>
      <w:r w:rsidR="00D91A37" w:rsidRPr="000634A6">
        <w:rPr>
          <w:rFonts w:ascii="Mulish" w:hAnsi="Mulish" w:cstheme="minorHAnsi"/>
        </w:rPr>
        <w:t xml:space="preserve"> efectuada</w:t>
      </w:r>
      <w:r w:rsidR="00AF587E" w:rsidRPr="000634A6">
        <w:rPr>
          <w:rFonts w:ascii="Mulish" w:hAnsi="Mulish" w:cstheme="minorHAnsi"/>
        </w:rPr>
        <w:t>,</w:t>
      </w:r>
      <w:r w:rsidRPr="000634A6">
        <w:rPr>
          <w:rFonts w:ascii="Mulish" w:hAnsi="Mulish" w:cstheme="minorHAnsi"/>
        </w:rPr>
        <w:t xml:space="preserve"> el Índice de Cumplimiento obtenido por </w:t>
      </w:r>
      <w:r w:rsidR="00AF587E" w:rsidRPr="000634A6">
        <w:rPr>
          <w:rFonts w:ascii="Mulish" w:hAnsi="Mulish" w:cstheme="minorHAnsi"/>
        </w:rPr>
        <w:t xml:space="preserve">la </w:t>
      </w:r>
      <w:r w:rsidR="00073E04" w:rsidRPr="000634A6">
        <w:rPr>
          <w:rFonts w:ascii="Mulish" w:hAnsi="Mulish" w:cstheme="minorHAnsi"/>
        </w:rPr>
        <w:t>Autoridad Portuaria de Bilbao</w:t>
      </w:r>
      <w:r w:rsidRPr="000634A6">
        <w:rPr>
          <w:rFonts w:ascii="Mulish" w:hAnsi="Mulish" w:cstheme="minorHAnsi"/>
        </w:rPr>
        <w:t xml:space="preserve"> se sitúa en el </w:t>
      </w:r>
      <w:r w:rsidR="00073E04" w:rsidRPr="000634A6">
        <w:rPr>
          <w:rFonts w:ascii="Mulish" w:hAnsi="Mulish" w:cstheme="minorHAnsi"/>
        </w:rPr>
        <w:t>81,3</w:t>
      </w:r>
      <w:r w:rsidRPr="000634A6">
        <w:rPr>
          <w:rFonts w:ascii="Mulish" w:hAnsi="Mulish" w:cstheme="minorHAnsi"/>
        </w:rPr>
        <w:t>%.</w:t>
      </w:r>
    </w:p>
    <w:p w14:paraId="7CA8D920" w14:textId="77777777" w:rsidR="007704A4" w:rsidRPr="000634A6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</w:p>
    <w:p w14:paraId="01EC247A" w14:textId="28543772" w:rsidR="00B4112D" w:rsidRPr="000634A6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="Mulish" w:hAnsi="Mulish" w:cstheme="minorHAnsi"/>
          <w:sz w:val="22"/>
        </w:rPr>
      </w:pPr>
      <w:r w:rsidRPr="000634A6">
        <w:rPr>
          <w:rFonts w:ascii="Mulish" w:hAnsi="Mulish" w:cstheme="minorHAnsi"/>
          <w:sz w:val="22"/>
        </w:rPr>
        <w:t xml:space="preserve">Este Consejo valora muy positivamente la disposición de </w:t>
      </w:r>
      <w:r w:rsidR="00073E04" w:rsidRPr="000634A6">
        <w:rPr>
          <w:rFonts w:ascii="Mulish" w:hAnsi="Mulish" w:cstheme="minorHAnsi"/>
          <w:sz w:val="22"/>
        </w:rPr>
        <w:t>la Autoridad Portuaria de Bilbao</w:t>
      </w:r>
      <w:r w:rsidRPr="000634A6">
        <w:rPr>
          <w:rFonts w:ascii="Mulish" w:hAnsi="Mulish" w:cstheme="minorHAnsi"/>
          <w:sz w:val="22"/>
        </w:rPr>
        <w:t xml:space="preserve"> a aplicar las recomendaciones </w:t>
      </w:r>
      <w:r w:rsidR="000B3139" w:rsidRPr="000634A6">
        <w:rPr>
          <w:rFonts w:ascii="Mulish" w:hAnsi="Mulish" w:cstheme="minorHAnsi"/>
          <w:sz w:val="22"/>
        </w:rPr>
        <w:t>derivadas de la evaluación</w:t>
      </w:r>
      <w:r w:rsidR="00073E04" w:rsidRPr="000634A6">
        <w:rPr>
          <w:rFonts w:ascii="Mulish" w:hAnsi="Mulish" w:cstheme="minorHAnsi"/>
          <w:sz w:val="22"/>
        </w:rPr>
        <w:t>, lo que redundará en un incremento del Índice de Cumplimiento, cuando, en 2025, se efectúe una nueva evaluación de cumplimiento de las obligaciones de publicidad activa.</w:t>
      </w:r>
      <w:r w:rsidRPr="000634A6">
        <w:rPr>
          <w:rFonts w:ascii="Mulish" w:hAnsi="Mulish" w:cstheme="minorHAnsi"/>
          <w:sz w:val="22"/>
        </w:rPr>
        <w:t xml:space="preserve"> </w:t>
      </w:r>
    </w:p>
    <w:p w14:paraId="5B401E42" w14:textId="586FDCD0" w:rsidR="006F17B5" w:rsidRPr="000634A6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 w:val="22"/>
        </w:rPr>
      </w:pPr>
      <w:r w:rsidRPr="000634A6">
        <w:rPr>
          <w:rFonts w:ascii="Mulish" w:hAnsi="Mulish" w:cstheme="minorHAnsi"/>
          <w:sz w:val="22"/>
        </w:rPr>
        <w:t xml:space="preserve">Madrid, </w:t>
      </w:r>
      <w:r w:rsidR="001C701F" w:rsidRPr="000634A6">
        <w:rPr>
          <w:rFonts w:ascii="Mulish" w:hAnsi="Mulish" w:cstheme="minorHAnsi"/>
          <w:sz w:val="22"/>
        </w:rPr>
        <w:t>abril</w:t>
      </w:r>
      <w:r w:rsidRPr="000634A6">
        <w:rPr>
          <w:rFonts w:ascii="Mulish" w:hAnsi="Mulish" w:cstheme="minorHAnsi"/>
          <w:sz w:val="22"/>
        </w:rPr>
        <w:t xml:space="preserve"> de 202</w:t>
      </w:r>
      <w:r w:rsidR="001C701F" w:rsidRPr="000634A6">
        <w:rPr>
          <w:rFonts w:ascii="Mulish" w:hAnsi="Mulish" w:cstheme="minorHAnsi"/>
          <w:sz w:val="22"/>
        </w:rPr>
        <w:t>4</w:t>
      </w:r>
    </w:p>
    <w:sectPr w:rsidR="006F17B5" w:rsidRPr="000634A6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6" type="#_x0000_t75" style="width:11.5pt;height:11.5pt" o:bullet="t">
        <v:imagedata r:id="rId1" o:title="BD14529_"/>
      </v:shape>
    </w:pict>
  </w:numPicBullet>
  <w:numPicBullet w:numPicBulletId="1">
    <w:pict>
      <v:shape id="_x0000_i1407" type="#_x0000_t75" style="width:11.5pt;height:11.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634A6"/>
    <w:rsid w:val="00070294"/>
    <w:rsid w:val="00070950"/>
    <w:rsid w:val="00073E04"/>
    <w:rsid w:val="00074030"/>
    <w:rsid w:val="000A7C47"/>
    <w:rsid w:val="000B3139"/>
    <w:rsid w:val="000D4422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11BED"/>
    <w:rsid w:val="00525FCA"/>
    <w:rsid w:val="00526ACE"/>
    <w:rsid w:val="0055202A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8</cp:revision>
  <cp:lastPrinted>2015-01-27T17:42:00Z</cp:lastPrinted>
  <dcterms:created xsi:type="dcterms:W3CDTF">2024-04-17T08:32:00Z</dcterms:created>
  <dcterms:modified xsi:type="dcterms:W3CDTF">2024-05-17T08:33:00Z</dcterms:modified>
</cp:coreProperties>
</file>