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4ACC538D" w:rsidR="006F17B5" w:rsidRPr="00231038" w:rsidRDefault="006F17B5" w:rsidP="001B16D9">
      <w:pPr>
        <w:pStyle w:val="Ttulo1"/>
        <w:jc w:val="both"/>
        <w:rPr>
          <w:rFonts w:ascii="Mulish" w:hAnsi="Mulish"/>
          <w:color w:val="079386"/>
          <w:sz w:val="22"/>
          <w:szCs w:val="22"/>
        </w:rPr>
      </w:pPr>
      <w:r w:rsidRPr="00231038">
        <w:rPr>
          <w:rFonts w:ascii="Mulish" w:hAnsi="Mulish"/>
          <w:color w:val="079386"/>
          <w:sz w:val="22"/>
          <w:szCs w:val="22"/>
        </w:rPr>
        <w:t xml:space="preserve">INFORME RELATIVO A LAS OBSERVACIONES REMITIDAS POR </w:t>
      </w:r>
      <w:r w:rsidR="00405A70" w:rsidRPr="00231038">
        <w:rPr>
          <w:rFonts w:ascii="Mulish" w:hAnsi="Mulish"/>
          <w:color w:val="079386"/>
          <w:sz w:val="22"/>
          <w:szCs w:val="22"/>
        </w:rPr>
        <w:t xml:space="preserve">LA </w:t>
      </w:r>
      <w:r w:rsidR="00C22A56" w:rsidRPr="00231038">
        <w:rPr>
          <w:rFonts w:ascii="Mulish" w:hAnsi="Mulish"/>
          <w:color w:val="079386"/>
          <w:sz w:val="22"/>
          <w:szCs w:val="22"/>
        </w:rPr>
        <w:t xml:space="preserve">CONFEDERACIÓN HIDROGRÁFICA DEL </w:t>
      </w:r>
      <w:r w:rsidR="00825520">
        <w:rPr>
          <w:rFonts w:ascii="Mulish" w:hAnsi="Mulish"/>
          <w:color w:val="079386"/>
          <w:sz w:val="22"/>
          <w:szCs w:val="22"/>
        </w:rPr>
        <w:t>GUADIANA</w:t>
      </w:r>
      <w:r w:rsidR="00A43328" w:rsidRPr="00231038">
        <w:rPr>
          <w:rFonts w:ascii="Mulish" w:hAnsi="Mulish"/>
          <w:color w:val="079386"/>
          <w:sz w:val="22"/>
          <w:szCs w:val="22"/>
        </w:rPr>
        <w:t xml:space="preserve"> </w:t>
      </w:r>
      <w:r w:rsidR="00C22A56" w:rsidRPr="00231038">
        <w:rPr>
          <w:rFonts w:ascii="Mulish" w:hAnsi="Mulish"/>
          <w:color w:val="079386"/>
          <w:sz w:val="22"/>
          <w:szCs w:val="22"/>
        </w:rPr>
        <w:t>(CH</w:t>
      </w:r>
      <w:r w:rsidR="00A43328">
        <w:rPr>
          <w:rFonts w:ascii="Mulish" w:hAnsi="Mulish"/>
          <w:color w:val="079386"/>
          <w:sz w:val="22"/>
          <w:szCs w:val="22"/>
        </w:rPr>
        <w:t>G</w:t>
      </w:r>
      <w:r w:rsidR="00C22A56" w:rsidRPr="00231038">
        <w:rPr>
          <w:rFonts w:ascii="Mulish" w:hAnsi="Mulish"/>
          <w:color w:val="079386"/>
          <w:sz w:val="22"/>
          <w:szCs w:val="22"/>
        </w:rPr>
        <w:t>)</w:t>
      </w:r>
      <w:r w:rsidR="007704A4" w:rsidRPr="00231038">
        <w:rPr>
          <w:rFonts w:ascii="Mulish" w:hAnsi="Mulish"/>
          <w:color w:val="079386"/>
          <w:sz w:val="22"/>
          <w:szCs w:val="22"/>
        </w:rPr>
        <w:t xml:space="preserve"> </w:t>
      </w:r>
      <w:r w:rsidRPr="00231038">
        <w:rPr>
          <w:rFonts w:ascii="Mulish" w:hAnsi="Mulish"/>
          <w:color w:val="079386"/>
          <w:sz w:val="22"/>
          <w:szCs w:val="22"/>
        </w:rPr>
        <w:t>EN RELACIÓN CON EL INFORME DEL CTBG SOBRE CUMPLIMIENTO DE LAS OBLIGACIONES DE PUBLICIDAD ACTIVA ESTABLECIDAS POR LA LTAIBG</w:t>
      </w:r>
    </w:p>
    <w:p w14:paraId="093557A1" w14:textId="77777777" w:rsidR="006F17B5" w:rsidRPr="00231038" w:rsidRDefault="006F17B5" w:rsidP="006F17B5">
      <w:pPr>
        <w:jc w:val="center"/>
        <w:rPr>
          <w:rFonts w:ascii="Mulish" w:hAnsi="Mulish" w:cstheme="minorHAnsi"/>
          <w:sz w:val="22"/>
        </w:rPr>
      </w:pPr>
    </w:p>
    <w:p w14:paraId="5E6F6CF0" w14:textId="192090A2" w:rsidR="00D23111" w:rsidRPr="00231038" w:rsidRDefault="00D23111" w:rsidP="009E16B5">
      <w:pPr>
        <w:tabs>
          <w:tab w:val="left" w:pos="284"/>
        </w:tabs>
        <w:spacing w:before="120" w:after="120" w:line="312" w:lineRule="auto"/>
        <w:contextualSpacing/>
        <w:jc w:val="both"/>
        <w:rPr>
          <w:rFonts w:ascii="Mulish" w:hAnsi="Mulish" w:cstheme="minorHAnsi"/>
          <w:sz w:val="22"/>
        </w:rPr>
      </w:pPr>
      <w:r w:rsidRPr="00231038">
        <w:rPr>
          <w:rFonts w:ascii="Mulish" w:hAnsi="Mulish" w:cstheme="minorHAnsi"/>
          <w:sz w:val="22"/>
        </w:rPr>
        <w:t>En contestación a su</w:t>
      </w:r>
      <w:r w:rsidR="00C25FA5" w:rsidRPr="00231038">
        <w:rPr>
          <w:rFonts w:ascii="Mulish" w:hAnsi="Mulish" w:cstheme="minorHAnsi"/>
          <w:sz w:val="22"/>
        </w:rPr>
        <w:t xml:space="preserve"> </w:t>
      </w:r>
      <w:r w:rsidR="00FE3E34">
        <w:rPr>
          <w:rFonts w:ascii="Mulish" w:hAnsi="Mulish" w:cstheme="minorHAnsi"/>
          <w:sz w:val="22"/>
        </w:rPr>
        <w:t>escrito</w:t>
      </w:r>
      <w:r w:rsidR="00190952" w:rsidRPr="00231038">
        <w:rPr>
          <w:rFonts w:ascii="Mulish" w:hAnsi="Mulish" w:cstheme="minorHAnsi"/>
          <w:sz w:val="22"/>
        </w:rPr>
        <w:t xml:space="preserve"> </w:t>
      </w:r>
      <w:r w:rsidR="00565608" w:rsidRPr="00231038">
        <w:rPr>
          <w:rFonts w:ascii="Mulish" w:hAnsi="Mulish" w:cstheme="minorHAnsi"/>
          <w:sz w:val="22"/>
        </w:rPr>
        <w:t xml:space="preserve">de fecha </w:t>
      </w:r>
      <w:r w:rsidR="001506D3" w:rsidRPr="00231038">
        <w:rPr>
          <w:rFonts w:ascii="Mulish" w:hAnsi="Mulish" w:cstheme="minorHAnsi"/>
          <w:sz w:val="22"/>
        </w:rPr>
        <w:t>6 de mayo</w:t>
      </w:r>
      <w:r w:rsidRPr="00231038">
        <w:rPr>
          <w:rFonts w:ascii="Mulish" w:hAnsi="Mulish" w:cstheme="minorHAnsi"/>
          <w:sz w:val="22"/>
        </w:rPr>
        <w:t xml:space="preserve"> de 202</w:t>
      </w:r>
      <w:r w:rsidR="00FA580C" w:rsidRPr="00231038">
        <w:rPr>
          <w:rFonts w:ascii="Mulish" w:hAnsi="Mulish" w:cstheme="minorHAnsi"/>
          <w:sz w:val="22"/>
        </w:rPr>
        <w:t>4</w:t>
      </w:r>
      <w:r w:rsidR="00C119CE" w:rsidRPr="00231038">
        <w:rPr>
          <w:rFonts w:ascii="Mulish" w:hAnsi="Mulish" w:cstheme="minorHAnsi"/>
          <w:sz w:val="22"/>
        </w:rPr>
        <w:t>,</w:t>
      </w:r>
      <w:r w:rsidR="005B1C12" w:rsidRPr="00231038">
        <w:rPr>
          <w:rFonts w:ascii="Mulish" w:hAnsi="Mulish" w:cstheme="minorHAnsi"/>
          <w:sz w:val="22"/>
        </w:rPr>
        <w:t xml:space="preserve"> </w:t>
      </w:r>
      <w:r w:rsidRPr="00231038">
        <w:rPr>
          <w:rFonts w:ascii="Mulish" w:hAnsi="Mulish" w:cstheme="minorHAnsi"/>
          <w:sz w:val="22"/>
        </w:rPr>
        <w:t xml:space="preserve">una vez analizadas </w:t>
      </w:r>
      <w:r w:rsidR="00C119CE" w:rsidRPr="00231038">
        <w:rPr>
          <w:rFonts w:ascii="Mulish" w:hAnsi="Mulish" w:cstheme="minorHAnsi"/>
          <w:sz w:val="22"/>
        </w:rPr>
        <w:t xml:space="preserve">todas </w:t>
      </w:r>
      <w:r w:rsidRPr="00231038">
        <w:rPr>
          <w:rFonts w:ascii="Mulish" w:hAnsi="Mulish" w:cstheme="minorHAnsi"/>
          <w:sz w:val="22"/>
        </w:rPr>
        <w:t xml:space="preserve">las observaciones realizadas al borrador de informe de evaluación </w:t>
      </w:r>
      <w:r w:rsidR="00B81EE6" w:rsidRPr="00231038">
        <w:rPr>
          <w:rFonts w:ascii="Mulish" w:hAnsi="Mulish" w:cstheme="minorHAnsi"/>
          <w:sz w:val="22"/>
        </w:rPr>
        <w:t xml:space="preserve">relativo al </w:t>
      </w:r>
      <w:r w:rsidRPr="00231038">
        <w:rPr>
          <w:rFonts w:ascii="Mulish" w:hAnsi="Mulish" w:cstheme="minorHAnsi"/>
          <w:sz w:val="22"/>
        </w:rPr>
        <w:t xml:space="preserve">cumplimiento de las obligaciones de publicidad activa por parte de esa </w:t>
      </w:r>
      <w:r w:rsidR="00855ECA" w:rsidRPr="00231038">
        <w:rPr>
          <w:rFonts w:ascii="Mulish" w:hAnsi="Mulish" w:cstheme="minorHAnsi"/>
          <w:sz w:val="22"/>
        </w:rPr>
        <w:t>Institución</w:t>
      </w:r>
      <w:r w:rsidRPr="00231038">
        <w:rPr>
          <w:rFonts w:ascii="Mulish" w:hAnsi="Mulish" w:cstheme="minorHAnsi"/>
          <w:sz w:val="22"/>
        </w:rPr>
        <w:t>, este CTBG efectúa las siguientes consideraciones:</w:t>
      </w:r>
    </w:p>
    <w:p w14:paraId="6E0359F5" w14:textId="77777777" w:rsidR="00897F59" w:rsidRPr="00231038" w:rsidRDefault="00897F59" w:rsidP="0029634D">
      <w:pPr>
        <w:tabs>
          <w:tab w:val="left" w:pos="284"/>
        </w:tabs>
        <w:spacing w:before="120" w:after="120" w:line="312" w:lineRule="auto"/>
        <w:jc w:val="both"/>
        <w:rPr>
          <w:rFonts w:ascii="Mulish" w:hAnsi="Mulish" w:cstheme="minorHAnsi"/>
          <w:bCs/>
          <w:sz w:val="22"/>
        </w:rPr>
      </w:pPr>
    </w:p>
    <w:p w14:paraId="0DCF158B" w14:textId="24FF0EB8" w:rsidR="00621730" w:rsidRDefault="00621730" w:rsidP="00621730">
      <w:pPr>
        <w:pStyle w:val="Prrafodelista"/>
        <w:numPr>
          <w:ilvl w:val="0"/>
          <w:numId w:val="11"/>
        </w:numPr>
        <w:tabs>
          <w:tab w:val="left" w:pos="284"/>
        </w:tabs>
        <w:spacing w:before="120" w:after="120" w:line="312" w:lineRule="auto"/>
        <w:jc w:val="both"/>
        <w:rPr>
          <w:rFonts w:ascii="Mulish" w:eastAsia="Calibri" w:hAnsi="Mulish" w:cs="Calibri"/>
        </w:rPr>
      </w:pPr>
      <w:bookmarkStart w:id="0" w:name="_Hlk165887391"/>
      <w:r w:rsidRPr="00231038">
        <w:rPr>
          <w:rFonts w:ascii="Mulish" w:eastAsia="Calibri" w:hAnsi="Mulish" w:cs="Calibri"/>
        </w:rPr>
        <w:t>No se aceptan las siguientes observaciones</w:t>
      </w:r>
    </w:p>
    <w:p w14:paraId="67E4798A" w14:textId="77777777" w:rsidR="00265248" w:rsidRPr="00231038" w:rsidRDefault="00265248" w:rsidP="00265248">
      <w:pPr>
        <w:pStyle w:val="Prrafodelista"/>
        <w:tabs>
          <w:tab w:val="left" w:pos="284"/>
        </w:tabs>
        <w:spacing w:before="120" w:after="120" w:line="312" w:lineRule="auto"/>
        <w:jc w:val="both"/>
        <w:rPr>
          <w:rFonts w:ascii="Mulish" w:eastAsia="Calibri" w:hAnsi="Mulish" w:cs="Calibri"/>
        </w:rPr>
      </w:pPr>
    </w:p>
    <w:p w14:paraId="288B52AF" w14:textId="298B3596" w:rsidR="001D7FAE" w:rsidRDefault="001D7FAE" w:rsidP="00AB0CC3">
      <w:pPr>
        <w:pStyle w:val="Prrafodelista"/>
        <w:numPr>
          <w:ilvl w:val="1"/>
          <w:numId w:val="11"/>
        </w:numPr>
        <w:tabs>
          <w:tab w:val="left" w:pos="284"/>
        </w:tabs>
        <w:spacing w:before="120" w:after="120" w:line="312" w:lineRule="auto"/>
        <w:jc w:val="both"/>
        <w:rPr>
          <w:rFonts w:ascii="Mulish" w:hAnsi="Mulish" w:cstheme="minorHAnsi"/>
          <w:bCs/>
        </w:rPr>
      </w:pPr>
      <w:r w:rsidRPr="001D7FAE">
        <w:rPr>
          <w:rFonts w:ascii="Mulish" w:hAnsi="Mulish" w:cstheme="minorHAnsi"/>
          <w:bCs/>
        </w:rPr>
        <w:t>Las relativas a la publicación de las diferentes obligaciones del grupo contratación en la Plataforma de Contratación del Sector Público y a que, en consecuencia, debe ser la PCSP quien debe asumir la elaboración de la información contractual vinculada a estas obligaciones</w:t>
      </w:r>
      <w:r>
        <w:rPr>
          <w:rFonts w:ascii="Mulish" w:hAnsi="Mulish" w:cstheme="minorHAnsi"/>
          <w:bCs/>
        </w:rPr>
        <w:t>.</w:t>
      </w:r>
    </w:p>
    <w:p w14:paraId="2239CD8E" w14:textId="77777777" w:rsidR="001D7FAE" w:rsidRDefault="001D7FAE" w:rsidP="001D7FAE">
      <w:pPr>
        <w:pStyle w:val="Prrafodelista"/>
        <w:tabs>
          <w:tab w:val="left" w:pos="284"/>
        </w:tabs>
        <w:spacing w:before="120" w:after="120" w:line="312" w:lineRule="auto"/>
        <w:ind w:left="1440"/>
        <w:jc w:val="both"/>
        <w:rPr>
          <w:rFonts w:ascii="Mulish" w:hAnsi="Mulish" w:cstheme="minorHAnsi"/>
          <w:bCs/>
        </w:rPr>
      </w:pPr>
    </w:p>
    <w:p w14:paraId="03EFC8A9" w14:textId="5C9383F2" w:rsidR="001D7FAE" w:rsidRPr="008C5AAC" w:rsidRDefault="001D7FAE" w:rsidP="001D7FAE">
      <w:pPr>
        <w:pStyle w:val="Prrafodelista"/>
        <w:tabs>
          <w:tab w:val="left" w:pos="284"/>
        </w:tabs>
        <w:spacing w:before="120" w:after="120" w:line="312" w:lineRule="auto"/>
        <w:ind w:left="1440"/>
        <w:jc w:val="both"/>
        <w:rPr>
          <w:rFonts w:ascii="Mulish" w:hAnsi="Mulish" w:cstheme="minorHAnsi"/>
          <w:bCs/>
        </w:rPr>
      </w:pPr>
      <w:r w:rsidRPr="008C5AAC">
        <w:rPr>
          <w:rFonts w:ascii="Mulish" w:hAnsi="Mulish" w:cstheme="minorHAnsi"/>
          <w:bCs/>
        </w:rPr>
        <w:t>Desde el Consejo viene manteniéndose que el recurso a fuentes centralizadas para la publicación de informaciones obligatorias plantea diversos problemas:</w:t>
      </w:r>
    </w:p>
    <w:p w14:paraId="20F1C101" w14:textId="77777777" w:rsidR="001D7FAE" w:rsidRDefault="001D7FAE" w:rsidP="001D7FAE">
      <w:pPr>
        <w:pStyle w:val="Prrafodelista"/>
        <w:tabs>
          <w:tab w:val="left" w:pos="284"/>
        </w:tabs>
        <w:spacing w:before="120" w:after="120" w:line="312" w:lineRule="auto"/>
        <w:ind w:left="1440"/>
        <w:jc w:val="both"/>
        <w:rPr>
          <w:rFonts w:ascii="Mulish" w:hAnsi="Mulish" w:cstheme="minorHAnsi"/>
          <w:bCs/>
        </w:rPr>
      </w:pPr>
    </w:p>
    <w:p w14:paraId="75861362" w14:textId="77777777" w:rsidR="001D7FAE" w:rsidRPr="008C5AAC" w:rsidRDefault="001D7FAE" w:rsidP="001D7FAE">
      <w:pPr>
        <w:pStyle w:val="Prrafodelista"/>
        <w:tabs>
          <w:tab w:val="left" w:pos="284"/>
        </w:tabs>
        <w:spacing w:before="120" w:after="120" w:line="312" w:lineRule="auto"/>
        <w:ind w:left="1440"/>
        <w:jc w:val="both"/>
        <w:rPr>
          <w:rFonts w:ascii="Mulish" w:hAnsi="Mulish" w:cstheme="minorHAnsi"/>
          <w:bCs/>
        </w:rPr>
      </w:pPr>
      <w:r w:rsidRPr="008C5AAC">
        <w:rPr>
          <w:rFonts w:ascii="Mulish" w:hAnsi="Mulish" w:cstheme="minorHAnsi"/>
          <w:bCs/>
        </w:rPr>
        <w:t xml:space="preserve">En primer lugar, se trata de fuentes de información de difícil acceso para la ciudadanía por las dificultades de manejo que presentan y porque requieren unos conocimientos sobre la gestión interna de las organizaciones públicas y </w:t>
      </w:r>
      <w:r>
        <w:rPr>
          <w:rFonts w:ascii="Mulish" w:hAnsi="Mulish" w:cstheme="minorHAnsi"/>
          <w:bCs/>
        </w:rPr>
        <w:t>sobre</w:t>
      </w:r>
      <w:r w:rsidRPr="008C5AAC">
        <w:rPr>
          <w:rFonts w:ascii="Mulish" w:hAnsi="Mulish" w:cstheme="minorHAnsi"/>
          <w:bCs/>
        </w:rPr>
        <w:t xml:space="preserve"> los procedimientos administrativos, que no tienen por qué tener los ciudadanos.</w:t>
      </w:r>
    </w:p>
    <w:p w14:paraId="33A29681" w14:textId="77777777" w:rsidR="001D7FAE" w:rsidRDefault="001D7FAE" w:rsidP="001D7FAE">
      <w:pPr>
        <w:pStyle w:val="Prrafodelista"/>
        <w:tabs>
          <w:tab w:val="left" w:pos="284"/>
        </w:tabs>
        <w:spacing w:before="120" w:after="120" w:line="312" w:lineRule="auto"/>
        <w:ind w:left="1440"/>
        <w:jc w:val="both"/>
        <w:rPr>
          <w:rFonts w:ascii="Mulish" w:hAnsi="Mulish" w:cstheme="minorHAnsi"/>
          <w:bCs/>
        </w:rPr>
      </w:pPr>
    </w:p>
    <w:p w14:paraId="7F74AF19" w14:textId="251CDDE3" w:rsidR="001D7FAE" w:rsidRPr="008C5AAC" w:rsidRDefault="001D7FAE" w:rsidP="001D7FAE">
      <w:pPr>
        <w:pStyle w:val="Prrafodelista"/>
        <w:tabs>
          <w:tab w:val="left" w:pos="284"/>
        </w:tabs>
        <w:spacing w:before="120" w:after="120" w:line="312" w:lineRule="auto"/>
        <w:ind w:left="1440"/>
        <w:jc w:val="both"/>
        <w:rPr>
          <w:rFonts w:ascii="Mulish" w:hAnsi="Mulish" w:cstheme="minorHAnsi"/>
          <w:bCs/>
        </w:rPr>
      </w:pPr>
      <w:r w:rsidRPr="008C5AAC">
        <w:rPr>
          <w:rFonts w:ascii="Mulish" w:hAnsi="Mulish" w:cstheme="minorHAnsi"/>
          <w:bCs/>
        </w:rPr>
        <w:t xml:space="preserve">En segundo lugar, al estar diseñadas para otros usos, incluyen información no relacionada con las obligaciones de publicidad activa y, por el contrario, no incluyen otros contenidos que son obligatorios en aplicación de la LTAIBG. Por ejemplo, </w:t>
      </w:r>
      <w:r>
        <w:rPr>
          <w:rFonts w:ascii="Mulish" w:hAnsi="Mulish" w:cstheme="minorHAnsi"/>
          <w:bCs/>
        </w:rPr>
        <w:t xml:space="preserve">y como se ha señalado en el informe provisional de evaluación de la CHG, </w:t>
      </w:r>
      <w:r w:rsidRPr="008C5AAC">
        <w:rPr>
          <w:rFonts w:ascii="Mulish" w:hAnsi="Mulish" w:cstheme="minorHAnsi"/>
          <w:bCs/>
        </w:rPr>
        <w:t xml:space="preserve">la Plataforma de Contratación del Sector Público, no incluye entre los criterios de búsqueda de licitaciones las modificaciones de los contratos, que constituyen una obligación diferenciada dentro del grupo contratación. Localizar la información relativa a modificaciones en la Plataforma de Contratación del Sector Público, implica abrir los enlaces a cada una de las licitaciones correspondientes a la entidad para conocer si en alguna de ellas se </w:t>
      </w:r>
      <w:r w:rsidRPr="008C5AAC">
        <w:rPr>
          <w:rFonts w:ascii="Mulish" w:hAnsi="Mulish" w:cstheme="minorHAnsi"/>
          <w:bCs/>
        </w:rPr>
        <w:lastRenderedPageBreak/>
        <w:t xml:space="preserve">ha dado esta circunstancia. </w:t>
      </w:r>
      <w:r>
        <w:rPr>
          <w:rFonts w:ascii="Mulish" w:hAnsi="Mulish" w:cstheme="minorHAnsi"/>
          <w:bCs/>
        </w:rPr>
        <w:t>Además,</w:t>
      </w:r>
      <w:r w:rsidRPr="008C5AAC">
        <w:rPr>
          <w:rFonts w:ascii="Mulish" w:hAnsi="Mulish" w:cstheme="minorHAnsi"/>
          <w:bCs/>
        </w:rPr>
        <w:t xml:space="preserve"> una entidad puede tener más de un órgano de contratación, lo que supone una dificultad añadida. </w:t>
      </w:r>
    </w:p>
    <w:p w14:paraId="3A6E42ED" w14:textId="77777777" w:rsidR="001D7FAE" w:rsidRDefault="001D7FAE" w:rsidP="001D7FAE">
      <w:pPr>
        <w:pStyle w:val="Prrafodelista"/>
        <w:tabs>
          <w:tab w:val="left" w:pos="284"/>
        </w:tabs>
        <w:spacing w:before="120" w:after="120" w:line="312" w:lineRule="auto"/>
        <w:ind w:left="1440"/>
        <w:jc w:val="both"/>
        <w:rPr>
          <w:rFonts w:ascii="Mulish" w:hAnsi="Mulish" w:cstheme="minorHAnsi"/>
          <w:bCs/>
        </w:rPr>
      </w:pPr>
    </w:p>
    <w:p w14:paraId="330A46DB" w14:textId="77777777" w:rsidR="001D7FAE" w:rsidRPr="008C5AAC" w:rsidRDefault="001D7FAE" w:rsidP="001D7FAE">
      <w:pPr>
        <w:pStyle w:val="Prrafodelista"/>
        <w:tabs>
          <w:tab w:val="left" w:pos="284"/>
        </w:tabs>
        <w:spacing w:before="120" w:after="120" w:line="312" w:lineRule="auto"/>
        <w:ind w:left="1440"/>
        <w:jc w:val="both"/>
        <w:rPr>
          <w:rFonts w:ascii="Mulish" w:hAnsi="Mulish" w:cstheme="minorHAnsi"/>
          <w:bCs/>
        </w:rPr>
      </w:pPr>
      <w:r w:rsidRPr="008C5AAC">
        <w:rPr>
          <w:rFonts w:ascii="Mulish" w:hAnsi="Mulish" w:cstheme="minorHAnsi"/>
          <w:bCs/>
        </w:rPr>
        <w:t xml:space="preserve">En tercer lugar, un problema adicional a los ya señalados, es la imposibilidad de que la entidad que adopta la decisión de publicar información enlazando a fuentes centralizadas, pueda controlar tanto los contenidos, como la integridad de los enlaces a su información en la fuente centralizada. De hecho, a lo largo de estos años, este Consejo ha constatado que, en ocasiones, el enlace a la información de la institución en la fuente centralizada daba error.  </w:t>
      </w:r>
    </w:p>
    <w:p w14:paraId="2C4D0159" w14:textId="77777777" w:rsidR="001D7FAE" w:rsidRDefault="001D7FAE" w:rsidP="001D7FAE">
      <w:pPr>
        <w:pStyle w:val="Prrafodelista"/>
        <w:tabs>
          <w:tab w:val="left" w:pos="284"/>
        </w:tabs>
        <w:spacing w:before="120" w:after="120" w:line="312" w:lineRule="auto"/>
        <w:ind w:left="1440"/>
        <w:jc w:val="both"/>
        <w:rPr>
          <w:rFonts w:ascii="Mulish" w:hAnsi="Mulish" w:cstheme="minorHAnsi"/>
          <w:bCs/>
        </w:rPr>
      </w:pPr>
    </w:p>
    <w:p w14:paraId="2139793E" w14:textId="7600283D" w:rsidR="001D7FAE" w:rsidRPr="008C5AAC" w:rsidRDefault="001D7FAE" w:rsidP="001D7FAE">
      <w:pPr>
        <w:pStyle w:val="Prrafodelista"/>
        <w:tabs>
          <w:tab w:val="left" w:pos="284"/>
        </w:tabs>
        <w:spacing w:before="120" w:after="120" w:line="312" w:lineRule="auto"/>
        <w:ind w:left="1440"/>
        <w:jc w:val="both"/>
        <w:rPr>
          <w:rFonts w:ascii="Mulish" w:hAnsi="Mulish" w:cstheme="minorHAnsi"/>
          <w:bCs/>
        </w:rPr>
      </w:pPr>
      <w:r w:rsidRPr="008C5AAC">
        <w:rPr>
          <w:rFonts w:ascii="Mulish" w:hAnsi="Mulish" w:cstheme="minorHAnsi"/>
          <w:bCs/>
        </w:rPr>
        <w:t>Por esta razón, año tras año, este Consejo reitera la recomendación, de que la información se publique en la web del sujeto obligado, incluyendo todos los ítems informativos que, en su caso, establezca la Ley.</w:t>
      </w:r>
      <w:r>
        <w:rPr>
          <w:rFonts w:ascii="Mulish" w:hAnsi="Mulish" w:cstheme="minorHAnsi"/>
          <w:bCs/>
        </w:rPr>
        <w:t xml:space="preserve"> </w:t>
      </w:r>
      <w:r w:rsidRPr="001D7FAE">
        <w:rPr>
          <w:rFonts w:ascii="Mulish" w:hAnsi="Mulish" w:cstheme="minorHAnsi"/>
          <w:bCs/>
        </w:rPr>
        <w:t>Este criterio se fundamenta en que este Consejo evalúa el cumplimiento de las obligaciones de publicidad activa – incluidos los atributos relativos a la calidad de la publicación, que establece la LTAIBG en el artículo 5 incisos 1 y 4 - intentando adoptar, en la medida de lo posible, la posición de los destinatarios de la transparencia – los ciudadanos -, personas que no tienen por qué conocer cómo se organizan ni qué funciones tienen atribuidas las organizaciones públicas y, que obviamente, no son expertos en el manejo de las herramientas de gestión que estas organizaciones utilizan</w:t>
      </w:r>
    </w:p>
    <w:p w14:paraId="34ED050F" w14:textId="77777777" w:rsidR="001D7FAE" w:rsidRDefault="001D7FAE" w:rsidP="001D7FAE">
      <w:pPr>
        <w:pStyle w:val="Prrafodelista"/>
        <w:tabs>
          <w:tab w:val="left" w:pos="284"/>
        </w:tabs>
        <w:spacing w:before="120" w:after="120" w:line="312" w:lineRule="auto"/>
        <w:ind w:left="1440"/>
        <w:jc w:val="both"/>
        <w:rPr>
          <w:rFonts w:ascii="Mulish" w:hAnsi="Mulish" w:cstheme="minorHAnsi"/>
          <w:bCs/>
        </w:rPr>
      </w:pPr>
    </w:p>
    <w:p w14:paraId="03E7D982" w14:textId="1F4315F6" w:rsidR="001D7FAE" w:rsidRDefault="001D7FAE" w:rsidP="001D7FAE">
      <w:pPr>
        <w:pStyle w:val="Prrafodelista"/>
        <w:tabs>
          <w:tab w:val="left" w:pos="284"/>
        </w:tabs>
        <w:spacing w:before="120" w:after="120" w:line="312" w:lineRule="auto"/>
        <w:ind w:left="1440"/>
        <w:jc w:val="both"/>
        <w:rPr>
          <w:rFonts w:ascii="Mulish" w:hAnsi="Mulish" w:cstheme="minorHAnsi"/>
          <w:bCs/>
        </w:rPr>
      </w:pPr>
      <w:r>
        <w:rPr>
          <w:rFonts w:ascii="Mulish" w:hAnsi="Mulish" w:cstheme="minorHAnsi"/>
          <w:bCs/>
        </w:rPr>
        <w:t>Finalmente</w:t>
      </w:r>
      <w:r w:rsidRPr="00570F09">
        <w:rPr>
          <w:rFonts w:ascii="Mulish" w:hAnsi="Mulish" w:cstheme="minorHAnsi"/>
          <w:bCs/>
        </w:rPr>
        <w:t xml:space="preserve">, el </w:t>
      </w:r>
      <w:r>
        <w:rPr>
          <w:rFonts w:ascii="Mulish" w:hAnsi="Mulish" w:cstheme="minorHAnsi"/>
          <w:bCs/>
        </w:rPr>
        <w:t xml:space="preserve">citado </w:t>
      </w:r>
      <w:r w:rsidRPr="00570F09">
        <w:rPr>
          <w:rFonts w:ascii="Mulish" w:hAnsi="Mulish" w:cstheme="minorHAnsi"/>
          <w:bCs/>
        </w:rPr>
        <w:t>artículo 5.4 de la LTAIBG establece que por los sujetos obligados “se establecerán los mecanismos adecuados para facilitar la accesibilidad” a la información</w:t>
      </w:r>
      <w:r>
        <w:rPr>
          <w:rFonts w:ascii="Mulish" w:hAnsi="Mulish" w:cstheme="minorHAnsi"/>
          <w:bCs/>
        </w:rPr>
        <w:t xml:space="preserve"> y la obligación de los sujetos obligados de publicar las informaciones sujetas a obligaciones de publicidad activa en sus propias webs o sedes electrónicas.</w:t>
      </w:r>
    </w:p>
    <w:p w14:paraId="04A28904" w14:textId="77777777" w:rsidR="00D9347E" w:rsidRPr="00D9347E" w:rsidRDefault="00D9347E" w:rsidP="00D9347E">
      <w:pPr>
        <w:pStyle w:val="Prrafodelista"/>
        <w:rPr>
          <w:rFonts w:ascii="Mulish" w:hAnsi="Mulish" w:cstheme="minorHAnsi"/>
          <w:bCs/>
        </w:rPr>
      </w:pPr>
    </w:p>
    <w:p w14:paraId="1A4282D9" w14:textId="77777777" w:rsidR="00D9347E" w:rsidRPr="00570F09" w:rsidRDefault="00D9347E" w:rsidP="00D9347E">
      <w:pPr>
        <w:pStyle w:val="Prrafodelista"/>
        <w:tabs>
          <w:tab w:val="left" w:pos="284"/>
        </w:tabs>
        <w:spacing w:before="120" w:after="120" w:line="312" w:lineRule="auto"/>
        <w:ind w:left="1440"/>
        <w:jc w:val="both"/>
        <w:rPr>
          <w:rFonts w:ascii="Mulish" w:hAnsi="Mulish" w:cstheme="minorHAnsi"/>
          <w:bCs/>
        </w:rPr>
      </w:pPr>
    </w:p>
    <w:p w14:paraId="6D7D8840" w14:textId="667BA933" w:rsidR="00593919" w:rsidRPr="00B91EF0" w:rsidRDefault="00593919" w:rsidP="00B91EF0">
      <w:pPr>
        <w:pStyle w:val="Prrafodelista"/>
        <w:numPr>
          <w:ilvl w:val="0"/>
          <w:numId w:val="11"/>
        </w:numPr>
        <w:tabs>
          <w:tab w:val="left" w:pos="284"/>
        </w:tabs>
        <w:spacing w:before="120" w:after="120" w:line="312" w:lineRule="auto"/>
        <w:jc w:val="both"/>
        <w:rPr>
          <w:rFonts w:ascii="Mulish" w:hAnsi="Mulish" w:cstheme="minorHAnsi"/>
          <w:bCs/>
        </w:rPr>
      </w:pPr>
      <w:r>
        <w:rPr>
          <w:rFonts w:ascii="Mulish" w:hAnsi="Mulish" w:cstheme="minorHAnsi"/>
          <w:bCs/>
        </w:rPr>
        <w:t xml:space="preserve">En relación con </w:t>
      </w:r>
      <w:r w:rsidR="00B91EF0">
        <w:rPr>
          <w:rFonts w:ascii="Mulish" w:hAnsi="Mulish" w:cstheme="minorHAnsi"/>
          <w:bCs/>
        </w:rPr>
        <w:t>la</w:t>
      </w:r>
      <w:r>
        <w:rPr>
          <w:rFonts w:ascii="Mulish" w:hAnsi="Mulish" w:cstheme="minorHAnsi"/>
          <w:bCs/>
        </w:rPr>
        <w:t xml:space="preserve"> </w:t>
      </w:r>
      <w:r w:rsidR="00B91EF0">
        <w:rPr>
          <w:rFonts w:ascii="Mulish" w:hAnsi="Mulish" w:cstheme="minorHAnsi"/>
          <w:bCs/>
        </w:rPr>
        <w:t>observación</w:t>
      </w:r>
      <w:r>
        <w:rPr>
          <w:rFonts w:ascii="Mulish" w:hAnsi="Mulish" w:cstheme="minorHAnsi"/>
          <w:bCs/>
        </w:rPr>
        <w:t xml:space="preserve"> </w:t>
      </w:r>
      <w:r w:rsidR="00837947">
        <w:rPr>
          <w:rFonts w:ascii="Mulish" w:hAnsi="Mulish" w:cstheme="minorHAnsi"/>
          <w:bCs/>
        </w:rPr>
        <w:t xml:space="preserve">relativa </w:t>
      </w:r>
      <w:r w:rsidR="00B91EF0">
        <w:rPr>
          <w:rFonts w:ascii="Mulish" w:hAnsi="Mulish" w:cstheme="minorHAnsi"/>
          <w:bCs/>
        </w:rPr>
        <w:t>a</w:t>
      </w:r>
      <w:r w:rsidRPr="00B91EF0">
        <w:rPr>
          <w:rFonts w:ascii="Mulish" w:hAnsi="Mulish" w:cstheme="minorHAnsi"/>
          <w:bCs/>
        </w:rPr>
        <w:t xml:space="preserve"> la publicación de los informes de auditoría y fiscalización elaborados por el Tribunal de Cuentas, indica la CHG que </w:t>
      </w:r>
      <w:r w:rsidR="00B91EF0">
        <w:rPr>
          <w:rFonts w:ascii="Mulish" w:hAnsi="Mulish" w:cstheme="minorHAnsi"/>
          <w:bCs/>
        </w:rPr>
        <w:t>estos informes se refieren a la</w:t>
      </w:r>
      <w:r w:rsidRPr="00B91EF0">
        <w:rPr>
          <w:rFonts w:ascii="Mulish" w:hAnsi="Mulish" w:cstheme="minorHAnsi"/>
          <w:bCs/>
        </w:rPr>
        <w:t xml:space="preserve"> Cuenta General del Estado. A par</w:t>
      </w:r>
      <w:r w:rsidR="00D9347E" w:rsidRPr="00B91EF0">
        <w:rPr>
          <w:rFonts w:ascii="Mulish" w:hAnsi="Mulish" w:cstheme="minorHAnsi"/>
          <w:bCs/>
        </w:rPr>
        <w:t>t</w:t>
      </w:r>
      <w:r w:rsidRPr="00B91EF0">
        <w:rPr>
          <w:rFonts w:ascii="Mulish" w:hAnsi="Mulish" w:cstheme="minorHAnsi"/>
          <w:bCs/>
        </w:rPr>
        <w:t xml:space="preserve">ir de esta observación, parece deducirse que la CHG no ha sido sometida a ninguna auditoría o fiscalización por parte del Tribunal. Si este es el caso, bastaría con </w:t>
      </w:r>
      <w:r w:rsidR="00D9347E" w:rsidRPr="00B91EF0">
        <w:rPr>
          <w:rFonts w:ascii="Mulish" w:hAnsi="Mulish" w:cstheme="minorHAnsi"/>
          <w:bCs/>
        </w:rPr>
        <w:t>que,</w:t>
      </w:r>
      <w:r w:rsidRPr="00B91EF0">
        <w:rPr>
          <w:rFonts w:ascii="Mulish" w:hAnsi="Mulish" w:cstheme="minorHAnsi"/>
          <w:bCs/>
        </w:rPr>
        <w:t xml:space="preserve"> en el apartado </w:t>
      </w:r>
      <w:r w:rsidR="00D9347E" w:rsidRPr="00B91EF0">
        <w:rPr>
          <w:rFonts w:ascii="Mulish" w:hAnsi="Mulish" w:cstheme="minorHAnsi"/>
          <w:bCs/>
        </w:rPr>
        <w:t xml:space="preserve">correspondiente, se informe de que el TCU no ha elaborado informes de auditoría o fiscalización sobre el organismo. </w:t>
      </w:r>
    </w:p>
    <w:p w14:paraId="029A7A76" w14:textId="77777777" w:rsidR="00D9347E" w:rsidRDefault="00D9347E" w:rsidP="00D9347E">
      <w:pPr>
        <w:pStyle w:val="Prrafodelista"/>
        <w:tabs>
          <w:tab w:val="left" w:pos="284"/>
        </w:tabs>
        <w:spacing w:before="120" w:after="120" w:line="312" w:lineRule="auto"/>
        <w:ind w:left="1440"/>
        <w:jc w:val="both"/>
        <w:rPr>
          <w:rFonts w:ascii="Mulish" w:hAnsi="Mulish" w:cstheme="minorHAnsi"/>
          <w:bCs/>
        </w:rPr>
      </w:pPr>
    </w:p>
    <w:bookmarkEnd w:id="0"/>
    <w:p w14:paraId="7B607771" w14:textId="43EC1157" w:rsidR="00D9347E" w:rsidRPr="00D9347E" w:rsidRDefault="00D9347E" w:rsidP="00D9347E">
      <w:pPr>
        <w:tabs>
          <w:tab w:val="left" w:pos="284"/>
        </w:tabs>
        <w:spacing w:before="120" w:after="120" w:line="312" w:lineRule="auto"/>
        <w:jc w:val="both"/>
        <w:rPr>
          <w:rFonts w:ascii="Mulish" w:hAnsi="Mulish" w:cstheme="minorHAnsi"/>
          <w:bCs/>
        </w:rPr>
      </w:pPr>
      <w:r>
        <w:rPr>
          <w:rFonts w:ascii="Mulish" w:hAnsi="Mulish" w:cstheme="minorHAnsi"/>
          <w:bCs/>
        </w:rPr>
        <w:lastRenderedPageBreak/>
        <w:t xml:space="preserve">Este Consejo valora muy positivamente la disposición de la </w:t>
      </w:r>
      <w:r w:rsidR="00B91EF0">
        <w:rPr>
          <w:rFonts w:ascii="Mulish" w:hAnsi="Mulish" w:cstheme="minorHAnsi"/>
          <w:bCs/>
        </w:rPr>
        <w:t>Confederación Hidrográfica del Guadiana</w:t>
      </w:r>
      <w:r>
        <w:rPr>
          <w:rFonts w:ascii="Mulish" w:hAnsi="Mulish" w:cstheme="minorHAnsi"/>
          <w:bCs/>
        </w:rPr>
        <w:t xml:space="preserve"> a aplicar las recomendaciones derivadas de la evaluación, lo que, sin duda, contribuirá a un importante incremento del Índice de Cumplimiento, cunado en 2025 se efectúe una nueva </w:t>
      </w:r>
      <w:r w:rsidR="00265248">
        <w:rPr>
          <w:rFonts w:ascii="Mulish" w:hAnsi="Mulish" w:cstheme="minorHAnsi"/>
          <w:bCs/>
        </w:rPr>
        <w:t>evaluación de cumplimiento.</w:t>
      </w:r>
    </w:p>
    <w:p w14:paraId="071843D6" w14:textId="77777777" w:rsidR="00BF1D7A" w:rsidRPr="00231038" w:rsidRDefault="00BF1D7A" w:rsidP="00231038">
      <w:pPr>
        <w:tabs>
          <w:tab w:val="left" w:pos="284"/>
        </w:tabs>
        <w:spacing w:before="120" w:after="120" w:line="312" w:lineRule="auto"/>
        <w:jc w:val="both"/>
        <w:rPr>
          <w:rFonts w:ascii="Mulish" w:hAnsi="Mulish" w:cstheme="minorHAnsi"/>
          <w:bCs/>
        </w:rPr>
      </w:pPr>
    </w:p>
    <w:p w14:paraId="5BC74298" w14:textId="77777777" w:rsidR="0029634D" w:rsidRPr="00231038" w:rsidRDefault="0029634D" w:rsidP="0029634D">
      <w:pPr>
        <w:pStyle w:val="Prrafodelista"/>
        <w:tabs>
          <w:tab w:val="left" w:pos="284"/>
        </w:tabs>
        <w:spacing w:before="120" w:after="120" w:line="312" w:lineRule="auto"/>
        <w:ind w:left="1440"/>
        <w:jc w:val="both"/>
        <w:rPr>
          <w:rFonts w:ascii="Mulish" w:hAnsi="Mulish" w:cstheme="minorHAnsi"/>
          <w:bCs/>
        </w:rPr>
      </w:pPr>
    </w:p>
    <w:p w14:paraId="5B401E42" w14:textId="385F0438" w:rsidR="006F17B5" w:rsidRPr="00231038" w:rsidRDefault="006F17B5" w:rsidP="009557B1">
      <w:pPr>
        <w:autoSpaceDE w:val="0"/>
        <w:autoSpaceDN w:val="0"/>
        <w:adjustRightInd w:val="0"/>
        <w:spacing w:after="0"/>
        <w:jc w:val="right"/>
        <w:rPr>
          <w:rFonts w:ascii="Mulish" w:hAnsi="Mulish"/>
          <w:sz w:val="22"/>
        </w:rPr>
      </w:pPr>
      <w:r w:rsidRPr="00231038">
        <w:rPr>
          <w:rFonts w:ascii="Mulish" w:hAnsi="Mulish" w:cstheme="minorHAnsi"/>
          <w:sz w:val="22"/>
        </w:rPr>
        <w:t xml:space="preserve">Madrid, </w:t>
      </w:r>
      <w:r w:rsidR="009B1497" w:rsidRPr="00231038">
        <w:rPr>
          <w:rFonts w:ascii="Mulish" w:hAnsi="Mulish" w:cstheme="minorHAnsi"/>
          <w:sz w:val="22"/>
        </w:rPr>
        <w:t>mayo</w:t>
      </w:r>
      <w:r w:rsidRPr="00231038">
        <w:rPr>
          <w:rFonts w:ascii="Mulish" w:hAnsi="Mulish" w:cstheme="minorHAnsi"/>
          <w:sz w:val="22"/>
        </w:rPr>
        <w:t xml:space="preserve"> de 202</w:t>
      </w:r>
      <w:r w:rsidR="001C701F" w:rsidRPr="00231038">
        <w:rPr>
          <w:rFonts w:ascii="Mulish" w:hAnsi="Mulish" w:cstheme="minorHAnsi"/>
          <w:sz w:val="22"/>
        </w:rPr>
        <w:t>4</w:t>
      </w:r>
    </w:p>
    <w:p w14:paraId="118F5B4C" w14:textId="77777777" w:rsidR="00231038" w:rsidRPr="00231038" w:rsidRDefault="00231038">
      <w:pPr>
        <w:autoSpaceDE w:val="0"/>
        <w:autoSpaceDN w:val="0"/>
        <w:adjustRightInd w:val="0"/>
        <w:spacing w:after="0"/>
        <w:jc w:val="right"/>
        <w:rPr>
          <w:rFonts w:ascii="Mulish" w:hAnsi="Mulish"/>
          <w:sz w:val="22"/>
        </w:rPr>
      </w:pPr>
    </w:p>
    <w:sectPr w:rsidR="00231038" w:rsidRPr="00231038"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29_"/>
      </v:shape>
    </w:pict>
  </w:numPicBullet>
  <w:numPicBullet w:numPicBulletId="1">
    <w:pict>
      <v:shape id="_x0000_i1027" type="#_x0000_t75" style="width:11.25pt;height:11.25pt" o:bullet="t">
        <v:imagedata r:id="rId2" o:title="BD14654_"/>
      </v:shape>
    </w:pict>
  </w:numPicBullet>
  <w:numPicBullet w:numPicBulletId="2">
    <w:pict>
      <v:shape id="_x0000_i1028" type="#_x0000_t75" style="width:9pt;height:9pt" o:bullet="t">
        <v:imagedata r:id="rId3" o:title="BD14533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EABAA4E2"/>
    <w:lvl w:ilvl="0" w:tplc="6652D48A">
      <w:start w:val="1"/>
      <w:numFmt w:val="decimal"/>
      <w:lvlText w:val="%1."/>
      <w:lvlJc w:val="left"/>
      <w:pPr>
        <w:ind w:left="720" w:hanging="360"/>
      </w:pPr>
      <w:rPr>
        <w:rFonts w:hint="default"/>
      </w:rPr>
    </w:lvl>
    <w:lvl w:ilvl="1" w:tplc="176C0A68">
      <w:start w:val="1"/>
      <w:numFmt w:val="lowerLetter"/>
      <w:lvlText w:val="%2."/>
      <w:lvlJc w:val="left"/>
      <w:pPr>
        <w:ind w:left="1440" w:hanging="360"/>
      </w:pPr>
      <w:rPr>
        <w:rFonts w:hint="default"/>
        <w:b w:val="0"/>
        <w:i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E76DD5"/>
    <w:multiLevelType w:val="hybridMultilevel"/>
    <w:tmpl w:val="8AE2AB58"/>
    <w:lvl w:ilvl="0" w:tplc="60FC3B96">
      <w:start w:val="1"/>
      <w:numFmt w:val="lowerLetter"/>
      <w:lvlText w:val="%1."/>
      <w:lvlJc w:val="left"/>
      <w:pPr>
        <w:ind w:left="144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7D76003"/>
    <w:multiLevelType w:val="hybridMultilevel"/>
    <w:tmpl w:val="21981E20"/>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2"/>
  </w:num>
  <w:num w:numId="13">
    <w:abstractNumId w:val="13"/>
  </w:num>
  <w:num w:numId="14">
    <w:abstractNumId w:val="15"/>
  </w:num>
  <w:num w:numId="15">
    <w:abstractNumId w:val="7"/>
  </w:num>
  <w:num w:numId="16">
    <w:abstractNumId w:val="8"/>
  </w:num>
  <w:num w:numId="17">
    <w:abstractNumId w:val="5"/>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5113"/>
    <w:rsid w:val="00006776"/>
    <w:rsid w:val="000234B9"/>
    <w:rsid w:val="0002527C"/>
    <w:rsid w:val="00033E75"/>
    <w:rsid w:val="00034F48"/>
    <w:rsid w:val="00036A5D"/>
    <w:rsid w:val="0005249D"/>
    <w:rsid w:val="00070294"/>
    <w:rsid w:val="00070950"/>
    <w:rsid w:val="00073E04"/>
    <w:rsid w:val="00074030"/>
    <w:rsid w:val="0007734F"/>
    <w:rsid w:val="000A7C47"/>
    <w:rsid w:val="000B3139"/>
    <w:rsid w:val="000D335D"/>
    <w:rsid w:val="000D4422"/>
    <w:rsid w:val="000E5D1F"/>
    <w:rsid w:val="000E711B"/>
    <w:rsid w:val="001257F9"/>
    <w:rsid w:val="0013625B"/>
    <w:rsid w:val="001364C4"/>
    <w:rsid w:val="0014196C"/>
    <w:rsid w:val="001506D3"/>
    <w:rsid w:val="00151290"/>
    <w:rsid w:val="0016439B"/>
    <w:rsid w:val="00173960"/>
    <w:rsid w:val="001750A8"/>
    <w:rsid w:val="00175D6C"/>
    <w:rsid w:val="0018324C"/>
    <w:rsid w:val="00186B56"/>
    <w:rsid w:val="00190952"/>
    <w:rsid w:val="00192060"/>
    <w:rsid w:val="0019362B"/>
    <w:rsid w:val="00194E05"/>
    <w:rsid w:val="001B16D9"/>
    <w:rsid w:val="001B7352"/>
    <w:rsid w:val="001C701F"/>
    <w:rsid w:val="001D7FAE"/>
    <w:rsid w:val="001E44BC"/>
    <w:rsid w:val="001F290B"/>
    <w:rsid w:val="00231038"/>
    <w:rsid w:val="00235A40"/>
    <w:rsid w:val="00251194"/>
    <w:rsid w:val="002540DD"/>
    <w:rsid w:val="00265248"/>
    <w:rsid w:val="00292806"/>
    <w:rsid w:val="0029634D"/>
    <w:rsid w:val="002A4771"/>
    <w:rsid w:val="002A7933"/>
    <w:rsid w:val="002C000A"/>
    <w:rsid w:val="002F5D0B"/>
    <w:rsid w:val="00316F9A"/>
    <w:rsid w:val="003245B8"/>
    <w:rsid w:val="003259B9"/>
    <w:rsid w:val="00344FE7"/>
    <w:rsid w:val="00351475"/>
    <w:rsid w:val="003656B1"/>
    <w:rsid w:val="003B5DE7"/>
    <w:rsid w:val="003D10D1"/>
    <w:rsid w:val="003D2C6C"/>
    <w:rsid w:val="003D52DF"/>
    <w:rsid w:val="003F0972"/>
    <w:rsid w:val="003F38BD"/>
    <w:rsid w:val="00405A70"/>
    <w:rsid w:val="00406F06"/>
    <w:rsid w:val="004108BB"/>
    <w:rsid w:val="004124E7"/>
    <w:rsid w:val="00431713"/>
    <w:rsid w:val="0045134F"/>
    <w:rsid w:val="00466973"/>
    <w:rsid w:val="00470F02"/>
    <w:rsid w:val="0049491F"/>
    <w:rsid w:val="004B15B8"/>
    <w:rsid w:val="004D4EF1"/>
    <w:rsid w:val="00511BED"/>
    <w:rsid w:val="00516CD7"/>
    <w:rsid w:val="00525FCA"/>
    <w:rsid w:val="0055202A"/>
    <w:rsid w:val="00565608"/>
    <w:rsid w:val="00570F09"/>
    <w:rsid w:val="00593919"/>
    <w:rsid w:val="005B1C12"/>
    <w:rsid w:val="005E2370"/>
    <w:rsid w:val="005F0570"/>
    <w:rsid w:val="005F4305"/>
    <w:rsid w:val="005F59A5"/>
    <w:rsid w:val="00614890"/>
    <w:rsid w:val="00620AB5"/>
    <w:rsid w:val="00621730"/>
    <w:rsid w:val="00636FF6"/>
    <w:rsid w:val="006615ED"/>
    <w:rsid w:val="00663071"/>
    <w:rsid w:val="006803DF"/>
    <w:rsid w:val="006F17B5"/>
    <w:rsid w:val="006F5890"/>
    <w:rsid w:val="006F5AFB"/>
    <w:rsid w:val="0071472F"/>
    <w:rsid w:val="007342F2"/>
    <w:rsid w:val="00745E83"/>
    <w:rsid w:val="007479B0"/>
    <w:rsid w:val="00752071"/>
    <w:rsid w:val="00753179"/>
    <w:rsid w:val="007704A4"/>
    <w:rsid w:val="00772C2A"/>
    <w:rsid w:val="007759D6"/>
    <w:rsid w:val="007A662D"/>
    <w:rsid w:val="007B482F"/>
    <w:rsid w:val="007C00E5"/>
    <w:rsid w:val="007C0642"/>
    <w:rsid w:val="007D24E2"/>
    <w:rsid w:val="00815DA2"/>
    <w:rsid w:val="00825520"/>
    <w:rsid w:val="00837947"/>
    <w:rsid w:val="0085302F"/>
    <w:rsid w:val="00855ECA"/>
    <w:rsid w:val="0089717A"/>
    <w:rsid w:val="00897F59"/>
    <w:rsid w:val="008B79BD"/>
    <w:rsid w:val="008E6630"/>
    <w:rsid w:val="00901F1F"/>
    <w:rsid w:val="009029E0"/>
    <w:rsid w:val="00910EC2"/>
    <w:rsid w:val="00915434"/>
    <w:rsid w:val="00950524"/>
    <w:rsid w:val="009557B1"/>
    <w:rsid w:val="009951FE"/>
    <w:rsid w:val="009B1497"/>
    <w:rsid w:val="009B18C5"/>
    <w:rsid w:val="009B7ADA"/>
    <w:rsid w:val="009D2560"/>
    <w:rsid w:val="009D6677"/>
    <w:rsid w:val="009E084D"/>
    <w:rsid w:val="009E16B5"/>
    <w:rsid w:val="009E30AA"/>
    <w:rsid w:val="009E6E79"/>
    <w:rsid w:val="00A24192"/>
    <w:rsid w:val="00A26523"/>
    <w:rsid w:val="00A41DE8"/>
    <w:rsid w:val="00A43328"/>
    <w:rsid w:val="00A52A4D"/>
    <w:rsid w:val="00A603C7"/>
    <w:rsid w:val="00A62936"/>
    <w:rsid w:val="00A70779"/>
    <w:rsid w:val="00A74B96"/>
    <w:rsid w:val="00AE09EB"/>
    <w:rsid w:val="00AE16DF"/>
    <w:rsid w:val="00AE5BF4"/>
    <w:rsid w:val="00AF587E"/>
    <w:rsid w:val="00B263E1"/>
    <w:rsid w:val="00B2797F"/>
    <w:rsid w:val="00B31F84"/>
    <w:rsid w:val="00B35A53"/>
    <w:rsid w:val="00B4112D"/>
    <w:rsid w:val="00B81EE6"/>
    <w:rsid w:val="00B91EF0"/>
    <w:rsid w:val="00BB48B9"/>
    <w:rsid w:val="00BC1739"/>
    <w:rsid w:val="00BC7A82"/>
    <w:rsid w:val="00BE33B9"/>
    <w:rsid w:val="00BF1D7A"/>
    <w:rsid w:val="00C01613"/>
    <w:rsid w:val="00C0201F"/>
    <w:rsid w:val="00C119CE"/>
    <w:rsid w:val="00C13C51"/>
    <w:rsid w:val="00C22A56"/>
    <w:rsid w:val="00C23F36"/>
    <w:rsid w:val="00C25FA5"/>
    <w:rsid w:val="00C305B6"/>
    <w:rsid w:val="00C3135F"/>
    <w:rsid w:val="00C506D3"/>
    <w:rsid w:val="00C736B9"/>
    <w:rsid w:val="00C80C7C"/>
    <w:rsid w:val="00C82AB2"/>
    <w:rsid w:val="00C87BC3"/>
    <w:rsid w:val="00C90859"/>
    <w:rsid w:val="00C93842"/>
    <w:rsid w:val="00CB4447"/>
    <w:rsid w:val="00CD334A"/>
    <w:rsid w:val="00CE0196"/>
    <w:rsid w:val="00CF0704"/>
    <w:rsid w:val="00D14C16"/>
    <w:rsid w:val="00D23111"/>
    <w:rsid w:val="00D445A4"/>
    <w:rsid w:val="00D44E9D"/>
    <w:rsid w:val="00D55DED"/>
    <w:rsid w:val="00D72EF9"/>
    <w:rsid w:val="00D847B0"/>
    <w:rsid w:val="00D91A37"/>
    <w:rsid w:val="00D9347E"/>
    <w:rsid w:val="00D96715"/>
    <w:rsid w:val="00DA126F"/>
    <w:rsid w:val="00DB1735"/>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173E"/>
    <w:rsid w:val="00EF5F68"/>
    <w:rsid w:val="00F17B00"/>
    <w:rsid w:val="00F5121D"/>
    <w:rsid w:val="00F7456B"/>
    <w:rsid w:val="00F74B17"/>
    <w:rsid w:val="00F777C2"/>
    <w:rsid w:val="00FA580C"/>
    <w:rsid w:val="00FC012E"/>
    <w:rsid w:val="00FC3816"/>
    <w:rsid w:val="00FC651F"/>
    <w:rsid w:val="00FD1DF8"/>
    <w:rsid w:val="00FD6D61"/>
    <w:rsid w:val="00FE3E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718</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4</cp:revision>
  <cp:lastPrinted>2015-01-27T17:42:00Z</cp:lastPrinted>
  <dcterms:created xsi:type="dcterms:W3CDTF">2024-05-16T09:33:00Z</dcterms:created>
  <dcterms:modified xsi:type="dcterms:W3CDTF">2024-05-29T15:48:00Z</dcterms:modified>
</cp:coreProperties>
</file>