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1AD2CAA4"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2C05E9">
        <w:rPr>
          <w:rFonts w:ascii="Mulish" w:hAnsi="Mulish"/>
          <w:color w:val="079386"/>
        </w:rPr>
        <w:t>EL CONSORCIO DE LA ZONA FRANCA DE CADIZ (CZFZ)</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6C405805" w:rsidR="00D23111" w:rsidRPr="00406F06"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406F06">
        <w:rPr>
          <w:rFonts w:ascii="Mulish" w:hAnsi="Mulish" w:cstheme="minorHAnsi"/>
          <w:szCs w:val="24"/>
        </w:rPr>
        <w:t>2</w:t>
      </w:r>
      <w:r w:rsidRPr="00406F06">
        <w:rPr>
          <w:rFonts w:ascii="Mulish" w:hAnsi="Mulish" w:cstheme="minorHAnsi"/>
          <w:szCs w:val="24"/>
        </w:rPr>
        <w:t xml:space="preserve"> de </w:t>
      </w:r>
      <w:r w:rsidR="00762141" w:rsidRPr="00762141">
        <w:rPr>
          <w:rFonts w:ascii="Mulish" w:hAnsi="Mulish" w:cstheme="minorHAnsi"/>
          <w:szCs w:val="24"/>
        </w:rPr>
        <w:t xml:space="preserve">mayo </w:t>
      </w:r>
      <w:r w:rsidRPr="00406F06">
        <w:rPr>
          <w:rFonts w:ascii="Mulish" w:hAnsi="Mulish" w:cstheme="minorHAnsi"/>
          <w:szCs w:val="24"/>
        </w:rPr>
        <w:t>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4C4D2B67" w14:textId="3CDF10D9" w:rsidR="009E6E79" w:rsidRDefault="00762141"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En relación con la recomendaciones que se han aplicado durante el periodo de observaciones, este Consejo mantiene el criterio de no revisar los Índices de Cumplimiento a la vista de las mejoras implantadas en esta fase. En primer lugar, porque el alcance temporal de la evaluación finaliza cuando se envían los informes provisionales de evaluación para observaciones. Y, en segundo término, porque mantener el criterio contrario, beneficiaría a las organizaciones con mayor capacidad de respuesta tecnológica y mayores recursos en detrimento de aquellas otras con menos recursos de todo tipo. No obstante, este Consejo reconoce el esfuerzo realizado, elaborando un informe específico que relaciona, para cada organización, las recomendaciones aplicadas durante esta fase. Este informe se publica junto a los informes de evaluación. </w:t>
      </w:r>
    </w:p>
    <w:p w14:paraId="6DF90766" w14:textId="5F0423D2" w:rsidR="009E6E79" w:rsidRP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Este Consejo valora muy positivamente la disposición de</w:t>
      </w:r>
      <w:r w:rsidR="00762141">
        <w:rPr>
          <w:rFonts w:ascii="Mulish" w:hAnsi="Mulish" w:cstheme="minorHAnsi"/>
          <w:szCs w:val="24"/>
        </w:rPr>
        <w:t xml:space="preserve">l Consorcio de la Zona Franca de Cádiz </w:t>
      </w:r>
      <w:r>
        <w:rPr>
          <w:rFonts w:ascii="Mulish" w:hAnsi="Mulish" w:cstheme="minorHAnsi"/>
          <w:szCs w:val="24"/>
        </w:rPr>
        <w:t>a aplicar las recomendaciones derivadas de la evaluación</w:t>
      </w:r>
      <w:r w:rsidR="00762141">
        <w:rPr>
          <w:rFonts w:ascii="Mulish" w:hAnsi="Mulish" w:cstheme="minorHAnsi"/>
          <w:szCs w:val="24"/>
        </w:rPr>
        <w:t xml:space="preserve"> que todavía no han sido implantadas</w:t>
      </w:r>
      <w:r>
        <w:rPr>
          <w:rFonts w:ascii="Mulish" w:hAnsi="Mulish" w:cstheme="minorHAnsi"/>
          <w:szCs w:val="24"/>
        </w:rPr>
        <w:t xml:space="preserve">. </w:t>
      </w:r>
      <w:r w:rsidR="009B1497">
        <w:rPr>
          <w:rFonts w:ascii="Mulish" w:hAnsi="Mulish" w:cstheme="minorHAnsi"/>
          <w:szCs w:val="24"/>
        </w:rPr>
        <w:t xml:space="preserve">Estas mejoras, impactarán, sin </w:t>
      </w:r>
      <w:r w:rsidR="00D96715">
        <w:rPr>
          <w:rFonts w:ascii="Mulish" w:hAnsi="Mulish" w:cstheme="minorHAnsi"/>
          <w:szCs w:val="24"/>
        </w:rPr>
        <w:t>duda, en</w:t>
      </w:r>
      <w:r w:rsidR="009B1497">
        <w:rPr>
          <w:rFonts w:ascii="Mulish" w:hAnsi="Mulish" w:cstheme="minorHAnsi"/>
          <w:szCs w:val="24"/>
        </w:rPr>
        <w:t xml:space="preserve"> el Índice de Cumplimiento alcanzado</w:t>
      </w:r>
      <w:r>
        <w:rPr>
          <w:rFonts w:ascii="Mulish" w:hAnsi="Mulish" w:cstheme="minorHAnsi"/>
          <w:szCs w:val="24"/>
        </w:rPr>
        <w:t>.</w:t>
      </w: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385F0438"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B1497">
        <w:rPr>
          <w:rFonts w:ascii="Mulish" w:hAnsi="Mulish" w:cstheme="minorHAnsi"/>
          <w:szCs w:val="24"/>
        </w:rPr>
        <w:t>mayo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5" type="#_x0000_t75" style="width:10.9pt;height:10.9pt" o:bullet="t">
        <v:imagedata r:id="rId1" o:title="BD14529_"/>
      </v:shape>
    </w:pict>
  </w:numPicBullet>
  <w:numPicBullet w:numPicBulletId="1">
    <w:pict>
      <v:shape id="_x0000_i2076" type="#_x0000_t75" style="width:10.9pt;height:10.9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C05E9"/>
    <w:rsid w:val="002F5D0B"/>
    <w:rsid w:val="00316F9A"/>
    <w:rsid w:val="003245B8"/>
    <w:rsid w:val="003259B9"/>
    <w:rsid w:val="00344FE7"/>
    <w:rsid w:val="00351475"/>
    <w:rsid w:val="003656B1"/>
    <w:rsid w:val="003B5DE7"/>
    <w:rsid w:val="003D10D1"/>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F17B5"/>
    <w:rsid w:val="006F5890"/>
    <w:rsid w:val="006F5AFB"/>
    <w:rsid w:val="0071472F"/>
    <w:rsid w:val="007342F2"/>
    <w:rsid w:val="00745E83"/>
    <w:rsid w:val="00753179"/>
    <w:rsid w:val="00762141"/>
    <w:rsid w:val="007704A4"/>
    <w:rsid w:val="00772C2A"/>
    <w:rsid w:val="007759D6"/>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 MARIA RUIZ MARTINEZ</cp:lastModifiedBy>
  <cp:revision>3</cp:revision>
  <cp:lastPrinted>2015-01-27T17:42:00Z</cp:lastPrinted>
  <dcterms:created xsi:type="dcterms:W3CDTF">2024-05-08T14:48:00Z</dcterms:created>
  <dcterms:modified xsi:type="dcterms:W3CDTF">2024-05-08T14:56:00Z</dcterms:modified>
</cp:coreProperties>
</file>