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F12E9" w14:textId="5D77ADE3" w:rsidR="006F17B5" w:rsidRPr="00406F06" w:rsidRDefault="006F17B5" w:rsidP="001B16D9">
      <w:pPr>
        <w:pStyle w:val="Ttulo1"/>
        <w:jc w:val="both"/>
        <w:rPr>
          <w:rFonts w:ascii="Mulish" w:hAnsi="Mulish"/>
          <w:color w:val="079386"/>
        </w:rPr>
      </w:pPr>
      <w:r w:rsidRPr="00406F06">
        <w:rPr>
          <w:rFonts w:ascii="Mulish" w:hAnsi="Mulish"/>
          <w:color w:val="079386"/>
        </w:rPr>
        <w:t xml:space="preserve">INFORME RELATIVO A LAS OBSERVACIONES REMITIDAS POR </w:t>
      </w:r>
      <w:r w:rsidR="002C05E9">
        <w:rPr>
          <w:rFonts w:ascii="Mulish" w:hAnsi="Mulish"/>
          <w:color w:val="079386"/>
        </w:rPr>
        <w:t xml:space="preserve">EL </w:t>
      </w:r>
      <w:r w:rsidR="00470E6E">
        <w:rPr>
          <w:rFonts w:ascii="Mulish" w:hAnsi="Mulish"/>
          <w:color w:val="079386"/>
        </w:rPr>
        <w:t>INSTITUTO NACIONAL DE CIBERSEGURIDAD DE ESPAÑA</w:t>
      </w:r>
      <w:r w:rsidR="002C05E9">
        <w:rPr>
          <w:rFonts w:ascii="Mulish" w:hAnsi="Mulish"/>
          <w:color w:val="079386"/>
        </w:rPr>
        <w:t xml:space="preserve"> (</w:t>
      </w:r>
      <w:r w:rsidR="00470E6E">
        <w:rPr>
          <w:rFonts w:ascii="Mulish" w:hAnsi="Mulish"/>
          <w:color w:val="079386"/>
        </w:rPr>
        <w:t>INCIBE</w:t>
      </w:r>
      <w:r w:rsidR="002C05E9">
        <w:rPr>
          <w:rFonts w:ascii="Mulish" w:hAnsi="Mulish"/>
          <w:color w:val="079386"/>
        </w:rPr>
        <w:t>)</w:t>
      </w:r>
      <w:r w:rsidR="007704A4" w:rsidRPr="00406F06">
        <w:rPr>
          <w:rFonts w:ascii="Mulish" w:hAnsi="Mulish"/>
          <w:color w:val="079386"/>
        </w:rPr>
        <w:t xml:space="preserve"> </w:t>
      </w:r>
      <w:r w:rsidRPr="00406F06">
        <w:rPr>
          <w:rFonts w:ascii="Mulish" w:hAnsi="Mulish"/>
          <w:color w:val="079386"/>
        </w:rPr>
        <w:t>EN RELACIÓN CON EL INFORME DEL CTBG SOBRE CUMPLIMIENTO DE LAS OBLIGACIONES DE PUBLICIDAD ACTIVA ESTABLECIDAS POR LA LTAIBG</w:t>
      </w:r>
    </w:p>
    <w:p w14:paraId="093557A1" w14:textId="77777777" w:rsidR="006F17B5" w:rsidRPr="00406F06" w:rsidRDefault="006F17B5" w:rsidP="006F17B5">
      <w:pPr>
        <w:jc w:val="center"/>
        <w:rPr>
          <w:rFonts w:ascii="Mulish" w:hAnsi="Mulish" w:cstheme="minorHAnsi"/>
          <w:szCs w:val="24"/>
        </w:rPr>
      </w:pPr>
    </w:p>
    <w:p w14:paraId="5E6F6CF0" w14:textId="416F7540" w:rsidR="00D23111" w:rsidRPr="00504D52" w:rsidRDefault="00D23111" w:rsidP="009E16B5">
      <w:pPr>
        <w:tabs>
          <w:tab w:val="left" w:pos="284"/>
        </w:tabs>
        <w:spacing w:before="120" w:after="120" w:line="312" w:lineRule="auto"/>
        <w:contextualSpacing/>
        <w:jc w:val="both"/>
        <w:rPr>
          <w:rFonts w:ascii="Mulish" w:hAnsi="Mulish" w:cstheme="minorHAnsi"/>
          <w:sz w:val="22"/>
        </w:rPr>
      </w:pPr>
      <w:r w:rsidRPr="00504D52">
        <w:rPr>
          <w:rFonts w:ascii="Mulish" w:hAnsi="Mulish" w:cstheme="minorHAnsi"/>
          <w:sz w:val="22"/>
        </w:rPr>
        <w:t>En contestación a su</w:t>
      </w:r>
      <w:r w:rsidR="00C25FA5" w:rsidRPr="00504D52">
        <w:rPr>
          <w:rFonts w:ascii="Mulish" w:hAnsi="Mulish" w:cstheme="minorHAnsi"/>
          <w:sz w:val="22"/>
        </w:rPr>
        <w:t xml:space="preserve"> </w:t>
      </w:r>
      <w:r w:rsidR="00C506D3" w:rsidRPr="00504D52">
        <w:rPr>
          <w:rFonts w:ascii="Mulish" w:hAnsi="Mulish" w:cstheme="minorHAnsi"/>
          <w:sz w:val="22"/>
        </w:rPr>
        <w:t>escrito</w:t>
      </w:r>
      <w:r w:rsidR="00190952" w:rsidRPr="00504D52">
        <w:rPr>
          <w:rFonts w:ascii="Mulish" w:hAnsi="Mulish" w:cstheme="minorHAnsi"/>
          <w:sz w:val="22"/>
        </w:rPr>
        <w:t xml:space="preserve"> </w:t>
      </w:r>
      <w:r w:rsidR="00565608" w:rsidRPr="00504D52">
        <w:rPr>
          <w:rFonts w:ascii="Mulish" w:hAnsi="Mulish" w:cstheme="minorHAnsi"/>
          <w:sz w:val="22"/>
        </w:rPr>
        <w:t xml:space="preserve">de fecha </w:t>
      </w:r>
      <w:r w:rsidR="00470E6E" w:rsidRPr="00504D52">
        <w:rPr>
          <w:rFonts w:ascii="Mulish" w:hAnsi="Mulish" w:cstheme="minorHAnsi"/>
          <w:sz w:val="22"/>
        </w:rPr>
        <w:t>3</w:t>
      </w:r>
      <w:r w:rsidRPr="00504D52">
        <w:rPr>
          <w:rFonts w:ascii="Mulish" w:hAnsi="Mulish" w:cstheme="minorHAnsi"/>
          <w:sz w:val="22"/>
        </w:rPr>
        <w:t xml:space="preserve"> de </w:t>
      </w:r>
      <w:r w:rsidR="00762141" w:rsidRPr="00504D52">
        <w:rPr>
          <w:rFonts w:ascii="Mulish" w:hAnsi="Mulish" w:cstheme="minorHAnsi"/>
          <w:sz w:val="22"/>
        </w:rPr>
        <w:t xml:space="preserve">mayo </w:t>
      </w:r>
      <w:r w:rsidRPr="00504D52">
        <w:rPr>
          <w:rFonts w:ascii="Mulish" w:hAnsi="Mulish" w:cstheme="minorHAnsi"/>
          <w:sz w:val="22"/>
        </w:rPr>
        <w:t>de 202</w:t>
      </w:r>
      <w:r w:rsidR="00FA580C" w:rsidRPr="00504D52">
        <w:rPr>
          <w:rFonts w:ascii="Mulish" w:hAnsi="Mulish" w:cstheme="minorHAnsi"/>
          <w:sz w:val="22"/>
        </w:rPr>
        <w:t>4</w:t>
      </w:r>
      <w:r w:rsidR="00C119CE" w:rsidRPr="00504D52">
        <w:rPr>
          <w:rFonts w:ascii="Mulish" w:hAnsi="Mulish" w:cstheme="minorHAnsi"/>
          <w:sz w:val="22"/>
        </w:rPr>
        <w:t>,</w:t>
      </w:r>
      <w:r w:rsidR="005B1C12" w:rsidRPr="00504D52">
        <w:rPr>
          <w:rFonts w:ascii="Mulish" w:hAnsi="Mulish" w:cstheme="minorHAnsi"/>
          <w:sz w:val="22"/>
        </w:rPr>
        <w:t xml:space="preserve"> </w:t>
      </w:r>
      <w:r w:rsidRPr="00504D52">
        <w:rPr>
          <w:rFonts w:ascii="Mulish" w:hAnsi="Mulish" w:cstheme="minorHAnsi"/>
          <w:sz w:val="22"/>
        </w:rPr>
        <w:t xml:space="preserve">una vez analizadas </w:t>
      </w:r>
      <w:r w:rsidR="00C119CE" w:rsidRPr="00504D52">
        <w:rPr>
          <w:rFonts w:ascii="Mulish" w:hAnsi="Mulish" w:cstheme="minorHAnsi"/>
          <w:sz w:val="22"/>
        </w:rPr>
        <w:t xml:space="preserve">todas </w:t>
      </w:r>
      <w:r w:rsidRPr="00504D52">
        <w:rPr>
          <w:rFonts w:ascii="Mulish" w:hAnsi="Mulish" w:cstheme="minorHAnsi"/>
          <w:sz w:val="22"/>
        </w:rPr>
        <w:t xml:space="preserve">las observaciones realizadas al borrador de informe de evaluación </w:t>
      </w:r>
      <w:r w:rsidR="00B81EE6" w:rsidRPr="00504D52">
        <w:rPr>
          <w:rFonts w:ascii="Mulish" w:hAnsi="Mulish" w:cstheme="minorHAnsi"/>
          <w:sz w:val="22"/>
        </w:rPr>
        <w:t xml:space="preserve">relativo al </w:t>
      </w:r>
      <w:r w:rsidRPr="00504D52">
        <w:rPr>
          <w:rFonts w:ascii="Mulish" w:hAnsi="Mulish" w:cstheme="minorHAnsi"/>
          <w:sz w:val="22"/>
        </w:rPr>
        <w:t xml:space="preserve">cumplimiento de las obligaciones de publicidad activa por parte de esa </w:t>
      </w:r>
      <w:r w:rsidR="00855ECA" w:rsidRPr="00504D52">
        <w:rPr>
          <w:rFonts w:ascii="Mulish" w:hAnsi="Mulish" w:cstheme="minorHAnsi"/>
          <w:sz w:val="22"/>
        </w:rPr>
        <w:t>Institución</w:t>
      </w:r>
      <w:r w:rsidRPr="00504D52">
        <w:rPr>
          <w:rFonts w:ascii="Mulish" w:hAnsi="Mulish" w:cstheme="minorHAnsi"/>
          <w:sz w:val="22"/>
        </w:rPr>
        <w:t>, este CTBG efectúa las siguientes consideraciones:</w:t>
      </w:r>
    </w:p>
    <w:p w14:paraId="73B32EE4" w14:textId="77777777" w:rsidR="00855ECA" w:rsidRPr="00406F06" w:rsidRDefault="00855ECA" w:rsidP="009E16B5">
      <w:pPr>
        <w:tabs>
          <w:tab w:val="left" w:pos="284"/>
        </w:tabs>
        <w:spacing w:before="120" w:after="120" w:line="312" w:lineRule="auto"/>
        <w:contextualSpacing/>
        <w:jc w:val="both"/>
        <w:rPr>
          <w:rFonts w:ascii="Mulish" w:hAnsi="Mulish" w:cstheme="minorHAnsi"/>
          <w:szCs w:val="24"/>
        </w:rPr>
      </w:pPr>
    </w:p>
    <w:p w14:paraId="2F508FEF" w14:textId="263F993A" w:rsidR="0051103C" w:rsidRDefault="0051103C" w:rsidP="0051103C">
      <w:pPr>
        <w:pStyle w:val="Prrafodelista"/>
        <w:numPr>
          <w:ilvl w:val="0"/>
          <w:numId w:val="18"/>
        </w:numPr>
        <w:tabs>
          <w:tab w:val="left" w:pos="284"/>
        </w:tabs>
        <w:spacing w:before="120" w:after="120" w:line="312" w:lineRule="auto"/>
        <w:jc w:val="both"/>
        <w:rPr>
          <w:rFonts w:ascii="Mulish" w:hAnsi="Mulish" w:cstheme="minorHAnsi"/>
          <w:szCs w:val="24"/>
        </w:rPr>
      </w:pPr>
      <w:r>
        <w:rPr>
          <w:rFonts w:ascii="Mulish" w:hAnsi="Mulish" w:cstheme="minorHAnsi"/>
          <w:szCs w:val="24"/>
        </w:rPr>
        <w:t>En relación con algunas de las observaciones efectuadas, este Consejo quiere realizar algunas aclaraciones:</w:t>
      </w:r>
    </w:p>
    <w:p w14:paraId="2C7BAFB4" w14:textId="6998B8C3" w:rsidR="0051103C" w:rsidRPr="0051103C" w:rsidRDefault="0051103C" w:rsidP="0051103C">
      <w:pPr>
        <w:pStyle w:val="Prrafodelista"/>
        <w:numPr>
          <w:ilvl w:val="1"/>
          <w:numId w:val="18"/>
        </w:numPr>
        <w:rPr>
          <w:rFonts w:ascii="Mulish" w:hAnsi="Mulish" w:cstheme="minorHAnsi"/>
          <w:szCs w:val="24"/>
        </w:rPr>
      </w:pPr>
      <w:r w:rsidRPr="0051103C">
        <w:rPr>
          <w:rFonts w:ascii="Mulish" w:hAnsi="Mulish" w:cstheme="minorHAnsi"/>
          <w:szCs w:val="24"/>
        </w:rPr>
        <w:t xml:space="preserve">Entre las observaciones </w:t>
      </w:r>
      <w:r w:rsidR="00504D52">
        <w:rPr>
          <w:rFonts w:ascii="Mulish" w:hAnsi="Mulish" w:cstheme="minorHAnsi"/>
          <w:szCs w:val="24"/>
        </w:rPr>
        <w:t>relativas</w:t>
      </w:r>
      <w:r w:rsidRPr="0051103C">
        <w:rPr>
          <w:rFonts w:ascii="Mulish" w:hAnsi="Mulish" w:cstheme="minorHAnsi"/>
          <w:szCs w:val="24"/>
        </w:rPr>
        <w:t xml:space="preserve"> a las obligaciones que integran el bloque de Información Institucional y Organizativa, se observa que no se incluye ninguna referencia a la descripción de la estructura organizativa, que es la única obligación para la que no se había localizado información en el transcurso de la evaluación. Es posible, como ocurre en ocasiones, que el INCIBE considere que esta obligación está cumplida con la publicación del organigrama o de la composición de los órganos de gobierno y de gestión. Sin embargo, </w:t>
      </w:r>
      <w:r>
        <w:rPr>
          <w:rFonts w:ascii="Mulish" w:hAnsi="Mulish" w:cstheme="minorHAnsi"/>
          <w:szCs w:val="24"/>
        </w:rPr>
        <w:t>l</w:t>
      </w:r>
      <w:r w:rsidRPr="0051103C">
        <w:rPr>
          <w:rFonts w:ascii="Mulish" w:hAnsi="Mulish" w:cstheme="minorHAnsi"/>
          <w:szCs w:val="24"/>
        </w:rPr>
        <w:t xml:space="preserve">a descripción de la estructura organizativa, la identificación de los máximos responsables   y el organigrama son tres obligaciones diferentes, razón por la que la información relativa a cada una de dichas obligaciones debe publicarse de manera individualizada. </w:t>
      </w:r>
      <w:r>
        <w:rPr>
          <w:rFonts w:ascii="Mulish" w:hAnsi="Mulish" w:cstheme="minorHAnsi"/>
          <w:szCs w:val="24"/>
        </w:rPr>
        <w:t xml:space="preserve">Para cumplir la obligación “descripción de la estructura organizativa” basta con que se publique un breve texto explicativo sobre cómo se organiza INCIBE, incluyendo órganos de gobierno y de gestión. </w:t>
      </w:r>
    </w:p>
    <w:p w14:paraId="70E61C16" w14:textId="35B55665" w:rsidR="0051103C" w:rsidRDefault="0051103C" w:rsidP="0051103C">
      <w:pPr>
        <w:pStyle w:val="Prrafodelista"/>
        <w:numPr>
          <w:ilvl w:val="1"/>
          <w:numId w:val="18"/>
        </w:numPr>
        <w:tabs>
          <w:tab w:val="left" w:pos="284"/>
        </w:tabs>
        <w:spacing w:before="120" w:after="120" w:line="312" w:lineRule="auto"/>
        <w:jc w:val="both"/>
        <w:rPr>
          <w:rFonts w:ascii="Mulish" w:hAnsi="Mulish" w:cstheme="minorHAnsi"/>
          <w:szCs w:val="24"/>
        </w:rPr>
      </w:pPr>
      <w:r>
        <w:rPr>
          <w:rFonts w:ascii="Mulish" w:hAnsi="Mulish" w:cstheme="minorHAnsi"/>
          <w:szCs w:val="24"/>
        </w:rPr>
        <w:t>En relación con la obligación “Informes de auditoria y de fiscalización elaborados por órganos de control externo”, se indica en las observaciones que son estos órganos los que publican los informes en sus webs y, que en el caso del INCIBE, no se ha realizado ninguna auditoría en los últimos años.</w:t>
      </w:r>
    </w:p>
    <w:p w14:paraId="08C03BA9" w14:textId="191A2C87" w:rsidR="0051103C" w:rsidRDefault="0051103C" w:rsidP="0051103C">
      <w:pPr>
        <w:pStyle w:val="Prrafodelista"/>
        <w:tabs>
          <w:tab w:val="left" w:pos="284"/>
        </w:tabs>
        <w:spacing w:before="120" w:after="120" w:line="312" w:lineRule="auto"/>
        <w:ind w:left="1440"/>
        <w:jc w:val="both"/>
        <w:rPr>
          <w:rFonts w:ascii="Mulish" w:hAnsi="Mulish" w:cstheme="minorHAnsi"/>
          <w:szCs w:val="24"/>
        </w:rPr>
      </w:pPr>
      <w:r>
        <w:rPr>
          <w:rFonts w:ascii="Mulish" w:hAnsi="Mulish" w:cstheme="minorHAnsi"/>
          <w:szCs w:val="24"/>
        </w:rPr>
        <w:t xml:space="preserve">Respecto de la primera cuestión, </w:t>
      </w:r>
      <w:r w:rsidRPr="0051103C">
        <w:rPr>
          <w:rFonts w:ascii="Mulish" w:hAnsi="Mulish" w:cstheme="minorHAnsi"/>
          <w:szCs w:val="24"/>
        </w:rPr>
        <w:t xml:space="preserve">cabe recordar que el artículo 5.4 de la LTAIBG señala que la información sujeta a las obligaciones de transparencia será publicada en las correspondientes sedes electrónicas o páginas web de los sujetos obligados. Se trata de una situación análoga a la correspondiente a las compatibilidades de empleados públicos para las que es únicamente competente la </w:t>
      </w:r>
      <w:r w:rsidR="00504D52">
        <w:rPr>
          <w:rFonts w:ascii="Mulish" w:hAnsi="Mulish" w:cstheme="minorHAnsi"/>
          <w:szCs w:val="24"/>
        </w:rPr>
        <w:t>Oficina de Conflictos de Intereses</w:t>
      </w:r>
      <w:r w:rsidRPr="0051103C">
        <w:rPr>
          <w:rFonts w:ascii="Mulish" w:hAnsi="Mulish" w:cstheme="minorHAnsi"/>
          <w:szCs w:val="24"/>
        </w:rPr>
        <w:t>, información que</w:t>
      </w:r>
      <w:r>
        <w:rPr>
          <w:rFonts w:ascii="Mulish" w:hAnsi="Mulish" w:cstheme="minorHAnsi"/>
          <w:szCs w:val="24"/>
        </w:rPr>
        <w:t>,</w:t>
      </w:r>
      <w:r w:rsidR="00504D52">
        <w:rPr>
          <w:rFonts w:ascii="Mulish" w:hAnsi="Mulish" w:cstheme="minorHAnsi"/>
          <w:szCs w:val="24"/>
        </w:rPr>
        <w:t xml:space="preserve"> en </w:t>
      </w:r>
      <w:r w:rsidR="00504D52">
        <w:rPr>
          <w:rFonts w:ascii="Mulish" w:hAnsi="Mulish" w:cstheme="minorHAnsi"/>
          <w:szCs w:val="24"/>
        </w:rPr>
        <w:lastRenderedPageBreak/>
        <w:t>aplicación de una recomendación, ya publica el INCIBE</w:t>
      </w:r>
      <w:r w:rsidRPr="0051103C">
        <w:rPr>
          <w:rFonts w:ascii="Mulish" w:hAnsi="Mulish" w:cstheme="minorHAnsi"/>
          <w:szCs w:val="24"/>
        </w:rPr>
        <w:t>.</w:t>
      </w:r>
      <w:r w:rsidR="00504D52">
        <w:rPr>
          <w:rFonts w:ascii="Mulish" w:hAnsi="Mulish" w:cstheme="minorHAnsi"/>
          <w:szCs w:val="24"/>
        </w:rPr>
        <w:t xml:space="preserve"> </w:t>
      </w:r>
      <w:r w:rsidRPr="0051103C">
        <w:rPr>
          <w:rFonts w:ascii="Mulish" w:hAnsi="Mulish" w:cstheme="minorHAnsi"/>
          <w:szCs w:val="24"/>
        </w:rPr>
        <w:t xml:space="preserve">El hecho de que </w:t>
      </w:r>
      <w:r w:rsidR="00504D52">
        <w:rPr>
          <w:rFonts w:ascii="Mulish" w:hAnsi="Mulish" w:cstheme="minorHAnsi"/>
          <w:szCs w:val="24"/>
        </w:rPr>
        <w:t>quien elabora la información</w:t>
      </w:r>
      <w:r w:rsidRPr="0051103C">
        <w:rPr>
          <w:rFonts w:ascii="Mulish" w:hAnsi="Mulish" w:cstheme="minorHAnsi"/>
          <w:szCs w:val="24"/>
        </w:rPr>
        <w:t xml:space="preserve"> sea </w:t>
      </w:r>
      <w:r w:rsidR="00504D52">
        <w:rPr>
          <w:rFonts w:ascii="Mulish" w:hAnsi="Mulish" w:cstheme="minorHAnsi"/>
          <w:szCs w:val="24"/>
        </w:rPr>
        <w:t>una institución</w:t>
      </w:r>
      <w:r w:rsidRPr="0051103C">
        <w:rPr>
          <w:rFonts w:ascii="Mulish" w:hAnsi="Mulish" w:cstheme="minorHAnsi"/>
          <w:szCs w:val="24"/>
        </w:rPr>
        <w:t xml:space="preserve"> diferente, no implica que pueda obviarse la publicación de esta información por parte </w:t>
      </w:r>
      <w:r w:rsidR="00504D52">
        <w:rPr>
          <w:rFonts w:ascii="Mulish" w:hAnsi="Mulish" w:cstheme="minorHAnsi"/>
          <w:szCs w:val="24"/>
        </w:rPr>
        <w:t>de la entidad</w:t>
      </w:r>
      <w:r w:rsidRPr="0051103C">
        <w:rPr>
          <w:rFonts w:ascii="Mulish" w:hAnsi="Mulish" w:cstheme="minorHAnsi"/>
          <w:szCs w:val="24"/>
        </w:rPr>
        <w:t xml:space="preserve"> </w:t>
      </w:r>
      <w:r w:rsidR="00504D52">
        <w:rPr>
          <w:rFonts w:ascii="Mulish" w:hAnsi="Mulish" w:cstheme="minorHAnsi"/>
          <w:szCs w:val="24"/>
        </w:rPr>
        <w:t>a la que está referida</w:t>
      </w:r>
      <w:r w:rsidRPr="0051103C">
        <w:rPr>
          <w:rFonts w:ascii="Mulish" w:hAnsi="Mulish" w:cstheme="minorHAnsi"/>
          <w:szCs w:val="24"/>
        </w:rPr>
        <w:t>.</w:t>
      </w:r>
    </w:p>
    <w:p w14:paraId="3BC9B58F" w14:textId="7E22222A" w:rsidR="00504D52" w:rsidRDefault="00504D52" w:rsidP="0051103C">
      <w:pPr>
        <w:pStyle w:val="Prrafodelista"/>
        <w:tabs>
          <w:tab w:val="left" w:pos="284"/>
        </w:tabs>
        <w:spacing w:before="120" w:after="120" w:line="312" w:lineRule="auto"/>
        <w:ind w:left="1440"/>
        <w:jc w:val="both"/>
        <w:rPr>
          <w:rFonts w:ascii="Mulish" w:hAnsi="Mulish" w:cstheme="minorHAnsi"/>
          <w:szCs w:val="24"/>
        </w:rPr>
      </w:pPr>
      <w:r>
        <w:rPr>
          <w:rFonts w:ascii="Mulish" w:hAnsi="Mulish" w:cstheme="minorHAnsi"/>
          <w:szCs w:val="24"/>
        </w:rPr>
        <w:t xml:space="preserve">En cuanto a la segunda observación, bastaría, como se recomienda en el informe de evaluación, con que el INCIBE informe expresamente de que no ha estado sometido a procesos de auditoría o fiscalización por parte del Tribunal de Cuentas. </w:t>
      </w:r>
    </w:p>
    <w:p w14:paraId="4C4D2B67" w14:textId="40AE8C22" w:rsidR="009E6E79" w:rsidRPr="00504D52" w:rsidRDefault="00762141" w:rsidP="00504D52">
      <w:pPr>
        <w:pStyle w:val="Prrafodelista"/>
        <w:numPr>
          <w:ilvl w:val="0"/>
          <w:numId w:val="18"/>
        </w:numPr>
        <w:tabs>
          <w:tab w:val="left" w:pos="284"/>
        </w:tabs>
        <w:spacing w:before="120" w:after="120" w:line="312" w:lineRule="auto"/>
        <w:jc w:val="both"/>
        <w:rPr>
          <w:rFonts w:ascii="Mulish" w:hAnsi="Mulish" w:cstheme="minorHAnsi"/>
          <w:szCs w:val="24"/>
        </w:rPr>
      </w:pPr>
      <w:r w:rsidRPr="00504D52">
        <w:rPr>
          <w:rFonts w:ascii="Mulish" w:hAnsi="Mulish" w:cstheme="minorHAnsi"/>
          <w:szCs w:val="24"/>
        </w:rPr>
        <w:t xml:space="preserve">En relación con la recomendaciones que se han aplicado durante el periodo de observaciones, este Consejo mantiene el criterio de no revisar los Índices de Cumplimiento a la vista de las mejoras implantadas en esta fase. En primer lugar, porque el alcance temporal de la evaluación finaliza cuando se envían los informes provisionales de evaluación para observaciones. Y, en segundo término, porque mantener el criterio contrario, beneficiaría a las organizaciones con mayor capacidad de respuesta tecnológica y mayores recursos en detrimento de aquellas otras con menos recursos de todo tipo. No obstante, este Consejo reconoce el esfuerzo realizado, elaborando un informe específico que relaciona, para cada organización, las recomendaciones aplicadas durante esta fase. Este informe se publica junto a los informes de evaluación. </w:t>
      </w:r>
    </w:p>
    <w:p w14:paraId="6DF90766" w14:textId="783184B9" w:rsidR="009E6E79" w:rsidRPr="00504D52" w:rsidRDefault="009E6E79" w:rsidP="009E6E79">
      <w:pPr>
        <w:tabs>
          <w:tab w:val="left" w:pos="284"/>
        </w:tabs>
        <w:spacing w:before="120" w:after="120" w:line="312" w:lineRule="auto"/>
        <w:jc w:val="both"/>
        <w:rPr>
          <w:rFonts w:ascii="Mulish" w:hAnsi="Mulish" w:cstheme="minorHAnsi"/>
          <w:sz w:val="22"/>
        </w:rPr>
      </w:pPr>
      <w:r w:rsidRPr="00504D52">
        <w:rPr>
          <w:rFonts w:ascii="Mulish" w:hAnsi="Mulish" w:cstheme="minorHAnsi"/>
          <w:sz w:val="22"/>
        </w:rPr>
        <w:t>Este Consejo valora muy positivamente la disposición de</w:t>
      </w:r>
      <w:r w:rsidR="00762141" w:rsidRPr="00504D52">
        <w:rPr>
          <w:rFonts w:ascii="Mulish" w:hAnsi="Mulish" w:cstheme="minorHAnsi"/>
          <w:sz w:val="22"/>
        </w:rPr>
        <w:t xml:space="preserve">l </w:t>
      </w:r>
      <w:r w:rsidR="00504D52" w:rsidRPr="00504D52">
        <w:rPr>
          <w:rFonts w:ascii="Mulish" w:hAnsi="Mulish" w:cstheme="minorHAnsi"/>
          <w:sz w:val="22"/>
        </w:rPr>
        <w:t>INCIBE</w:t>
      </w:r>
      <w:r w:rsidR="00762141" w:rsidRPr="00504D52">
        <w:rPr>
          <w:rFonts w:ascii="Mulish" w:hAnsi="Mulish" w:cstheme="minorHAnsi"/>
          <w:sz w:val="22"/>
        </w:rPr>
        <w:t xml:space="preserve"> </w:t>
      </w:r>
      <w:r w:rsidRPr="00504D52">
        <w:rPr>
          <w:rFonts w:ascii="Mulish" w:hAnsi="Mulish" w:cstheme="minorHAnsi"/>
          <w:sz w:val="22"/>
        </w:rPr>
        <w:t>a aplicar las recomendaciones derivadas de la evaluación</w:t>
      </w:r>
      <w:r w:rsidR="00504D52" w:rsidRPr="00504D52">
        <w:rPr>
          <w:rFonts w:ascii="Mulish" w:hAnsi="Mulish" w:cstheme="minorHAnsi"/>
          <w:sz w:val="22"/>
        </w:rPr>
        <w:t>, de hecho, la mayoría se han implantado durante la fase de observaciones al informe provisional</w:t>
      </w:r>
      <w:r w:rsidRPr="00504D52">
        <w:rPr>
          <w:rFonts w:ascii="Mulish" w:hAnsi="Mulish" w:cstheme="minorHAnsi"/>
          <w:sz w:val="22"/>
        </w:rPr>
        <w:t xml:space="preserve">. </w:t>
      </w:r>
      <w:r w:rsidR="009B1497" w:rsidRPr="00504D52">
        <w:rPr>
          <w:rFonts w:ascii="Mulish" w:hAnsi="Mulish" w:cstheme="minorHAnsi"/>
          <w:sz w:val="22"/>
        </w:rPr>
        <w:t xml:space="preserve">Estas mejoras, impactarán, sin </w:t>
      </w:r>
      <w:r w:rsidR="00D96715" w:rsidRPr="00504D52">
        <w:rPr>
          <w:rFonts w:ascii="Mulish" w:hAnsi="Mulish" w:cstheme="minorHAnsi"/>
          <w:sz w:val="22"/>
        </w:rPr>
        <w:t>duda, en</w:t>
      </w:r>
      <w:r w:rsidR="009B1497" w:rsidRPr="00504D52">
        <w:rPr>
          <w:rFonts w:ascii="Mulish" w:hAnsi="Mulish" w:cstheme="minorHAnsi"/>
          <w:sz w:val="22"/>
        </w:rPr>
        <w:t xml:space="preserve"> el Índice de Cumplimiento alcanzado</w:t>
      </w:r>
      <w:r w:rsidR="00504D52" w:rsidRPr="00504D52">
        <w:rPr>
          <w:rFonts w:ascii="Mulish" w:hAnsi="Mulish" w:cstheme="minorHAnsi"/>
          <w:sz w:val="22"/>
        </w:rPr>
        <w:t>, cuando en 2025 se efectú</w:t>
      </w:r>
      <w:r w:rsidR="00EC40F4">
        <w:rPr>
          <w:rFonts w:ascii="Mulish" w:hAnsi="Mulish" w:cstheme="minorHAnsi"/>
          <w:sz w:val="22"/>
        </w:rPr>
        <w:t>e</w:t>
      </w:r>
      <w:r w:rsidR="00504D52" w:rsidRPr="00504D52">
        <w:rPr>
          <w:rFonts w:ascii="Mulish" w:hAnsi="Mulish" w:cstheme="minorHAnsi"/>
          <w:sz w:val="22"/>
        </w:rPr>
        <w:t xml:space="preserve"> por este Consejo una revisión del cumplimiento de las obligaciones de publicidad activa</w:t>
      </w:r>
      <w:r w:rsidRPr="00504D52">
        <w:rPr>
          <w:rFonts w:ascii="Mulish" w:hAnsi="Mulish" w:cstheme="minorHAnsi"/>
          <w:sz w:val="22"/>
        </w:rPr>
        <w:t>.</w:t>
      </w:r>
    </w:p>
    <w:p w14:paraId="7CA8D920" w14:textId="77777777" w:rsidR="007704A4" w:rsidRPr="00504D52" w:rsidRDefault="007704A4" w:rsidP="007704A4">
      <w:pPr>
        <w:pStyle w:val="Prrafodelista"/>
        <w:tabs>
          <w:tab w:val="left" w:pos="284"/>
        </w:tabs>
        <w:spacing w:before="120" w:after="120" w:line="312" w:lineRule="auto"/>
        <w:jc w:val="both"/>
        <w:rPr>
          <w:rFonts w:ascii="Mulish" w:hAnsi="Mulish" w:cstheme="minorHAnsi"/>
        </w:rPr>
      </w:pPr>
    </w:p>
    <w:p w14:paraId="5B401E42" w14:textId="385F0438" w:rsidR="006F17B5" w:rsidRPr="00406F06" w:rsidRDefault="006F17B5" w:rsidP="009557B1">
      <w:pPr>
        <w:autoSpaceDE w:val="0"/>
        <w:autoSpaceDN w:val="0"/>
        <w:adjustRightInd w:val="0"/>
        <w:spacing w:after="0"/>
        <w:jc w:val="right"/>
        <w:rPr>
          <w:rFonts w:ascii="Mulish" w:hAnsi="Mulish"/>
          <w:szCs w:val="24"/>
        </w:rPr>
      </w:pPr>
      <w:r w:rsidRPr="00406F06">
        <w:rPr>
          <w:rFonts w:ascii="Mulish" w:hAnsi="Mulish" w:cstheme="minorHAnsi"/>
          <w:szCs w:val="24"/>
        </w:rPr>
        <w:t xml:space="preserve">Madrid, </w:t>
      </w:r>
      <w:r w:rsidR="009B1497">
        <w:rPr>
          <w:rFonts w:ascii="Mulish" w:hAnsi="Mulish" w:cstheme="minorHAnsi"/>
          <w:szCs w:val="24"/>
        </w:rPr>
        <w:t>mayo</w:t>
      </w:r>
      <w:r w:rsidRPr="00406F06">
        <w:rPr>
          <w:rFonts w:ascii="Mulish" w:hAnsi="Mulish" w:cstheme="minorHAnsi"/>
          <w:szCs w:val="24"/>
        </w:rPr>
        <w:t xml:space="preserve"> de 202</w:t>
      </w:r>
      <w:r w:rsidR="001C701F" w:rsidRPr="00406F06">
        <w:rPr>
          <w:rFonts w:ascii="Mulish" w:hAnsi="Mulish" w:cstheme="minorHAnsi"/>
          <w:szCs w:val="24"/>
        </w:rPr>
        <w:t>4</w:t>
      </w:r>
    </w:p>
    <w:sectPr w:rsidR="006F17B5" w:rsidRPr="00406F06"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9040E" w14:textId="77777777" w:rsidR="001B7352" w:rsidRDefault="001B7352" w:rsidP="00344FE7">
      <w:pPr>
        <w:spacing w:after="0" w:line="240" w:lineRule="auto"/>
      </w:pPr>
      <w:r>
        <w:separator/>
      </w:r>
    </w:p>
  </w:endnote>
  <w:endnote w:type="continuationSeparator" w:id="0">
    <w:p w14:paraId="168507A7" w14:textId="77777777" w:rsidR="001B7352" w:rsidRDefault="001B7352"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30167"/>
      <w:docPartObj>
        <w:docPartGallery w:val="Page Numbers (Bottom of Page)"/>
        <w:docPartUnique/>
      </w:docPartObj>
    </w:sdtPr>
    <w:sdtEndPr>
      <w:rPr>
        <w:sz w:val="20"/>
        <w:szCs w:val="20"/>
      </w:rPr>
    </w:sdtEndPr>
    <w:sdtContent>
      <w:p w14:paraId="711E53FC" w14:textId="77777777" w:rsidR="001B7352" w:rsidRPr="00C23F36" w:rsidRDefault="001B7352"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745E83">
          <w:rPr>
            <w:noProof/>
            <w:sz w:val="20"/>
            <w:szCs w:val="20"/>
          </w:rPr>
          <w:t>7</w:t>
        </w:r>
        <w:r w:rsidRPr="00C23F3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59DD3" w14:textId="77777777" w:rsidR="001B7352" w:rsidRDefault="001B7352" w:rsidP="00344FE7">
      <w:pPr>
        <w:spacing w:after="0" w:line="240" w:lineRule="auto"/>
      </w:pPr>
      <w:r>
        <w:separator/>
      </w:r>
    </w:p>
  </w:footnote>
  <w:footnote w:type="continuationSeparator" w:id="0">
    <w:p w14:paraId="3FE3DA04" w14:textId="77777777" w:rsidR="001B7352" w:rsidRDefault="001B7352" w:rsidP="00344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31C53" w14:textId="77777777" w:rsidR="001B7352" w:rsidRDefault="001B7352">
    <w:pPr>
      <w:pStyle w:val="Encabezado"/>
    </w:pPr>
    <w:r>
      <w:rPr>
        <w:noProof/>
        <w:lang w:eastAsia="es-ES"/>
      </w:rPr>
      <w:drawing>
        <wp:anchor distT="0" distB="0" distL="0" distR="0" simplePos="0" relativeHeight="251670528" behindDoc="0" locked="0" layoutInCell="1" allowOverlap="0" wp14:anchorId="7EE23A25" wp14:editId="47DDA104">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14:paraId="167267D5" w14:textId="77777777" w:rsidR="001B7352" w:rsidRDefault="001B7352">
    <w:pPr>
      <w:pStyle w:val="Encabezado"/>
    </w:pPr>
  </w:p>
  <w:p w14:paraId="3E061B63" w14:textId="77777777" w:rsidR="001B7352" w:rsidRDefault="001B7352" w:rsidP="00344FE7">
    <w:pPr>
      <w:pStyle w:val="Encabezado"/>
    </w:pPr>
  </w:p>
  <w:p w14:paraId="0B5589F9" w14:textId="77777777" w:rsidR="001B7352" w:rsidRDefault="001B7352" w:rsidP="00344FE7">
    <w:pPr>
      <w:pStyle w:val="Encabezado"/>
    </w:pPr>
  </w:p>
  <w:p w14:paraId="6B9AC33C" w14:textId="77777777" w:rsidR="001B7352" w:rsidRDefault="001B7352" w:rsidP="00344F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66B5" w14:textId="77777777" w:rsidR="001B7352" w:rsidRDefault="001B7352" w:rsidP="006F5890">
    <w:pPr>
      <w:jc w:val="right"/>
      <w:rPr>
        <w:noProof/>
        <w:lang w:eastAsia="es-ES"/>
      </w:rPr>
    </w:pPr>
    <w:r>
      <w:rPr>
        <w:noProof/>
        <w:lang w:eastAsia="es-ES"/>
      </w:rPr>
      <w:drawing>
        <wp:anchor distT="0" distB="0" distL="0" distR="0" simplePos="0" relativeHeight="251668480" behindDoc="0" locked="0" layoutInCell="1" allowOverlap="0" wp14:anchorId="1C76EECC" wp14:editId="19B3C182">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201350F3" wp14:editId="20154103">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10.95pt;height:10.95pt" o:bullet="t">
        <v:imagedata r:id="rId1" o:title="BD14529_"/>
      </v:shape>
    </w:pict>
  </w:numPicBullet>
  <w:numPicBullet w:numPicBulletId="1">
    <w:pict>
      <v:shape id="_x0000_i1110" type="#_x0000_t75" style="width:10.95pt;height:10.95pt" o:bullet="t">
        <v:imagedata r:id="rId2" o:title="BD14654_"/>
      </v:shape>
    </w:pict>
  </w:numPicBullet>
  <w:abstractNum w:abstractNumId="0" w15:restartNumberingAfterBreak="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9B24A2"/>
    <w:multiLevelType w:val="hybridMultilevel"/>
    <w:tmpl w:val="5FC2F3A2"/>
    <w:lvl w:ilvl="0" w:tplc="6B807E78">
      <w:start w:val="2"/>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E523F4C"/>
    <w:multiLevelType w:val="hybridMultilevel"/>
    <w:tmpl w:val="45EA880E"/>
    <w:lvl w:ilvl="0" w:tplc="9F46D75E">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25D577D"/>
    <w:multiLevelType w:val="hybridMultilevel"/>
    <w:tmpl w:val="242E57DA"/>
    <w:lvl w:ilvl="0" w:tplc="FA7C346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9" w15:restartNumberingAfterBreak="0">
    <w:nsid w:val="33E35655"/>
    <w:multiLevelType w:val="hybridMultilevel"/>
    <w:tmpl w:val="6F06D24E"/>
    <w:lvl w:ilvl="0" w:tplc="6652D48A">
      <w:start w:val="1"/>
      <w:numFmt w:val="decimal"/>
      <w:lvlText w:val="%1."/>
      <w:lvlJc w:val="left"/>
      <w:pPr>
        <w:ind w:left="720" w:hanging="360"/>
      </w:pPr>
      <w:rPr>
        <w:rFonts w:hint="default"/>
      </w:rPr>
    </w:lvl>
    <w:lvl w:ilvl="1" w:tplc="60FC3B96">
      <w:start w:val="1"/>
      <w:numFmt w:val="lowerLetter"/>
      <w:lvlText w:val="%2."/>
      <w:lvlJc w:val="left"/>
      <w:pPr>
        <w:ind w:left="1440" w:hanging="360"/>
      </w:pPr>
      <w:rPr>
        <w:rFonts w:hint="default"/>
        <w:b w:val="0"/>
        <w:i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499C18D2"/>
    <w:multiLevelType w:val="hybridMultilevel"/>
    <w:tmpl w:val="3DA2F2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C7C7B71"/>
    <w:multiLevelType w:val="hybridMultilevel"/>
    <w:tmpl w:val="DB7E0618"/>
    <w:lvl w:ilvl="0" w:tplc="E29C0F0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5CF331C2"/>
    <w:multiLevelType w:val="hybridMultilevel"/>
    <w:tmpl w:val="4C2CA0A6"/>
    <w:lvl w:ilvl="0" w:tplc="EEE466C2">
      <w:start w:val="5"/>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1C51AD8"/>
    <w:multiLevelType w:val="hybridMultilevel"/>
    <w:tmpl w:val="FD08CC3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6"/>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0"/>
  </w:num>
  <w:num w:numId="11">
    <w:abstractNumId w:val="9"/>
  </w:num>
  <w:num w:numId="12">
    <w:abstractNumId w:val="11"/>
  </w:num>
  <w:num w:numId="13">
    <w:abstractNumId w:val="12"/>
  </w:num>
  <w:num w:numId="14">
    <w:abstractNumId w:val="14"/>
  </w:num>
  <w:num w:numId="15">
    <w:abstractNumId w:val="7"/>
  </w:num>
  <w:num w:numId="16">
    <w:abstractNumId w:val="8"/>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9"/>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E7"/>
    <w:rsid w:val="00003EA5"/>
    <w:rsid w:val="00006776"/>
    <w:rsid w:val="000234B9"/>
    <w:rsid w:val="00033E75"/>
    <w:rsid w:val="00034F48"/>
    <w:rsid w:val="00036A5D"/>
    <w:rsid w:val="0005249D"/>
    <w:rsid w:val="00070294"/>
    <w:rsid w:val="00070950"/>
    <w:rsid w:val="00073E04"/>
    <w:rsid w:val="00074030"/>
    <w:rsid w:val="000A7C47"/>
    <w:rsid w:val="000B3139"/>
    <w:rsid w:val="000D4422"/>
    <w:rsid w:val="000E5D1F"/>
    <w:rsid w:val="001257F9"/>
    <w:rsid w:val="0013625B"/>
    <w:rsid w:val="0014196C"/>
    <w:rsid w:val="00151290"/>
    <w:rsid w:val="0016439B"/>
    <w:rsid w:val="00173960"/>
    <w:rsid w:val="001750A8"/>
    <w:rsid w:val="00175D6C"/>
    <w:rsid w:val="0018324C"/>
    <w:rsid w:val="00186B56"/>
    <w:rsid w:val="00190952"/>
    <w:rsid w:val="00192060"/>
    <w:rsid w:val="0019362B"/>
    <w:rsid w:val="00194E05"/>
    <w:rsid w:val="001B16D9"/>
    <w:rsid w:val="001B7352"/>
    <w:rsid w:val="001C701F"/>
    <w:rsid w:val="001E44BC"/>
    <w:rsid w:val="001F290B"/>
    <w:rsid w:val="00235A40"/>
    <w:rsid w:val="00251194"/>
    <w:rsid w:val="00292806"/>
    <w:rsid w:val="002A4771"/>
    <w:rsid w:val="002A7933"/>
    <w:rsid w:val="002C000A"/>
    <w:rsid w:val="002C05E9"/>
    <w:rsid w:val="002F5D0B"/>
    <w:rsid w:val="00316F9A"/>
    <w:rsid w:val="003245B8"/>
    <w:rsid w:val="003259B9"/>
    <w:rsid w:val="00344FE7"/>
    <w:rsid w:val="00351475"/>
    <w:rsid w:val="003656B1"/>
    <w:rsid w:val="003B5DE7"/>
    <w:rsid w:val="003D10D1"/>
    <w:rsid w:val="003D2C6C"/>
    <w:rsid w:val="003D52DF"/>
    <w:rsid w:val="003F0972"/>
    <w:rsid w:val="003F38BD"/>
    <w:rsid w:val="00406F06"/>
    <w:rsid w:val="004108BB"/>
    <w:rsid w:val="004124E7"/>
    <w:rsid w:val="00431713"/>
    <w:rsid w:val="0045134F"/>
    <w:rsid w:val="00466973"/>
    <w:rsid w:val="00470E6E"/>
    <w:rsid w:val="00470F02"/>
    <w:rsid w:val="0049491F"/>
    <w:rsid w:val="004B15B8"/>
    <w:rsid w:val="004D4EF1"/>
    <w:rsid w:val="00504D52"/>
    <w:rsid w:val="0051103C"/>
    <w:rsid w:val="00511BED"/>
    <w:rsid w:val="00525FCA"/>
    <w:rsid w:val="0055202A"/>
    <w:rsid w:val="00565608"/>
    <w:rsid w:val="005B1C12"/>
    <w:rsid w:val="005E2370"/>
    <w:rsid w:val="005F0570"/>
    <w:rsid w:val="005F4305"/>
    <w:rsid w:val="005F59A5"/>
    <w:rsid w:val="00614890"/>
    <w:rsid w:val="00620AB5"/>
    <w:rsid w:val="00636FF6"/>
    <w:rsid w:val="006615ED"/>
    <w:rsid w:val="006F17B5"/>
    <w:rsid w:val="006F5890"/>
    <w:rsid w:val="006F5AFB"/>
    <w:rsid w:val="0071472F"/>
    <w:rsid w:val="007342F2"/>
    <w:rsid w:val="00745E83"/>
    <w:rsid w:val="00753179"/>
    <w:rsid w:val="00762141"/>
    <w:rsid w:val="007704A4"/>
    <w:rsid w:val="00772C2A"/>
    <w:rsid w:val="007759D6"/>
    <w:rsid w:val="007A662D"/>
    <w:rsid w:val="007B482F"/>
    <w:rsid w:val="007C00E5"/>
    <w:rsid w:val="007C0642"/>
    <w:rsid w:val="007D24E2"/>
    <w:rsid w:val="00815DA2"/>
    <w:rsid w:val="0085302F"/>
    <w:rsid w:val="00855ECA"/>
    <w:rsid w:val="0089717A"/>
    <w:rsid w:val="00897F59"/>
    <w:rsid w:val="008B79BD"/>
    <w:rsid w:val="00901F1F"/>
    <w:rsid w:val="009029E0"/>
    <w:rsid w:val="00910EC2"/>
    <w:rsid w:val="00915434"/>
    <w:rsid w:val="00950524"/>
    <w:rsid w:val="009557B1"/>
    <w:rsid w:val="009951FE"/>
    <w:rsid w:val="009B1497"/>
    <w:rsid w:val="009B7ADA"/>
    <w:rsid w:val="009D2560"/>
    <w:rsid w:val="009D6677"/>
    <w:rsid w:val="009E084D"/>
    <w:rsid w:val="009E16B5"/>
    <w:rsid w:val="009E30AA"/>
    <w:rsid w:val="009E6E79"/>
    <w:rsid w:val="00A24192"/>
    <w:rsid w:val="00A26523"/>
    <w:rsid w:val="00A41DE8"/>
    <w:rsid w:val="00A52A4D"/>
    <w:rsid w:val="00A603C7"/>
    <w:rsid w:val="00A62936"/>
    <w:rsid w:val="00A70779"/>
    <w:rsid w:val="00A74B96"/>
    <w:rsid w:val="00AE5BF4"/>
    <w:rsid w:val="00AF587E"/>
    <w:rsid w:val="00B263E1"/>
    <w:rsid w:val="00B2797F"/>
    <w:rsid w:val="00B31F84"/>
    <w:rsid w:val="00B35A53"/>
    <w:rsid w:val="00B4112D"/>
    <w:rsid w:val="00B81EE6"/>
    <w:rsid w:val="00BB48B9"/>
    <w:rsid w:val="00BC7A82"/>
    <w:rsid w:val="00BE33B9"/>
    <w:rsid w:val="00C01613"/>
    <w:rsid w:val="00C0201F"/>
    <w:rsid w:val="00C119CE"/>
    <w:rsid w:val="00C13C51"/>
    <w:rsid w:val="00C23F36"/>
    <w:rsid w:val="00C25FA5"/>
    <w:rsid w:val="00C305B6"/>
    <w:rsid w:val="00C3135F"/>
    <w:rsid w:val="00C506D3"/>
    <w:rsid w:val="00C736B9"/>
    <w:rsid w:val="00C80C7C"/>
    <w:rsid w:val="00C82AB2"/>
    <w:rsid w:val="00C87BC3"/>
    <w:rsid w:val="00C90859"/>
    <w:rsid w:val="00C93842"/>
    <w:rsid w:val="00CB4447"/>
    <w:rsid w:val="00CD334A"/>
    <w:rsid w:val="00CE0196"/>
    <w:rsid w:val="00CF0704"/>
    <w:rsid w:val="00D23111"/>
    <w:rsid w:val="00D445A4"/>
    <w:rsid w:val="00D44E9D"/>
    <w:rsid w:val="00D55DED"/>
    <w:rsid w:val="00D72EF9"/>
    <w:rsid w:val="00D847B0"/>
    <w:rsid w:val="00D91A37"/>
    <w:rsid w:val="00D96715"/>
    <w:rsid w:val="00DA126F"/>
    <w:rsid w:val="00DB1735"/>
    <w:rsid w:val="00DB21EC"/>
    <w:rsid w:val="00DB2CB4"/>
    <w:rsid w:val="00DB2CCC"/>
    <w:rsid w:val="00DB3DD3"/>
    <w:rsid w:val="00DD07B5"/>
    <w:rsid w:val="00DD49EF"/>
    <w:rsid w:val="00DF5982"/>
    <w:rsid w:val="00E03C82"/>
    <w:rsid w:val="00E35741"/>
    <w:rsid w:val="00E4386D"/>
    <w:rsid w:val="00E475B6"/>
    <w:rsid w:val="00E5135F"/>
    <w:rsid w:val="00E64F85"/>
    <w:rsid w:val="00EB7058"/>
    <w:rsid w:val="00EB79A4"/>
    <w:rsid w:val="00EC3AAE"/>
    <w:rsid w:val="00EC40F4"/>
    <w:rsid w:val="00ED6FD3"/>
    <w:rsid w:val="00EF173E"/>
    <w:rsid w:val="00EF5F68"/>
    <w:rsid w:val="00F17B00"/>
    <w:rsid w:val="00F5121D"/>
    <w:rsid w:val="00F7456B"/>
    <w:rsid w:val="00F777C2"/>
    <w:rsid w:val="00FA580C"/>
    <w:rsid w:val="00FC3816"/>
    <w:rsid w:val="00FC651F"/>
    <w:rsid w:val="00FD1DF8"/>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2"/>
    </o:shapelayout>
  </w:shapeDefaults>
  <w:decimalSymbol w:val=","/>
  <w:listSeparator w:val=";"/>
  <w14:docId w14:val="676837A2"/>
  <w15:docId w15:val="{B4431FA1-ED6B-467D-B152-B4AEC6F4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notaalpie">
    <w:name w:val="footnote reference"/>
    <w:basedOn w:val="Fuentedeprrafopredeter"/>
    <w:uiPriority w:val="99"/>
    <w:semiHidden/>
    <w:unhideWhenUsed/>
    <w:rsid w:val="009E084D"/>
    <w:rPr>
      <w:vertAlign w:val="superscript"/>
    </w:rPr>
  </w:style>
  <w:style w:type="table" w:customStyle="1" w:styleId="Tablaconcuadrcula1">
    <w:name w:val="Tabla con cuadrícula1"/>
    <w:basedOn w:val="Tablanormal"/>
    <w:next w:val="Tablaconcuadrcula"/>
    <w:uiPriority w:val="59"/>
    <w:rsid w:val="00151290"/>
    <w:pPr>
      <w:spacing w:after="0" w:line="240" w:lineRule="auto"/>
    </w:pPr>
    <w:rPr>
      <w:rFonts w:asciiTheme="minorHAnsi" w:eastAsiaTheme="minorEastAsia" w:hAnsiTheme="minorHAnsi"/>
      <w:sz w:val="22"/>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aclara">
    <w:name w:val="Light List"/>
    <w:basedOn w:val="Tablanormal"/>
    <w:uiPriority w:val="61"/>
    <w:rsid w:val="0019362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Mencinsinresolver">
    <w:name w:val="Unresolved Mention"/>
    <w:basedOn w:val="Fuentedeprrafopredeter"/>
    <w:uiPriority w:val="99"/>
    <w:semiHidden/>
    <w:unhideWhenUsed/>
    <w:rsid w:val="00FA5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9AA09-C145-4EF3-86A6-1F9AA1E9D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634</Words>
  <Characters>3488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javier.amoros</dc:creator>
  <cp:lastModifiedBy>ANA MARIA RUIZ MARTINEZ</cp:lastModifiedBy>
  <cp:revision>5</cp:revision>
  <cp:lastPrinted>2015-01-27T17:42:00Z</cp:lastPrinted>
  <dcterms:created xsi:type="dcterms:W3CDTF">2024-05-10T09:47:00Z</dcterms:created>
  <dcterms:modified xsi:type="dcterms:W3CDTF">2024-05-10T10:24:00Z</dcterms:modified>
</cp:coreProperties>
</file>