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73A40C1D"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456C90">
        <w:rPr>
          <w:rFonts w:ascii="Mulish" w:hAnsi="Mulish"/>
          <w:color w:val="079386"/>
        </w:rPr>
        <w:t xml:space="preserve">INGENIERÍA Y ECONOMÍA DEL TRANSPORTE SME </w:t>
      </w:r>
      <w:r w:rsidR="008B5D4F">
        <w:rPr>
          <w:rFonts w:ascii="Mulish" w:hAnsi="Mulish"/>
          <w:color w:val="079386"/>
        </w:rPr>
        <w:t>(</w:t>
      </w:r>
      <w:r w:rsidR="00456C90">
        <w:rPr>
          <w:rFonts w:ascii="Mulish" w:hAnsi="Mulish"/>
          <w:color w:val="079386"/>
        </w:rPr>
        <w:t>INECO</w:t>
      </w:r>
      <w:r w:rsidR="008B5D4F">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5BE299DD" w:rsidR="00D23111" w:rsidRPr="00696864" w:rsidRDefault="00D23111" w:rsidP="009E16B5">
      <w:pPr>
        <w:tabs>
          <w:tab w:val="left" w:pos="284"/>
        </w:tabs>
        <w:spacing w:before="120" w:after="120" w:line="312" w:lineRule="auto"/>
        <w:contextualSpacing/>
        <w:jc w:val="both"/>
        <w:rPr>
          <w:rFonts w:ascii="Mulish" w:hAnsi="Mulish" w:cstheme="minorHAnsi"/>
          <w:sz w:val="22"/>
        </w:rPr>
      </w:pPr>
      <w:r w:rsidRPr="00696864">
        <w:rPr>
          <w:rFonts w:ascii="Mulish" w:hAnsi="Mulish" w:cstheme="minorHAnsi"/>
          <w:sz w:val="22"/>
        </w:rPr>
        <w:t>En contestación a su</w:t>
      </w:r>
      <w:r w:rsidR="00C25FA5" w:rsidRPr="00696864">
        <w:rPr>
          <w:rFonts w:ascii="Mulish" w:hAnsi="Mulish" w:cstheme="minorHAnsi"/>
          <w:sz w:val="22"/>
        </w:rPr>
        <w:t xml:space="preserve"> </w:t>
      </w:r>
      <w:r w:rsidR="00C506D3" w:rsidRPr="00696864">
        <w:rPr>
          <w:rFonts w:ascii="Mulish" w:hAnsi="Mulish" w:cstheme="minorHAnsi"/>
          <w:sz w:val="22"/>
        </w:rPr>
        <w:t>escrito</w:t>
      </w:r>
      <w:r w:rsidR="00190952" w:rsidRPr="00696864">
        <w:rPr>
          <w:rFonts w:ascii="Mulish" w:hAnsi="Mulish" w:cstheme="minorHAnsi"/>
          <w:sz w:val="22"/>
        </w:rPr>
        <w:t xml:space="preserve"> </w:t>
      </w:r>
      <w:r w:rsidR="00565608" w:rsidRPr="00696864">
        <w:rPr>
          <w:rFonts w:ascii="Mulish" w:hAnsi="Mulish" w:cstheme="minorHAnsi"/>
          <w:sz w:val="22"/>
        </w:rPr>
        <w:t xml:space="preserve">de fecha </w:t>
      </w:r>
      <w:r w:rsidR="00456C90">
        <w:rPr>
          <w:rFonts w:ascii="Mulish" w:hAnsi="Mulish" w:cstheme="minorHAnsi"/>
          <w:sz w:val="22"/>
        </w:rPr>
        <w:t>6</w:t>
      </w:r>
      <w:r w:rsidRPr="00696864">
        <w:rPr>
          <w:rFonts w:ascii="Mulish" w:hAnsi="Mulish" w:cstheme="minorHAnsi"/>
          <w:sz w:val="22"/>
        </w:rPr>
        <w:t xml:space="preserve"> de </w:t>
      </w:r>
      <w:r w:rsidR="00696864" w:rsidRPr="00696864">
        <w:rPr>
          <w:rFonts w:ascii="Mulish" w:hAnsi="Mulish" w:cstheme="minorHAnsi"/>
          <w:sz w:val="22"/>
        </w:rPr>
        <w:t>mayo</w:t>
      </w:r>
      <w:r w:rsidRPr="00696864">
        <w:rPr>
          <w:rFonts w:ascii="Mulish" w:hAnsi="Mulish" w:cstheme="minorHAnsi"/>
          <w:sz w:val="22"/>
        </w:rPr>
        <w:t xml:space="preserve"> de 202</w:t>
      </w:r>
      <w:r w:rsidR="00FA580C" w:rsidRPr="00696864">
        <w:rPr>
          <w:rFonts w:ascii="Mulish" w:hAnsi="Mulish" w:cstheme="minorHAnsi"/>
          <w:sz w:val="22"/>
        </w:rPr>
        <w:t>4</w:t>
      </w:r>
      <w:r w:rsidR="00C119CE" w:rsidRPr="00696864">
        <w:rPr>
          <w:rFonts w:ascii="Mulish" w:hAnsi="Mulish" w:cstheme="minorHAnsi"/>
          <w:sz w:val="22"/>
        </w:rPr>
        <w:t>,</w:t>
      </w:r>
      <w:r w:rsidR="005B1C12" w:rsidRPr="00696864">
        <w:rPr>
          <w:rFonts w:ascii="Mulish" w:hAnsi="Mulish" w:cstheme="minorHAnsi"/>
          <w:sz w:val="22"/>
        </w:rPr>
        <w:t xml:space="preserve"> </w:t>
      </w:r>
      <w:r w:rsidRPr="00696864">
        <w:rPr>
          <w:rFonts w:ascii="Mulish" w:hAnsi="Mulish" w:cstheme="minorHAnsi"/>
          <w:sz w:val="22"/>
        </w:rPr>
        <w:t xml:space="preserve">una vez analizadas </w:t>
      </w:r>
      <w:r w:rsidR="00C119CE" w:rsidRPr="00696864">
        <w:rPr>
          <w:rFonts w:ascii="Mulish" w:hAnsi="Mulish" w:cstheme="minorHAnsi"/>
          <w:sz w:val="22"/>
        </w:rPr>
        <w:t xml:space="preserve">todas </w:t>
      </w:r>
      <w:r w:rsidRPr="00696864">
        <w:rPr>
          <w:rFonts w:ascii="Mulish" w:hAnsi="Mulish" w:cstheme="minorHAnsi"/>
          <w:sz w:val="22"/>
        </w:rPr>
        <w:t xml:space="preserve">las observaciones realizadas al borrador de informe de evaluación </w:t>
      </w:r>
      <w:r w:rsidR="00B81EE6" w:rsidRPr="00696864">
        <w:rPr>
          <w:rFonts w:ascii="Mulish" w:hAnsi="Mulish" w:cstheme="minorHAnsi"/>
          <w:sz w:val="22"/>
        </w:rPr>
        <w:t xml:space="preserve">relativo al </w:t>
      </w:r>
      <w:r w:rsidRPr="00696864">
        <w:rPr>
          <w:rFonts w:ascii="Mulish" w:hAnsi="Mulish" w:cstheme="minorHAnsi"/>
          <w:sz w:val="22"/>
        </w:rPr>
        <w:t xml:space="preserve">cumplimiento de las obligaciones de publicidad activa por parte de esa </w:t>
      </w:r>
      <w:r w:rsidR="00855ECA" w:rsidRPr="00696864">
        <w:rPr>
          <w:rFonts w:ascii="Mulish" w:hAnsi="Mulish" w:cstheme="minorHAnsi"/>
          <w:sz w:val="22"/>
        </w:rPr>
        <w:t>Institución</w:t>
      </w:r>
      <w:r w:rsidRPr="00696864">
        <w:rPr>
          <w:rFonts w:ascii="Mulish" w:hAnsi="Mulish" w:cstheme="minorHAnsi"/>
          <w:sz w:val="22"/>
        </w:rPr>
        <w:t>, este CTBG efectúa las siguientes consideraciones:</w:t>
      </w:r>
    </w:p>
    <w:p w14:paraId="73B32EE4" w14:textId="77777777" w:rsidR="00855ECA" w:rsidRPr="00696864" w:rsidRDefault="00855ECA" w:rsidP="009E16B5">
      <w:pPr>
        <w:tabs>
          <w:tab w:val="left" w:pos="284"/>
        </w:tabs>
        <w:spacing w:before="120" w:after="120" w:line="312" w:lineRule="auto"/>
        <w:contextualSpacing/>
        <w:jc w:val="both"/>
        <w:rPr>
          <w:rFonts w:ascii="Mulish" w:hAnsi="Mulish" w:cstheme="minorHAnsi"/>
          <w:sz w:val="22"/>
        </w:rPr>
      </w:pPr>
    </w:p>
    <w:p w14:paraId="049EF239" w14:textId="04B0F7CD" w:rsidR="006F5AFB" w:rsidRPr="006927D0" w:rsidRDefault="00C506D3" w:rsidP="000343B5">
      <w:pPr>
        <w:pStyle w:val="Prrafodelista"/>
        <w:numPr>
          <w:ilvl w:val="0"/>
          <w:numId w:val="17"/>
        </w:numPr>
        <w:tabs>
          <w:tab w:val="left" w:pos="284"/>
        </w:tabs>
        <w:spacing w:before="120" w:after="120" w:line="312" w:lineRule="auto"/>
        <w:jc w:val="both"/>
        <w:rPr>
          <w:rFonts w:ascii="Mulish" w:hAnsi="Mulish" w:cstheme="minorHAnsi"/>
        </w:rPr>
      </w:pPr>
      <w:r w:rsidRPr="006927D0">
        <w:rPr>
          <w:rFonts w:ascii="Mulish" w:hAnsi="Mulish" w:cstheme="minorHAnsi"/>
          <w:bCs/>
        </w:rPr>
        <w:t xml:space="preserve">Indica </w:t>
      </w:r>
      <w:r w:rsidR="00456C90" w:rsidRPr="006927D0">
        <w:rPr>
          <w:rFonts w:ascii="Mulish" w:hAnsi="Mulish" w:cstheme="minorHAnsi"/>
          <w:bCs/>
        </w:rPr>
        <w:t>INECO</w:t>
      </w:r>
      <w:r w:rsidRPr="006927D0">
        <w:rPr>
          <w:rFonts w:ascii="Mulish" w:hAnsi="Mulish" w:cstheme="minorHAnsi"/>
          <w:bCs/>
        </w:rPr>
        <w:t xml:space="preserve">, en relación con </w:t>
      </w:r>
      <w:r w:rsidR="009951FE" w:rsidRPr="006927D0">
        <w:rPr>
          <w:rFonts w:ascii="Mulish" w:hAnsi="Mulish" w:cstheme="minorHAnsi"/>
        </w:rPr>
        <w:t xml:space="preserve">la publicación de </w:t>
      </w:r>
      <w:r w:rsidR="00456C90" w:rsidRPr="006927D0">
        <w:rPr>
          <w:rFonts w:ascii="Mulish" w:hAnsi="Mulish" w:cstheme="minorHAnsi"/>
        </w:rPr>
        <w:t>los informes de auditoría y fiscalización elaborados por el Tribunal de Cuentas, que esta información se encuentra publicada en el apartado Información</w:t>
      </w:r>
      <w:r w:rsidR="00C4454D" w:rsidRPr="006927D0">
        <w:rPr>
          <w:rFonts w:ascii="Mulish" w:hAnsi="Mulish" w:cstheme="minorHAnsi"/>
        </w:rPr>
        <w:t xml:space="preserve"> Jurídica del Portal de Transparencia. Efectivamente, ya en el informe de evaluación 2023, se indicó que se había localizado en el apartado de Información Jurídica el enlace “Informe de fiscalización del Tribunal de Cuentas que afecta a Ineco”. El problema que se planteaba en el informe de evaluación</w:t>
      </w:r>
      <w:r w:rsidR="006927D0">
        <w:rPr>
          <w:rFonts w:ascii="Mulish" w:hAnsi="Mulish" w:cstheme="minorHAnsi"/>
        </w:rPr>
        <w:t xml:space="preserve"> y que continúa actualmente,</w:t>
      </w:r>
      <w:r w:rsidR="00C4454D" w:rsidRPr="006927D0">
        <w:rPr>
          <w:rFonts w:ascii="Mulish" w:hAnsi="Mulish" w:cstheme="minorHAnsi"/>
        </w:rPr>
        <w:t xml:space="preserve"> no </w:t>
      </w:r>
      <w:r w:rsidR="00AD03D1" w:rsidRPr="006927D0">
        <w:rPr>
          <w:rFonts w:ascii="Mulish" w:hAnsi="Mulish" w:cstheme="minorHAnsi"/>
        </w:rPr>
        <w:t>era</w:t>
      </w:r>
      <w:r w:rsidR="00C4454D" w:rsidRPr="006927D0">
        <w:rPr>
          <w:rFonts w:ascii="Mulish" w:hAnsi="Mulish" w:cstheme="minorHAnsi"/>
        </w:rPr>
        <w:t xml:space="preserve"> la ubicación del informe, sino el hecho de que el enlace no redirige al contenido del informe sino al buscador de informes de fiscalización del TCU, en el que es preciso realizar una nueva búsqueda para localizar la información de INECO</w:t>
      </w:r>
      <w:r w:rsidR="00AD03D1" w:rsidRPr="006927D0">
        <w:rPr>
          <w:rFonts w:ascii="Mulish" w:hAnsi="Mulish" w:cstheme="minorHAnsi"/>
        </w:rPr>
        <w:t>. Por esta razón, se recomendaba que se publicase directamente en el Portal de Transparencia de INECO esta información.</w:t>
      </w:r>
    </w:p>
    <w:p w14:paraId="1A3A72F5" w14:textId="77777777" w:rsidR="0074664A" w:rsidRPr="005B21ED" w:rsidRDefault="0074664A" w:rsidP="0074664A">
      <w:pPr>
        <w:pStyle w:val="Prrafodelista"/>
        <w:tabs>
          <w:tab w:val="left" w:pos="284"/>
        </w:tabs>
        <w:spacing w:before="120" w:after="120" w:line="312" w:lineRule="auto"/>
        <w:jc w:val="both"/>
        <w:rPr>
          <w:rFonts w:ascii="Mulish" w:hAnsi="Mulish" w:cstheme="minorHAnsi"/>
        </w:rPr>
      </w:pPr>
    </w:p>
    <w:p w14:paraId="08B8FA61" w14:textId="62297141" w:rsidR="006927D0" w:rsidRDefault="006927D0" w:rsidP="005B21ED">
      <w:pPr>
        <w:pStyle w:val="Prrafodelista"/>
        <w:numPr>
          <w:ilvl w:val="0"/>
          <w:numId w:val="17"/>
        </w:numPr>
        <w:tabs>
          <w:tab w:val="left" w:pos="284"/>
        </w:tabs>
        <w:spacing w:before="120" w:after="120" w:line="312" w:lineRule="auto"/>
        <w:jc w:val="both"/>
        <w:rPr>
          <w:rFonts w:ascii="Mulish" w:hAnsi="Mulish" w:cstheme="minorHAnsi"/>
        </w:rPr>
      </w:pPr>
      <w:r>
        <w:rPr>
          <w:rFonts w:ascii="Mulish" w:hAnsi="Mulish" w:cstheme="minorHAnsi"/>
        </w:rPr>
        <w:t xml:space="preserve">En relación con la observación relativa a la publicación del organigrama fuera del Portal de Transparencia, en primer lugar, indicar que no afecta al cálculo del Índice de Cumplimiento – de hecho, esta obligación se ha considerado totalmente cumplida – </w:t>
      </w:r>
      <w:r w:rsidR="00596571">
        <w:rPr>
          <w:rFonts w:ascii="Mulish" w:hAnsi="Mulish" w:cstheme="minorHAnsi"/>
        </w:rPr>
        <w:t>y,</w:t>
      </w:r>
      <w:r>
        <w:rPr>
          <w:rFonts w:ascii="Mulish" w:hAnsi="Mulish" w:cstheme="minorHAnsi"/>
        </w:rPr>
        <w:t xml:space="preserve"> en segundo término, se ha comprobado, que, efectivamente, este Consejo no efectuó ninguna recomendación específica en relación con la publicación del organigrama, por lo que se corrige el informe de evaluación.</w:t>
      </w:r>
    </w:p>
    <w:p w14:paraId="3B6A008E" w14:textId="77777777" w:rsidR="006927D0" w:rsidRPr="006927D0" w:rsidRDefault="006927D0" w:rsidP="006927D0">
      <w:pPr>
        <w:pStyle w:val="Prrafodelista"/>
        <w:rPr>
          <w:rFonts w:ascii="Mulish" w:hAnsi="Mulish" w:cstheme="minorHAnsi"/>
        </w:rPr>
      </w:pPr>
    </w:p>
    <w:p w14:paraId="5F4024FE" w14:textId="37FFB8B1" w:rsidR="007E199E" w:rsidRPr="007E199E" w:rsidRDefault="006927D0" w:rsidP="009252E6">
      <w:pPr>
        <w:pStyle w:val="Prrafodelista"/>
        <w:numPr>
          <w:ilvl w:val="0"/>
          <w:numId w:val="17"/>
        </w:numPr>
        <w:tabs>
          <w:tab w:val="left" w:pos="284"/>
        </w:tabs>
        <w:spacing w:before="120" w:after="120" w:line="312" w:lineRule="auto"/>
        <w:jc w:val="both"/>
        <w:rPr>
          <w:rFonts w:ascii="Mulish" w:hAnsi="Mulish" w:cstheme="minorHAnsi"/>
        </w:rPr>
      </w:pPr>
      <w:r w:rsidRPr="007E199E">
        <w:rPr>
          <w:rFonts w:ascii="Mulish" w:hAnsi="Mulish" w:cstheme="minorHAnsi"/>
        </w:rPr>
        <w:t xml:space="preserve">Por parte de INECO, se considera que ha habido un cambio de criterio desde 2023, en relación con la publicación de </w:t>
      </w:r>
      <w:r w:rsidR="007E199E" w:rsidRPr="007E199E">
        <w:rPr>
          <w:rFonts w:ascii="Mulish" w:hAnsi="Mulish" w:cstheme="minorHAnsi"/>
        </w:rPr>
        <w:t>la información sobre retribuciones percibidas por altos cargos y máximos responsables, al indicarse en el informe provisional de revisión, que esta obligación se extiende a los miembros del Comité de Dirección. Considera INECO</w:t>
      </w:r>
      <w:r w:rsidR="007E199E" w:rsidRPr="007E199E">
        <w:rPr>
          <w:rFonts w:ascii="Mulish" w:hAnsi="Mulish" w:cstheme="minorHAnsi"/>
        </w:rPr>
        <w:t xml:space="preserve"> </w:t>
      </w:r>
      <w:r w:rsidR="007E199E" w:rsidRPr="007E199E">
        <w:rPr>
          <w:rFonts w:ascii="Mulish" w:hAnsi="Mulish" w:cstheme="minorHAnsi"/>
        </w:rPr>
        <w:t>que</w:t>
      </w:r>
      <w:r w:rsidR="007E199E" w:rsidRPr="007E199E">
        <w:rPr>
          <w:rFonts w:ascii="Mulish" w:hAnsi="Mulish" w:cstheme="minorHAnsi"/>
        </w:rPr>
        <w:t xml:space="preserve"> esta publicación</w:t>
      </w:r>
      <w:r w:rsidR="007E199E" w:rsidRPr="007E199E">
        <w:rPr>
          <w:rFonts w:ascii="Mulish" w:hAnsi="Mulish" w:cstheme="minorHAnsi"/>
        </w:rPr>
        <w:t xml:space="preserve"> debe estar limitada</w:t>
      </w:r>
      <w:r w:rsidR="007E199E" w:rsidRPr="007E199E">
        <w:rPr>
          <w:rFonts w:ascii="Mulish" w:hAnsi="Mulish" w:cstheme="minorHAnsi"/>
        </w:rPr>
        <w:t xml:space="preserve"> a las retribuciones percibidas por el </w:t>
      </w:r>
      <w:proofErr w:type="gramStart"/>
      <w:r w:rsidR="007E199E" w:rsidRPr="007E199E">
        <w:rPr>
          <w:rFonts w:ascii="Mulish" w:hAnsi="Mulish" w:cstheme="minorHAnsi"/>
        </w:rPr>
        <w:t>Presidente</w:t>
      </w:r>
      <w:proofErr w:type="gramEnd"/>
      <w:r w:rsidR="007E199E" w:rsidRPr="007E199E">
        <w:rPr>
          <w:rFonts w:ascii="Mulish" w:hAnsi="Mulish" w:cstheme="minorHAnsi"/>
        </w:rPr>
        <w:t xml:space="preserve">, por ser el único Alto Cargo existente. </w:t>
      </w:r>
    </w:p>
    <w:p w14:paraId="06FE1563" w14:textId="6AEABADB" w:rsidR="007E199E" w:rsidRPr="007E199E" w:rsidRDefault="007E199E" w:rsidP="007E199E">
      <w:pPr>
        <w:pStyle w:val="Prrafodelista"/>
        <w:tabs>
          <w:tab w:val="left" w:pos="284"/>
        </w:tabs>
        <w:spacing w:before="120" w:after="120" w:line="312" w:lineRule="auto"/>
        <w:jc w:val="both"/>
        <w:rPr>
          <w:rFonts w:ascii="Mulish" w:hAnsi="Mulish" w:cstheme="minorHAnsi"/>
        </w:rPr>
      </w:pPr>
      <w:r>
        <w:rPr>
          <w:rFonts w:ascii="Mulish" w:hAnsi="Mulish" w:cstheme="minorHAnsi"/>
        </w:rPr>
        <w:lastRenderedPageBreak/>
        <w:t>D</w:t>
      </w:r>
      <w:r w:rsidRPr="007E199E">
        <w:rPr>
          <w:rFonts w:ascii="Mulish" w:hAnsi="Mulish" w:cstheme="minorHAnsi"/>
        </w:rPr>
        <w:t xml:space="preserve">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designados por Consejo de </w:t>
      </w:r>
      <w:proofErr w:type="gramStart"/>
      <w:r w:rsidRPr="007E199E">
        <w:rPr>
          <w:rFonts w:ascii="Mulish" w:hAnsi="Mulish" w:cstheme="minorHAnsi"/>
        </w:rPr>
        <w:t>Ministro</w:t>
      </w:r>
      <w:r w:rsidR="00596571">
        <w:rPr>
          <w:rFonts w:ascii="Mulish" w:hAnsi="Mulish" w:cstheme="minorHAnsi"/>
        </w:rPr>
        <w:t>s</w:t>
      </w:r>
      <w:proofErr w:type="gramEnd"/>
      <w:r w:rsidRPr="007E199E">
        <w:rPr>
          <w:rFonts w:ascii="Mulish" w:hAnsi="Mulish" w:cstheme="minorHAnsi"/>
        </w:rPr>
        <w:t xml:space="preserve"> o que hayan sido contratados mediante contratos de Alta Dirección o que encajen en los supuestos que el Real Decreto 451/2012 incluye bajo el concepto de máximo responsable o directivo.</w:t>
      </w:r>
    </w:p>
    <w:p w14:paraId="477D142B" w14:textId="77777777" w:rsidR="007E199E" w:rsidRDefault="007E199E" w:rsidP="007E199E">
      <w:pPr>
        <w:pStyle w:val="Prrafodelista"/>
        <w:tabs>
          <w:tab w:val="left" w:pos="284"/>
        </w:tabs>
        <w:spacing w:before="120" w:after="120" w:line="312" w:lineRule="auto"/>
        <w:jc w:val="both"/>
        <w:rPr>
          <w:rFonts w:ascii="Mulish" w:hAnsi="Mulish" w:cstheme="minorHAnsi"/>
        </w:rPr>
      </w:pPr>
    </w:p>
    <w:p w14:paraId="7A11171A" w14:textId="2753735A" w:rsidR="006927D0" w:rsidRDefault="007E199E" w:rsidP="007E199E">
      <w:pPr>
        <w:pStyle w:val="Prrafodelista"/>
        <w:tabs>
          <w:tab w:val="left" w:pos="284"/>
        </w:tabs>
        <w:spacing w:before="120" w:after="120" w:line="312" w:lineRule="auto"/>
        <w:jc w:val="both"/>
        <w:rPr>
          <w:rFonts w:ascii="Mulish" w:hAnsi="Mulish" w:cstheme="minorHAnsi"/>
        </w:rPr>
      </w:pPr>
      <w:r w:rsidRPr="007E199E">
        <w:rPr>
          <w:rFonts w:ascii="Mulish" w:hAnsi="Mulish" w:cstheme="minorHAnsi"/>
        </w:rPr>
        <w:t xml:space="preserve">Es decir, a juicio del CTBG el concepto de máximo responsable incluye también a aquellos puestos de trabajo que integren el equipo directivo o el Comité de Dirección de la entidad, interpretación que se fundamenta en el artículo 38.2 a) de la LTAIBG que dota al CTBG, a través de su </w:t>
      </w:r>
      <w:proofErr w:type="gramStart"/>
      <w:r w:rsidRPr="007E199E">
        <w:rPr>
          <w:rFonts w:ascii="Mulish" w:hAnsi="Mulish" w:cstheme="minorHAnsi"/>
        </w:rPr>
        <w:t>Presidente</w:t>
      </w:r>
      <w:proofErr w:type="gramEnd"/>
      <w:r w:rsidRPr="007E199E">
        <w:rPr>
          <w:rFonts w:ascii="Mulish" w:hAnsi="Mulish" w:cstheme="minorHAnsi"/>
        </w:rPr>
        <w:t>, de la capacidad de “adoptar criterios de interpretación uniforme de las obligaciones contenidas en esta Ley”.</w:t>
      </w:r>
      <w:r>
        <w:rPr>
          <w:rFonts w:ascii="Mulish" w:hAnsi="Mulish" w:cstheme="minorHAnsi"/>
        </w:rPr>
        <w:t xml:space="preserve"> </w:t>
      </w:r>
    </w:p>
    <w:p w14:paraId="7CB03255" w14:textId="77777777" w:rsidR="006927D0" w:rsidRPr="006927D0" w:rsidRDefault="006927D0" w:rsidP="006927D0">
      <w:pPr>
        <w:pStyle w:val="Prrafodelista"/>
        <w:rPr>
          <w:rFonts w:ascii="Mulish" w:hAnsi="Mulish" w:cstheme="minorHAnsi"/>
        </w:rPr>
      </w:pPr>
    </w:p>
    <w:p w14:paraId="7CA8D920" w14:textId="77777777" w:rsidR="007704A4" w:rsidRPr="00406F06"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4CDEBA87" w:rsidR="006F17B5" w:rsidRPr="005B21ED" w:rsidRDefault="006F17B5" w:rsidP="009557B1">
      <w:pPr>
        <w:autoSpaceDE w:val="0"/>
        <w:autoSpaceDN w:val="0"/>
        <w:adjustRightInd w:val="0"/>
        <w:spacing w:after="0"/>
        <w:jc w:val="right"/>
        <w:rPr>
          <w:rFonts w:ascii="Mulish" w:hAnsi="Mulish"/>
          <w:sz w:val="22"/>
        </w:rPr>
      </w:pPr>
      <w:r w:rsidRPr="005B21ED">
        <w:rPr>
          <w:rFonts w:ascii="Mulish" w:hAnsi="Mulish" w:cstheme="minorHAnsi"/>
          <w:sz w:val="22"/>
        </w:rPr>
        <w:t xml:space="preserve">Madrid, </w:t>
      </w:r>
      <w:r w:rsidR="005B21ED">
        <w:rPr>
          <w:rFonts w:ascii="Mulish" w:hAnsi="Mulish" w:cstheme="minorHAnsi"/>
          <w:sz w:val="22"/>
        </w:rPr>
        <w:t>mayo</w:t>
      </w:r>
      <w:r w:rsidRPr="005B21ED">
        <w:rPr>
          <w:rFonts w:ascii="Mulish" w:hAnsi="Mulish" w:cstheme="minorHAnsi"/>
          <w:sz w:val="22"/>
        </w:rPr>
        <w:t xml:space="preserve"> de 202</w:t>
      </w:r>
      <w:r w:rsidR="001C701F" w:rsidRPr="005B21ED">
        <w:rPr>
          <w:rFonts w:ascii="Mulish" w:hAnsi="Mulish" w:cstheme="minorHAnsi"/>
          <w:sz w:val="22"/>
        </w:rPr>
        <w:t>4</w:t>
      </w:r>
    </w:p>
    <w:sectPr w:rsidR="006F17B5" w:rsidRPr="005B21ED"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5pt;height:11.5pt" o:bullet="t">
        <v:imagedata r:id="rId1" o:title="BD14529_"/>
      </v:shape>
    </w:pict>
  </w:numPicBullet>
  <w:numPicBullet w:numPicBulletId="1">
    <w:pict>
      <v:shape id="_x0000_i1081" type="#_x0000_t75" style="width:11.5pt;height:11.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DB201012"/>
    <w:lvl w:ilvl="0" w:tplc="71DA51D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C568E2C8"/>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13E31"/>
    <w:rsid w:val="000234B9"/>
    <w:rsid w:val="00033E75"/>
    <w:rsid w:val="00034F48"/>
    <w:rsid w:val="00036A5D"/>
    <w:rsid w:val="0005249D"/>
    <w:rsid w:val="00070294"/>
    <w:rsid w:val="00070950"/>
    <w:rsid w:val="00073E04"/>
    <w:rsid w:val="00074030"/>
    <w:rsid w:val="000A7C47"/>
    <w:rsid w:val="000B3139"/>
    <w:rsid w:val="000D4422"/>
    <w:rsid w:val="000E5D1F"/>
    <w:rsid w:val="001257F9"/>
    <w:rsid w:val="0013625B"/>
    <w:rsid w:val="0014196C"/>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92806"/>
    <w:rsid w:val="002A4771"/>
    <w:rsid w:val="002A7933"/>
    <w:rsid w:val="002C000A"/>
    <w:rsid w:val="002F5D0B"/>
    <w:rsid w:val="003245B8"/>
    <w:rsid w:val="003259B9"/>
    <w:rsid w:val="00344FE7"/>
    <w:rsid w:val="00351475"/>
    <w:rsid w:val="003656B1"/>
    <w:rsid w:val="003B5DE7"/>
    <w:rsid w:val="003D2C6C"/>
    <w:rsid w:val="003D52DF"/>
    <w:rsid w:val="003F0972"/>
    <w:rsid w:val="003F38BD"/>
    <w:rsid w:val="00406F06"/>
    <w:rsid w:val="004108BB"/>
    <w:rsid w:val="004124E7"/>
    <w:rsid w:val="00431713"/>
    <w:rsid w:val="0045134F"/>
    <w:rsid w:val="00456C90"/>
    <w:rsid w:val="00466973"/>
    <w:rsid w:val="00470F02"/>
    <w:rsid w:val="0049491F"/>
    <w:rsid w:val="004B15B8"/>
    <w:rsid w:val="004D4EF1"/>
    <w:rsid w:val="00511BED"/>
    <w:rsid w:val="00525FCA"/>
    <w:rsid w:val="0055202A"/>
    <w:rsid w:val="00565608"/>
    <w:rsid w:val="00596571"/>
    <w:rsid w:val="005B1C12"/>
    <w:rsid w:val="005B21ED"/>
    <w:rsid w:val="005E2370"/>
    <w:rsid w:val="005F0570"/>
    <w:rsid w:val="005F4305"/>
    <w:rsid w:val="005F59A5"/>
    <w:rsid w:val="00614890"/>
    <w:rsid w:val="00620AB5"/>
    <w:rsid w:val="00636FF6"/>
    <w:rsid w:val="006615ED"/>
    <w:rsid w:val="006927D0"/>
    <w:rsid w:val="00696864"/>
    <w:rsid w:val="006F17B5"/>
    <w:rsid w:val="006F5890"/>
    <w:rsid w:val="006F5AFB"/>
    <w:rsid w:val="0071472F"/>
    <w:rsid w:val="007342F2"/>
    <w:rsid w:val="00745E83"/>
    <w:rsid w:val="0074664A"/>
    <w:rsid w:val="00753179"/>
    <w:rsid w:val="007704A4"/>
    <w:rsid w:val="00772C2A"/>
    <w:rsid w:val="007759D6"/>
    <w:rsid w:val="007A662D"/>
    <w:rsid w:val="007B482F"/>
    <w:rsid w:val="007C00E5"/>
    <w:rsid w:val="007C0642"/>
    <w:rsid w:val="007D24E2"/>
    <w:rsid w:val="007E199E"/>
    <w:rsid w:val="00815DA2"/>
    <w:rsid w:val="0085302F"/>
    <w:rsid w:val="00855ECA"/>
    <w:rsid w:val="0089717A"/>
    <w:rsid w:val="00897F59"/>
    <w:rsid w:val="008B5D4F"/>
    <w:rsid w:val="008B79BD"/>
    <w:rsid w:val="00901F1F"/>
    <w:rsid w:val="009029E0"/>
    <w:rsid w:val="00910EC2"/>
    <w:rsid w:val="00950524"/>
    <w:rsid w:val="009557B1"/>
    <w:rsid w:val="009951FE"/>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D03D1"/>
    <w:rsid w:val="00AE5BF4"/>
    <w:rsid w:val="00AF587E"/>
    <w:rsid w:val="00B263E1"/>
    <w:rsid w:val="00B2797F"/>
    <w:rsid w:val="00B31F84"/>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4454D"/>
    <w:rsid w:val="00C506D3"/>
    <w:rsid w:val="00C736B9"/>
    <w:rsid w:val="00C82AB2"/>
    <w:rsid w:val="00C87BC3"/>
    <w:rsid w:val="00C90859"/>
    <w:rsid w:val="00C93842"/>
    <w:rsid w:val="00CB4447"/>
    <w:rsid w:val="00CD334A"/>
    <w:rsid w:val="00CF0704"/>
    <w:rsid w:val="00D23111"/>
    <w:rsid w:val="00D445A4"/>
    <w:rsid w:val="00D44E9D"/>
    <w:rsid w:val="00D55DED"/>
    <w:rsid w:val="00D72EF9"/>
    <w:rsid w:val="00D847B0"/>
    <w:rsid w:val="00D91A37"/>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77C2"/>
    <w:rsid w:val="00FA3888"/>
    <w:rsid w:val="00FA580C"/>
    <w:rsid w:val="00FC24A0"/>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509</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2024-05-16T11:49:00Z</dcterms:created>
  <dcterms:modified xsi:type="dcterms:W3CDTF">2024-05-17T08:11:00Z</dcterms:modified>
</cp:coreProperties>
</file>