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F12E9" w14:textId="5747CAFD" w:rsidR="006F17B5" w:rsidRPr="00871373" w:rsidRDefault="006F17B5" w:rsidP="001B16D9">
      <w:pPr>
        <w:pStyle w:val="Ttulo1"/>
        <w:jc w:val="both"/>
        <w:rPr>
          <w:rFonts w:ascii="Mulish" w:hAnsi="Mulish"/>
          <w:color w:val="079386"/>
        </w:rPr>
      </w:pPr>
      <w:r w:rsidRPr="00871373">
        <w:rPr>
          <w:rFonts w:ascii="Mulish" w:hAnsi="Mulish"/>
          <w:color w:val="079386"/>
        </w:rPr>
        <w:t xml:space="preserve">INFORME RELATIVO A LAS OBSERVACIONES REMITIDAS POR </w:t>
      </w:r>
      <w:r w:rsidR="00CE0196" w:rsidRPr="00871373">
        <w:rPr>
          <w:rFonts w:ascii="Mulish" w:hAnsi="Mulish"/>
          <w:color w:val="079386"/>
        </w:rPr>
        <w:t>MERCADOS CENTRALES DE ABASTECIMIENTO DE ASTURIAS SME (MERCASTURIAS)</w:t>
      </w:r>
      <w:r w:rsidR="007704A4" w:rsidRPr="00871373">
        <w:rPr>
          <w:rFonts w:ascii="Mulish" w:hAnsi="Mulish"/>
          <w:color w:val="079386"/>
        </w:rPr>
        <w:t xml:space="preserve"> </w:t>
      </w:r>
      <w:r w:rsidRPr="00871373">
        <w:rPr>
          <w:rFonts w:ascii="Mulish" w:hAnsi="Mulish"/>
          <w:color w:val="079386"/>
        </w:rPr>
        <w:t>EN RELACIÓN CON EL INFORME DEL CTBG SOBRE CUMPLIMIENTO DE LAS OBLIGACIONES DE PUBLICIDAD ACTIVA ESTABLECIDAS POR LA LTAIBG</w:t>
      </w:r>
    </w:p>
    <w:p w14:paraId="093557A1" w14:textId="77777777" w:rsidR="006F17B5" w:rsidRPr="00871373" w:rsidRDefault="006F17B5" w:rsidP="006F17B5">
      <w:pPr>
        <w:jc w:val="center"/>
        <w:rPr>
          <w:rFonts w:ascii="Mulish" w:hAnsi="Mulish" w:cstheme="minorHAnsi"/>
          <w:szCs w:val="24"/>
        </w:rPr>
      </w:pPr>
    </w:p>
    <w:p w14:paraId="5E6F6CF0" w14:textId="4F71E5F5" w:rsidR="00D23111" w:rsidRPr="00871373" w:rsidRDefault="00D23111" w:rsidP="009E16B5">
      <w:pPr>
        <w:tabs>
          <w:tab w:val="left" w:pos="284"/>
        </w:tabs>
        <w:spacing w:before="120" w:after="120" w:line="312" w:lineRule="auto"/>
        <w:contextualSpacing/>
        <w:jc w:val="both"/>
        <w:rPr>
          <w:rFonts w:ascii="Mulish" w:hAnsi="Mulish" w:cstheme="minorHAnsi"/>
          <w:szCs w:val="24"/>
        </w:rPr>
      </w:pPr>
      <w:r w:rsidRPr="00871373">
        <w:rPr>
          <w:rFonts w:ascii="Mulish" w:hAnsi="Mulish" w:cstheme="minorHAnsi"/>
          <w:szCs w:val="24"/>
        </w:rPr>
        <w:t>En contestación a su</w:t>
      </w:r>
      <w:r w:rsidR="00C25FA5" w:rsidRPr="00871373">
        <w:rPr>
          <w:rFonts w:ascii="Mulish" w:hAnsi="Mulish" w:cstheme="minorHAnsi"/>
          <w:szCs w:val="24"/>
        </w:rPr>
        <w:t xml:space="preserve"> </w:t>
      </w:r>
      <w:r w:rsidR="00C506D3" w:rsidRPr="00871373">
        <w:rPr>
          <w:rFonts w:ascii="Mulish" w:hAnsi="Mulish" w:cstheme="minorHAnsi"/>
          <w:szCs w:val="24"/>
        </w:rPr>
        <w:t>escrito</w:t>
      </w:r>
      <w:r w:rsidR="00190952" w:rsidRPr="00871373">
        <w:rPr>
          <w:rFonts w:ascii="Mulish" w:hAnsi="Mulish" w:cstheme="minorHAnsi"/>
          <w:szCs w:val="24"/>
        </w:rPr>
        <w:t xml:space="preserve"> </w:t>
      </w:r>
      <w:r w:rsidR="00565608" w:rsidRPr="00871373">
        <w:rPr>
          <w:rFonts w:ascii="Mulish" w:hAnsi="Mulish" w:cstheme="minorHAnsi"/>
          <w:szCs w:val="24"/>
        </w:rPr>
        <w:t xml:space="preserve">de fecha </w:t>
      </w:r>
      <w:r w:rsidR="00406F06" w:rsidRPr="00871373">
        <w:rPr>
          <w:rFonts w:ascii="Mulish" w:hAnsi="Mulish" w:cstheme="minorHAnsi"/>
          <w:szCs w:val="24"/>
        </w:rPr>
        <w:t>2</w:t>
      </w:r>
      <w:r w:rsidR="003D10D1" w:rsidRPr="00871373">
        <w:rPr>
          <w:rFonts w:ascii="Mulish" w:hAnsi="Mulish" w:cstheme="minorHAnsi"/>
          <w:szCs w:val="24"/>
        </w:rPr>
        <w:t>6</w:t>
      </w:r>
      <w:r w:rsidRPr="00871373">
        <w:rPr>
          <w:rFonts w:ascii="Mulish" w:hAnsi="Mulish" w:cstheme="minorHAnsi"/>
          <w:szCs w:val="24"/>
        </w:rPr>
        <w:t xml:space="preserve"> de </w:t>
      </w:r>
      <w:r w:rsidR="00FA580C" w:rsidRPr="00871373">
        <w:rPr>
          <w:rFonts w:ascii="Mulish" w:hAnsi="Mulish" w:cstheme="minorHAnsi"/>
          <w:szCs w:val="24"/>
        </w:rPr>
        <w:t>abril</w:t>
      </w:r>
      <w:r w:rsidRPr="00871373">
        <w:rPr>
          <w:rFonts w:ascii="Mulish" w:hAnsi="Mulish" w:cstheme="minorHAnsi"/>
          <w:szCs w:val="24"/>
        </w:rPr>
        <w:t xml:space="preserve"> de 202</w:t>
      </w:r>
      <w:r w:rsidR="00FA580C" w:rsidRPr="00871373">
        <w:rPr>
          <w:rFonts w:ascii="Mulish" w:hAnsi="Mulish" w:cstheme="minorHAnsi"/>
          <w:szCs w:val="24"/>
        </w:rPr>
        <w:t>4</w:t>
      </w:r>
      <w:r w:rsidR="00C119CE" w:rsidRPr="00871373">
        <w:rPr>
          <w:rFonts w:ascii="Mulish" w:hAnsi="Mulish" w:cstheme="minorHAnsi"/>
          <w:szCs w:val="24"/>
        </w:rPr>
        <w:t>,</w:t>
      </w:r>
      <w:r w:rsidR="005B1C12" w:rsidRPr="00871373">
        <w:rPr>
          <w:rFonts w:ascii="Mulish" w:hAnsi="Mulish" w:cstheme="minorHAnsi"/>
          <w:szCs w:val="24"/>
        </w:rPr>
        <w:t xml:space="preserve"> </w:t>
      </w:r>
      <w:r w:rsidRPr="00871373">
        <w:rPr>
          <w:rFonts w:ascii="Mulish" w:hAnsi="Mulish" w:cstheme="minorHAnsi"/>
          <w:szCs w:val="24"/>
        </w:rPr>
        <w:t xml:space="preserve">una vez analizadas </w:t>
      </w:r>
      <w:r w:rsidR="00C119CE" w:rsidRPr="00871373">
        <w:rPr>
          <w:rFonts w:ascii="Mulish" w:hAnsi="Mulish" w:cstheme="minorHAnsi"/>
          <w:szCs w:val="24"/>
        </w:rPr>
        <w:t xml:space="preserve">todas </w:t>
      </w:r>
      <w:r w:rsidRPr="00871373">
        <w:rPr>
          <w:rFonts w:ascii="Mulish" w:hAnsi="Mulish" w:cstheme="minorHAnsi"/>
          <w:szCs w:val="24"/>
        </w:rPr>
        <w:t xml:space="preserve">las observaciones realizadas al borrador de informe de evaluación </w:t>
      </w:r>
      <w:r w:rsidR="00B81EE6" w:rsidRPr="00871373">
        <w:rPr>
          <w:rFonts w:ascii="Mulish" w:hAnsi="Mulish" w:cstheme="minorHAnsi"/>
          <w:szCs w:val="24"/>
        </w:rPr>
        <w:t xml:space="preserve">relativo al </w:t>
      </w:r>
      <w:r w:rsidRPr="00871373">
        <w:rPr>
          <w:rFonts w:ascii="Mulish" w:hAnsi="Mulish" w:cstheme="minorHAnsi"/>
          <w:szCs w:val="24"/>
        </w:rPr>
        <w:t xml:space="preserve">cumplimiento de las obligaciones de publicidad activa por parte de esa </w:t>
      </w:r>
      <w:r w:rsidR="00855ECA" w:rsidRPr="00871373">
        <w:rPr>
          <w:rFonts w:ascii="Mulish" w:hAnsi="Mulish" w:cstheme="minorHAnsi"/>
          <w:szCs w:val="24"/>
        </w:rPr>
        <w:t>Institución</w:t>
      </w:r>
      <w:r w:rsidRPr="00871373">
        <w:rPr>
          <w:rFonts w:ascii="Mulish" w:hAnsi="Mulish" w:cstheme="minorHAnsi"/>
          <w:szCs w:val="24"/>
        </w:rPr>
        <w:t>, este CTBG efectúa las siguientes consideraciones:</w:t>
      </w:r>
    </w:p>
    <w:p w14:paraId="73B32EE4" w14:textId="77777777" w:rsidR="00855ECA" w:rsidRPr="00871373" w:rsidRDefault="00855ECA" w:rsidP="009E16B5">
      <w:pPr>
        <w:tabs>
          <w:tab w:val="left" w:pos="284"/>
        </w:tabs>
        <w:spacing w:before="120" w:after="120" w:line="312" w:lineRule="auto"/>
        <w:contextualSpacing/>
        <w:jc w:val="both"/>
        <w:rPr>
          <w:rFonts w:ascii="Mulish" w:hAnsi="Mulish" w:cstheme="minorHAnsi"/>
          <w:szCs w:val="24"/>
        </w:rPr>
      </w:pPr>
    </w:p>
    <w:p w14:paraId="1A7242C0" w14:textId="00DE0BE6" w:rsidR="00406F06" w:rsidRPr="00871373" w:rsidRDefault="00406F06" w:rsidP="00D847B0">
      <w:pPr>
        <w:pStyle w:val="Prrafodelista"/>
        <w:numPr>
          <w:ilvl w:val="0"/>
          <w:numId w:val="11"/>
        </w:numPr>
        <w:tabs>
          <w:tab w:val="left" w:pos="284"/>
        </w:tabs>
        <w:spacing w:before="120" w:after="120" w:line="312" w:lineRule="auto"/>
        <w:jc w:val="both"/>
        <w:rPr>
          <w:rFonts w:ascii="Mulish" w:hAnsi="Mulish" w:cstheme="minorHAnsi"/>
          <w:b/>
          <w:szCs w:val="24"/>
        </w:rPr>
      </w:pPr>
      <w:r w:rsidRPr="00871373">
        <w:rPr>
          <w:rFonts w:ascii="Mulish" w:hAnsi="Mulish" w:cstheme="minorHAnsi"/>
          <w:b/>
          <w:szCs w:val="24"/>
        </w:rPr>
        <w:t>Se aceptan las siguientes observaciones:</w:t>
      </w:r>
    </w:p>
    <w:p w14:paraId="617B2A2E" w14:textId="5EEE5B20" w:rsidR="00406F06" w:rsidRPr="00871373" w:rsidRDefault="00406F06" w:rsidP="00406F06">
      <w:pPr>
        <w:pStyle w:val="Prrafodelista"/>
        <w:numPr>
          <w:ilvl w:val="1"/>
          <w:numId w:val="11"/>
        </w:numPr>
        <w:tabs>
          <w:tab w:val="left" w:pos="284"/>
        </w:tabs>
        <w:spacing w:before="120" w:after="120" w:line="312" w:lineRule="auto"/>
        <w:jc w:val="both"/>
        <w:rPr>
          <w:rFonts w:ascii="Mulish" w:hAnsi="Mulish" w:cstheme="minorHAnsi"/>
          <w:bCs/>
          <w:szCs w:val="24"/>
        </w:rPr>
      </w:pPr>
      <w:r w:rsidRPr="00871373">
        <w:rPr>
          <w:rFonts w:ascii="Mulish" w:hAnsi="Mulish" w:cstheme="minorHAnsi"/>
          <w:bCs/>
          <w:szCs w:val="24"/>
        </w:rPr>
        <w:t xml:space="preserve">La observación relativa a la localización de la información </w:t>
      </w:r>
      <w:r w:rsidR="003D10D1" w:rsidRPr="00871373">
        <w:rPr>
          <w:rFonts w:ascii="Mulish" w:hAnsi="Mulish" w:cstheme="minorHAnsi"/>
          <w:bCs/>
          <w:szCs w:val="24"/>
        </w:rPr>
        <w:t>sobre modificaciones de contratos, que efectivamente se publica en la ficha resumen de cada licitación que no había sido localizada durante la evaluación.</w:t>
      </w:r>
    </w:p>
    <w:p w14:paraId="7C3F9405" w14:textId="2C18CC98" w:rsidR="00406F06" w:rsidRPr="00871373" w:rsidRDefault="00406F06" w:rsidP="00406F06">
      <w:pPr>
        <w:pStyle w:val="Prrafodelista"/>
        <w:numPr>
          <w:ilvl w:val="1"/>
          <w:numId w:val="11"/>
        </w:numPr>
        <w:tabs>
          <w:tab w:val="left" w:pos="284"/>
        </w:tabs>
        <w:spacing w:before="120" w:after="120" w:line="312" w:lineRule="auto"/>
        <w:jc w:val="both"/>
        <w:rPr>
          <w:rFonts w:ascii="Mulish" w:hAnsi="Mulish" w:cstheme="minorHAnsi"/>
          <w:bCs/>
          <w:szCs w:val="24"/>
        </w:rPr>
      </w:pPr>
      <w:r w:rsidRPr="00871373">
        <w:rPr>
          <w:rFonts w:ascii="Mulish" w:hAnsi="Mulish" w:cstheme="minorHAnsi"/>
          <w:bCs/>
          <w:szCs w:val="24"/>
        </w:rPr>
        <w:t xml:space="preserve">La observación relativa a la publicación de información sobre </w:t>
      </w:r>
      <w:r w:rsidR="003D10D1" w:rsidRPr="00871373">
        <w:rPr>
          <w:rFonts w:ascii="Mulish" w:hAnsi="Mulish" w:cstheme="minorHAnsi"/>
          <w:bCs/>
          <w:szCs w:val="24"/>
        </w:rPr>
        <w:t>los desistimientos y renuncias a contratos adjudicados, también localizable en las fichas resumen.</w:t>
      </w:r>
    </w:p>
    <w:p w14:paraId="6E0359F5" w14:textId="77777777" w:rsidR="00897F59" w:rsidRPr="00871373" w:rsidRDefault="00897F59" w:rsidP="00897F59">
      <w:pPr>
        <w:pStyle w:val="Prrafodelista"/>
        <w:tabs>
          <w:tab w:val="left" w:pos="284"/>
        </w:tabs>
        <w:spacing w:before="120" w:after="120" w:line="312" w:lineRule="auto"/>
        <w:ind w:left="1440"/>
        <w:jc w:val="both"/>
        <w:rPr>
          <w:rFonts w:ascii="Mulish" w:hAnsi="Mulish" w:cstheme="minorHAnsi"/>
          <w:bCs/>
          <w:szCs w:val="24"/>
        </w:rPr>
      </w:pPr>
    </w:p>
    <w:p w14:paraId="1F100D8F" w14:textId="2FA8709A" w:rsidR="003D10D1" w:rsidRPr="00871373" w:rsidRDefault="00C506D3" w:rsidP="00897F59">
      <w:pPr>
        <w:pStyle w:val="Prrafodelista"/>
        <w:numPr>
          <w:ilvl w:val="0"/>
          <w:numId w:val="11"/>
        </w:numPr>
        <w:tabs>
          <w:tab w:val="left" w:pos="284"/>
        </w:tabs>
        <w:spacing w:before="120" w:after="120" w:line="312" w:lineRule="auto"/>
        <w:jc w:val="both"/>
        <w:rPr>
          <w:rFonts w:ascii="Mulish" w:eastAsia="Calibri" w:hAnsi="Mulish" w:cs="Calibri"/>
          <w:szCs w:val="24"/>
        </w:rPr>
      </w:pPr>
      <w:bookmarkStart w:id="0" w:name="_Hlk165887391"/>
      <w:r w:rsidRPr="00871373">
        <w:rPr>
          <w:rFonts w:ascii="Mulish" w:hAnsi="Mulish" w:cstheme="minorHAnsi"/>
          <w:bCs/>
          <w:szCs w:val="24"/>
        </w:rPr>
        <w:t xml:space="preserve">Indica </w:t>
      </w:r>
      <w:r w:rsidR="003D10D1" w:rsidRPr="00871373">
        <w:rPr>
          <w:rFonts w:ascii="Mulish" w:hAnsi="Mulish" w:cstheme="minorHAnsi"/>
          <w:bCs/>
          <w:szCs w:val="24"/>
        </w:rPr>
        <w:t>MERCASTURIAS</w:t>
      </w:r>
      <w:r w:rsidRPr="00871373">
        <w:rPr>
          <w:rFonts w:ascii="Mulish" w:hAnsi="Mulish" w:cstheme="minorHAnsi"/>
          <w:bCs/>
          <w:szCs w:val="24"/>
        </w:rPr>
        <w:t>, en relación con la</w:t>
      </w:r>
      <w:r w:rsidR="009951FE" w:rsidRPr="00871373">
        <w:rPr>
          <w:rFonts w:ascii="Mulish" w:hAnsi="Mulish" w:cstheme="minorHAnsi"/>
          <w:bCs/>
          <w:szCs w:val="24"/>
        </w:rPr>
        <w:t>s</w:t>
      </w:r>
      <w:r w:rsidRPr="00871373">
        <w:rPr>
          <w:rFonts w:ascii="Mulish" w:hAnsi="Mulish" w:cstheme="minorHAnsi"/>
          <w:bCs/>
          <w:szCs w:val="24"/>
        </w:rPr>
        <w:t xml:space="preserve"> obligaci</w:t>
      </w:r>
      <w:r w:rsidR="009951FE" w:rsidRPr="00871373">
        <w:rPr>
          <w:rFonts w:ascii="Mulish" w:hAnsi="Mulish" w:cstheme="minorHAnsi"/>
          <w:bCs/>
          <w:szCs w:val="24"/>
        </w:rPr>
        <w:t>ones</w:t>
      </w:r>
      <w:r w:rsidRPr="00871373">
        <w:rPr>
          <w:rFonts w:ascii="Mulish" w:hAnsi="Mulish" w:cstheme="minorHAnsi"/>
          <w:bCs/>
          <w:szCs w:val="24"/>
        </w:rPr>
        <w:t xml:space="preserve"> “</w:t>
      </w:r>
      <w:r w:rsidR="00192060" w:rsidRPr="00871373">
        <w:rPr>
          <w:rFonts w:ascii="Mulish" w:hAnsi="Mulish" w:cstheme="minorHAnsi"/>
          <w:bCs/>
          <w:szCs w:val="24"/>
        </w:rPr>
        <w:t xml:space="preserve">Información estadística sobre la distribución de los contratos </w:t>
      </w:r>
      <w:r w:rsidR="003D10D1" w:rsidRPr="00871373">
        <w:rPr>
          <w:rFonts w:ascii="Mulish" w:hAnsi="Mulish" w:cstheme="minorHAnsi"/>
          <w:bCs/>
          <w:szCs w:val="24"/>
        </w:rPr>
        <w:t>adjudicados a PYMES</w:t>
      </w:r>
      <w:r w:rsidR="00316F9A" w:rsidRPr="00871373">
        <w:rPr>
          <w:rFonts w:ascii="Mulish" w:hAnsi="Mulish" w:cstheme="minorHAnsi"/>
          <w:bCs/>
          <w:szCs w:val="24"/>
        </w:rPr>
        <w:t>”</w:t>
      </w:r>
      <w:r w:rsidR="003D10D1" w:rsidRPr="00871373">
        <w:rPr>
          <w:rFonts w:ascii="Mulish" w:hAnsi="Mulish" w:cstheme="minorHAnsi"/>
          <w:bCs/>
          <w:szCs w:val="24"/>
        </w:rPr>
        <w:t xml:space="preserve"> </w:t>
      </w:r>
      <w:r w:rsidRPr="00871373">
        <w:rPr>
          <w:rFonts w:ascii="Mulish" w:hAnsi="Mulish" w:cstheme="minorHAnsi"/>
          <w:bCs/>
          <w:szCs w:val="24"/>
        </w:rPr>
        <w:t>que</w:t>
      </w:r>
      <w:r w:rsidR="00897F59" w:rsidRPr="00871373">
        <w:rPr>
          <w:rFonts w:ascii="Mulish" w:hAnsi="Mulish" w:cstheme="minorHAnsi"/>
          <w:bCs/>
          <w:szCs w:val="24"/>
        </w:rPr>
        <w:t xml:space="preserve"> </w:t>
      </w:r>
      <w:r w:rsidR="003D10D1" w:rsidRPr="00871373">
        <w:rPr>
          <w:rFonts w:ascii="Mulish" w:hAnsi="Mulish" w:cstheme="minorHAnsi"/>
          <w:bCs/>
          <w:szCs w:val="24"/>
        </w:rPr>
        <w:t xml:space="preserve">la desagregación </w:t>
      </w:r>
      <w:r w:rsidR="00C80C7C" w:rsidRPr="00871373">
        <w:rPr>
          <w:rFonts w:ascii="Mulish" w:hAnsi="Mulish" w:cstheme="minorHAnsi"/>
          <w:bCs/>
          <w:szCs w:val="24"/>
        </w:rPr>
        <w:t>de la información estadística de contratación según tamaño de empresa no está contemplada en la LTAIBG. La Ley 14/2022 de modificación de la Ley 19/2013, de 9 de diciembre, de transparencia, acceso a la información pública y buen gobierno, con el fin de regular las estadísticas de las microempresas, pequeñas y medianas empresas (PYME) en la contratación pública, incluye una nueva obligación en materia de contratación que entró en vigor a partir de julio de 2023. El artículo 8.1.a)</w:t>
      </w:r>
      <w:r w:rsidR="00316F9A" w:rsidRPr="00871373">
        <w:rPr>
          <w:rFonts w:ascii="Mulish" w:hAnsi="Mulish" w:cstheme="minorHAnsi"/>
          <w:bCs/>
          <w:szCs w:val="24"/>
        </w:rPr>
        <w:t xml:space="preserve"> de la LTAIBG</w:t>
      </w:r>
      <w:r w:rsidR="00C80C7C" w:rsidRPr="00871373">
        <w:rPr>
          <w:rFonts w:ascii="Mulish" w:hAnsi="Mulish" w:cstheme="minorHAnsi"/>
          <w:bCs/>
          <w:szCs w:val="24"/>
        </w:rPr>
        <w:t xml:space="preserve"> incorpora un nuevo párrafo que incluye esta nueva obligación: “</w:t>
      </w:r>
      <w:r w:rsidR="00C80C7C" w:rsidRPr="00871373">
        <w:rPr>
          <w:rFonts w:ascii="Mulish" w:hAnsi="Mulish" w:cstheme="minorHAnsi"/>
          <w:bCs/>
          <w:i/>
          <w:iCs/>
          <w:szCs w:val="24"/>
        </w:rPr>
        <w:t xml:space="preserve">Además, se publicará 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 La publicación de esta información se realizará semestralmente, a partir de un año de la publicación de la norma”. </w:t>
      </w:r>
      <w:r w:rsidR="00C80C7C" w:rsidRPr="00871373">
        <w:rPr>
          <w:rFonts w:ascii="Mulish" w:hAnsi="Mulish" w:cstheme="minorHAnsi"/>
          <w:bCs/>
          <w:szCs w:val="24"/>
        </w:rPr>
        <w:t xml:space="preserve">Por lo tanto, dado que, como se ha indicado, la modificación entró en vigor en julio de 2023, </w:t>
      </w:r>
      <w:r w:rsidR="00C80C7C" w:rsidRPr="00871373">
        <w:rPr>
          <w:rFonts w:ascii="Mulish" w:hAnsi="Mulish" w:cstheme="minorHAnsi"/>
          <w:bCs/>
          <w:szCs w:val="24"/>
        </w:rPr>
        <w:lastRenderedPageBreak/>
        <w:t xml:space="preserve">los datos correspondientes al periodo julio-diciembre de 2023 deberían estar publicados en el mes de enero de 2024. De la misma </w:t>
      </w:r>
      <w:r w:rsidR="00A74B96" w:rsidRPr="00871373">
        <w:rPr>
          <w:rFonts w:ascii="Mulish" w:hAnsi="Mulish" w:cstheme="minorHAnsi"/>
          <w:bCs/>
          <w:szCs w:val="24"/>
        </w:rPr>
        <w:t>manera,</w:t>
      </w:r>
      <w:r w:rsidR="00C80C7C" w:rsidRPr="00871373">
        <w:rPr>
          <w:rFonts w:ascii="Mulish" w:hAnsi="Mulish" w:cstheme="minorHAnsi"/>
          <w:bCs/>
          <w:szCs w:val="24"/>
        </w:rPr>
        <w:t xml:space="preserve"> en julio de 2024 deberían estar publicados los datos correspondientes al periodo enero-junio de 2024.</w:t>
      </w:r>
      <w:r w:rsidR="00316F9A" w:rsidRPr="00871373">
        <w:rPr>
          <w:rFonts w:ascii="Mulish" w:hAnsi="Mulish" w:cstheme="minorHAnsi"/>
          <w:bCs/>
          <w:szCs w:val="24"/>
        </w:rPr>
        <w:t xml:space="preserve"> Para facilitar la comprensión de la manera en que ha de publicarse esta información, se incluye un enlace a su publicación en el Portal de Transparencia del CTBG: </w:t>
      </w:r>
      <w:hyperlink r:id="rId8" w:history="1">
        <w:r w:rsidR="00316F9A" w:rsidRPr="00871373">
          <w:rPr>
            <w:rStyle w:val="Hipervnculo"/>
            <w:rFonts w:ascii="Mulish" w:hAnsi="Mulish" w:cstheme="minorHAnsi"/>
            <w:bCs/>
            <w:szCs w:val="24"/>
          </w:rPr>
          <w:t>https://www.consejodetransparencia.es/ct_Home/transparencia/portal-transparencia/informacion-econ/contratos.html</w:t>
        </w:r>
      </w:hyperlink>
      <w:r w:rsidR="00316F9A" w:rsidRPr="00871373">
        <w:rPr>
          <w:rFonts w:ascii="Mulish" w:hAnsi="Mulish" w:cstheme="minorHAnsi"/>
          <w:bCs/>
          <w:szCs w:val="24"/>
        </w:rPr>
        <w:t>. La información está contenida en el fichero datos estadísticos de los contratos 2023.</w:t>
      </w:r>
    </w:p>
    <w:bookmarkEnd w:id="0"/>
    <w:p w14:paraId="046B01B8" w14:textId="77777777" w:rsidR="009B1497" w:rsidRPr="00871373" w:rsidRDefault="009B1497" w:rsidP="009B1497">
      <w:pPr>
        <w:pStyle w:val="Prrafodelista"/>
        <w:tabs>
          <w:tab w:val="left" w:pos="284"/>
        </w:tabs>
        <w:spacing w:before="120" w:after="120" w:line="312" w:lineRule="auto"/>
        <w:jc w:val="both"/>
        <w:rPr>
          <w:rFonts w:ascii="Mulish" w:eastAsia="Calibri" w:hAnsi="Mulish" w:cs="Calibri"/>
          <w:szCs w:val="24"/>
        </w:rPr>
      </w:pPr>
    </w:p>
    <w:p w14:paraId="292A9195" w14:textId="5A7BCB4D" w:rsidR="00C80C7C" w:rsidRPr="00871373" w:rsidRDefault="00C80C7C" w:rsidP="00EA3C53">
      <w:pPr>
        <w:pStyle w:val="Prrafodelista"/>
        <w:numPr>
          <w:ilvl w:val="0"/>
          <w:numId w:val="11"/>
        </w:numPr>
        <w:tabs>
          <w:tab w:val="left" w:pos="284"/>
        </w:tabs>
        <w:spacing w:before="120" w:after="120" w:line="312" w:lineRule="auto"/>
        <w:jc w:val="both"/>
        <w:rPr>
          <w:rFonts w:ascii="Mulish" w:eastAsia="Calibri" w:hAnsi="Mulish" w:cs="Calibri"/>
          <w:szCs w:val="24"/>
        </w:rPr>
      </w:pPr>
      <w:r w:rsidRPr="00871373">
        <w:rPr>
          <w:rFonts w:ascii="Mulish" w:hAnsi="Mulish" w:cstheme="minorHAnsi"/>
          <w:bCs/>
          <w:szCs w:val="24"/>
        </w:rPr>
        <w:t xml:space="preserve">En relación con la obligación presupuestos, indica MERCASTURIAS, que dado que la sociedad no es una administración pública no sería aplicable esta obligación. </w:t>
      </w:r>
      <w:r w:rsidR="00915434" w:rsidRPr="00871373">
        <w:rPr>
          <w:rFonts w:ascii="Mulish" w:hAnsi="Mulish" w:cstheme="minorHAnsi"/>
          <w:bCs/>
          <w:szCs w:val="24"/>
        </w:rPr>
        <w:t xml:space="preserve">Efectivamente, las sociedades mercantiles estatales no tienen la consideración de administraciones públicas a efectos de cumplimiento de la LTAIBG. Por esta razón se consideran no aplicables las obligaciones del grupo planificación (artículo 6.2), toda la información de relevancia jurídica (artículo7) y, en relación con las obligaciones del artículo 8, la ejecución presupuestaria (dado que los presupuestos son de carácter estimativo), </w:t>
      </w:r>
      <w:r w:rsidR="00A74B96" w:rsidRPr="00871373">
        <w:rPr>
          <w:rFonts w:ascii="Mulish" w:hAnsi="Mulish" w:cstheme="minorHAnsi"/>
          <w:bCs/>
          <w:szCs w:val="24"/>
        </w:rPr>
        <w:t>las encomiendas de gestión</w:t>
      </w:r>
      <w:r w:rsidR="00316F9A" w:rsidRPr="00871373">
        <w:rPr>
          <w:rFonts w:ascii="Mulish" w:hAnsi="Mulish" w:cstheme="minorHAnsi"/>
          <w:bCs/>
          <w:szCs w:val="24"/>
        </w:rPr>
        <w:t xml:space="preserve"> y subcontrataciones derivadas de estas</w:t>
      </w:r>
      <w:r w:rsidR="00A74B96" w:rsidRPr="00871373">
        <w:rPr>
          <w:rFonts w:ascii="Mulish" w:hAnsi="Mulish" w:cstheme="minorHAnsi"/>
          <w:bCs/>
          <w:szCs w:val="24"/>
        </w:rPr>
        <w:t xml:space="preserve"> ( a criterio de este Consejo esta obligación no es aplicable, dado que muchas de las sociedades mercantiles estatales tienen la consideración de medio propio), las relativas al cumplimiento de los objetivos e sostenibilidad financiera y de estabilidad presupuestaria, las correspondientes a las declaraciones de bienes y actividades de representantes locales,  la información estadística sobre cumplimiento y calidad de los servicios (dado que, a criterio de este Consejo, las sociedades mercantiles no prestan servicios públicos o administrativos) y la información patrimonial que es obligatoria exclusivamente para las organizaciones consideradas administraciones públicas a efectos de cumplimiento de la Ley. </w:t>
      </w:r>
    </w:p>
    <w:p w14:paraId="7F54EE67" w14:textId="127FD60B" w:rsidR="00A74B96" w:rsidRPr="00871373" w:rsidRDefault="00A74B96" w:rsidP="00A74B96">
      <w:pPr>
        <w:pStyle w:val="Prrafodelista"/>
        <w:tabs>
          <w:tab w:val="left" w:pos="284"/>
        </w:tabs>
        <w:spacing w:before="120" w:after="120" w:line="312" w:lineRule="auto"/>
        <w:jc w:val="both"/>
        <w:rPr>
          <w:rFonts w:ascii="Mulish" w:hAnsi="Mulish" w:cstheme="minorHAnsi"/>
          <w:bCs/>
          <w:szCs w:val="24"/>
        </w:rPr>
      </w:pPr>
      <w:r w:rsidRPr="00871373">
        <w:rPr>
          <w:rFonts w:ascii="Mulish" w:hAnsi="Mulish" w:cstheme="minorHAnsi"/>
          <w:bCs/>
          <w:szCs w:val="24"/>
        </w:rPr>
        <w:t>Por otra parte, el art</w:t>
      </w:r>
      <w:r w:rsidR="00316F9A" w:rsidRPr="00871373">
        <w:rPr>
          <w:rFonts w:ascii="Mulish" w:hAnsi="Mulish" w:cstheme="minorHAnsi"/>
          <w:bCs/>
          <w:szCs w:val="24"/>
        </w:rPr>
        <w:t>ículo 64</w:t>
      </w:r>
      <w:r w:rsidRPr="00871373">
        <w:rPr>
          <w:rFonts w:ascii="Mulish" w:hAnsi="Mulish" w:cstheme="minorHAnsi"/>
          <w:bCs/>
          <w:szCs w:val="24"/>
        </w:rPr>
        <w:t xml:space="preserve"> </w:t>
      </w:r>
      <w:r w:rsidR="00316F9A" w:rsidRPr="00871373">
        <w:rPr>
          <w:rFonts w:ascii="Mulish" w:hAnsi="Mulish" w:cstheme="minorHAnsi"/>
          <w:bCs/>
          <w:szCs w:val="24"/>
        </w:rPr>
        <w:t>d</w:t>
      </w:r>
      <w:r w:rsidRPr="00871373">
        <w:rPr>
          <w:rFonts w:ascii="Mulish" w:hAnsi="Mulish" w:cstheme="minorHAnsi"/>
          <w:bCs/>
          <w:szCs w:val="24"/>
        </w:rPr>
        <w:t xml:space="preserve">e la Ley 47/2003, LGP, establece en relación con las sociedades mercantiles estatales, que los presupuestos de explotación y de capital se integrarán en los Presupuestos Generales del Estado. Para las que forman grupo (por ejemplo, SEPI) </w:t>
      </w:r>
      <w:r w:rsidR="009B1497" w:rsidRPr="00871373">
        <w:rPr>
          <w:rFonts w:ascii="Mulish" w:hAnsi="Mulish" w:cstheme="minorHAnsi"/>
          <w:bCs/>
          <w:szCs w:val="24"/>
        </w:rPr>
        <w:t>se establece la posibilidad de</w:t>
      </w:r>
      <w:r w:rsidRPr="00871373">
        <w:rPr>
          <w:rFonts w:ascii="Mulish" w:hAnsi="Mulish" w:cstheme="minorHAnsi"/>
          <w:bCs/>
          <w:szCs w:val="24"/>
        </w:rPr>
        <w:t xml:space="preserve"> presentar sus presupuestos de explotación y de capital de forma consolidada con las entidades que lo integran, relacionando las entidades objeto de presentación consolidada. </w:t>
      </w:r>
      <w:r w:rsidR="009B1497" w:rsidRPr="00871373">
        <w:rPr>
          <w:rFonts w:ascii="Mulish" w:hAnsi="Mulish" w:cstheme="minorHAnsi"/>
          <w:bCs/>
          <w:szCs w:val="24"/>
        </w:rPr>
        <w:t>Si este fuera el caso de MERCASTURIAS, por su pertenencia al grupo MERCASA que, a su vez, pertenece al grupo SEPI, debería indicarse esta circunstancia.</w:t>
      </w:r>
    </w:p>
    <w:p w14:paraId="46C4CC9F" w14:textId="77777777" w:rsidR="009B1497" w:rsidRPr="00871373" w:rsidRDefault="009B1497" w:rsidP="009B1497">
      <w:pPr>
        <w:pStyle w:val="Prrafodelista"/>
        <w:tabs>
          <w:tab w:val="left" w:pos="284"/>
        </w:tabs>
        <w:spacing w:before="120" w:after="120" w:line="312" w:lineRule="auto"/>
        <w:jc w:val="both"/>
        <w:rPr>
          <w:rFonts w:ascii="Mulish" w:eastAsia="Calibri" w:hAnsi="Mulish" w:cs="Calibri"/>
          <w:szCs w:val="24"/>
        </w:rPr>
      </w:pPr>
    </w:p>
    <w:p w14:paraId="7160D4BA" w14:textId="7BFC0443" w:rsidR="009B1497" w:rsidRPr="00871373" w:rsidRDefault="009B1497" w:rsidP="009B1497">
      <w:pPr>
        <w:pStyle w:val="Prrafodelista"/>
        <w:numPr>
          <w:ilvl w:val="0"/>
          <w:numId w:val="11"/>
        </w:numPr>
        <w:tabs>
          <w:tab w:val="left" w:pos="284"/>
        </w:tabs>
        <w:spacing w:before="120" w:after="120" w:line="312" w:lineRule="auto"/>
        <w:jc w:val="both"/>
        <w:rPr>
          <w:rFonts w:ascii="Mulish" w:eastAsia="Calibri" w:hAnsi="Mulish" w:cs="Calibri"/>
          <w:szCs w:val="24"/>
        </w:rPr>
      </w:pPr>
      <w:r w:rsidRPr="00871373">
        <w:rPr>
          <w:rFonts w:ascii="Mulish" w:eastAsia="Calibri" w:hAnsi="Mulish" w:cs="Calibri"/>
          <w:szCs w:val="24"/>
        </w:rPr>
        <w:t>En relación con la obligación retribuciones, indica MERCASTURIAS, que no existen altos cargos en la sociedad.</w:t>
      </w:r>
      <w:r w:rsidRPr="00871373">
        <w:rPr>
          <w:rFonts w:ascii="Mulish" w:hAnsi="Mulish"/>
        </w:rPr>
        <w:t xml:space="preserve"> El artículo 8.1.f) no limita la obligación a altos </w:t>
      </w:r>
      <w:r w:rsidR="00316F9A" w:rsidRPr="00871373">
        <w:rPr>
          <w:rFonts w:ascii="Mulish" w:hAnsi="Mulish"/>
        </w:rPr>
        <w:t>cargos,</w:t>
      </w:r>
      <w:r w:rsidRPr="00871373">
        <w:rPr>
          <w:rFonts w:ascii="Mulish" w:hAnsi="Mulish"/>
        </w:rPr>
        <w:t xml:space="preserve"> sino </w:t>
      </w:r>
      <w:r w:rsidRPr="00871373">
        <w:rPr>
          <w:rFonts w:ascii="Mulish" w:hAnsi="Mulish"/>
        </w:rPr>
        <w:lastRenderedPageBreak/>
        <w:t>que se refiere también a los máximos responsable. D</w:t>
      </w:r>
      <w:r w:rsidRPr="00871373">
        <w:rPr>
          <w:rFonts w:ascii="Mulish" w:eastAsia="Calibri" w:hAnsi="Mulish" w:cs="Calibri"/>
          <w:szCs w:val="24"/>
        </w:rPr>
        <w:t xml:space="preserve">esde este Consejo se ha venido interpretando que el concepto de máximo responsable engloba a todas aquellas personas que participan en el proceso de toma de decisiones que afectan al ejercicio de las funciones y competencias de la organización. Por lo tanto, no implica exclusivamente a aquellos cargos designados por Consejo de </w:t>
      </w:r>
      <w:proofErr w:type="gramStart"/>
      <w:r w:rsidRPr="00871373">
        <w:rPr>
          <w:rFonts w:ascii="Mulish" w:eastAsia="Calibri" w:hAnsi="Mulish" w:cs="Calibri"/>
          <w:szCs w:val="24"/>
        </w:rPr>
        <w:t>Ministros</w:t>
      </w:r>
      <w:proofErr w:type="gramEnd"/>
      <w:r w:rsidRPr="00871373">
        <w:rPr>
          <w:rFonts w:ascii="Mulish" w:eastAsia="Calibri" w:hAnsi="Mulish" w:cs="Calibri"/>
          <w:szCs w:val="24"/>
        </w:rPr>
        <w:t xml:space="preserve"> o que hayan sido contratados mediante contratos de Alta Dirección o que encajen en los supuestos que el Real Decreto 451/2012 incluye bajo el concepto de máximo responsable o directivo.</w:t>
      </w:r>
    </w:p>
    <w:p w14:paraId="43EBEDCA" w14:textId="24A8EEBF" w:rsidR="00753179" w:rsidRPr="00871373" w:rsidRDefault="00753179" w:rsidP="009B1497">
      <w:pPr>
        <w:pStyle w:val="Prrafodelista"/>
        <w:numPr>
          <w:ilvl w:val="0"/>
          <w:numId w:val="11"/>
        </w:numPr>
        <w:tabs>
          <w:tab w:val="left" w:pos="284"/>
        </w:tabs>
        <w:spacing w:before="120" w:after="120" w:line="312" w:lineRule="auto"/>
        <w:jc w:val="both"/>
        <w:rPr>
          <w:rFonts w:ascii="Mulish" w:hAnsi="Mulish" w:cstheme="minorHAnsi"/>
          <w:szCs w:val="24"/>
        </w:rPr>
      </w:pPr>
      <w:r w:rsidRPr="00871373">
        <w:rPr>
          <w:rFonts w:ascii="Mulish" w:hAnsi="Mulish" w:cstheme="minorHAnsi"/>
          <w:szCs w:val="24"/>
        </w:rPr>
        <w:t xml:space="preserve">Tras </w:t>
      </w:r>
      <w:r w:rsidR="00EF173E" w:rsidRPr="00871373">
        <w:rPr>
          <w:rFonts w:ascii="Mulish" w:hAnsi="Mulish" w:cstheme="minorHAnsi"/>
          <w:szCs w:val="24"/>
        </w:rPr>
        <w:t>la revisión efectuada</w:t>
      </w:r>
      <w:r w:rsidRPr="00871373">
        <w:rPr>
          <w:rFonts w:ascii="Mulish" w:hAnsi="Mulish" w:cstheme="minorHAnsi"/>
          <w:szCs w:val="24"/>
        </w:rPr>
        <w:t xml:space="preserve">, el Índice de Cumplimiento de </w:t>
      </w:r>
      <w:r w:rsidR="009B1497" w:rsidRPr="00871373">
        <w:rPr>
          <w:rFonts w:ascii="Mulish" w:hAnsi="Mulish" w:cstheme="minorHAnsi"/>
          <w:szCs w:val="24"/>
        </w:rPr>
        <w:t>MERCASTURIAS</w:t>
      </w:r>
      <w:r w:rsidRPr="00871373">
        <w:rPr>
          <w:rFonts w:ascii="Mulish" w:hAnsi="Mulish" w:cstheme="minorHAnsi"/>
          <w:szCs w:val="24"/>
        </w:rPr>
        <w:t xml:space="preserve"> se sitúa en el </w:t>
      </w:r>
      <w:r w:rsidR="009B1497" w:rsidRPr="00871373">
        <w:rPr>
          <w:rFonts w:ascii="Mulish" w:hAnsi="Mulish" w:cstheme="minorHAnsi"/>
          <w:szCs w:val="24"/>
        </w:rPr>
        <w:t>54,8</w:t>
      </w:r>
      <w:r w:rsidRPr="00871373">
        <w:rPr>
          <w:rFonts w:ascii="Mulish" w:hAnsi="Mulish" w:cstheme="minorHAnsi"/>
          <w:szCs w:val="24"/>
        </w:rPr>
        <w:t>%.</w:t>
      </w:r>
    </w:p>
    <w:p w14:paraId="4C4D2B67" w14:textId="4721925E" w:rsidR="009E6E79" w:rsidRPr="00871373" w:rsidRDefault="009E6E79" w:rsidP="009E6E79">
      <w:pPr>
        <w:tabs>
          <w:tab w:val="left" w:pos="284"/>
        </w:tabs>
        <w:spacing w:before="120" w:after="120" w:line="312" w:lineRule="auto"/>
        <w:jc w:val="both"/>
        <w:rPr>
          <w:rFonts w:ascii="Mulish" w:hAnsi="Mulish" w:cstheme="minorHAnsi"/>
          <w:szCs w:val="24"/>
        </w:rPr>
      </w:pPr>
    </w:p>
    <w:p w14:paraId="6DF90766" w14:textId="7540F805" w:rsidR="009E6E79" w:rsidRPr="00871373" w:rsidRDefault="009E6E79" w:rsidP="009E6E79">
      <w:pPr>
        <w:tabs>
          <w:tab w:val="left" w:pos="284"/>
        </w:tabs>
        <w:spacing w:before="120" w:after="120" w:line="312" w:lineRule="auto"/>
        <w:jc w:val="both"/>
        <w:rPr>
          <w:rFonts w:ascii="Mulish" w:hAnsi="Mulish" w:cstheme="minorHAnsi"/>
          <w:szCs w:val="24"/>
        </w:rPr>
      </w:pPr>
      <w:r w:rsidRPr="00871373">
        <w:rPr>
          <w:rFonts w:ascii="Mulish" w:hAnsi="Mulish" w:cstheme="minorHAnsi"/>
          <w:szCs w:val="24"/>
        </w:rPr>
        <w:t xml:space="preserve">Este Consejo valora muy positivamente la disposición de </w:t>
      </w:r>
      <w:r w:rsidR="009B1497" w:rsidRPr="00871373">
        <w:rPr>
          <w:rFonts w:ascii="Mulish" w:hAnsi="Mulish" w:cstheme="minorHAnsi"/>
          <w:szCs w:val="24"/>
        </w:rPr>
        <w:t xml:space="preserve">MERCASTURIAS </w:t>
      </w:r>
      <w:r w:rsidRPr="00871373">
        <w:rPr>
          <w:rFonts w:ascii="Mulish" w:hAnsi="Mulish" w:cstheme="minorHAnsi"/>
          <w:szCs w:val="24"/>
        </w:rPr>
        <w:t xml:space="preserve">a aplicar las recomendaciones derivadas de la evaluación. </w:t>
      </w:r>
      <w:r w:rsidR="009B1497" w:rsidRPr="00871373">
        <w:rPr>
          <w:rFonts w:ascii="Mulish" w:hAnsi="Mulish" w:cstheme="minorHAnsi"/>
          <w:szCs w:val="24"/>
        </w:rPr>
        <w:t xml:space="preserve">Estas mejoras, impactarán, sin </w:t>
      </w:r>
      <w:r w:rsidR="00D96715" w:rsidRPr="00871373">
        <w:rPr>
          <w:rFonts w:ascii="Mulish" w:hAnsi="Mulish" w:cstheme="minorHAnsi"/>
          <w:szCs w:val="24"/>
        </w:rPr>
        <w:t>duda, en</w:t>
      </w:r>
      <w:r w:rsidR="009B1497" w:rsidRPr="00871373">
        <w:rPr>
          <w:rFonts w:ascii="Mulish" w:hAnsi="Mulish" w:cstheme="minorHAnsi"/>
          <w:szCs w:val="24"/>
        </w:rPr>
        <w:t xml:space="preserve"> el Índice de Cumplimiento alcanzado, cuando en 2025, se efectúe una nueva evaluación de cumplimiento</w:t>
      </w:r>
      <w:r w:rsidRPr="00871373">
        <w:rPr>
          <w:rFonts w:ascii="Mulish" w:hAnsi="Mulish" w:cstheme="minorHAnsi"/>
          <w:szCs w:val="24"/>
        </w:rPr>
        <w:t>.</w:t>
      </w:r>
    </w:p>
    <w:p w14:paraId="7CA8D920" w14:textId="77777777" w:rsidR="007704A4" w:rsidRPr="00871373" w:rsidRDefault="007704A4" w:rsidP="007704A4">
      <w:pPr>
        <w:pStyle w:val="Prrafodelista"/>
        <w:tabs>
          <w:tab w:val="left" w:pos="284"/>
        </w:tabs>
        <w:spacing w:before="120" w:after="120" w:line="312" w:lineRule="auto"/>
        <w:jc w:val="both"/>
        <w:rPr>
          <w:rFonts w:ascii="Mulish" w:hAnsi="Mulish" w:cstheme="minorHAnsi"/>
          <w:szCs w:val="24"/>
        </w:rPr>
      </w:pPr>
    </w:p>
    <w:p w14:paraId="5B401E42" w14:textId="385F0438" w:rsidR="006F17B5" w:rsidRPr="00871373" w:rsidRDefault="006F17B5" w:rsidP="009557B1">
      <w:pPr>
        <w:autoSpaceDE w:val="0"/>
        <w:autoSpaceDN w:val="0"/>
        <w:adjustRightInd w:val="0"/>
        <w:spacing w:after="0"/>
        <w:jc w:val="right"/>
        <w:rPr>
          <w:rFonts w:ascii="Mulish" w:hAnsi="Mulish"/>
          <w:szCs w:val="24"/>
        </w:rPr>
      </w:pPr>
      <w:r w:rsidRPr="00871373">
        <w:rPr>
          <w:rFonts w:ascii="Mulish" w:hAnsi="Mulish" w:cstheme="minorHAnsi"/>
          <w:szCs w:val="24"/>
        </w:rPr>
        <w:t xml:space="preserve">Madrid, </w:t>
      </w:r>
      <w:r w:rsidR="009B1497" w:rsidRPr="00871373">
        <w:rPr>
          <w:rFonts w:ascii="Mulish" w:hAnsi="Mulish" w:cstheme="minorHAnsi"/>
          <w:szCs w:val="24"/>
        </w:rPr>
        <w:t>mayo</w:t>
      </w:r>
      <w:r w:rsidRPr="00871373">
        <w:rPr>
          <w:rFonts w:ascii="Mulish" w:hAnsi="Mulish" w:cstheme="minorHAnsi"/>
          <w:szCs w:val="24"/>
        </w:rPr>
        <w:t xml:space="preserve"> de 202</w:t>
      </w:r>
      <w:r w:rsidR="001C701F" w:rsidRPr="00871373">
        <w:rPr>
          <w:rFonts w:ascii="Mulish" w:hAnsi="Mulish" w:cstheme="minorHAnsi"/>
          <w:szCs w:val="24"/>
        </w:rPr>
        <w:t>4</w:t>
      </w:r>
    </w:p>
    <w:sectPr w:rsidR="006F17B5" w:rsidRPr="00871373" w:rsidSect="009E16B5">
      <w:headerReference w:type="default" r:id="rId9"/>
      <w:footerReference w:type="default" r:id="rId10"/>
      <w:headerReference w:type="first" r:id="rId11"/>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040E" w14:textId="77777777" w:rsidR="001B7352" w:rsidRDefault="001B7352" w:rsidP="00344FE7">
      <w:pPr>
        <w:spacing w:after="0" w:line="240" w:lineRule="auto"/>
      </w:pPr>
      <w:r>
        <w:separator/>
      </w:r>
    </w:p>
  </w:endnote>
  <w:endnote w:type="continuationSeparator" w:id="0">
    <w:p w14:paraId="168507A7" w14:textId="77777777" w:rsidR="001B7352" w:rsidRDefault="001B7352"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30167"/>
      <w:docPartObj>
        <w:docPartGallery w:val="Page Numbers (Bottom of Page)"/>
        <w:docPartUnique/>
      </w:docPartObj>
    </w:sdtPr>
    <w:sdtEndPr>
      <w:rPr>
        <w:sz w:val="20"/>
        <w:szCs w:val="20"/>
      </w:rPr>
    </w:sdtEndPr>
    <w:sdtContent>
      <w:p w14:paraId="711E53FC" w14:textId="77777777" w:rsidR="001B7352" w:rsidRPr="00C23F36" w:rsidRDefault="001B7352"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745E83">
          <w:rPr>
            <w:noProof/>
            <w:sz w:val="20"/>
            <w:szCs w:val="20"/>
          </w:rPr>
          <w:t>7</w:t>
        </w:r>
        <w:r w:rsidRPr="00C23F3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59DD3" w14:textId="77777777" w:rsidR="001B7352" w:rsidRDefault="001B7352" w:rsidP="00344FE7">
      <w:pPr>
        <w:spacing w:after="0" w:line="240" w:lineRule="auto"/>
      </w:pPr>
      <w:r>
        <w:separator/>
      </w:r>
    </w:p>
  </w:footnote>
  <w:footnote w:type="continuationSeparator" w:id="0">
    <w:p w14:paraId="3FE3DA04" w14:textId="77777777" w:rsidR="001B7352" w:rsidRDefault="001B7352" w:rsidP="00344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1C53" w14:textId="77777777" w:rsidR="001B7352" w:rsidRDefault="001B7352">
    <w:pPr>
      <w:pStyle w:val="Encabezado"/>
    </w:pPr>
    <w:r>
      <w:rPr>
        <w:noProof/>
        <w:lang w:eastAsia="es-ES"/>
      </w:rPr>
      <w:drawing>
        <wp:anchor distT="0" distB="0" distL="0" distR="0" simplePos="0" relativeHeight="251670528" behindDoc="0" locked="0" layoutInCell="1" allowOverlap="0" wp14:anchorId="7EE23A25" wp14:editId="47DDA104">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14:paraId="167267D5" w14:textId="77777777" w:rsidR="001B7352" w:rsidRDefault="001B7352">
    <w:pPr>
      <w:pStyle w:val="Encabezado"/>
    </w:pPr>
  </w:p>
  <w:p w14:paraId="3E061B63" w14:textId="77777777" w:rsidR="001B7352" w:rsidRDefault="001B7352" w:rsidP="00344FE7">
    <w:pPr>
      <w:pStyle w:val="Encabezado"/>
    </w:pPr>
  </w:p>
  <w:p w14:paraId="0B5589F9" w14:textId="77777777" w:rsidR="001B7352" w:rsidRDefault="001B7352" w:rsidP="00344FE7">
    <w:pPr>
      <w:pStyle w:val="Encabezado"/>
    </w:pPr>
  </w:p>
  <w:p w14:paraId="6B9AC33C" w14:textId="77777777" w:rsidR="001B7352" w:rsidRDefault="001B7352" w:rsidP="00344F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66B5" w14:textId="77777777" w:rsidR="001B7352" w:rsidRDefault="001B7352" w:rsidP="006F5890">
    <w:pPr>
      <w:jc w:val="right"/>
      <w:rPr>
        <w:noProof/>
        <w:lang w:eastAsia="es-ES"/>
      </w:rPr>
    </w:pPr>
    <w:r>
      <w:rPr>
        <w:noProof/>
        <w:lang w:eastAsia="es-ES"/>
      </w:rPr>
      <w:drawing>
        <wp:anchor distT="0" distB="0" distL="0" distR="0" simplePos="0" relativeHeight="251668480" behindDoc="0" locked="0" layoutInCell="1" allowOverlap="0" wp14:anchorId="1C76EECC" wp14:editId="19B3C182">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201350F3" wp14:editId="20154103">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943" type="#_x0000_t75" style="width:11.25pt;height:11.25pt" o:bullet="t">
        <v:imagedata r:id="rId1" o:title="BD14529_"/>
      </v:shape>
    </w:pict>
  </w:numPicBullet>
  <w:numPicBullet w:numPicBulletId="1">
    <w:pict>
      <v:shape id="_x0000_i2944" type="#_x0000_t75" style="width:11.25pt;height:11.25pt" o:bullet="t">
        <v:imagedata r:id="rId2" o:title="BD14654_"/>
      </v:shape>
    </w:pict>
  </w:numPicBullet>
  <w:abstractNum w:abstractNumId="0" w15:restartNumberingAfterBreak="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9B24A2"/>
    <w:multiLevelType w:val="hybridMultilevel"/>
    <w:tmpl w:val="5FC2F3A2"/>
    <w:lvl w:ilvl="0" w:tplc="6B807E78">
      <w:start w:val="2"/>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E523F4C"/>
    <w:multiLevelType w:val="hybridMultilevel"/>
    <w:tmpl w:val="45EA880E"/>
    <w:lvl w:ilvl="0" w:tplc="9F46D75E">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25D577D"/>
    <w:multiLevelType w:val="hybridMultilevel"/>
    <w:tmpl w:val="242E57DA"/>
    <w:lvl w:ilvl="0" w:tplc="FA7C346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9" w15:restartNumberingAfterBreak="0">
    <w:nsid w:val="33E35655"/>
    <w:multiLevelType w:val="hybridMultilevel"/>
    <w:tmpl w:val="6F06D24E"/>
    <w:lvl w:ilvl="0" w:tplc="6652D48A">
      <w:start w:val="1"/>
      <w:numFmt w:val="decimal"/>
      <w:lvlText w:val="%1."/>
      <w:lvlJc w:val="left"/>
      <w:pPr>
        <w:ind w:left="720" w:hanging="360"/>
      </w:pPr>
      <w:rPr>
        <w:rFonts w:hint="default"/>
      </w:rPr>
    </w:lvl>
    <w:lvl w:ilvl="1" w:tplc="60FC3B96">
      <w:start w:val="1"/>
      <w:numFmt w:val="lowerLetter"/>
      <w:lvlText w:val="%2."/>
      <w:lvlJc w:val="left"/>
      <w:pPr>
        <w:ind w:left="1440" w:hanging="360"/>
      </w:pPr>
      <w:rPr>
        <w:rFonts w:hint="default"/>
        <w:b w:val="0"/>
        <w:i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499C18D2"/>
    <w:multiLevelType w:val="hybridMultilevel"/>
    <w:tmpl w:val="3DA2F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C7C7B71"/>
    <w:multiLevelType w:val="hybridMultilevel"/>
    <w:tmpl w:val="DB7E0618"/>
    <w:lvl w:ilvl="0" w:tplc="E29C0F0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5CF331C2"/>
    <w:multiLevelType w:val="hybridMultilevel"/>
    <w:tmpl w:val="4C2CA0A6"/>
    <w:lvl w:ilvl="0" w:tplc="EEE466C2">
      <w:start w:val="5"/>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5"/>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0"/>
  </w:num>
  <w:num w:numId="11">
    <w:abstractNumId w:val="9"/>
  </w:num>
  <w:num w:numId="12">
    <w:abstractNumId w:val="11"/>
  </w:num>
  <w:num w:numId="13">
    <w:abstractNumId w:val="12"/>
  </w:num>
  <w:num w:numId="14">
    <w:abstractNumId w:val="14"/>
  </w:num>
  <w:num w:numId="15">
    <w:abstractNumId w:val="7"/>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E7"/>
    <w:rsid w:val="00003EA5"/>
    <w:rsid w:val="00006776"/>
    <w:rsid w:val="000234B9"/>
    <w:rsid w:val="00033E75"/>
    <w:rsid w:val="00034F48"/>
    <w:rsid w:val="00036A5D"/>
    <w:rsid w:val="0005249D"/>
    <w:rsid w:val="00070294"/>
    <w:rsid w:val="00070950"/>
    <w:rsid w:val="00073E04"/>
    <w:rsid w:val="00074030"/>
    <w:rsid w:val="000A7C47"/>
    <w:rsid w:val="000B3139"/>
    <w:rsid w:val="000D4422"/>
    <w:rsid w:val="000E5D1F"/>
    <w:rsid w:val="001257F9"/>
    <w:rsid w:val="0013625B"/>
    <w:rsid w:val="0014196C"/>
    <w:rsid w:val="00151290"/>
    <w:rsid w:val="0016439B"/>
    <w:rsid w:val="00173960"/>
    <w:rsid w:val="001750A8"/>
    <w:rsid w:val="00175D6C"/>
    <w:rsid w:val="0018324C"/>
    <w:rsid w:val="00186B56"/>
    <w:rsid w:val="00190952"/>
    <w:rsid w:val="00192060"/>
    <w:rsid w:val="0019362B"/>
    <w:rsid w:val="00194E05"/>
    <w:rsid w:val="001B16D9"/>
    <w:rsid w:val="001B7352"/>
    <w:rsid w:val="001C701F"/>
    <w:rsid w:val="001E44BC"/>
    <w:rsid w:val="001F290B"/>
    <w:rsid w:val="00235A40"/>
    <w:rsid w:val="00251194"/>
    <w:rsid w:val="00292806"/>
    <w:rsid w:val="002A4771"/>
    <w:rsid w:val="002A7933"/>
    <w:rsid w:val="002C000A"/>
    <w:rsid w:val="002F5D0B"/>
    <w:rsid w:val="00316F9A"/>
    <w:rsid w:val="003245B8"/>
    <w:rsid w:val="003259B9"/>
    <w:rsid w:val="00344FE7"/>
    <w:rsid w:val="00351475"/>
    <w:rsid w:val="003656B1"/>
    <w:rsid w:val="003B5DE7"/>
    <w:rsid w:val="003D10D1"/>
    <w:rsid w:val="003D2C6C"/>
    <w:rsid w:val="003D52DF"/>
    <w:rsid w:val="003F0972"/>
    <w:rsid w:val="003F38BD"/>
    <w:rsid w:val="00406F06"/>
    <w:rsid w:val="004108BB"/>
    <w:rsid w:val="004124E7"/>
    <w:rsid w:val="00431713"/>
    <w:rsid w:val="0045134F"/>
    <w:rsid w:val="00466973"/>
    <w:rsid w:val="00470F02"/>
    <w:rsid w:val="0049491F"/>
    <w:rsid w:val="004B15B8"/>
    <w:rsid w:val="004D4EF1"/>
    <w:rsid w:val="00511BED"/>
    <w:rsid w:val="00525FCA"/>
    <w:rsid w:val="0055202A"/>
    <w:rsid w:val="00565608"/>
    <w:rsid w:val="005B1C12"/>
    <w:rsid w:val="005E2370"/>
    <w:rsid w:val="005F0570"/>
    <w:rsid w:val="005F4305"/>
    <w:rsid w:val="005F59A5"/>
    <w:rsid w:val="00614890"/>
    <w:rsid w:val="00620AB5"/>
    <w:rsid w:val="00636FF6"/>
    <w:rsid w:val="006615ED"/>
    <w:rsid w:val="006F17B5"/>
    <w:rsid w:val="006F5890"/>
    <w:rsid w:val="006F5AFB"/>
    <w:rsid w:val="0071472F"/>
    <w:rsid w:val="007342F2"/>
    <w:rsid w:val="00745E83"/>
    <w:rsid w:val="00753179"/>
    <w:rsid w:val="007704A4"/>
    <w:rsid w:val="00772C2A"/>
    <w:rsid w:val="007759D6"/>
    <w:rsid w:val="007A662D"/>
    <w:rsid w:val="007B482F"/>
    <w:rsid w:val="007C00E5"/>
    <w:rsid w:val="007C0642"/>
    <w:rsid w:val="007D24E2"/>
    <w:rsid w:val="00815DA2"/>
    <w:rsid w:val="0085302F"/>
    <w:rsid w:val="00855ECA"/>
    <w:rsid w:val="00871373"/>
    <w:rsid w:val="0089717A"/>
    <w:rsid w:val="00897F59"/>
    <w:rsid w:val="008B79BD"/>
    <w:rsid w:val="00901F1F"/>
    <w:rsid w:val="009029E0"/>
    <w:rsid w:val="00910EC2"/>
    <w:rsid w:val="00915434"/>
    <w:rsid w:val="00950524"/>
    <w:rsid w:val="009557B1"/>
    <w:rsid w:val="009951FE"/>
    <w:rsid w:val="009B1497"/>
    <w:rsid w:val="009B7ADA"/>
    <w:rsid w:val="009D2560"/>
    <w:rsid w:val="009D6677"/>
    <w:rsid w:val="009E084D"/>
    <w:rsid w:val="009E16B5"/>
    <w:rsid w:val="009E30AA"/>
    <w:rsid w:val="009E6E79"/>
    <w:rsid w:val="00A24192"/>
    <w:rsid w:val="00A26523"/>
    <w:rsid w:val="00A41DE8"/>
    <w:rsid w:val="00A52A4D"/>
    <w:rsid w:val="00A603C7"/>
    <w:rsid w:val="00A62936"/>
    <w:rsid w:val="00A70779"/>
    <w:rsid w:val="00A74B96"/>
    <w:rsid w:val="00AE5BF4"/>
    <w:rsid w:val="00AF587E"/>
    <w:rsid w:val="00B263E1"/>
    <w:rsid w:val="00B2797F"/>
    <w:rsid w:val="00B31F84"/>
    <w:rsid w:val="00B35A53"/>
    <w:rsid w:val="00B4112D"/>
    <w:rsid w:val="00B81EE6"/>
    <w:rsid w:val="00BB48B9"/>
    <w:rsid w:val="00BC7A82"/>
    <w:rsid w:val="00BE33B9"/>
    <w:rsid w:val="00C01613"/>
    <w:rsid w:val="00C0201F"/>
    <w:rsid w:val="00C119CE"/>
    <w:rsid w:val="00C13C51"/>
    <w:rsid w:val="00C23F36"/>
    <w:rsid w:val="00C25FA5"/>
    <w:rsid w:val="00C305B6"/>
    <w:rsid w:val="00C3135F"/>
    <w:rsid w:val="00C506D3"/>
    <w:rsid w:val="00C736B9"/>
    <w:rsid w:val="00C80C7C"/>
    <w:rsid w:val="00C82AB2"/>
    <w:rsid w:val="00C87BC3"/>
    <w:rsid w:val="00C90859"/>
    <w:rsid w:val="00C93842"/>
    <w:rsid w:val="00CB4447"/>
    <w:rsid w:val="00CD334A"/>
    <w:rsid w:val="00CE0196"/>
    <w:rsid w:val="00CF0704"/>
    <w:rsid w:val="00D23111"/>
    <w:rsid w:val="00D445A4"/>
    <w:rsid w:val="00D44E9D"/>
    <w:rsid w:val="00D55DED"/>
    <w:rsid w:val="00D72EF9"/>
    <w:rsid w:val="00D847B0"/>
    <w:rsid w:val="00D91A37"/>
    <w:rsid w:val="00D96715"/>
    <w:rsid w:val="00DA126F"/>
    <w:rsid w:val="00DB1735"/>
    <w:rsid w:val="00DB21EC"/>
    <w:rsid w:val="00DB2CB4"/>
    <w:rsid w:val="00DB2CCC"/>
    <w:rsid w:val="00DD07B5"/>
    <w:rsid w:val="00DD49EF"/>
    <w:rsid w:val="00DF5982"/>
    <w:rsid w:val="00E03C82"/>
    <w:rsid w:val="00E35741"/>
    <w:rsid w:val="00E4386D"/>
    <w:rsid w:val="00E475B6"/>
    <w:rsid w:val="00E5135F"/>
    <w:rsid w:val="00E64F85"/>
    <w:rsid w:val="00EB7058"/>
    <w:rsid w:val="00EB79A4"/>
    <w:rsid w:val="00EC3AAE"/>
    <w:rsid w:val="00ED6FD3"/>
    <w:rsid w:val="00EF173E"/>
    <w:rsid w:val="00EF5F68"/>
    <w:rsid w:val="00F17B00"/>
    <w:rsid w:val="00F5121D"/>
    <w:rsid w:val="00F7456B"/>
    <w:rsid w:val="00F777C2"/>
    <w:rsid w:val="00FA580C"/>
    <w:rsid w:val="00FC3816"/>
    <w:rsid w:val="00FC651F"/>
    <w:rsid w:val="00FD1DF8"/>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2"/>
    </o:shapelayout>
  </w:shapeDefaults>
  <w:decimalSymbol w:val=","/>
  <w:listSeparator w:val=";"/>
  <w14:docId w14:val="676837A2"/>
  <w15:docId w15:val="{B4431FA1-ED6B-467D-B152-B4AEC6F4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notaalpie">
    <w:name w:val="footnote reference"/>
    <w:basedOn w:val="Fuentedeprrafopredeter"/>
    <w:uiPriority w:val="99"/>
    <w:semiHidden/>
    <w:unhideWhenUsed/>
    <w:rsid w:val="009E084D"/>
    <w:rPr>
      <w:vertAlign w:val="superscript"/>
    </w:rPr>
  </w:style>
  <w:style w:type="table" w:customStyle="1" w:styleId="Tablaconcuadrcula1">
    <w:name w:val="Tabla con cuadrícula1"/>
    <w:basedOn w:val="Tablanormal"/>
    <w:next w:val="Tablaconcuadrcula"/>
    <w:uiPriority w:val="59"/>
    <w:rsid w:val="00151290"/>
    <w:pPr>
      <w:spacing w:after="0" w:line="240" w:lineRule="auto"/>
    </w:pPr>
    <w:rPr>
      <w:rFonts w:asciiTheme="minorHAnsi" w:eastAsiaTheme="minorEastAsia" w:hAnsiTheme="minorHAnsi"/>
      <w:sz w:val="22"/>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aclara">
    <w:name w:val="Light List"/>
    <w:basedOn w:val="Tablanormal"/>
    <w:uiPriority w:val="61"/>
    <w:rsid w:val="0019362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Mencinsinresolver">
    <w:name w:val="Unresolved Mention"/>
    <w:basedOn w:val="Fuentedeprrafopredeter"/>
    <w:uiPriority w:val="99"/>
    <w:semiHidden/>
    <w:unhideWhenUsed/>
    <w:rsid w:val="00FA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ejodetransparencia.es/ct_Home/transparencia/portal-transparencia/informacion-econ/contrato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9AA09-C145-4EF3-86A6-1F9AA1E9D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957</Words>
  <Characters>5266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 MARIA RUIZ MARTINEZ</cp:lastModifiedBy>
  <cp:revision>4</cp:revision>
  <cp:lastPrinted>2015-01-27T17:42:00Z</cp:lastPrinted>
  <dcterms:created xsi:type="dcterms:W3CDTF">2024-05-06T08:13:00Z</dcterms:created>
  <dcterms:modified xsi:type="dcterms:W3CDTF">2024-05-20T16:31:00Z</dcterms:modified>
</cp:coreProperties>
</file>