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B5DB" w14:textId="3D3C1388" w:rsidR="006F17B5" w:rsidRPr="009F383B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9F383B">
        <w:rPr>
          <w:rFonts w:ascii="Mulish" w:hAnsi="Mulish"/>
          <w:color w:val="079386"/>
        </w:rPr>
        <w:t xml:space="preserve">INFORME RELATIVO A LAS OBSERVACIONES REMITIDAS POR </w:t>
      </w:r>
      <w:r w:rsidR="00A80606">
        <w:rPr>
          <w:rFonts w:ascii="Mulish" w:hAnsi="Mulish"/>
          <w:color w:val="079386"/>
        </w:rPr>
        <w:t>MUTUAL MIDAT CYCLOPS</w:t>
      </w:r>
      <w:r w:rsidR="007704A4" w:rsidRPr="009F383B">
        <w:rPr>
          <w:rFonts w:ascii="Mulish" w:hAnsi="Mulish"/>
          <w:color w:val="079386"/>
        </w:rPr>
        <w:t xml:space="preserve"> </w:t>
      </w:r>
      <w:r w:rsidRPr="009F383B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5339923C" w14:textId="77777777" w:rsidR="006F17B5" w:rsidRPr="009F383B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62ABF56A" w14:textId="7F3986C6" w:rsidR="00D23111" w:rsidRPr="00A42286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  <w:r w:rsidRPr="00A42286">
        <w:rPr>
          <w:rFonts w:ascii="Mulish" w:hAnsi="Mulish" w:cstheme="minorHAnsi"/>
          <w:sz w:val="22"/>
        </w:rPr>
        <w:t>En contestación a su</w:t>
      </w:r>
      <w:r w:rsidR="00C25FA5" w:rsidRPr="00A42286">
        <w:rPr>
          <w:rFonts w:ascii="Mulish" w:hAnsi="Mulish" w:cstheme="minorHAnsi"/>
          <w:sz w:val="22"/>
        </w:rPr>
        <w:t xml:space="preserve"> escrito </w:t>
      </w:r>
      <w:r w:rsidR="00565608" w:rsidRPr="00A42286">
        <w:rPr>
          <w:rFonts w:ascii="Mulish" w:hAnsi="Mulish" w:cstheme="minorHAnsi"/>
          <w:sz w:val="22"/>
        </w:rPr>
        <w:t xml:space="preserve">de fecha </w:t>
      </w:r>
      <w:r w:rsidR="00A80606" w:rsidRPr="00A42286">
        <w:rPr>
          <w:rFonts w:ascii="Mulish" w:hAnsi="Mulish" w:cstheme="minorHAnsi"/>
          <w:sz w:val="22"/>
        </w:rPr>
        <w:t>6</w:t>
      </w:r>
      <w:r w:rsidRPr="00A42286">
        <w:rPr>
          <w:rFonts w:ascii="Mulish" w:hAnsi="Mulish" w:cstheme="minorHAnsi"/>
          <w:sz w:val="22"/>
        </w:rPr>
        <w:t xml:space="preserve"> de </w:t>
      </w:r>
      <w:r w:rsidR="009F383B" w:rsidRPr="00A42286">
        <w:rPr>
          <w:rFonts w:ascii="Mulish" w:hAnsi="Mulish" w:cstheme="minorHAnsi"/>
          <w:sz w:val="22"/>
        </w:rPr>
        <w:t>mayo</w:t>
      </w:r>
      <w:r w:rsidRPr="00A42286">
        <w:rPr>
          <w:rFonts w:ascii="Mulish" w:hAnsi="Mulish" w:cstheme="minorHAnsi"/>
          <w:sz w:val="22"/>
        </w:rPr>
        <w:t xml:space="preserve"> de 202</w:t>
      </w:r>
      <w:r w:rsidR="009F383B" w:rsidRPr="00A42286">
        <w:rPr>
          <w:rFonts w:ascii="Mulish" w:hAnsi="Mulish" w:cstheme="minorHAnsi"/>
          <w:sz w:val="22"/>
        </w:rPr>
        <w:t>4</w:t>
      </w:r>
      <w:r w:rsidR="00C119CE" w:rsidRPr="00A42286">
        <w:rPr>
          <w:rFonts w:ascii="Mulish" w:hAnsi="Mulish" w:cstheme="minorHAnsi"/>
          <w:sz w:val="22"/>
        </w:rPr>
        <w:t>,</w:t>
      </w:r>
      <w:r w:rsidR="005B1C12" w:rsidRPr="00A42286">
        <w:rPr>
          <w:rFonts w:ascii="Mulish" w:hAnsi="Mulish" w:cstheme="minorHAnsi"/>
          <w:sz w:val="22"/>
        </w:rPr>
        <w:t xml:space="preserve"> </w:t>
      </w:r>
      <w:r w:rsidRPr="00A42286">
        <w:rPr>
          <w:rFonts w:ascii="Mulish" w:hAnsi="Mulish" w:cstheme="minorHAnsi"/>
          <w:sz w:val="22"/>
        </w:rPr>
        <w:t xml:space="preserve">una vez analizadas </w:t>
      </w:r>
      <w:r w:rsidR="00C119CE" w:rsidRPr="00A42286">
        <w:rPr>
          <w:rFonts w:ascii="Mulish" w:hAnsi="Mulish" w:cstheme="minorHAnsi"/>
          <w:sz w:val="22"/>
        </w:rPr>
        <w:t xml:space="preserve">todas </w:t>
      </w:r>
      <w:r w:rsidRPr="00A42286">
        <w:rPr>
          <w:rFonts w:ascii="Mulish" w:hAnsi="Mulish" w:cstheme="minorHAnsi"/>
          <w:sz w:val="22"/>
        </w:rPr>
        <w:t xml:space="preserve">las observaciones realizadas al borrador de informe de evaluación </w:t>
      </w:r>
      <w:r w:rsidR="00B81EE6" w:rsidRPr="00A42286">
        <w:rPr>
          <w:rFonts w:ascii="Mulish" w:hAnsi="Mulish" w:cstheme="minorHAnsi"/>
          <w:sz w:val="22"/>
        </w:rPr>
        <w:t xml:space="preserve">relativo al </w:t>
      </w:r>
      <w:r w:rsidRPr="00A42286">
        <w:rPr>
          <w:rFonts w:ascii="Mulish" w:hAnsi="Mulish" w:cstheme="minorHAnsi"/>
          <w:sz w:val="22"/>
        </w:rPr>
        <w:t xml:space="preserve">cumplimiento de las obligaciones de publicidad activa por parte de esa </w:t>
      </w:r>
      <w:r w:rsidR="00855ECA" w:rsidRPr="00A42286">
        <w:rPr>
          <w:rFonts w:ascii="Mulish" w:hAnsi="Mulish" w:cstheme="minorHAnsi"/>
          <w:sz w:val="22"/>
        </w:rPr>
        <w:t>Institución</w:t>
      </w:r>
      <w:r w:rsidRPr="00A42286">
        <w:rPr>
          <w:rFonts w:ascii="Mulish" w:hAnsi="Mulish" w:cstheme="minorHAnsi"/>
          <w:sz w:val="22"/>
        </w:rPr>
        <w:t>, este CTBG efectúa las siguientes consideraciones:</w:t>
      </w:r>
    </w:p>
    <w:p w14:paraId="79F2D9BE" w14:textId="77777777" w:rsidR="00855ECA" w:rsidRPr="00A42286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</w:p>
    <w:p w14:paraId="16728E9B" w14:textId="1856BFDA" w:rsidR="003564E8" w:rsidRPr="00A42286" w:rsidRDefault="0082512B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A42286">
        <w:rPr>
          <w:rFonts w:ascii="Mulish" w:hAnsi="Mulish" w:cstheme="minorHAnsi"/>
          <w:bCs/>
        </w:rPr>
        <w:t xml:space="preserve">Se acepta la observación relativa a la publicación de información </w:t>
      </w:r>
      <w:r w:rsidR="00A80606" w:rsidRPr="00A42286">
        <w:rPr>
          <w:rFonts w:ascii="Mulish" w:hAnsi="Mulish" w:cstheme="minorHAnsi"/>
          <w:bCs/>
        </w:rPr>
        <w:t>sobre subvenciones y ayudas públicas.</w:t>
      </w:r>
      <w:r w:rsidR="00083B04" w:rsidRPr="00A42286">
        <w:rPr>
          <w:rFonts w:ascii="Mulish" w:hAnsi="Mulish" w:cstheme="minorHAnsi"/>
          <w:bCs/>
        </w:rPr>
        <w:t xml:space="preserve"> Se corrige el informe de evaluación y se considera no aplicable esta obligación.</w:t>
      </w:r>
    </w:p>
    <w:p w14:paraId="60B1C128" w14:textId="7278917E" w:rsidR="0082512B" w:rsidRPr="00A42286" w:rsidRDefault="008B36E5" w:rsidP="003564E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A42286">
        <w:rPr>
          <w:rFonts w:ascii="Mulish" w:hAnsi="Mulish" w:cstheme="minorHAnsi"/>
          <w:bCs/>
        </w:rPr>
        <w:t xml:space="preserve"> </w:t>
      </w:r>
    </w:p>
    <w:p w14:paraId="556A4FBB" w14:textId="170BDEE3" w:rsidR="000B2DE8" w:rsidRPr="00A42286" w:rsidRDefault="0017575B" w:rsidP="000B2DE8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A42286">
        <w:rPr>
          <w:rFonts w:ascii="Mulish" w:hAnsi="Mulish" w:cstheme="minorHAnsi"/>
          <w:bCs/>
        </w:rPr>
        <w:t xml:space="preserve">En relación </w:t>
      </w:r>
      <w:r w:rsidR="002B4D39" w:rsidRPr="00A42286">
        <w:rPr>
          <w:rFonts w:ascii="Mulish" w:hAnsi="Mulish" w:cstheme="minorHAnsi"/>
          <w:bCs/>
        </w:rPr>
        <w:t xml:space="preserve">la observación relativa a una consulta efectuada en 2015 por la Seguridad Social a este CTBG sobre la </w:t>
      </w:r>
      <w:r w:rsidR="009621FA" w:rsidRPr="00A42286">
        <w:rPr>
          <w:rFonts w:ascii="Mulish" w:hAnsi="Mulish" w:cstheme="minorHAnsi"/>
          <w:bCs/>
        </w:rPr>
        <w:t>publicación</w:t>
      </w:r>
      <w:r w:rsidR="002B4D39" w:rsidRPr="00A42286">
        <w:rPr>
          <w:rFonts w:ascii="Mulish" w:hAnsi="Mulish" w:cstheme="minorHAnsi"/>
          <w:bCs/>
        </w:rPr>
        <w:t xml:space="preserve"> de las informaciones obligatorias aplicables a las Mutuas</w:t>
      </w:r>
      <w:r w:rsidR="009621FA" w:rsidRPr="00A42286">
        <w:rPr>
          <w:rFonts w:ascii="Mulish" w:hAnsi="Mulish" w:cstheme="minorHAnsi"/>
          <w:bCs/>
        </w:rPr>
        <w:t xml:space="preserve"> en el Portal de Transparencia de la Administración General del Estado</w:t>
      </w:r>
      <w:r w:rsidRPr="00A42286">
        <w:rPr>
          <w:rFonts w:ascii="Mulish" w:hAnsi="Mulish" w:cstheme="minorHAnsi"/>
          <w:bCs/>
        </w:rPr>
        <w:t xml:space="preserve">. </w:t>
      </w:r>
      <w:r w:rsidR="002B4D39" w:rsidRPr="00A42286">
        <w:rPr>
          <w:rFonts w:ascii="Mulish" w:hAnsi="Mulish" w:cstheme="minorHAnsi"/>
          <w:bCs/>
        </w:rPr>
        <w:t xml:space="preserve">Tal y como señala </w:t>
      </w:r>
      <w:proofErr w:type="spellStart"/>
      <w:r w:rsidR="002B4D39" w:rsidRPr="00A42286">
        <w:rPr>
          <w:rFonts w:ascii="Mulish" w:hAnsi="Mulish" w:cstheme="minorHAnsi"/>
          <w:bCs/>
        </w:rPr>
        <w:t>Midat</w:t>
      </w:r>
      <w:proofErr w:type="spellEnd"/>
      <w:r w:rsidR="002B4D39" w:rsidRPr="00A42286">
        <w:rPr>
          <w:rFonts w:ascii="Mulish" w:hAnsi="Mulish" w:cstheme="minorHAnsi"/>
          <w:bCs/>
        </w:rPr>
        <w:t xml:space="preserve"> </w:t>
      </w:r>
      <w:proofErr w:type="spellStart"/>
      <w:r w:rsidR="002B4D39" w:rsidRPr="00A42286">
        <w:rPr>
          <w:rFonts w:ascii="Mulish" w:hAnsi="Mulish" w:cstheme="minorHAnsi"/>
          <w:bCs/>
        </w:rPr>
        <w:t>Cyclops</w:t>
      </w:r>
      <w:proofErr w:type="spellEnd"/>
      <w:r w:rsidR="002B4D39" w:rsidRPr="00A42286">
        <w:rPr>
          <w:rFonts w:ascii="Mulish" w:hAnsi="Mulish" w:cstheme="minorHAnsi"/>
          <w:bCs/>
        </w:rPr>
        <w:t xml:space="preserve">, este Consejo </w:t>
      </w:r>
      <w:r w:rsidR="009621FA" w:rsidRPr="00A42286">
        <w:rPr>
          <w:rFonts w:ascii="Mulish" w:hAnsi="Mulish" w:cstheme="minorHAnsi"/>
          <w:bCs/>
        </w:rPr>
        <w:t>mantenía</w:t>
      </w:r>
      <w:r w:rsidR="002B4D39" w:rsidRPr="00A42286">
        <w:rPr>
          <w:rFonts w:ascii="Mulish" w:hAnsi="Mulish" w:cstheme="minorHAnsi"/>
          <w:bCs/>
        </w:rPr>
        <w:t xml:space="preserve"> este criterio </w:t>
      </w:r>
      <w:r w:rsidR="009621FA" w:rsidRPr="00A42286">
        <w:rPr>
          <w:rFonts w:ascii="Mulish" w:hAnsi="Mulish" w:cstheme="minorHAnsi"/>
          <w:bCs/>
        </w:rPr>
        <w:t>hace 9 años, justo al inicio de la entrada en vigor de la LTAIBG. El objetivo en aquel momento era facilitar que los sujetos obligados cumpliesen la norma. Sin embargo, a lo largo de estos años, el Consejo</w:t>
      </w:r>
      <w:r w:rsidR="005F457E" w:rsidRPr="00A42286">
        <w:rPr>
          <w:rFonts w:ascii="Mulish" w:hAnsi="Mulish" w:cstheme="minorHAnsi"/>
          <w:bCs/>
        </w:rPr>
        <w:t xml:space="preserve"> en sus evaluaciones, </w:t>
      </w:r>
      <w:r w:rsidR="009621FA" w:rsidRPr="00A42286">
        <w:rPr>
          <w:rFonts w:ascii="Mulish" w:hAnsi="Mulish" w:cstheme="minorHAnsi"/>
          <w:bCs/>
        </w:rPr>
        <w:t xml:space="preserve">ha ido </w:t>
      </w:r>
      <w:r w:rsidR="005F457E" w:rsidRPr="00A42286">
        <w:rPr>
          <w:rFonts w:ascii="Mulish" w:hAnsi="Mulish" w:cstheme="minorHAnsi"/>
          <w:bCs/>
        </w:rPr>
        <w:t xml:space="preserve">aplicando los distintos preceptos de la LTAIBG con un nivel de exigencia más elevado. Por esta razón, desde hace años el criterio que mantiene este Consejo </w:t>
      </w:r>
      <w:r w:rsidR="000B2DE8" w:rsidRPr="00A42286">
        <w:rPr>
          <w:rFonts w:ascii="Mulish" w:hAnsi="Mulish" w:cstheme="minorHAnsi"/>
          <w:bCs/>
        </w:rPr>
        <w:t>- como se ha señalado en el informe provisional de evaluación -, es que a los organismos públicos vinculados o dependientes de la AGE, les aplica la obligación establecida en el artículo 5.4 de la LTAIBG, de publicar todas sus informaciones obligatorias en sus webs institucionales o sedes electrónicas.</w:t>
      </w:r>
    </w:p>
    <w:p w14:paraId="0B6F1EFF" w14:textId="5A6A87A5" w:rsidR="000B2DE8" w:rsidRPr="00A42286" w:rsidRDefault="000B2DE8" w:rsidP="006A7F6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A42286">
        <w:rPr>
          <w:rFonts w:ascii="Mulish" w:hAnsi="Mulish" w:cstheme="minorHAnsi"/>
          <w:bCs/>
        </w:rPr>
        <w:t xml:space="preserve">En primer lugar, porque conforme al artículo 55.2 de la Ley 40/2015, de Régimen Jurídico del Sector Público, la Administración General del Estado comprende la organización central (Ministerios y servicios comunes), la organización territorial (Delegaciones y Subdelegaciones del Gobierno) y finalmente, la Administración General del Estado en el exterior. Por </w:t>
      </w:r>
      <w:r w:rsidR="002C0AA9" w:rsidRPr="00A42286">
        <w:rPr>
          <w:rFonts w:ascii="Mulish" w:hAnsi="Mulish" w:cstheme="minorHAnsi"/>
          <w:bCs/>
        </w:rPr>
        <w:t>tanto,</w:t>
      </w:r>
      <w:r w:rsidRPr="00A42286">
        <w:rPr>
          <w:rFonts w:ascii="Mulish" w:hAnsi="Mulish" w:cstheme="minorHAnsi"/>
          <w:bCs/>
        </w:rPr>
        <w:t xml:space="preserve"> los organismos públicos vinculados o dependientes no se contemplan en la delimitación que la Ley 40/2015 efectúa de la AGE, y no deberían publicar los datos o informaciones relativos a su actividad en el Portal general de transparencia que el artículo 10 de la LTAIBG prevé para </w:t>
      </w:r>
      <w:r w:rsidR="006A7F65" w:rsidRPr="00A42286">
        <w:rPr>
          <w:rFonts w:ascii="Mulish" w:hAnsi="Mulish" w:cstheme="minorHAnsi"/>
          <w:bCs/>
        </w:rPr>
        <w:t>la AGE</w:t>
      </w:r>
      <w:r w:rsidRPr="00A42286">
        <w:rPr>
          <w:rFonts w:ascii="Mulish" w:hAnsi="Mulish" w:cstheme="minorHAnsi"/>
          <w:bCs/>
        </w:rPr>
        <w:t xml:space="preserve"> sino en sus propias webs institucionales o sedes electrónicas, tal y como les obliga el artículo 5.4 de la LTAIBG.</w:t>
      </w:r>
    </w:p>
    <w:p w14:paraId="7BC17869" w14:textId="77777777" w:rsidR="007D7B5E" w:rsidRPr="00A42286" w:rsidRDefault="007D7B5E" w:rsidP="006A7F6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</w:p>
    <w:p w14:paraId="1526E426" w14:textId="61C5C91E" w:rsidR="0017575B" w:rsidRPr="00A42286" w:rsidRDefault="000B2DE8" w:rsidP="006A7F6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A42286">
        <w:rPr>
          <w:rFonts w:ascii="Mulish" w:hAnsi="Mulish" w:cstheme="minorHAnsi"/>
          <w:bCs/>
        </w:rPr>
        <w:t xml:space="preserve">En segundo lugar, porque el Portal de Transparencia AGE no publica información de todos los organismos vinculados o dependientes ni tampoco, todas las informaciones obligatorias correspondientes a un organismo vinculado o dependiente.  </w:t>
      </w:r>
    </w:p>
    <w:p w14:paraId="0722EC09" w14:textId="23B984DB" w:rsidR="007D7B5E" w:rsidRPr="00A42286" w:rsidRDefault="007D7B5E" w:rsidP="006A7F6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A42286">
        <w:rPr>
          <w:rFonts w:ascii="Mulish" w:hAnsi="Mulish" w:cstheme="minorHAnsi"/>
          <w:bCs/>
        </w:rPr>
        <w:t>Una cuestión adicional en relación con la publicación de informaciones obligatorias correspondientes a organismos dependientes a través del Portal de Transparencia de la AGE, son las dificultades de localización y accesibilidad a dichas informaciones, que suponen auténticas barreras de acceso a la información y, por lo tanto, son contrarias a la transparencia.</w:t>
      </w:r>
    </w:p>
    <w:p w14:paraId="51FF39E2" w14:textId="77777777" w:rsidR="00F91C19" w:rsidRPr="00A42286" w:rsidRDefault="00F91C19" w:rsidP="00F91C19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</w:p>
    <w:p w14:paraId="47B7D5F8" w14:textId="1F0A7E11" w:rsidR="007704A4" w:rsidRPr="00A42286" w:rsidRDefault="007704A4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A42286">
        <w:rPr>
          <w:rFonts w:ascii="Mulish" w:hAnsi="Mulish" w:cstheme="minorHAnsi"/>
          <w:bCs/>
        </w:rPr>
        <w:t xml:space="preserve">Respecto </w:t>
      </w:r>
      <w:r w:rsidR="00323DEE" w:rsidRPr="00A42286">
        <w:rPr>
          <w:rFonts w:ascii="Mulish" w:hAnsi="Mulish" w:cstheme="minorHAnsi"/>
          <w:bCs/>
        </w:rPr>
        <w:t xml:space="preserve">de las observaciones </w:t>
      </w:r>
      <w:r w:rsidR="00D775DA" w:rsidRPr="00A42286">
        <w:rPr>
          <w:rFonts w:ascii="Mulish" w:hAnsi="Mulish" w:cstheme="minorHAnsi"/>
          <w:bCs/>
        </w:rPr>
        <w:t xml:space="preserve">relativas a la publicación de </w:t>
      </w:r>
      <w:r w:rsidR="003E07D6" w:rsidRPr="00A42286">
        <w:rPr>
          <w:rFonts w:ascii="Mulish" w:hAnsi="Mulish" w:cstheme="minorHAnsi"/>
          <w:bCs/>
        </w:rPr>
        <w:t xml:space="preserve">las cuentas anuales, el criterio que </w:t>
      </w:r>
      <w:r w:rsidR="00DB7A08" w:rsidRPr="00A42286">
        <w:rPr>
          <w:rFonts w:ascii="Mulish" w:hAnsi="Mulish" w:cstheme="minorHAnsi"/>
          <w:bCs/>
        </w:rPr>
        <w:t>mantiene este Consejo</w:t>
      </w:r>
      <w:r w:rsidR="003E07D6" w:rsidRPr="00A42286">
        <w:rPr>
          <w:rFonts w:ascii="Mulish" w:hAnsi="Mulish" w:cstheme="minorHAnsi"/>
          <w:bCs/>
        </w:rPr>
        <w:t xml:space="preserve"> es </w:t>
      </w:r>
      <w:r w:rsidR="00E43A7A" w:rsidRPr="00A42286">
        <w:rPr>
          <w:rFonts w:ascii="Mulish" w:hAnsi="Mulish" w:cstheme="minorHAnsi"/>
          <w:bCs/>
        </w:rPr>
        <w:t>que,</w:t>
      </w:r>
      <w:r w:rsidR="003E07D6" w:rsidRPr="00A42286">
        <w:rPr>
          <w:rFonts w:ascii="Mulish" w:hAnsi="Mulish" w:cstheme="minorHAnsi"/>
          <w:bCs/>
        </w:rPr>
        <w:t xml:space="preserve"> si el enlace </w:t>
      </w:r>
      <w:r w:rsidR="00E43A7A" w:rsidRPr="00A42286">
        <w:rPr>
          <w:rFonts w:ascii="Mulish" w:hAnsi="Mulish" w:cstheme="minorHAnsi"/>
          <w:bCs/>
        </w:rPr>
        <w:t>redirige directamente a la información de la organización en la fuente centralizada, daríamos por cumplida la información</w:t>
      </w:r>
      <w:r w:rsidR="00DB7A08" w:rsidRPr="00A42286">
        <w:rPr>
          <w:rFonts w:ascii="Mulish" w:hAnsi="Mulish" w:cstheme="minorHAnsi"/>
          <w:bCs/>
        </w:rPr>
        <w:t xml:space="preserve"> – excepción hecha de la información publicada a través del Portal AGE -</w:t>
      </w:r>
      <w:r w:rsidR="00E43A7A" w:rsidRPr="00A42286">
        <w:rPr>
          <w:rFonts w:ascii="Mulish" w:hAnsi="Mulish" w:cstheme="minorHAnsi"/>
          <w:bCs/>
        </w:rPr>
        <w:t xml:space="preserve">. Por ejemplo, muchas entidades y organismos públicos publican las cuentas </w:t>
      </w:r>
      <w:r w:rsidR="004A2F73" w:rsidRPr="00A42286">
        <w:rPr>
          <w:rFonts w:ascii="Mulish" w:hAnsi="Mulish" w:cstheme="minorHAnsi"/>
          <w:bCs/>
        </w:rPr>
        <w:t>enlazando</w:t>
      </w:r>
      <w:r w:rsidR="00E43A7A" w:rsidRPr="00A42286">
        <w:rPr>
          <w:rFonts w:ascii="Mulish" w:hAnsi="Mulish" w:cstheme="minorHAnsi"/>
          <w:bCs/>
        </w:rPr>
        <w:t xml:space="preserve"> a su información </w:t>
      </w:r>
      <w:r w:rsidR="00310245" w:rsidRPr="00A42286">
        <w:rPr>
          <w:rFonts w:ascii="Mulish" w:hAnsi="Mulish" w:cstheme="minorHAnsi"/>
          <w:bCs/>
        </w:rPr>
        <w:t>concreta</w:t>
      </w:r>
      <w:r w:rsidR="00E43A7A" w:rsidRPr="00A42286">
        <w:rPr>
          <w:rFonts w:ascii="Mulish" w:hAnsi="Mulish" w:cstheme="minorHAnsi"/>
          <w:bCs/>
        </w:rPr>
        <w:t xml:space="preserve"> en el Visor de Cuentas de Entidades Públicas Estatales.</w:t>
      </w:r>
      <w:r w:rsidR="00310245" w:rsidRPr="00A42286">
        <w:rPr>
          <w:rFonts w:ascii="Mulish" w:hAnsi="Mulish" w:cstheme="minorHAnsi"/>
          <w:bCs/>
        </w:rPr>
        <w:t xml:space="preserve"> Si, por el contrario, el enlace a la información posiciona en la página home de la fuente centralizada consideraríamos incumplida la obligación. En el caso de </w:t>
      </w:r>
      <w:proofErr w:type="spellStart"/>
      <w:r w:rsidR="00310245" w:rsidRPr="00A42286">
        <w:rPr>
          <w:rFonts w:ascii="Mulish" w:hAnsi="Mulish" w:cstheme="minorHAnsi"/>
          <w:bCs/>
        </w:rPr>
        <w:t>Midat</w:t>
      </w:r>
      <w:proofErr w:type="spellEnd"/>
      <w:r w:rsidR="00310245" w:rsidRPr="00A42286">
        <w:rPr>
          <w:rFonts w:ascii="Mulish" w:hAnsi="Mulish" w:cstheme="minorHAnsi"/>
          <w:bCs/>
        </w:rPr>
        <w:t xml:space="preserve"> </w:t>
      </w:r>
      <w:proofErr w:type="spellStart"/>
      <w:proofErr w:type="gramStart"/>
      <w:r w:rsidR="00310245" w:rsidRPr="00A42286">
        <w:rPr>
          <w:rFonts w:ascii="Mulish" w:hAnsi="Mulish" w:cstheme="minorHAnsi"/>
          <w:bCs/>
        </w:rPr>
        <w:t>Cyclops</w:t>
      </w:r>
      <w:proofErr w:type="spellEnd"/>
      <w:r w:rsidR="00E43A7A" w:rsidRPr="00A42286">
        <w:rPr>
          <w:rFonts w:ascii="Mulish" w:hAnsi="Mulish" w:cstheme="minorHAnsi"/>
          <w:bCs/>
        </w:rPr>
        <w:t xml:space="preserve"> </w:t>
      </w:r>
      <w:r w:rsidR="00310245" w:rsidRPr="00A42286">
        <w:rPr>
          <w:rFonts w:ascii="Mulish" w:hAnsi="Mulish" w:cstheme="minorHAnsi"/>
          <w:bCs/>
        </w:rPr>
        <w:t>,</w:t>
      </w:r>
      <w:proofErr w:type="gramEnd"/>
      <w:r w:rsidR="00310245" w:rsidRPr="00A42286">
        <w:rPr>
          <w:rFonts w:ascii="Mulish" w:hAnsi="Mulish" w:cstheme="minorHAnsi"/>
          <w:bCs/>
        </w:rPr>
        <w:t xml:space="preserve"> el enlace posiciona en la página </w:t>
      </w:r>
      <w:r w:rsidR="007D35FC" w:rsidRPr="00A42286">
        <w:rPr>
          <w:rFonts w:ascii="Mulish" w:hAnsi="Mulish" w:cstheme="minorHAnsi"/>
          <w:bCs/>
        </w:rPr>
        <w:t xml:space="preserve">que contiene la información de cuentas </w:t>
      </w:r>
      <w:r w:rsidR="00310245" w:rsidRPr="00A42286">
        <w:rPr>
          <w:rFonts w:ascii="Mulish" w:hAnsi="Mulish" w:cstheme="minorHAnsi"/>
          <w:bCs/>
        </w:rPr>
        <w:t xml:space="preserve">de </w:t>
      </w:r>
      <w:r w:rsidR="007D35FC" w:rsidRPr="00A42286">
        <w:rPr>
          <w:rFonts w:ascii="Mulish" w:hAnsi="Mulish" w:cstheme="minorHAnsi"/>
          <w:bCs/>
        </w:rPr>
        <w:t>la Seguridad Social desde el año 2005. A partir de esta página es preciso efectuar nuevas búsquedas para localizar la información correspondiente a cada entidad. Por esta razón, no se ha considerado cumplida la obligación.</w:t>
      </w:r>
    </w:p>
    <w:p w14:paraId="4BBBB6F0" w14:textId="77777777" w:rsidR="00DB7A08" w:rsidRPr="00A42286" w:rsidRDefault="00DB7A08" w:rsidP="00DB7A0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</w:p>
    <w:p w14:paraId="37515B3F" w14:textId="2B93F3B1" w:rsidR="00F17D2A" w:rsidRPr="00A42286" w:rsidRDefault="00F17D2A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A42286">
        <w:rPr>
          <w:rFonts w:ascii="Mulish" w:hAnsi="Mulish" w:cstheme="minorHAnsi"/>
          <w:bCs/>
        </w:rPr>
        <w:t>En relación con los informes de auditoría y fiscalización, señalar que bastaría con enlazar a los informes relativos a las Mutuas</w:t>
      </w:r>
      <w:r w:rsidR="006E28A1" w:rsidRPr="00A42286">
        <w:rPr>
          <w:rFonts w:ascii="Mulish" w:hAnsi="Mulish" w:cstheme="minorHAnsi"/>
          <w:bCs/>
        </w:rPr>
        <w:t xml:space="preserve">. </w:t>
      </w:r>
    </w:p>
    <w:p w14:paraId="0C11C5B5" w14:textId="77777777" w:rsidR="00A42286" w:rsidRPr="00A42286" w:rsidRDefault="00A42286" w:rsidP="00A42286">
      <w:pPr>
        <w:pStyle w:val="Prrafodelista"/>
        <w:rPr>
          <w:rFonts w:ascii="Mulish" w:hAnsi="Mulish" w:cstheme="minorHAnsi"/>
          <w:bCs/>
        </w:rPr>
      </w:pPr>
    </w:p>
    <w:p w14:paraId="5B1B813B" w14:textId="72E1939E" w:rsidR="006E28A1" w:rsidRPr="00A42286" w:rsidRDefault="00DB7A08" w:rsidP="00DB7A08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 w:val="22"/>
        </w:rPr>
      </w:pPr>
      <w:r w:rsidRPr="00A42286">
        <w:rPr>
          <w:rFonts w:ascii="Mulish" w:hAnsi="Mulish" w:cstheme="minorHAnsi"/>
          <w:bCs/>
          <w:sz w:val="22"/>
        </w:rPr>
        <w:t>Tras la revisión efectuada, el Índice de Cumplimiento se sitúa en el 55,6%.</w:t>
      </w:r>
    </w:p>
    <w:p w14:paraId="2C5C3C95" w14:textId="3AB8D5E7" w:rsidR="00C2306E" w:rsidRPr="009F383B" w:rsidRDefault="00A42286" w:rsidP="00315D74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  <w:r>
        <w:rPr>
          <w:rFonts w:ascii="Mulish" w:hAnsi="Mulish" w:cstheme="minorHAnsi"/>
          <w:sz w:val="22"/>
        </w:rPr>
        <w:t xml:space="preserve">Este Consejo valora muy positivamente la disposición de Mutual </w:t>
      </w:r>
      <w:proofErr w:type="spellStart"/>
      <w:r>
        <w:rPr>
          <w:rFonts w:ascii="Mulish" w:hAnsi="Mulish" w:cstheme="minorHAnsi"/>
          <w:sz w:val="22"/>
        </w:rPr>
        <w:t>Midat</w:t>
      </w:r>
      <w:proofErr w:type="spellEnd"/>
      <w:r>
        <w:rPr>
          <w:rFonts w:ascii="Mulish" w:hAnsi="Mulish" w:cstheme="minorHAnsi"/>
          <w:sz w:val="22"/>
        </w:rPr>
        <w:t xml:space="preserve"> </w:t>
      </w:r>
      <w:proofErr w:type="spellStart"/>
      <w:r>
        <w:rPr>
          <w:rFonts w:ascii="Mulish" w:hAnsi="Mulish" w:cstheme="minorHAnsi"/>
          <w:sz w:val="22"/>
        </w:rPr>
        <w:t>Cyclops</w:t>
      </w:r>
      <w:proofErr w:type="spellEnd"/>
      <w:r>
        <w:rPr>
          <w:rFonts w:ascii="Mulish" w:hAnsi="Mulish" w:cstheme="minorHAnsi"/>
          <w:sz w:val="22"/>
        </w:rPr>
        <w:t xml:space="preserve"> a aplicar las recomendaciones derivadas de la evaluación. Algunas de estas recomendaciones han sido </w:t>
      </w:r>
      <w:r w:rsidR="00315D74">
        <w:rPr>
          <w:rFonts w:ascii="Mulish" w:hAnsi="Mulish" w:cstheme="minorHAnsi"/>
          <w:sz w:val="22"/>
        </w:rPr>
        <w:t>implantadas</w:t>
      </w:r>
      <w:r>
        <w:rPr>
          <w:rFonts w:ascii="Mulish" w:hAnsi="Mulish" w:cstheme="minorHAnsi"/>
          <w:sz w:val="22"/>
        </w:rPr>
        <w:t xml:space="preserve"> durante la fase de presentación de observaciones, lo que se reflejará en un informe específico que se publica junto a los informes de evaluación</w:t>
      </w:r>
      <w:r w:rsidR="00315D74">
        <w:rPr>
          <w:rFonts w:ascii="Mulish" w:hAnsi="Mulish" w:cstheme="minorHAnsi"/>
          <w:sz w:val="22"/>
        </w:rPr>
        <w:t>, que relaciona las recomendaciones aplicadas durante esta fase por parte de las entidades evaluadas.</w:t>
      </w:r>
    </w:p>
    <w:p w14:paraId="698CFD90" w14:textId="77777777" w:rsidR="00C2306E" w:rsidRPr="009F383B" w:rsidRDefault="00C2306E" w:rsidP="009557B1">
      <w:pPr>
        <w:autoSpaceDE w:val="0"/>
        <w:autoSpaceDN w:val="0"/>
        <w:adjustRightInd w:val="0"/>
        <w:spacing w:after="0"/>
        <w:jc w:val="right"/>
        <w:rPr>
          <w:rFonts w:ascii="Mulish" w:hAnsi="Mulish" w:cstheme="minorHAnsi"/>
          <w:szCs w:val="24"/>
        </w:rPr>
      </w:pPr>
    </w:p>
    <w:p w14:paraId="60E86A8E" w14:textId="00FF2DDF" w:rsidR="006F17B5" w:rsidRPr="009F383B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9F383B">
        <w:rPr>
          <w:rFonts w:ascii="Mulish" w:hAnsi="Mulish" w:cstheme="minorHAnsi"/>
          <w:szCs w:val="24"/>
        </w:rPr>
        <w:t xml:space="preserve">Madrid, </w:t>
      </w:r>
      <w:r w:rsidR="003342C1">
        <w:rPr>
          <w:rFonts w:ascii="Mulish" w:hAnsi="Mulish" w:cstheme="minorHAnsi"/>
          <w:szCs w:val="24"/>
        </w:rPr>
        <w:t>mayo</w:t>
      </w:r>
      <w:r w:rsidRPr="009F383B">
        <w:rPr>
          <w:rFonts w:ascii="Mulish" w:hAnsi="Mulish" w:cstheme="minorHAnsi"/>
          <w:szCs w:val="24"/>
        </w:rPr>
        <w:t xml:space="preserve"> de 202</w:t>
      </w:r>
      <w:r w:rsidR="003342C1">
        <w:rPr>
          <w:rFonts w:ascii="Mulish" w:hAnsi="Mulish" w:cstheme="minorHAnsi"/>
          <w:szCs w:val="24"/>
        </w:rPr>
        <w:t>4</w:t>
      </w:r>
    </w:p>
    <w:sectPr w:rsidR="006F17B5" w:rsidRPr="009F383B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9019" w14:textId="77777777" w:rsidR="00953CC5" w:rsidRDefault="00953CC5" w:rsidP="00344FE7">
      <w:pPr>
        <w:spacing w:after="0" w:line="240" w:lineRule="auto"/>
      </w:pPr>
      <w:r>
        <w:separator/>
      </w:r>
    </w:p>
  </w:endnote>
  <w:endnote w:type="continuationSeparator" w:id="0">
    <w:p w14:paraId="40B05332" w14:textId="77777777" w:rsidR="00953CC5" w:rsidRDefault="00953CC5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609487" w14:textId="77777777" w:rsidR="006262A2" w:rsidRPr="00C23F36" w:rsidRDefault="006262A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07C15">
          <w:rPr>
            <w:noProof/>
            <w:sz w:val="20"/>
            <w:szCs w:val="20"/>
          </w:rPr>
          <w:t>9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CC1B" w14:textId="77777777" w:rsidR="00953CC5" w:rsidRDefault="00953CC5" w:rsidP="00344FE7">
      <w:pPr>
        <w:spacing w:after="0" w:line="240" w:lineRule="auto"/>
      </w:pPr>
      <w:r>
        <w:separator/>
      </w:r>
    </w:p>
  </w:footnote>
  <w:footnote w:type="continuationSeparator" w:id="0">
    <w:p w14:paraId="2CE8E464" w14:textId="77777777" w:rsidR="00953CC5" w:rsidRDefault="00953CC5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E9DB" w14:textId="77777777" w:rsidR="006262A2" w:rsidRDefault="006262A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C0AD6F" wp14:editId="40CA771B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C41B6C" w14:textId="77777777" w:rsidR="006262A2" w:rsidRDefault="006262A2">
    <w:pPr>
      <w:pStyle w:val="Encabezado"/>
    </w:pPr>
  </w:p>
  <w:p w14:paraId="515CE629" w14:textId="77777777" w:rsidR="006262A2" w:rsidRDefault="006262A2" w:rsidP="00344FE7">
    <w:pPr>
      <w:pStyle w:val="Encabezado"/>
    </w:pPr>
  </w:p>
  <w:p w14:paraId="73F68A55" w14:textId="77777777" w:rsidR="006262A2" w:rsidRDefault="006262A2" w:rsidP="00344FE7">
    <w:pPr>
      <w:pStyle w:val="Encabezado"/>
    </w:pPr>
  </w:p>
  <w:p w14:paraId="5425DE1B" w14:textId="77777777" w:rsidR="006262A2" w:rsidRDefault="006262A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9274" w14:textId="77777777" w:rsidR="006262A2" w:rsidRDefault="006262A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32482359" wp14:editId="1480CD53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C51A146" wp14:editId="52A4D624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2" type="#_x0000_t75" style="width:11.25pt;height:11.25pt" o:bullet="t">
        <v:imagedata r:id="rId1" o:title="BD14529_"/>
      </v:shape>
    </w:pict>
  </w:numPicBullet>
  <w:numPicBullet w:numPicBulletId="1">
    <w:pict>
      <v:shape id="_x0000_i1493" type="#_x0000_t75" style="width:11.25pt;height:11.25pt" o:bullet="t">
        <v:imagedata r:id="rId2" o:title="BD14654_"/>
      </v:shape>
    </w:pict>
  </w:numPicBullet>
  <w:numPicBullet w:numPicBulletId="2">
    <w:pict>
      <v:shape id="_x0000_i1494" type="#_x0000_t75" style="width:9pt;height:9pt" o:bullet="t">
        <v:imagedata r:id="rId3" o:title="BD14533_"/>
      </v:shape>
    </w:pict>
  </w:numPicBullet>
  <w:abstractNum w:abstractNumId="0" w15:restartNumberingAfterBreak="0">
    <w:nsid w:val="036C688B"/>
    <w:multiLevelType w:val="hybridMultilevel"/>
    <w:tmpl w:val="E8D4A118"/>
    <w:lvl w:ilvl="0" w:tplc="B7C2270E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C3ECE"/>
    <w:multiLevelType w:val="hybridMultilevel"/>
    <w:tmpl w:val="46187B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7CF8"/>
    <w:multiLevelType w:val="hybridMultilevel"/>
    <w:tmpl w:val="0756D31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23F4C"/>
    <w:multiLevelType w:val="hybridMultilevel"/>
    <w:tmpl w:val="6C881162"/>
    <w:lvl w:ilvl="0" w:tplc="CEC84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3E35655"/>
    <w:multiLevelType w:val="hybridMultilevel"/>
    <w:tmpl w:val="535AFD34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067871"/>
    <w:multiLevelType w:val="hybridMultilevel"/>
    <w:tmpl w:val="42BA3632"/>
    <w:lvl w:ilvl="0" w:tplc="B7C2270E">
      <w:start w:val="1"/>
      <w:numFmt w:val="bullet"/>
      <w:lvlText w:val=""/>
      <w:lvlPicBulletId w:val="2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95C77"/>
    <w:multiLevelType w:val="hybridMultilevel"/>
    <w:tmpl w:val="26D4F032"/>
    <w:lvl w:ilvl="0" w:tplc="EA9AB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0"/>
  </w:num>
  <w:num w:numId="18">
    <w:abstractNumId w:val="13"/>
  </w:num>
  <w:num w:numId="19">
    <w:abstractNumId w:val="2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371F8"/>
    <w:rsid w:val="00043EA8"/>
    <w:rsid w:val="0005249D"/>
    <w:rsid w:val="000561DC"/>
    <w:rsid w:val="00070294"/>
    <w:rsid w:val="00074030"/>
    <w:rsid w:val="00076DBA"/>
    <w:rsid w:val="00083B04"/>
    <w:rsid w:val="00094C4C"/>
    <w:rsid w:val="000B2DE8"/>
    <w:rsid w:val="000C3365"/>
    <w:rsid w:val="000D4422"/>
    <w:rsid w:val="001257F9"/>
    <w:rsid w:val="0013625B"/>
    <w:rsid w:val="0014196C"/>
    <w:rsid w:val="00151290"/>
    <w:rsid w:val="0016439B"/>
    <w:rsid w:val="001750A8"/>
    <w:rsid w:val="0017575B"/>
    <w:rsid w:val="00175D6C"/>
    <w:rsid w:val="0018324C"/>
    <w:rsid w:val="00186B56"/>
    <w:rsid w:val="0019362B"/>
    <w:rsid w:val="00194E05"/>
    <w:rsid w:val="001A4338"/>
    <w:rsid w:val="001B16D9"/>
    <w:rsid w:val="001B7352"/>
    <w:rsid w:val="001E13AE"/>
    <w:rsid w:val="001E1D71"/>
    <w:rsid w:val="001E44BC"/>
    <w:rsid w:val="002062C9"/>
    <w:rsid w:val="002114E3"/>
    <w:rsid w:val="00235A40"/>
    <w:rsid w:val="00251194"/>
    <w:rsid w:val="00292806"/>
    <w:rsid w:val="00294C84"/>
    <w:rsid w:val="002A4771"/>
    <w:rsid w:val="002A7933"/>
    <w:rsid w:val="002B4D39"/>
    <w:rsid w:val="002C000A"/>
    <w:rsid w:val="002C0AA9"/>
    <w:rsid w:val="002F5D0B"/>
    <w:rsid w:val="00310245"/>
    <w:rsid w:val="00315D74"/>
    <w:rsid w:val="00323DEE"/>
    <w:rsid w:val="003259B9"/>
    <w:rsid w:val="003342C1"/>
    <w:rsid w:val="00334745"/>
    <w:rsid w:val="00344FE7"/>
    <w:rsid w:val="00351475"/>
    <w:rsid w:val="00355DEA"/>
    <w:rsid w:val="003564E8"/>
    <w:rsid w:val="003656B1"/>
    <w:rsid w:val="00395742"/>
    <w:rsid w:val="003B5DE7"/>
    <w:rsid w:val="003C09C3"/>
    <w:rsid w:val="003D2C6C"/>
    <w:rsid w:val="003D52DF"/>
    <w:rsid w:val="003E07D6"/>
    <w:rsid w:val="003F0972"/>
    <w:rsid w:val="003F38BD"/>
    <w:rsid w:val="004108BB"/>
    <w:rsid w:val="004124E7"/>
    <w:rsid w:val="00435013"/>
    <w:rsid w:val="0045134F"/>
    <w:rsid w:val="00466973"/>
    <w:rsid w:val="00470F02"/>
    <w:rsid w:val="00476C7E"/>
    <w:rsid w:val="00486ED2"/>
    <w:rsid w:val="004A2F73"/>
    <w:rsid w:val="004B15B8"/>
    <w:rsid w:val="004D4EF1"/>
    <w:rsid w:val="00525FCA"/>
    <w:rsid w:val="0055202A"/>
    <w:rsid w:val="00565608"/>
    <w:rsid w:val="005726F1"/>
    <w:rsid w:val="005B1C12"/>
    <w:rsid w:val="005C0138"/>
    <w:rsid w:val="005F0570"/>
    <w:rsid w:val="005F4305"/>
    <w:rsid w:val="005F457E"/>
    <w:rsid w:val="00614890"/>
    <w:rsid w:val="00620AB5"/>
    <w:rsid w:val="006262A2"/>
    <w:rsid w:val="00636FF6"/>
    <w:rsid w:val="006615ED"/>
    <w:rsid w:val="0066237D"/>
    <w:rsid w:val="006A7F65"/>
    <w:rsid w:val="006E28A1"/>
    <w:rsid w:val="006F17B5"/>
    <w:rsid w:val="006F5890"/>
    <w:rsid w:val="00700D70"/>
    <w:rsid w:val="00707C15"/>
    <w:rsid w:val="0071472F"/>
    <w:rsid w:val="00727A3D"/>
    <w:rsid w:val="007342F2"/>
    <w:rsid w:val="00745E83"/>
    <w:rsid w:val="007704A4"/>
    <w:rsid w:val="00772C2A"/>
    <w:rsid w:val="007759D6"/>
    <w:rsid w:val="00782FEF"/>
    <w:rsid w:val="007A662D"/>
    <w:rsid w:val="007B482F"/>
    <w:rsid w:val="007C00E5"/>
    <w:rsid w:val="007C0642"/>
    <w:rsid w:val="007D24E2"/>
    <w:rsid w:val="007D35FC"/>
    <w:rsid w:val="007D768B"/>
    <w:rsid w:val="007D7B5E"/>
    <w:rsid w:val="007F2E00"/>
    <w:rsid w:val="008027DF"/>
    <w:rsid w:val="00815DA2"/>
    <w:rsid w:val="0082512B"/>
    <w:rsid w:val="00855ECA"/>
    <w:rsid w:val="0088562A"/>
    <w:rsid w:val="00887DB9"/>
    <w:rsid w:val="00895B20"/>
    <w:rsid w:val="0089717A"/>
    <w:rsid w:val="008B36E5"/>
    <w:rsid w:val="008B5F75"/>
    <w:rsid w:val="008B79BD"/>
    <w:rsid w:val="008E39FA"/>
    <w:rsid w:val="00901F1F"/>
    <w:rsid w:val="009029E0"/>
    <w:rsid w:val="00950524"/>
    <w:rsid w:val="00953CC5"/>
    <w:rsid w:val="009557B1"/>
    <w:rsid w:val="009621FA"/>
    <w:rsid w:val="00990CFE"/>
    <w:rsid w:val="009B7ADA"/>
    <w:rsid w:val="009D2560"/>
    <w:rsid w:val="009D6677"/>
    <w:rsid w:val="009E084D"/>
    <w:rsid w:val="009E16B5"/>
    <w:rsid w:val="009E30AA"/>
    <w:rsid w:val="009F1491"/>
    <w:rsid w:val="009F383B"/>
    <w:rsid w:val="00A24192"/>
    <w:rsid w:val="00A26523"/>
    <w:rsid w:val="00A41DE8"/>
    <w:rsid w:val="00A42286"/>
    <w:rsid w:val="00A603C7"/>
    <w:rsid w:val="00A62936"/>
    <w:rsid w:val="00A70779"/>
    <w:rsid w:val="00A76101"/>
    <w:rsid w:val="00A80606"/>
    <w:rsid w:val="00A96026"/>
    <w:rsid w:val="00A96978"/>
    <w:rsid w:val="00AC04C4"/>
    <w:rsid w:val="00AD5B28"/>
    <w:rsid w:val="00AE1A4A"/>
    <w:rsid w:val="00AE5BF4"/>
    <w:rsid w:val="00B263E1"/>
    <w:rsid w:val="00B2797F"/>
    <w:rsid w:val="00B31F84"/>
    <w:rsid w:val="00B35A53"/>
    <w:rsid w:val="00B4112D"/>
    <w:rsid w:val="00B81EE6"/>
    <w:rsid w:val="00B84D39"/>
    <w:rsid w:val="00BA6389"/>
    <w:rsid w:val="00BC7A82"/>
    <w:rsid w:val="00BD3143"/>
    <w:rsid w:val="00BE33B9"/>
    <w:rsid w:val="00C01613"/>
    <w:rsid w:val="00C0201F"/>
    <w:rsid w:val="00C04331"/>
    <w:rsid w:val="00C119CE"/>
    <w:rsid w:val="00C13C51"/>
    <w:rsid w:val="00C2306E"/>
    <w:rsid w:val="00C2379F"/>
    <w:rsid w:val="00C23F36"/>
    <w:rsid w:val="00C25FA5"/>
    <w:rsid w:val="00C305B6"/>
    <w:rsid w:val="00C3135F"/>
    <w:rsid w:val="00C63231"/>
    <w:rsid w:val="00C736B9"/>
    <w:rsid w:val="00C82AB2"/>
    <w:rsid w:val="00C87BC3"/>
    <w:rsid w:val="00C91171"/>
    <w:rsid w:val="00C926FE"/>
    <w:rsid w:val="00CB4447"/>
    <w:rsid w:val="00CD334A"/>
    <w:rsid w:val="00CE0D15"/>
    <w:rsid w:val="00CF0704"/>
    <w:rsid w:val="00D23111"/>
    <w:rsid w:val="00D445A4"/>
    <w:rsid w:val="00D44E9D"/>
    <w:rsid w:val="00D55DED"/>
    <w:rsid w:val="00D623B7"/>
    <w:rsid w:val="00D72EF9"/>
    <w:rsid w:val="00D775DA"/>
    <w:rsid w:val="00D847B0"/>
    <w:rsid w:val="00D97887"/>
    <w:rsid w:val="00DA126F"/>
    <w:rsid w:val="00DB21EC"/>
    <w:rsid w:val="00DB2CB4"/>
    <w:rsid w:val="00DB2CCC"/>
    <w:rsid w:val="00DB7A08"/>
    <w:rsid w:val="00DD07B5"/>
    <w:rsid w:val="00DF5982"/>
    <w:rsid w:val="00E03C82"/>
    <w:rsid w:val="00E35741"/>
    <w:rsid w:val="00E4386D"/>
    <w:rsid w:val="00E43A7A"/>
    <w:rsid w:val="00E475B6"/>
    <w:rsid w:val="00E5135F"/>
    <w:rsid w:val="00E64F85"/>
    <w:rsid w:val="00EB7058"/>
    <w:rsid w:val="00EB79A4"/>
    <w:rsid w:val="00EC3AAE"/>
    <w:rsid w:val="00ED6FD3"/>
    <w:rsid w:val="00EE1E1D"/>
    <w:rsid w:val="00EF5F68"/>
    <w:rsid w:val="00F01784"/>
    <w:rsid w:val="00F17B00"/>
    <w:rsid w:val="00F17D2A"/>
    <w:rsid w:val="00F34F89"/>
    <w:rsid w:val="00F43F74"/>
    <w:rsid w:val="00F47B8C"/>
    <w:rsid w:val="00F5121D"/>
    <w:rsid w:val="00F777C2"/>
    <w:rsid w:val="00F91C19"/>
    <w:rsid w:val="00FA448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7F50"/>
  <w15:docId w15:val="{D201EC23-0C6F-4534-920D-AFEFCCB0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">
    <w:name w:val="Lista clara1"/>
    <w:basedOn w:val="Tablanormal"/>
    <w:next w:val="Listaclara"/>
    <w:uiPriority w:val="61"/>
    <w:rsid w:val="008027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43A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A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A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A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1F56-593C-4098-8F71-7C4CF0AD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javier.amoros</dc:creator>
  <cp:keywords/>
  <dc:description/>
  <cp:lastModifiedBy>ANA MARIA RUIZ MARTINEZ</cp:lastModifiedBy>
  <cp:revision>6</cp:revision>
  <cp:lastPrinted>2015-01-27T17:42:00Z</cp:lastPrinted>
  <dcterms:created xsi:type="dcterms:W3CDTF">2024-05-28T12:08:00Z</dcterms:created>
  <dcterms:modified xsi:type="dcterms:W3CDTF">2024-05-28T15:09:00Z</dcterms:modified>
</cp:coreProperties>
</file>