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44D4" w14:textId="1EDE2467" w:rsidR="006F17B5" w:rsidRPr="00E04B21" w:rsidRDefault="006F17B5" w:rsidP="001B16D9">
      <w:pPr>
        <w:pStyle w:val="Ttulo1"/>
        <w:jc w:val="both"/>
        <w:rPr>
          <w:rFonts w:ascii="Mulish" w:hAnsi="Mulish"/>
          <w:color w:val="079386"/>
        </w:rPr>
      </w:pPr>
      <w:r w:rsidRPr="00E04B21">
        <w:rPr>
          <w:rFonts w:ascii="Mulish" w:hAnsi="Mulish"/>
          <w:color w:val="079386"/>
        </w:rPr>
        <w:t xml:space="preserve">INFORME RELATIVO A LAS OBSERVACIONES REMITIDAS POR </w:t>
      </w:r>
      <w:r w:rsidR="00990CFE" w:rsidRPr="00E04B21">
        <w:rPr>
          <w:rFonts w:ascii="Mulish" w:hAnsi="Mulish"/>
          <w:color w:val="079386"/>
        </w:rPr>
        <w:t xml:space="preserve">LA </w:t>
      </w:r>
      <w:r w:rsidR="00E04B21">
        <w:rPr>
          <w:rFonts w:ascii="Mulish" w:hAnsi="Mulish"/>
          <w:color w:val="079386"/>
        </w:rPr>
        <w:t>ENTIDAD PÚBLICA EMPRESARIAL RED.ES</w:t>
      </w:r>
      <w:r w:rsidR="007704A4" w:rsidRPr="00E04B21">
        <w:rPr>
          <w:rFonts w:ascii="Mulish" w:hAnsi="Mulish"/>
          <w:color w:val="079386"/>
        </w:rPr>
        <w:t xml:space="preserve"> </w:t>
      </w:r>
      <w:r w:rsidRPr="00E04B21">
        <w:rPr>
          <w:rFonts w:ascii="Mulish" w:hAnsi="Mulish"/>
          <w:color w:val="079386"/>
        </w:rPr>
        <w:t>EN RELACIÓN CON EL INFORME DEL CTBG SOBRE CUMPLIMIENTO DE LAS OBLIGACIONES DE PUBLICIDAD ACTIVA ESTABLECIDAS POR LA LTAIBG</w:t>
      </w:r>
    </w:p>
    <w:p w14:paraId="4BFD290B" w14:textId="77777777" w:rsidR="006F17B5" w:rsidRPr="00E04B21" w:rsidRDefault="006F17B5" w:rsidP="006F17B5">
      <w:pPr>
        <w:jc w:val="center"/>
        <w:rPr>
          <w:rFonts w:ascii="Mulish" w:hAnsi="Mulish" w:cstheme="minorHAnsi"/>
          <w:szCs w:val="24"/>
        </w:rPr>
      </w:pPr>
    </w:p>
    <w:p w14:paraId="4A1C7565" w14:textId="4CBDB7BA" w:rsidR="00D23111" w:rsidRPr="00E04B21" w:rsidRDefault="00D23111" w:rsidP="009E16B5">
      <w:pPr>
        <w:tabs>
          <w:tab w:val="left" w:pos="284"/>
        </w:tabs>
        <w:spacing w:before="120" w:after="120" w:line="312" w:lineRule="auto"/>
        <w:contextualSpacing/>
        <w:jc w:val="both"/>
        <w:rPr>
          <w:rFonts w:ascii="Mulish" w:hAnsi="Mulish" w:cstheme="minorHAnsi"/>
          <w:szCs w:val="24"/>
        </w:rPr>
      </w:pPr>
      <w:r w:rsidRPr="00E04B21">
        <w:rPr>
          <w:rFonts w:ascii="Mulish" w:hAnsi="Mulish" w:cstheme="minorHAnsi"/>
          <w:szCs w:val="24"/>
        </w:rPr>
        <w:t>En contestación a su</w:t>
      </w:r>
      <w:r w:rsidR="00C25FA5" w:rsidRPr="00E04B21">
        <w:rPr>
          <w:rFonts w:ascii="Mulish" w:hAnsi="Mulish" w:cstheme="minorHAnsi"/>
          <w:szCs w:val="24"/>
        </w:rPr>
        <w:t xml:space="preserve"> escrito </w:t>
      </w:r>
      <w:r w:rsidR="00565608" w:rsidRPr="00E04B21">
        <w:rPr>
          <w:rFonts w:ascii="Mulish" w:hAnsi="Mulish" w:cstheme="minorHAnsi"/>
          <w:szCs w:val="24"/>
        </w:rPr>
        <w:t xml:space="preserve">de fecha </w:t>
      </w:r>
      <w:r w:rsidR="00E04B21">
        <w:rPr>
          <w:rFonts w:ascii="Mulish" w:hAnsi="Mulish" w:cstheme="minorHAnsi"/>
          <w:szCs w:val="24"/>
        </w:rPr>
        <w:t>22</w:t>
      </w:r>
      <w:r w:rsidRPr="00E04B21">
        <w:rPr>
          <w:rFonts w:ascii="Mulish" w:hAnsi="Mulish" w:cstheme="minorHAnsi"/>
          <w:szCs w:val="24"/>
        </w:rPr>
        <w:t xml:space="preserve"> de </w:t>
      </w:r>
      <w:r w:rsidR="00E04B21">
        <w:rPr>
          <w:rFonts w:ascii="Mulish" w:hAnsi="Mulish" w:cstheme="minorHAnsi"/>
          <w:szCs w:val="24"/>
        </w:rPr>
        <w:t>mayo</w:t>
      </w:r>
      <w:r w:rsidRPr="00E04B21">
        <w:rPr>
          <w:rFonts w:ascii="Mulish" w:hAnsi="Mulish" w:cstheme="minorHAnsi"/>
          <w:szCs w:val="24"/>
        </w:rPr>
        <w:t xml:space="preserve"> de 202</w:t>
      </w:r>
      <w:r w:rsidR="00E04B21">
        <w:rPr>
          <w:rFonts w:ascii="Mulish" w:hAnsi="Mulish" w:cstheme="minorHAnsi"/>
          <w:szCs w:val="24"/>
        </w:rPr>
        <w:t>4</w:t>
      </w:r>
      <w:r w:rsidR="00C119CE" w:rsidRPr="00E04B21">
        <w:rPr>
          <w:rFonts w:ascii="Mulish" w:hAnsi="Mulish" w:cstheme="minorHAnsi"/>
          <w:szCs w:val="24"/>
        </w:rPr>
        <w:t>,</w:t>
      </w:r>
      <w:r w:rsidR="005B1C12" w:rsidRPr="00E04B21">
        <w:rPr>
          <w:rFonts w:ascii="Mulish" w:hAnsi="Mulish" w:cstheme="minorHAnsi"/>
          <w:szCs w:val="24"/>
        </w:rPr>
        <w:t xml:space="preserve"> </w:t>
      </w:r>
      <w:r w:rsidRPr="00E04B21">
        <w:rPr>
          <w:rFonts w:ascii="Mulish" w:hAnsi="Mulish" w:cstheme="minorHAnsi"/>
          <w:szCs w:val="24"/>
        </w:rPr>
        <w:t xml:space="preserve">una vez analizadas </w:t>
      </w:r>
      <w:r w:rsidR="00C119CE" w:rsidRPr="00E04B21">
        <w:rPr>
          <w:rFonts w:ascii="Mulish" w:hAnsi="Mulish" w:cstheme="minorHAnsi"/>
          <w:szCs w:val="24"/>
        </w:rPr>
        <w:t xml:space="preserve">todas </w:t>
      </w:r>
      <w:r w:rsidRPr="00E04B21">
        <w:rPr>
          <w:rFonts w:ascii="Mulish" w:hAnsi="Mulish" w:cstheme="minorHAnsi"/>
          <w:szCs w:val="24"/>
        </w:rPr>
        <w:t xml:space="preserve">las observaciones realizadas al borrador de informe de evaluación </w:t>
      </w:r>
      <w:r w:rsidR="00B81EE6" w:rsidRPr="00E04B21">
        <w:rPr>
          <w:rFonts w:ascii="Mulish" w:hAnsi="Mulish" w:cstheme="minorHAnsi"/>
          <w:szCs w:val="24"/>
        </w:rPr>
        <w:t xml:space="preserve">relativo al </w:t>
      </w:r>
      <w:r w:rsidRPr="00E04B21">
        <w:rPr>
          <w:rFonts w:ascii="Mulish" w:hAnsi="Mulish" w:cstheme="minorHAnsi"/>
          <w:szCs w:val="24"/>
        </w:rPr>
        <w:t xml:space="preserve">cumplimiento de las obligaciones de publicidad activa por parte de esa </w:t>
      </w:r>
      <w:r w:rsidR="00855ECA" w:rsidRPr="00E04B21">
        <w:rPr>
          <w:rFonts w:ascii="Mulish" w:hAnsi="Mulish" w:cstheme="minorHAnsi"/>
          <w:szCs w:val="24"/>
        </w:rPr>
        <w:t>Institución</w:t>
      </w:r>
      <w:r w:rsidRPr="00E04B21">
        <w:rPr>
          <w:rFonts w:ascii="Mulish" w:hAnsi="Mulish" w:cstheme="minorHAnsi"/>
          <w:szCs w:val="24"/>
        </w:rPr>
        <w:t>, este CTBG efectúa las siguientes consideraciones:</w:t>
      </w:r>
    </w:p>
    <w:p w14:paraId="40D07AD5" w14:textId="77777777" w:rsidR="00855ECA" w:rsidRPr="00E04B21" w:rsidRDefault="00855ECA" w:rsidP="009E16B5">
      <w:pPr>
        <w:tabs>
          <w:tab w:val="left" w:pos="284"/>
        </w:tabs>
        <w:spacing w:before="120" w:after="120" w:line="312" w:lineRule="auto"/>
        <w:contextualSpacing/>
        <w:jc w:val="both"/>
        <w:rPr>
          <w:rFonts w:ascii="Mulish" w:hAnsi="Mulish" w:cstheme="minorHAnsi"/>
          <w:szCs w:val="24"/>
        </w:rPr>
      </w:pPr>
    </w:p>
    <w:p w14:paraId="190520BD" w14:textId="04C9FBAB" w:rsidR="00F34F89" w:rsidRPr="00E04B21" w:rsidRDefault="00F34F89" w:rsidP="00F34F89">
      <w:pPr>
        <w:tabs>
          <w:tab w:val="left" w:pos="284"/>
        </w:tabs>
        <w:spacing w:before="120" w:after="120" w:line="312" w:lineRule="auto"/>
        <w:jc w:val="both"/>
        <w:rPr>
          <w:rFonts w:ascii="Mulish" w:hAnsi="Mulish" w:cstheme="minorHAnsi"/>
          <w:szCs w:val="24"/>
        </w:rPr>
      </w:pPr>
      <w:r w:rsidRPr="00E04B21">
        <w:rPr>
          <w:rFonts w:ascii="Mulish" w:hAnsi="Mulish" w:cstheme="minorHAnsi"/>
          <w:szCs w:val="24"/>
        </w:rPr>
        <w:t xml:space="preserve">Como consideración previa de este Consejo a algunas de las observaciones realizadas por </w:t>
      </w:r>
      <w:r w:rsidR="0066603A">
        <w:rPr>
          <w:rFonts w:ascii="Mulish" w:hAnsi="Mulish" w:cstheme="minorHAnsi"/>
          <w:szCs w:val="24"/>
        </w:rPr>
        <w:t>RED.es</w:t>
      </w:r>
      <w:r w:rsidRPr="00E04B21">
        <w:rPr>
          <w:rFonts w:ascii="Mulish" w:hAnsi="Mulish" w:cstheme="minorHAnsi"/>
          <w:szCs w:val="24"/>
        </w:rPr>
        <w:t xml:space="preserve">, que manifiestan discrepancia con algunos de los criterios y recomendaciones efectuadas,  se recuerda que el artículo 38.1. a) de la LTAIBG contempla entre las competencias y funciones del CTBG, la adopción de recomendaciones para el mejor cumplimiento de las obligaciones contenidas en la norma y el mismo artículo en su inciso 2 apartado a) atribuye a la Presidencia del Consejo, entre otras funciones, la adopción de criterios de interpretación uniforme de la LTAIBG.  </w:t>
      </w:r>
    </w:p>
    <w:p w14:paraId="74C5A097" w14:textId="77777777" w:rsidR="00F34F89" w:rsidRPr="00E04B21" w:rsidRDefault="00F34F89" w:rsidP="00F34F89">
      <w:pPr>
        <w:tabs>
          <w:tab w:val="left" w:pos="284"/>
        </w:tabs>
        <w:spacing w:before="120" w:after="120" w:line="312" w:lineRule="auto"/>
        <w:jc w:val="both"/>
        <w:rPr>
          <w:rFonts w:ascii="Mulish" w:hAnsi="Mulish" w:cstheme="minorHAnsi"/>
          <w:szCs w:val="24"/>
        </w:rPr>
      </w:pPr>
      <w:r w:rsidRPr="00E04B21">
        <w:rPr>
          <w:rFonts w:ascii="Mulish" w:hAnsi="Mulish" w:cstheme="minorHAnsi"/>
          <w:szCs w:val="24"/>
        </w:rPr>
        <w:t>Una segunda cuestión, es que este Consejo evalúa el cumplimiento de las obligaciones de publicidad activa</w:t>
      </w:r>
      <w:r w:rsidR="006262A2" w:rsidRPr="00E04B21">
        <w:rPr>
          <w:rFonts w:ascii="Mulish" w:hAnsi="Mulish" w:cstheme="minorHAnsi"/>
          <w:szCs w:val="24"/>
        </w:rPr>
        <w:t xml:space="preserve"> </w:t>
      </w:r>
      <w:r w:rsidR="00AD5B28" w:rsidRPr="00E04B21">
        <w:rPr>
          <w:rFonts w:ascii="Mulish" w:hAnsi="Mulish" w:cstheme="minorHAnsi"/>
          <w:szCs w:val="24"/>
        </w:rPr>
        <w:t xml:space="preserve">– incluidos los atributos relativos a la calidad de la publicación, que establece la LTAIBG en el artículo 5 incisos 1 y 4 - </w:t>
      </w:r>
      <w:r w:rsidRPr="00E04B21">
        <w:rPr>
          <w:rFonts w:ascii="Mulish" w:hAnsi="Mulish" w:cstheme="minorHAnsi"/>
          <w:szCs w:val="24"/>
        </w:rPr>
        <w:t xml:space="preserve">intentando adoptar, en la medida de lo posible, la posición de los </w:t>
      </w:r>
      <w:r w:rsidR="00887DB9" w:rsidRPr="00E04B21">
        <w:rPr>
          <w:rFonts w:ascii="Mulish" w:hAnsi="Mulish" w:cstheme="minorHAnsi"/>
          <w:szCs w:val="24"/>
        </w:rPr>
        <w:t>destinatarios</w:t>
      </w:r>
      <w:r w:rsidRPr="00E04B21">
        <w:rPr>
          <w:rFonts w:ascii="Mulish" w:hAnsi="Mulish" w:cstheme="minorHAnsi"/>
          <w:szCs w:val="24"/>
        </w:rPr>
        <w:t xml:space="preserve"> de la transparencia</w:t>
      </w:r>
      <w:r w:rsidR="00887DB9" w:rsidRPr="00E04B21">
        <w:rPr>
          <w:rFonts w:ascii="Mulish" w:hAnsi="Mulish" w:cstheme="minorHAnsi"/>
          <w:szCs w:val="24"/>
        </w:rPr>
        <w:t xml:space="preserve"> – los ciudadanos -</w:t>
      </w:r>
      <w:r w:rsidR="00AD5B28" w:rsidRPr="00E04B21">
        <w:rPr>
          <w:rFonts w:ascii="Mulish" w:hAnsi="Mulish" w:cstheme="minorHAnsi"/>
          <w:szCs w:val="24"/>
        </w:rPr>
        <w:t>,</w:t>
      </w:r>
      <w:r w:rsidRPr="00E04B21">
        <w:rPr>
          <w:rFonts w:ascii="Mulish" w:hAnsi="Mulish" w:cstheme="minorHAnsi"/>
          <w:szCs w:val="24"/>
        </w:rPr>
        <w:t xml:space="preserve"> </w:t>
      </w:r>
      <w:r w:rsidR="00AD5B28" w:rsidRPr="00E04B21">
        <w:rPr>
          <w:rFonts w:ascii="Mulish" w:hAnsi="Mulish" w:cstheme="minorHAnsi"/>
          <w:szCs w:val="24"/>
        </w:rPr>
        <w:t>personas que no tienen por qué conocer cómo se organizan ni que funciones tienen atribuidas las organizaciones públicas y, que obviamente no son expertos en el manejo de las herramientas de gestión que estas organizaciones utilizan.</w:t>
      </w:r>
    </w:p>
    <w:p w14:paraId="5CAEA7F5" w14:textId="77777777" w:rsidR="00AD5B28" w:rsidRPr="00E04B21" w:rsidRDefault="00AD5B28" w:rsidP="00F34F89">
      <w:pPr>
        <w:tabs>
          <w:tab w:val="left" w:pos="284"/>
        </w:tabs>
        <w:spacing w:before="120" w:after="120" w:line="312" w:lineRule="auto"/>
        <w:jc w:val="both"/>
        <w:rPr>
          <w:rFonts w:ascii="Mulish" w:hAnsi="Mulish" w:cstheme="minorHAnsi"/>
          <w:b/>
          <w:szCs w:val="24"/>
        </w:rPr>
      </w:pPr>
    </w:p>
    <w:p w14:paraId="336E3972" w14:textId="793754F9" w:rsidR="007704A4" w:rsidRPr="00E04B21" w:rsidRDefault="0064071F" w:rsidP="00D847B0">
      <w:pPr>
        <w:pStyle w:val="Prrafodelista"/>
        <w:numPr>
          <w:ilvl w:val="0"/>
          <w:numId w:val="11"/>
        </w:numPr>
        <w:tabs>
          <w:tab w:val="left" w:pos="284"/>
        </w:tabs>
        <w:spacing w:before="120" w:after="120" w:line="312" w:lineRule="auto"/>
        <w:jc w:val="both"/>
        <w:rPr>
          <w:rFonts w:ascii="Mulish" w:hAnsi="Mulish" w:cstheme="minorHAnsi"/>
          <w:b/>
          <w:szCs w:val="24"/>
        </w:rPr>
      </w:pPr>
      <w:r>
        <w:rPr>
          <w:rFonts w:ascii="Mulish" w:hAnsi="Mulish" w:cstheme="minorHAnsi"/>
          <w:b/>
          <w:szCs w:val="24"/>
        </w:rPr>
        <w:t>Se aceptan las siguientes observaciones</w:t>
      </w:r>
      <w:r w:rsidR="007704A4" w:rsidRPr="00E04B21">
        <w:rPr>
          <w:rFonts w:ascii="Mulish" w:hAnsi="Mulish" w:cstheme="minorHAnsi"/>
          <w:b/>
          <w:szCs w:val="24"/>
        </w:rPr>
        <w:t>.</w:t>
      </w:r>
    </w:p>
    <w:p w14:paraId="269EA348" w14:textId="77777777" w:rsidR="00F34F89" w:rsidRPr="00E04B21" w:rsidRDefault="00F34F89" w:rsidP="007704A4">
      <w:pPr>
        <w:pStyle w:val="Prrafodelista"/>
        <w:tabs>
          <w:tab w:val="left" w:pos="284"/>
        </w:tabs>
        <w:spacing w:before="120" w:after="120" w:line="312" w:lineRule="auto"/>
        <w:jc w:val="both"/>
        <w:rPr>
          <w:rFonts w:ascii="Mulish" w:hAnsi="Mulish" w:cstheme="minorHAnsi"/>
          <w:szCs w:val="24"/>
        </w:rPr>
      </w:pPr>
    </w:p>
    <w:p w14:paraId="7B8D6225" w14:textId="77FA49FB" w:rsidR="00C61E5C" w:rsidRDefault="0064071F" w:rsidP="0031682B">
      <w:pPr>
        <w:pStyle w:val="Prrafodelista"/>
        <w:numPr>
          <w:ilvl w:val="1"/>
          <w:numId w:val="21"/>
        </w:numPr>
        <w:tabs>
          <w:tab w:val="left" w:pos="284"/>
        </w:tabs>
        <w:spacing w:before="120" w:after="120" w:line="312" w:lineRule="auto"/>
        <w:ind w:left="1276"/>
        <w:jc w:val="both"/>
        <w:rPr>
          <w:rFonts w:ascii="Mulish" w:hAnsi="Mulish" w:cstheme="minorHAnsi"/>
          <w:szCs w:val="24"/>
        </w:rPr>
      </w:pPr>
      <w:r w:rsidRPr="00C61E5C">
        <w:rPr>
          <w:rFonts w:ascii="Mulish" w:hAnsi="Mulish" w:cstheme="minorHAnsi"/>
          <w:szCs w:val="24"/>
        </w:rPr>
        <w:t xml:space="preserve">La relativa a la no aplicación de la obligación ejecución presupuestaria, dado el carácter estimativo del presupuesto de la entidad. </w:t>
      </w:r>
      <w:r w:rsidR="002764A7">
        <w:rPr>
          <w:rFonts w:ascii="Mulish" w:hAnsi="Mulish" w:cstheme="minorHAnsi"/>
          <w:szCs w:val="24"/>
        </w:rPr>
        <w:t>Se considera no aplicable la obligación.</w:t>
      </w:r>
    </w:p>
    <w:p w14:paraId="26C38A7A" w14:textId="77777777" w:rsidR="00525FCA" w:rsidRPr="00E04B21" w:rsidRDefault="00525FCA" w:rsidP="009E084D">
      <w:pPr>
        <w:pStyle w:val="Prrafodelista"/>
        <w:tabs>
          <w:tab w:val="left" w:pos="284"/>
        </w:tabs>
        <w:spacing w:before="120" w:after="120" w:line="312" w:lineRule="auto"/>
        <w:jc w:val="both"/>
        <w:rPr>
          <w:rFonts w:ascii="Mulish" w:hAnsi="Mulish" w:cstheme="minorHAnsi"/>
          <w:szCs w:val="24"/>
        </w:rPr>
      </w:pPr>
    </w:p>
    <w:p w14:paraId="36A43DF1" w14:textId="45524996" w:rsidR="0066237D" w:rsidRPr="00E04B21" w:rsidRDefault="0064071F" w:rsidP="00186B56">
      <w:pPr>
        <w:pStyle w:val="Prrafodelista"/>
        <w:numPr>
          <w:ilvl w:val="0"/>
          <w:numId w:val="11"/>
        </w:numPr>
        <w:tabs>
          <w:tab w:val="left" w:pos="284"/>
        </w:tabs>
        <w:spacing w:before="120" w:after="120" w:line="312" w:lineRule="auto"/>
        <w:jc w:val="both"/>
        <w:rPr>
          <w:rFonts w:ascii="Mulish" w:hAnsi="Mulish" w:cstheme="minorHAnsi"/>
          <w:b/>
          <w:szCs w:val="24"/>
        </w:rPr>
      </w:pPr>
      <w:r>
        <w:rPr>
          <w:rFonts w:ascii="Mulish" w:hAnsi="Mulish" w:cstheme="minorHAnsi"/>
          <w:b/>
          <w:szCs w:val="24"/>
        </w:rPr>
        <w:lastRenderedPageBreak/>
        <w:t>No se aceptan las siguientes observaciones</w:t>
      </w:r>
      <w:r w:rsidR="0066237D" w:rsidRPr="00E04B21">
        <w:rPr>
          <w:rFonts w:ascii="Mulish" w:hAnsi="Mulish" w:cstheme="minorHAnsi"/>
          <w:b/>
          <w:szCs w:val="24"/>
        </w:rPr>
        <w:t>.</w:t>
      </w:r>
    </w:p>
    <w:p w14:paraId="55E9154D" w14:textId="77777777" w:rsidR="00043EA8" w:rsidRPr="00E04B21" w:rsidRDefault="00043EA8" w:rsidP="00043EA8">
      <w:pPr>
        <w:pStyle w:val="Prrafodelista"/>
        <w:tabs>
          <w:tab w:val="left" w:pos="284"/>
        </w:tabs>
        <w:spacing w:before="120" w:after="120" w:line="312" w:lineRule="auto"/>
        <w:jc w:val="both"/>
        <w:rPr>
          <w:rFonts w:ascii="Mulish" w:hAnsi="Mulish" w:cstheme="minorHAnsi"/>
          <w:szCs w:val="24"/>
        </w:rPr>
      </w:pPr>
    </w:p>
    <w:p w14:paraId="1B68E13D" w14:textId="1BD6ADDE" w:rsidR="00A54AEA" w:rsidRDefault="00A54AEA" w:rsidP="00A54AEA">
      <w:pPr>
        <w:pStyle w:val="Prrafodelista"/>
        <w:numPr>
          <w:ilvl w:val="1"/>
          <w:numId w:val="22"/>
        </w:numPr>
        <w:tabs>
          <w:tab w:val="left" w:pos="284"/>
        </w:tabs>
        <w:spacing w:before="120" w:after="120" w:line="312" w:lineRule="auto"/>
        <w:jc w:val="both"/>
        <w:rPr>
          <w:rFonts w:ascii="Mulish" w:hAnsi="Mulish" w:cstheme="minorHAnsi"/>
          <w:szCs w:val="24"/>
        </w:rPr>
      </w:pPr>
      <w:r>
        <w:rPr>
          <w:rFonts w:ascii="Mulish" w:hAnsi="Mulish" w:cstheme="minorHAnsi"/>
          <w:szCs w:val="24"/>
        </w:rPr>
        <w:t>La relativa a la rendición de cuentas al Tribunal de Cuentas a través de la IGAE. La obligación</w:t>
      </w:r>
      <w:r w:rsidR="00C61E5C">
        <w:rPr>
          <w:rFonts w:ascii="Mulish" w:hAnsi="Mulish" w:cstheme="minorHAnsi"/>
          <w:szCs w:val="24"/>
        </w:rPr>
        <w:t xml:space="preserve"> </w:t>
      </w:r>
      <w:r>
        <w:rPr>
          <w:rFonts w:ascii="Mulish" w:hAnsi="Mulish" w:cstheme="minorHAnsi"/>
          <w:szCs w:val="24"/>
        </w:rPr>
        <w:t>no está referida exclusivamente a los informes de auditoría de cuentas, también incluye los informes de fiscalización elaborados por el Tribunal: “</w:t>
      </w:r>
      <w:r w:rsidRPr="00A54AEA">
        <w:rPr>
          <w:rFonts w:ascii="Mulish" w:hAnsi="Mulish" w:cstheme="minorHAnsi"/>
          <w:i/>
          <w:iCs/>
          <w:szCs w:val="24"/>
        </w:rPr>
        <w:t xml:space="preserve">Las cuentas anuales que deban rendirse y los informes de auditoría de cuentas y </w:t>
      </w:r>
      <w:r w:rsidRPr="00C61E5C">
        <w:rPr>
          <w:rFonts w:ascii="Mulish" w:hAnsi="Mulish" w:cstheme="minorHAnsi"/>
          <w:b/>
          <w:bCs/>
          <w:i/>
          <w:iCs/>
          <w:szCs w:val="24"/>
        </w:rPr>
        <w:t>de fiscalización</w:t>
      </w:r>
      <w:r w:rsidRPr="00A54AEA">
        <w:rPr>
          <w:rFonts w:ascii="Mulish" w:hAnsi="Mulish" w:cstheme="minorHAnsi"/>
          <w:i/>
          <w:iCs/>
          <w:szCs w:val="24"/>
        </w:rPr>
        <w:t xml:space="preserve"> por parte de los órganos de control externo que sobre ellos se emitan</w:t>
      </w:r>
      <w:r>
        <w:rPr>
          <w:rFonts w:ascii="Mulish" w:hAnsi="Mulish" w:cstheme="minorHAnsi"/>
          <w:szCs w:val="24"/>
        </w:rPr>
        <w:t xml:space="preserve">”. En la </w:t>
      </w:r>
      <w:r w:rsidR="00C61E5C">
        <w:rPr>
          <w:rFonts w:ascii="Mulish" w:hAnsi="Mulish" w:cstheme="minorHAnsi"/>
          <w:szCs w:val="24"/>
        </w:rPr>
        <w:t>web</w:t>
      </w:r>
      <w:r>
        <w:rPr>
          <w:rFonts w:ascii="Mulish" w:hAnsi="Mulish" w:cstheme="minorHAnsi"/>
          <w:szCs w:val="24"/>
        </w:rPr>
        <w:t xml:space="preserve"> del TCU se han localizado diversos informes de fiscalización relativos a RED.es que deberían ser publicados para dar cumplimiento a esta obligación. </w:t>
      </w:r>
    </w:p>
    <w:p w14:paraId="1957059F" w14:textId="1C4589FF" w:rsidR="00A54AEA" w:rsidRPr="00A54AEA" w:rsidRDefault="00A54AEA" w:rsidP="00A54AEA">
      <w:pPr>
        <w:pStyle w:val="Prrafodelista"/>
        <w:numPr>
          <w:ilvl w:val="1"/>
          <w:numId w:val="22"/>
        </w:numPr>
        <w:tabs>
          <w:tab w:val="left" w:pos="284"/>
        </w:tabs>
        <w:spacing w:before="120" w:after="120" w:line="312" w:lineRule="auto"/>
        <w:jc w:val="both"/>
        <w:rPr>
          <w:rFonts w:ascii="Mulish" w:hAnsi="Mulish" w:cstheme="minorHAnsi"/>
          <w:szCs w:val="24"/>
        </w:rPr>
      </w:pPr>
      <w:r>
        <w:rPr>
          <w:rFonts w:ascii="Mulish" w:hAnsi="Mulish" w:cstheme="minorHAnsi"/>
          <w:szCs w:val="24"/>
        </w:rPr>
        <w:t>La relativa a la publicación de las autorizaciones para el ejercicio de actividades privadas al cese de altos cargos.</w:t>
      </w:r>
      <w:r w:rsidRPr="00A54AEA">
        <w:t xml:space="preserve"> </w:t>
      </w:r>
      <w:r w:rsidRPr="00A54AEA">
        <w:rPr>
          <w:rFonts w:ascii="Mulish" w:hAnsi="Mulish" w:cstheme="minorHAnsi"/>
          <w:szCs w:val="24"/>
        </w:rPr>
        <w:t>Indica RED.</w:t>
      </w:r>
      <w:r w:rsidR="00C61E5C">
        <w:rPr>
          <w:rFonts w:ascii="Mulish" w:hAnsi="Mulish" w:cstheme="minorHAnsi"/>
          <w:szCs w:val="24"/>
        </w:rPr>
        <w:t>es</w:t>
      </w:r>
      <w:r>
        <w:rPr>
          <w:rFonts w:ascii="Mulish" w:hAnsi="Mulish" w:cstheme="minorHAnsi"/>
          <w:szCs w:val="24"/>
        </w:rPr>
        <w:t xml:space="preserve"> </w:t>
      </w:r>
      <w:r w:rsidRPr="00A54AEA">
        <w:rPr>
          <w:rFonts w:ascii="Mulish" w:hAnsi="Mulish" w:cstheme="minorHAnsi"/>
          <w:szCs w:val="24"/>
        </w:rPr>
        <w:t>que la competencia sobre esta materia corresponde a la Oficina de Conflictos de Intereses (OCI) y que es a la OCI a quien corresponde la publicación de esta información.</w:t>
      </w:r>
    </w:p>
    <w:p w14:paraId="3A7F5983" w14:textId="77777777" w:rsidR="00A54AEA" w:rsidRPr="00A54AEA" w:rsidRDefault="00A54AEA" w:rsidP="00A54AEA">
      <w:pPr>
        <w:pStyle w:val="Prrafodelista"/>
        <w:tabs>
          <w:tab w:val="left" w:pos="284"/>
        </w:tabs>
        <w:spacing w:before="120" w:after="120" w:line="312" w:lineRule="auto"/>
        <w:ind w:left="1789"/>
        <w:jc w:val="both"/>
        <w:rPr>
          <w:rFonts w:ascii="Mulish" w:hAnsi="Mulish" w:cstheme="minorHAnsi"/>
          <w:szCs w:val="24"/>
        </w:rPr>
      </w:pPr>
      <w:r w:rsidRPr="00A54AEA">
        <w:rPr>
          <w:rFonts w:ascii="Mulish" w:hAnsi="Mulish" w:cstheme="minorHAnsi"/>
          <w:szCs w:val="24"/>
        </w:rPr>
        <w:t xml:space="preserve">En este sentido cabe recordar que el artículo 5.4 de la LTAIBG señala que la información sujeta a las obligaciones de transparencia será publicada en las correspondientes sedes electrónicas o páginas web de los sujetos obligados. </w:t>
      </w:r>
    </w:p>
    <w:p w14:paraId="5626BF2F" w14:textId="4299CBA2" w:rsidR="00A54AEA" w:rsidRDefault="00A54AEA" w:rsidP="00A54AEA">
      <w:pPr>
        <w:pStyle w:val="Prrafodelista"/>
        <w:tabs>
          <w:tab w:val="left" w:pos="284"/>
        </w:tabs>
        <w:spacing w:before="120" w:after="120" w:line="312" w:lineRule="auto"/>
        <w:ind w:left="1789"/>
        <w:jc w:val="both"/>
        <w:rPr>
          <w:rFonts w:ascii="Mulish" w:hAnsi="Mulish" w:cstheme="minorHAnsi"/>
          <w:szCs w:val="24"/>
        </w:rPr>
      </w:pPr>
      <w:r w:rsidRPr="00A54AEA">
        <w:rPr>
          <w:rFonts w:ascii="Mulish" w:hAnsi="Mulish" w:cstheme="minorHAnsi"/>
          <w:szCs w:val="24"/>
        </w:rPr>
        <w:t>El hecho de que quien tiene la competencia para otorgar la autorización sea un órgano diferente, no implica que pueda obviarse la publicación de esta información por parte del órgano en el que la persona autorizada preste o haya prestado sus servicios.</w:t>
      </w:r>
    </w:p>
    <w:p w14:paraId="7FFBCDC7" w14:textId="4BAAB5F7" w:rsidR="00965C9B" w:rsidRDefault="00043EA8" w:rsidP="00A54AEA">
      <w:pPr>
        <w:pStyle w:val="Prrafodelista"/>
        <w:numPr>
          <w:ilvl w:val="1"/>
          <w:numId w:val="22"/>
        </w:numPr>
        <w:tabs>
          <w:tab w:val="left" w:pos="284"/>
        </w:tabs>
        <w:spacing w:before="120" w:after="120" w:line="312" w:lineRule="auto"/>
        <w:jc w:val="both"/>
        <w:rPr>
          <w:rFonts w:ascii="Mulish" w:hAnsi="Mulish" w:cstheme="minorHAnsi"/>
          <w:szCs w:val="24"/>
        </w:rPr>
      </w:pPr>
      <w:r w:rsidRPr="00A54AEA">
        <w:rPr>
          <w:rFonts w:ascii="Mulish" w:hAnsi="Mulish" w:cstheme="minorHAnsi"/>
          <w:szCs w:val="24"/>
        </w:rPr>
        <w:t>En su informe de observaciones</w:t>
      </w:r>
      <w:r w:rsidR="0066603A">
        <w:rPr>
          <w:rFonts w:ascii="Mulish" w:hAnsi="Mulish" w:cstheme="minorHAnsi"/>
          <w:szCs w:val="24"/>
        </w:rPr>
        <w:t xml:space="preserve"> y en relación con diversas obligaciones del bloque de Información Económica, Presupuestaria y Estadística</w:t>
      </w:r>
      <w:r w:rsidRPr="00A54AEA">
        <w:rPr>
          <w:rFonts w:ascii="Mulish" w:hAnsi="Mulish" w:cstheme="minorHAnsi"/>
          <w:szCs w:val="24"/>
        </w:rPr>
        <w:t xml:space="preserve">, </w:t>
      </w:r>
      <w:r w:rsidRPr="00965C9B">
        <w:rPr>
          <w:rFonts w:ascii="Mulish" w:hAnsi="Mulish" w:cstheme="minorHAnsi"/>
          <w:szCs w:val="24"/>
        </w:rPr>
        <w:t xml:space="preserve">indica </w:t>
      </w:r>
      <w:r w:rsidR="00965C9B" w:rsidRPr="00965C9B">
        <w:rPr>
          <w:rFonts w:ascii="Mulish" w:hAnsi="Mulish" w:cstheme="minorHAnsi"/>
          <w:szCs w:val="24"/>
        </w:rPr>
        <w:t>RED.</w:t>
      </w:r>
      <w:r w:rsidR="00C61E5C" w:rsidRPr="00965C9B">
        <w:rPr>
          <w:rFonts w:ascii="Mulish" w:hAnsi="Mulish" w:cstheme="minorHAnsi"/>
          <w:szCs w:val="24"/>
        </w:rPr>
        <w:t>es</w:t>
      </w:r>
      <w:r w:rsidR="00965C9B" w:rsidRPr="00965C9B">
        <w:rPr>
          <w:rFonts w:ascii="Mulish" w:hAnsi="Mulish" w:cstheme="minorHAnsi"/>
          <w:szCs w:val="24"/>
        </w:rPr>
        <w:t>, que</w:t>
      </w:r>
      <w:r w:rsidR="00965C9B">
        <w:rPr>
          <w:rFonts w:ascii="Mulish" w:hAnsi="Mulish" w:cstheme="minorHAnsi"/>
          <w:szCs w:val="24"/>
        </w:rPr>
        <w:t xml:space="preserve"> “</w:t>
      </w:r>
      <w:r w:rsidR="00965C9B" w:rsidRPr="00965C9B">
        <w:rPr>
          <w:rFonts w:ascii="Mulish" w:hAnsi="Mulish" w:cstheme="minorHAnsi"/>
          <w:szCs w:val="24"/>
        </w:rPr>
        <w:t>la duplicidad en la publicación genera ineficiencias, así como problemas de sincronización de la información, yendo en contra del criterio de centralización de la información que viene aplicándose los últimos años en la Administración General del Estado. En esta última línea, Red.es actualiza cumplidamente las plataformas de la AGE objeto de la información -PLACSP, REOICO, RCESPE, BDNS-, con las ventajas propias de la “ventanilla única” para el ciudadano que tienen dichas plataformas integradas en el Portal de Transparencia</w:t>
      </w:r>
      <w:r w:rsidR="00965C9B">
        <w:rPr>
          <w:rFonts w:ascii="Mulish" w:hAnsi="Mulish" w:cstheme="minorHAnsi"/>
          <w:szCs w:val="24"/>
        </w:rPr>
        <w:t>”</w:t>
      </w:r>
      <w:r w:rsidR="00965C9B" w:rsidRPr="00965C9B">
        <w:rPr>
          <w:rFonts w:ascii="Mulish" w:hAnsi="Mulish" w:cstheme="minorHAnsi"/>
          <w:szCs w:val="24"/>
        </w:rPr>
        <w:t>.</w:t>
      </w:r>
    </w:p>
    <w:p w14:paraId="1F569F8C" w14:textId="77777777" w:rsidR="00887DB9" w:rsidRPr="00965C9B" w:rsidRDefault="00887DB9" w:rsidP="00965C9B">
      <w:pPr>
        <w:tabs>
          <w:tab w:val="left" w:pos="284"/>
        </w:tabs>
        <w:spacing w:before="120" w:after="120" w:line="312" w:lineRule="auto"/>
        <w:ind w:left="1843"/>
        <w:jc w:val="both"/>
        <w:rPr>
          <w:rFonts w:ascii="Mulish" w:hAnsi="Mulish" w:cstheme="minorHAnsi"/>
          <w:szCs w:val="24"/>
        </w:rPr>
      </w:pPr>
      <w:r w:rsidRPr="00965C9B">
        <w:rPr>
          <w:rFonts w:ascii="Mulish" w:hAnsi="Mulish" w:cstheme="minorHAnsi"/>
          <w:szCs w:val="24"/>
        </w:rPr>
        <w:t>Desde el Consejo viene manteniéndose, que el recurso a fuentes centralizadas para la publicación de informaciones obligatorias plantea diversos problemas:</w:t>
      </w:r>
    </w:p>
    <w:p w14:paraId="593379BA" w14:textId="77777777" w:rsidR="00887DB9" w:rsidRPr="00E04B21" w:rsidRDefault="00887DB9" w:rsidP="00965C9B">
      <w:pPr>
        <w:pStyle w:val="Prrafodelista"/>
        <w:numPr>
          <w:ilvl w:val="0"/>
          <w:numId w:val="18"/>
        </w:numPr>
        <w:tabs>
          <w:tab w:val="left" w:pos="284"/>
        </w:tabs>
        <w:spacing w:before="120" w:after="120" w:line="312" w:lineRule="auto"/>
        <w:ind w:left="2268"/>
        <w:jc w:val="both"/>
        <w:rPr>
          <w:rFonts w:ascii="Mulish" w:hAnsi="Mulish" w:cstheme="minorHAnsi"/>
          <w:szCs w:val="24"/>
        </w:rPr>
      </w:pPr>
      <w:r w:rsidRPr="00E04B21">
        <w:rPr>
          <w:rFonts w:ascii="Mulish" w:hAnsi="Mulish" w:cstheme="minorHAnsi"/>
          <w:szCs w:val="24"/>
        </w:rPr>
        <w:lastRenderedPageBreak/>
        <w:t>En primer lugar, se trata de fuentes de información de difícil acceso para la ciudadanía por las dificultades de manejo que presentan.</w:t>
      </w:r>
    </w:p>
    <w:p w14:paraId="26D1B36E" w14:textId="77777777" w:rsidR="00887DB9" w:rsidRPr="00E04B21" w:rsidRDefault="00887DB9" w:rsidP="00965C9B">
      <w:pPr>
        <w:pStyle w:val="Prrafodelista"/>
        <w:numPr>
          <w:ilvl w:val="0"/>
          <w:numId w:val="18"/>
        </w:numPr>
        <w:tabs>
          <w:tab w:val="left" w:pos="284"/>
        </w:tabs>
        <w:spacing w:before="120" w:after="120" w:line="312" w:lineRule="auto"/>
        <w:ind w:left="2268"/>
        <w:jc w:val="both"/>
        <w:rPr>
          <w:rFonts w:ascii="Mulish" w:hAnsi="Mulish" w:cstheme="minorHAnsi"/>
          <w:szCs w:val="24"/>
        </w:rPr>
      </w:pPr>
      <w:r w:rsidRPr="00E04B21">
        <w:rPr>
          <w:rFonts w:ascii="Mulish" w:hAnsi="Mulish" w:cstheme="minorHAnsi"/>
          <w:szCs w:val="24"/>
        </w:rPr>
        <w:t xml:space="preserve">En segundo lugar, al estar diseñadas para otros usos, incluyen información no relacionada con las obligaciones de publicidad activa y, por el contrario, no incluyen otros contenidos que son obligatorios en aplicación de la LTAIBG. Por ejemplo, la Plataforma de Contratación del Sector Público, no incluye entre los criterios de búsqueda de licitaciones las modificaciones de los contratos, que constituyen una obligación diferenciada dentro del grupo contratación. Localizar la información relativa a modificaciones en la Plataforma de Contratación del Sector Público, implica abrir los enlaces a cada una de las licitaciones correspondientes a la entidad para conocer si en alguna de ellas se ha dado esta circunstancia. Un problema adicional es que una entidad puede tener más de un órgano de contratación, lo que supone una dificultad añadida. </w:t>
      </w:r>
    </w:p>
    <w:p w14:paraId="55DD5B27" w14:textId="77777777" w:rsidR="00887DB9" w:rsidRPr="00E04B21" w:rsidRDefault="00887DB9" w:rsidP="00965C9B">
      <w:pPr>
        <w:pStyle w:val="Prrafodelista"/>
        <w:numPr>
          <w:ilvl w:val="0"/>
          <w:numId w:val="18"/>
        </w:numPr>
        <w:tabs>
          <w:tab w:val="left" w:pos="284"/>
        </w:tabs>
        <w:spacing w:before="120" w:after="120" w:line="312" w:lineRule="auto"/>
        <w:ind w:left="2268"/>
        <w:jc w:val="both"/>
        <w:rPr>
          <w:rFonts w:ascii="Mulish" w:hAnsi="Mulish" w:cstheme="minorHAnsi"/>
          <w:szCs w:val="24"/>
        </w:rPr>
      </w:pPr>
      <w:r w:rsidRPr="00E04B21">
        <w:rPr>
          <w:rFonts w:ascii="Mulish" w:hAnsi="Mulish" w:cstheme="minorHAnsi"/>
          <w:szCs w:val="24"/>
        </w:rPr>
        <w:t xml:space="preserve">En tercer lugar, un problema adicional a los ya señalados, es la imposibilidad de que la entidad que adopta la decisión de publicar información enlazando a fuentes centralizadas, pueda controlar tanto los contenidos, como la integridad de los enlaces a su información en la fuente centralizada. De hecho, a lo largo de estos años, este Consejo ha constatado que, en ocasiones, el enlace a la información de la institución en la fuente centralizada daba error.  </w:t>
      </w:r>
    </w:p>
    <w:p w14:paraId="27FEB8FE" w14:textId="77777777" w:rsidR="00887DB9" w:rsidRPr="00E04B21" w:rsidRDefault="00887DB9" w:rsidP="00887DB9">
      <w:pPr>
        <w:pStyle w:val="Prrafodelista"/>
        <w:tabs>
          <w:tab w:val="left" w:pos="284"/>
        </w:tabs>
        <w:spacing w:before="120" w:after="120" w:line="312" w:lineRule="auto"/>
        <w:ind w:left="1485"/>
        <w:jc w:val="both"/>
        <w:rPr>
          <w:rFonts w:ascii="Mulish" w:hAnsi="Mulish" w:cstheme="minorHAnsi"/>
          <w:szCs w:val="24"/>
        </w:rPr>
      </w:pPr>
    </w:p>
    <w:p w14:paraId="48E38D12" w14:textId="6CB10395" w:rsidR="00C61E5C" w:rsidRPr="00E04B21" w:rsidRDefault="00887DB9" w:rsidP="00C61E5C">
      <w:pPr>
        <w:pStyle w:val="Prrafodelista"/>
        <w:tabs>
          <w:tab w:val="left" w:pos="284"/>
        </w:tabs>
        <w:spacing w:before="120" w:after="120" w:line="312" w:lineRule="auto"/>
        <w:jc w:val="both"/>
        <w:rPr>
          <w:rFonts w:ascii="Mulish" w:hAnsi="Mulish" w:cstheme="minorHAnsi"/>
          <w:szCs w:val="24"/>
        </w:rPr>
      </w:pPr>
      <w:r w:rsidRPr="00E04B21">
        <w:rPr>
          <w:rFonts w:ascii="Mulish" w:hAnsi="Mulish" w:cstheme="minorHAnsi"/>
          <w:szCs w:val="24"/>
        </w:rPr>
        <w:t>Por esta razón, año tras año, este Consejo reitera la recomendación, de que la información se publique en la web del sujeto obligado, incluyendo todos los ítems informativos que, en su caso, establezca la Ley.</w:t>
      </w:r>
      <w:r w:rsidR="00C61E5C" w:rsidRPr="00C61E5C">
        <w:rPr>
          <w:rFonts w:ascii="Mulish" w:hAnsi="Mulish" w:cstheme="minorHAnsi"/>
          <w:szCs w:val="24"/>
        </w:rPr>
        <w:t xml:space="preserve"> </w:t>
      </w:r>
      <w:r w:rsidR="00C61E5C">
        <w:rPr>
          <w:rFonts w:ascii="Mulish" w:hAnsi="Mulish" w:cstheme="minorHAnsi"/>
          <w:szCs w:val="24"/>
        </w:rPr>
        <w:t>Además, l</w:t>
      </w:r>
      <w:r w:rsidR="00C61E5C" w:rsidRPr="00E04B21">
        <w:rPr>
          <w:rFonts w:ascii="Mulish" w:hAnsi="Mulish" w:cstheme="minorHAnsi"/>
          <w:szCs w:val="24"/>
        </w:rPr>
        <w:t xml:space="preserve">a facilidad de localización y la accesibilidad, son atributos relativos a la calidad en la publicación de la información obligatoria, que establece la LTAIBG en su artículo 5.4. </w:t>
      </w:r>
    </w:p>
    <w:p w14:paraId="720BA93C" w14:textId="5CA7C6BA" w:rsidR="00887DB9" w:rsidRPr="00E04B21" w:rsidRDefault="00887DB9" w:rsidP="00887DB9">
      <w:pPr>
        <w:pStyle w:val="Prrafodelista"/>
        <w:tabs>
          <w:tab w:val="left" w:pos="284"/>
        </w:tabs>
        <w:spacing w:before="120" w:after="120" w:line="312" w:lineRule="auto"/>
        <w:jc w:val="both"/>
        <w:rPr>
          <w:rFonts w:ascii="Mulish" w:hAnsi="Mulish" w:cstheme="minorHAnsi"/>
          <w:szCs w:val="24"/>
        </w:rPr>
      </w:pPr>
    </w:p>
    <w:p w14:paraId="44684F25" w14:textId="77777777" w:rsidR="00043EA8" w:rsidRPr="00E04B21" w:rsidRDefault="00043EA8" w:rsidP="00043EA8">
      <w:pPr>
        <w:pStyle w:val="Prrafodelista"/>
        <w:tabs>
          <w:tab w:val="left" w:pos="284"/>
        </w:tabs>
        <w:spacing w:before="120" w:after="120" w:line="312" w:lineRule="auto"/>
        <w:jc w:val="both"/>
        <w:rPr>
          <w:rFonts w:ascii="Mulish" w:hAnsi="Mulish" w:cstheme="minorHAnsi"/>
          <w:szCs w:val="24"/>
        </w:rPr>
      </w:pPr>
    </w:p>
    <w:p w14:paraId="485EF088" w14:textId="0785CCB4" w:rsidR="00043EA8" w:rsidRPr="00E04B21" w:rsidRDefault="00965C9B" w:rsidP="00186B56">
      <w:pPr>
        <w:pStyle w:val="Prrafodelista"/>
        <w:numPr>
          <w:ilvl w:val="0"/>
          <w:numId w:val="11"/>
        </w:numPr>
        <w:tabs>
          <w:tab w:val="left" w:pos="284"/>
        </w:tabs>
        <w:spacing w:before="120" w:after="120" w:line="312" w:lineRule="auto"/>
        <w:jc w:val="both"/>
        <w:rPr>
          <w:rFonts w:ascii="Mulish" w:hAnsi="Mulish" w:cstheme="minorHAnsi"/>
          <w:b/>
          <w:szCs w:val="24"/>
        </w:rPr>
      </w:pPr>
      <w:r>
        <w:rPr>
          <w:rFonts w:ascii="Mulish" w:hAnsi="Mulish" w:cstheme="minorHAnsi"/>
          <w:bCs/>
          <w:szCs w:val="24"/>
        </w:rPr>
        <w:t>En relación con los contenidos que añade RED.es en el apartado Transparencia Voluntaria, indicar que, a junio de este Consejo, este apartado debe reflejar todas aquellas informaciones adicionales a las obligatorias que publica la organización siempre que estén vinculadas a la rendición de cuentas</w:t>
      </w:r>
      <w:r w:rsidR="00C926FE" w:rsidRPr="00E04B21">
        <w:rPr>
          <w:rFonts w:ascii="Mulish" w:hAnsi="Mulish" w:cstheme="minorHAnsi"/>
          <w:b/>
          <w:szCs w:val="24"/>
        </w:rPr>
        <w:t>.</w:t>
      </w:r>
    </w:p>
    <w:p w14:paraId="7D3E7AD4" w14:textId="77777777" w:rsidR="0066237D" w:rsidRPr="00E04B21" w:rsidRDefault="0066237D" w:rsidP="0066237D">
      <w:pPr>
        <w:pStyle w:val="Prrafodelista"/>
        <w:tabs>
          <w:tab w:val="left" w:pos="284"/>
        </w:tabs>
        <w:spacing w:before="120" w:after="120" w:line="312" w:lineRule="auto"/>
        <w:jc w:val="both"/>
        <w:rPr>
          <w:rFonts w:ascii="Mulish" w:hAnsi="Mulish" w:cstheme="minorHAnsi"/>
          <w:b/>
          <w:szCs w:val="24"/>
        </w:rPr>
      </w:pPr>
    </w:p>
    <w:p w14:paraId="255E4502" w14:textId="0D615A78" w:rsidR="00C2306E" w:rsidRPr="00E04B21" w:rsidRDefault="00965C9B" w:rsidP="00965C9B">
      <w:pPr>
        <w:tabs>
          <w:tab w:val="left" w:pos="284"/>
        </w:tabs>
        <w:spacing w:before="120" w:after="120" w:line="312" w:lineRule="auto"/>
        <w:contextualSpacing/>
        <w:jc w:val="both"/>
        <w:rPr>
          <w:rFonts w:ascii="Mulish" w:hAnsi="Mulish" w:cstheme="minorHAnsi"/>
          <w:szCs w:val="24"/>
        </w:rPr>
      </w:pPr>
      <w:r>
        <w:rPr>
          <w:rFonts w:ascii="Mulish" w:hAnsi="Mulish" w:cstheme="minorHAnsi"/>
          <w:szCs w:val="24"/>
        </w:rPr>
        <w:t xml:space="preserve">Tras la revisión realizada el Índice de Cumplimiento se sitúa en el </w:t>
      </w:r>
      <w:r w:rsidR="00C61E5C">
        <w:rPr>
          <w:rFonts w:ascii="Mulish" w:hAnsi="Mulish" w:cstheme="minorHAnsi"/>
          <w:szCs w:val="24"/>
        </w:rPr>
        <w:t>35%.</w:t>
      </w:r>
    </w:p>
    <w:p w14:paraId="2C8A176C" w14:textId="514D3054" w:rsidR="00C2306E" w:rsidRPr="00E04B21" w:rsidRDefault="00C2306E" w:rsidP="00C2306E">
      <w:pPr>
        <w:tabs>
          <w:tab w:val="left" w:pos="284"/>
        </w:tabs>
        <w:spacing w:before="120" w:after="120" w:line="312" w:lineRule="auto"/>
        <w:ind w:right="140"/>
        <w:contextualSpacing/>
        <w:jc w:val="both"/>
        <w:rPr>
          <w:rFonts w:ascii="Mulish" w:hAnsi="Mulish" w:cstheme="minorHAnsi"/>
          <w:sz w:val="28"/>
          <w:szCs w:val="24"/>
        </w:rPr>
      </w:pPr>
      <w:r w:rsidRPr="00E04B21">
        <w:rPr>
          <w:rFonts w:ascii="Mulish" w:hAnsi="Mulish" w:cstheme="minorHAnsi"/>
          <w:szCs w:val="24"/>
        </w:rPr>
        <w:lastRenderedPageBreak/>
        <w:t>Este Consejo valora muy positivamente la disposición d</w:t>
      </w:r>
      <w:r w:rsidR="00965C9B">
        <w:rPr>
          <w:rFonts w:ascii="Mulish" w:hAnsi="Mulish" w:cstheme="minorHAnsi"/>
          <w:szCs w:val="24"/>
        </w:rPr>
        <w:t xml:space="preserve">e </w:t>
      </w:r>
      <w:r w:rsidR="0066603A">
        <w:rPr>
          <w:rFonts w:ascii="Mulish" w:hAnsi="Mulish" w:cstheme="minorHAnsi"/>
          <w:szCs w:val="24"/>
        </w:rPr>
        <w:t>RED.es</w:t>
      </w:r>
      <w:r w:rsidRPr="00E04B21">
        <w:rPr>
          <w:rFonts w:ascii="Mulish" w:hAnsi="Mulish" w:cstheme="minorHAnsi"/>
          <w:szCs w:val="24"/>
        </w:rPr>
        <w:t xml:space="preserve"> a tener en cuenta las conclusiones y recomendaciones del informe de evaluación en los trabajos que está desarrollando para mejorar su </w:t>
      </w:r>
      <w:r w:rsidR="00C61E5C">
        <w:rPr>
          <w:rFonts w:ascii="Mulish" w:hAnsi="Mulish" w:cstheme="minorHAnsi"/>
          <w:szCs w:val="24"/>
        </w:rPr>
        <w:t>Portal de Transparencia</w:t>
      </w:r>
      <w:r w:rsidRPr="00E04B21">
        <w:rPr>
          <w:rFonts w:ascii="Mulish" w:hAnsi="Mulish" w:cstheme="minorHAnsi"/>
          <w:szCs w:val="24"/>
        </w:rPr>
        <w:t xml:space="preserve">. Sin duda, la aplicación de las recomendaciones derivadas de la evaluación </w:t>
      </w:r>
      <w:r w:rsidR="00707C15" w:rsidRPr="00E04B21">
        <w:rPr>
          <w:rFonts w:ascii="Mulish" w:hAnsi="Mulish" w:cstheme="minorHAnsi"/>
          <w:szCs w:val="24"/>
        </w:rPr>
        <w:t>supondrá</w:t>
      </w:r>
      <w:r w:rsidRPr="00E04B21">
        <w:rPr>
          <w:rFonts w:ascii="Mulish" w:hAnsi="Mulish" w:cstheme="minorHAnsi"/>
          <w:szCs w:val="24"/>
        </w:rPr>
        <w:t xml:space="preserve"> un incremento notable del Índice de Cumplimiento, que será, nuevamente evaluado en 202</w:t>
      </w:r>
      <w:r w:rsidR="00965C9B">
        <w:rPr>
          <w:rFonts w:ascii="Mulish" w:hAnsi="Mulish" w:cstheme="minorHAnsi"/>
          <w:szCs w:val="24"/>
        </w:rPr>
        <w:t>5</w:t>
      </w:r>
      <w:r w:rsidRPr="00E04B21">
        <w:rPr>
          <w:rFonts w:ascii="Mulish" w:hAnsi="Mulish" w:cstheme="minorHAnsi"/>
          <w:szCs w:val="24"/>
        </w:rPr>
        <w:t xml:space="preserve">. </w:t>
      </w:r>
    </w:p>
    <w:p w14:paraId="48B15ED4" w14:textId="77777777" w:rsidR="00C2306E" w:rsidRPr="00E04B21" w:rsidRDefault="00C2306E" w:rsidP="009557B1">
      <w:pPr>
        <w:autoSpaceDE w:val="0"/>
        <w:autoSpaceDN w:val="0"/>
        <w:adjustRightInd w:val="0"/>
        <w:spacing w:after="0"/>
        <w:jc w:val="right"/>
        <w:rPr>
          <w:rFonts w:ascii="Mulish" w:hAnsi="Mulish" w:cstheme="minorHAnsi"/>
          <w:szCs w:val="24"/>
        </w:rPr>
      </w:pPr>
    </w:p>
    <w:p w14:paraId="578FC7A0" w14:textId="77777777" w:rsidR="00C2306E" w:rsidRPr="00E04B21" w:rsidRDefault="00C2306E" w:rsidP="009557B1">
      <w:pPr>
        <w:autoSpaceDE w:val="0"/>
        <w:autoSpaceDN w:val="0"/>
        <w:adjustRightInd w:val="0"/>
        <w:spacing w:after="0"/>
        <w:jc w:val="right"/>
        <w:rPr>
          <w:rFonts w:ascii="Mulish" w:hAnsi="Mulish" w:cstheme="minorHAnsi"/>
          <w:szCs w:val="24"/>
        </w:rPr>
      </w:pPr>
    </w:p>
    <w:p w14:paraId="41EA3272" w14:textId="7B30582B" w:rsidR="006F17B5" w:rsidRPr="00E04B21" w:rsidRDefault="006F17B5" w:rsidP="009557B1">
      <w:pPr>
        <w:autoSpaceDE w:val="0"/>
        <w:autoSpaceDN w:val="0"/>
        <w:adjustRightInd w:val="0"/>
        <w:spacing w:after="0"/>
        <w:jc w:val="right"/>
        <w:rPr>
          <w:rFonts w:ascii="Mulish" w:hAnsi="Mulish"/>
          <w:szCs w:val="24"/>
        </w:rPr>
      </w:pPr>
      <w:r w:rsidRPr="00E04B21">
        <w:rPr>
          <w:rFonts w:ascii="Mulish" w:hAnsi="Mulish" w:cstheme="minorHAnsi"/>
          <w:szCs w:val="24"/>
        </w:rPr>
        <w:t xml:space="preserve">Madrid, </w:t>
      </w:r>
      <w:r w:rsidR="00C61E5C">
        <w:rPr>
          <w:rFonts w:ascii="Mulish" w:hAnsi="Mulish" w:cstheme="minorHAnsi"/>
          <w:szCs w:val="24"/>
        </w:rPr>
        <w:t>mayo</w:t>
      </w:r>
      <w:r w:rsidRPr="00E04B21">
        <w:rPr>
          <w:rFonts w:ascii="Mulish" w:hAnsi="Mulish" w:cstheme="minorHAnsi"/>
          <w:szCs w:val="24"/>
        </w:rPr>
        <w:t xml:space="preserve"> de 202</w:t>
      </w:r>
      <w:r w:rsidR="00C61E5C">
        <w:rPr>
          <w:rFonts w:ascii="Mulish" w:hAnsi="Mulish" w:cstheme="minorHAnsi"/>
          <w:szCs w:val="24"/>
        </w:rPr>
        <w:t>4</w:t>
      </w:r>
    </w:p>
    <w:sectPr w:rsidR="006F17B5" w:rsidRPr="00E04B21"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F76D" w14:textId="77777777" w:rsidR="006262A2" w:rsidRDefault="006262A2" w:rsidP="00344FE7">
      <w:pPr>
        <w:spacing w:after="0" w:line="240" w:lineRule="auto"/>
      </w:pPr>
      <w:r>
        <w:separator/>
      </w:r>
    </w:p>
  </w:endnote>
  <w:endnote w:type="continuationSeparator" w:id="0">
    <w:p w14:paraId="3664FA91" w14:textId="77777777" w:rsidR="006262A2" w:rsidRDefault="006262A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2BC794FD" w14:textId="77777777" w:rsidR="006262A2" w:rsidRPr="00C23F36" w:rsidRDefault="006262A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07C15">
          <w:rPr>
            <w:noProof/>
            <w:sz w:val="20"/>
            <w:szCs w:val="20"/>
          </w:rPr>
          <w:t>9</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19C7" w14:textId="77777777" w:rsidR="006262A2" w:rsidRDefault="006262A2" w:rsidP="00344FE7">
      <w:pPr>
        <w:spacing w:after="0" w:line="240" w:lineRule="auto"/>
      </w:pPr>
      <w:r>
        <w:separator/>
      </w:r>
    </w:p>
  </w:footnote>
  <w:footnote w:type="continuationSeparator" w:id="0">
    <w:p w14:paraId="7B074324" w14:textId="77777777" w:rsidR="006262A2" w:rsidRDefault="006262A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9E41" w14:textId="77777777" w:rsidR="006262A2" w:rsidRDefault="006262A2">
    <w:pPr>
      <w:pStyle w:val="Encabezado"/>
    </w:pPr>
    <w:r>
      <w:rPr>
        <w:noProof/>
        <w:lang w:eastAsia="es-ES"/>
      </w:rPr>
      <w:drawing>
        <wp:anchor distT="0" distB="0" distL="0" distR="0" simplePos="0" relativeHeight="251670528" behindDoc="0" locked="0" layoutInCell="1" allowOverlap="0" wp14:anchorId="3C49E84F" wp14:editId="7A61F35D">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2D431BA6" w14:textId="77777777" w:rsidR="006262A2" w:rsidRDefault="006262A2">
    <w:pPr>
      <w:pStyle w:val="Encabezado"/>
    </w:pPr>
  </w:p>
  <w:p w14:paraId="028888B3" w14:textId="77777777" w:rsidR="006262A2" w:rsidRDefault="006262A2" w:rsidP="00344FE7">
    <w:pPr>
      <w:pStyle w:val="Encabezado"/>
    </w:pPr>
  </w:p>
  <w:p w14:paraId="4AF0E2E4" w14:textId="77777777" w:rsidR="006262A2" w:rsidRDefault="006262A2" w:rsidP="00344FE7">
    <w:pPr>
      <w:pStyle w:val="Encabezado"/>
    </w:pPr>
  </w:p>
  <w:p w14:paraId="163D1096" w14:textId="77777777" w:rsidR="006262A2" w:rsidRDefault="006262A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2A2F" w14:textId="77777777" w:rsidR="006262A2" w:rsidRDefault="006262A2" w:rsidP="006F5890">
    <w:pPr>
      <w:jc w:val="right"/>
      <w:rPr>
        <w:noProof/>
        <w:lang w:eastAsia="es-ES"/>
      </w:rPr>
    </w:pPr>
    <w:r>
      <w:rPr>
        <w:noProof/>
        <w:lang w:eastAsia="es-ES"/>
      </w:rPr>
      <w:drawing>
        <wp:anchor distT="0" distB="0" distL="0" distR="0" simplePos="0" relativeHeight="251668480" behindDoc="0" locked="0" layoutInCell="1" allowOverlap="0" wp14:anchorId="1AC240BB" wp14:editId="293A08D9">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3272282D" wp14:editId="607C1ACA">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1" type="#_x0000_t75" style="width:11.25pt;height:11.25pt" o:bullet="t">
        <v:imagedata r:id="rId1" o:title="BD14529_"/>
      </v:shape>
    </w:pict>
  </w:numPicBullet>
  <w:numPicBullet w:numPicBulletId="1">
    <w:pict>
      <v:shape id="_x0000_i1832" type="#_x0000_t75" style="width:11.25pt;height:11.25pt" o:bullet="t">
        <v:imagedata r:id="rId2" o:title="BD14654_"/>
      </v:shape>
    </w:pict>
  </w:numPicBullet>
  <w:numPicBullet w:numPicBulletId="2">
    <w:pict>
      <v:shape id="_x0000_i1833" type="#_x0000_t75" style="width:9pt;height:9pt" o:bullet="t">
        <v:imagedata r:id="rId3" o:title="BD14533_"/>
      </v:shape>
    </w:pict>
  </w:numPicBullet>
  <w:abstractNum w:abstractNumId="0" w15:restartNumberingAfterBreak="0">
    <w:nsid w:val="036C688B"/>
    <w:multiLevelType w:val="hybridMultilevel"/>
    <w:tmpl w:val="E8D4A118"/>
    <w:lvl w:ilvl="0" w:tplc="B7C2270E">
      <w:start w:val="1"/>
      <w:numFmt w:val="bullet"/>
      <w:lvlText w:val=""/>
      <w:lvlPicBulletId w:val="2"/>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6EC3ECE"/>
    <w:multiLevelType w:val="hybridMultilevel"/>
    <w:tmpl w:val="46187BF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7D78A7"/>
    <w:multiLevelType w:val="hybridMultilevel"/>
    <w:tmpl w:val="F29CF62C"/>
    <w:lvl w:ilvl="0" w:tplc="0C0A000F">
      <w:start w:val="1"/>
      <w:numFmt w:val="decimal"/>
      <w:lvlText w:val="%1."/>
      <w:lvlJc w:val="left"/>
      <w:pPr>
        <w:ind w:left="1069" w:hanging="360"/>
      </w:p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523F4C"/>
    <w:multiLevelType w:val="hybridMultilevel"/>
    <w:tmpl w:val="6C881162"/>
    <w:lvl w:ilvl="0" w:tplc="CEC84E8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1" w15:restartNumberingAfterBreak="0">
    <w:nsid w:val="33E35655"/>
    <w:multiLevelType w:val="hybridMultilevel"/>
    <w:tmpl w:val="97DA05E8"/>
    <w:lvl w:ilvl="0" w:tplc="6652D48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F067871"/>
    <w:multiLevelType w:val="hybridMultilevel"/>
    <w:tmpl w:val="42BA3632"/>
    <w:lvl w:ilvl="0" w:tplc="B7C2270E">
      <w:start w:val="1"/>
      <w:numFmt w:val="bullet"/>
      <w:lvlText w:val=""/>
      <w:lvlPicBulletId w:val="2"/>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4"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C895C77"/>
    <w:multiLevelType w:val="hybridMultilevel"/>
    <w:tmpl w:val="26D4F032"/>
    <w:lvl w:ilvl="0" w:tplc="EA9AB9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20" w15:restartNumberingAfterBreak="0">
    <w:nsid w:val="6DA8207B"/>
    <w:multiLevelType w:val="hybridMultilevel"/>
    <w:tmpl w:val="77CC513E"/>
    <w:lvl w:ilvl="0" w:tplc="0C0A000F">
      <w:start w:val="1"/>
      <w:numFmt w:val="decimal"/>
      <w:lvlText w:val="%1."/>
      <w:lvlJc w:val="left"/>
      <w:pPr>
        <w:ind w:left="1069" w:hanging="360"/>
      </w:p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9"/>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
  </w:num>
  <w:num w:numId="11">
    <w:abstractNumId w:val="11"/>
  </w:num>
  <w:num w:numId="12">
    <w:abstractNumId w:val="14"/>
  </w:num>
  <w:num w:numId="13">
    <w:abstractNumId w:val="15"/>
  </w:num>
  <w:num w:numId="14">
    <w:abstractNumId w:val="18"/>
  </w:num>
  <w:num w:numId="15">
    <w:abstractNumId w:val="9"/>
  </w:num>
  <w:num w:numId="16">
    <w:abstractNumId w:val="10"/>
  </w:num>
  <w:num w:numId="17">
    <w:abstractNumId w:val="0"/>
  </w:num>
  <w:num w:numId="18">
    <w:abstractNumId w:val="13"/>
  </w:num>
  <w:num w:numId="19">
    <w:abstractNumId w:val="2"/>
  </w:num>
  <w:num w:numId="20">
    <w:abstractNumId w:val="16"/>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371F8"/>
    <w:rsid w:val="00043EA8"/>
    <w:rsid w:val="0005249D"/>
    <w:rsid w:val="000561DC"/>
    <w:rsid w:val="00070294"/>
    <w:rsid w:val="00074030"/>
    <w:rsid w:val="00076DBA"/>
    <w:rsid w:val="00094C4C"/>
    <w:rsid w:val="000D4422"/>
    <w:rsid w:val="001257F9"/>
    <w:rsid w:val="0013625B"/>
    <w:rsid w:val="0014196C"/>
    <w:rsid w:val="00151290"/>
    <w:rsid w:val="0016439B"/>
    <w:rsid w:val="001750A8"/>
    <w:rsid w:val="00175D6C"/>
    <w:rsid w:val="0018324C"/>
    <w:rsid w:val="00186B56"/>
    <w:rsid w:val="0019362B"/>
    <w:rsid w:val="00194E05"/>
    <w:rsid w:val="001B16D9"/>
    <w:rsid w:val="001B7352"/>
    <w:rsid w:val="001E13AE"/>
    <w:rsid w:val="001E1D71"/>
    <w:rsid w:val="001E44BC"/>
    <w:rsid w:val="002062C9"/>
    <w:rsid w:val="002114E3"/>
    <w:rsid w:val="00235A40"/>
    <w:rsid w:val="00251194"/>
    <w:rsid w:val="002764A7"/>
    <w:rsid w:val="00292806"/>
    <w:rsid w:val="002A4771"/>
    <w:rsid w:val="002A7933"/>
    <w:rsid w:val="002C000A"/>
    <w:rsid w:val="002F5D0B"/>
    <w:rsid w:val="00323DEE"/>
    <w:rsid w:val="003259B9"/>
    <w:rsid w:val="00334745"/>
    <w:rsid w:val="00344FE7"/>
    <w:rsid w:val="00351475"/>
    <w:rsid w:val="00355DEA"/>
    <w:rsid w:val="003656B1"/>
    <w:rsid w:val="00395742"/>
    <w:rsid w:val="003B5DE7"/>
    <w:rsid w:val="003C09C3"/>
    <w:rsid w:val="003D2C6C"/>
    <w:rsid w:val="003D52DF"/>
    <w:rsid w:val="003F0972"/>
    <w:rsid w:val="003F38BD"/>
    <w:rsid w:val="004108BB"/>
    <w:rsid w:val="004124E7"/>
    <w:rsid w:val="00435013"/>
    <w:rsid w:val="0045134F"/>
    <w:rsid w:val="00466973"/>
    <w:rsid w:val="00470F02"/>
    <w:rsid w:val="00476C7E"/>
    <w:rsid w:val="00486ED2"/>
    <w:rsid w:val="004B15B8"/>
    <w:rsid w:val="004D4EF1"/>
    <w:rsid w:val="00525FCA"/>
    <w:rsid w:val="0055202A"/>
    <w:rsid w:val="00565608"/>
    <w:rsid w:val="005726F1"/>
    <w:rsid w:val="005B1C12"/>
    <w:rsid w:val="005C0138"/>
    <w:rsid w:val="005F0570"/>
    <w:rsid w:val="005F4305"/>
    <w:rsid w:val="00614890"/>
    <w:rsid w:val="00620AB5"/>
    <w:rsid w:val="006262A2"/>
    <w:rsid w:val="006265E4"/>
    <w:rsid w:val="00636FF6"/>
    <w:rsid w:val="0064071F"/>
    <w:rsid w:val="006615ED"/>
    <w:rsid w:val="0066237D"/>
    <w:rsid w:val="0066603A"/>
    <w:rsid w:val="006F17B5"/>
    <w:rsid w:val="006F5890"/>
    <w:rsid w:val="00700D70"/>
    <w:rsid w:val="00707C15"/>
    <w:rsid w:val="0071472F"/>
    <w:rsid w:val="00727A3D"/>
    <w:rsid w:val="007342F2"/>
    <w:rsid w:val="00745E83"/>
    <w:rsid w:val="007704A4"/>
    <w:rsid w:val="00772C2A"/>
    <w:rsid w:val="007759D6"/>
    <w:rsid w:val="00782FEF"/>
    <w:rsid w:val="007A662D"/>
    <w:rsid w:val="007B482F"/>
    <w:rsid w:val="007C00E5"/>
    <w:rsid w:val="007C0642"/>
    <w:rsid w:val="007D24E2"/>
    <w:rsid w:val="007D768B"/>
    <w:rsid w:val="008027DF"/>
    <w:rsid w:val="00815DA2"/>
    <w:rsid w:val="00855ECA"/>
    <w:rsid w:val="0088562A"/>
    <w:rsid w:val="00887DB9"/>
    <w:rsid w:val="00895B20"/>
    <w:rsid w:val="0089717A"/>
    <w:rsid w:val="008B5F75"/>
    <w:rsid w:val="008B79BD"/>
    <w:rsid w:val="008E39FA"/>
    <w:rsid w:val="00901F1F"/>
    <w:rsid w:val="009029E0"/>
    <w:rsid w:val="00950524"/>
    <w:rsid w:val="009557B1"/>
    <w:rsid w:val="00965C9B"/>
    <w:rsid w:val="00990CFE"/>
    <w:rsid w:val="009B7ADA"/>
    <w:rsid w:val="009D2560"/>
    <w:rsid w:val="009D6677"/>
    <w:rsid w:val="009E084D"/>
    <w:rsid w:val="009E16B5"/>
    <w:rsid w:val="009E30AA"/>
    <w:rsid w:val="009F1491"/>
    <w:rsid w:val="00A24192"/>
    <w:rsid w:val="00A26523"/>
    <w:rsid w:val="00A41DE8"/>
    <w:rsid w:val="00A54AEA"/>
    <w:rsid w:val="00A603C7"/>
    <w:rsid w:val="00A62936"/>
    <w:rsid w:val="00A70779"/>
    <w:rsid w:val="00A76101"/>
    <w:rsid w:val="00AC04C4"/>
    <w:rsid w:val="00AD5B28"/>
    <w:rsid w:val="00AE1A4A"/>
    <w:rsid w:val="00AE5BF4"/>
    <w:rsid w:val="00B263E1"/>
    <w:rsid w:val="00B2797F"/>
    <w:rsid w:val="00B31F84"/>
    <w:rsid w:val="00B35A53"/>
    <w:rsid w:val="00B4112D"/>
    <w:rsid w:val="00B81EE6"/>
    <w:rsid w:val="00BC7A82"/>
    <w:rsid w:val="00BD3143"/>
    <w:rsid w:val="00BE33B9"/>
    <w:rsid w:val="00C01613"/>
    <w:rsid w:val="00C0201F"/>
    <w:rsid w:val="00C04331"/>
    <w:rsid w:val="00C119CE"/>
    <w:rsid w:val="00C13C51"/>
    <w:rsid w:val="00C2306E"/>
    <w:rsid w:val="00C2379F"/>
    <w:rsid w:val="00C23F36"/>
    <w:rsid w:val="00C25FA5"/>
    <w:rsid w:val="00C305B6"/>
    <w:rsid w:val="00C3135F"/>
    <w:rsid w:val="00C61E5C"/>
    <w:rsid w:val="00C63231"/>
    <w:rsid w:val="00C736B9"/>
    <w:rsid w:val="00C82AB2"/>
    <w:rsid w:val="00C87BC3"/>
    <w:rsid w:val="00C91171"/>
    <w:rsid w:val="00C926FE"/>
    <w:rsid w:val="00CB4447"/>
    <w:rsid w:val="00CD334A"/>
    <w:rsid w:val="00CE0D15"/>
    <w:rsid w:val="00CF0704"/>
    <w:rsid w:val="00D23111"/>
    <w:rsid w:val="00D445A4"/>
    <w:rsid w:val="00D44E9D"/>
    <w:rsid w:val="00D55DED"/>
    <w:rsid w:val="00D72EF9"/>
    <w:rsid w:val="00D775DA"/>
    <w:rsid w:val="00D847B0"/>
    <w:rsid w:val="00D97887"/>
    <w:rsid w:val="00DA09C0"/>
    <w:rsid w:val="00DA126F"/>
    <w:rsid w:val="00DB21EC"/>
    <w:rsid w:val="00DB2CB4"/>
    <w:rsid w:val="00DB2CCC"/>
    <w:rsid w:val="00DD07B5"/>
    <w:rsid w:val="00DF5982"/>
    <w:rsid w:val="00E03C82"/>
    <w:rsid w:val="00E04B21"/>
    <w:rsid w:val="00E35741"/>
    <w:rsid w:val="00E4386D"/>
    <w:rsid w:val="00E475B6"/>
    <w:rsid w:val="00E5135F"/>
    <w:rsid w:val="00E64F85"/>
    <w:rsid w:val="00EB7058"/>
    <w:rsid w:val="00EB79A4"/>
    <w:rsid w:val="00EC3AAE"/>
    <w:rsid w:val="00ED6FD3"/>
    <w:rsid w:val="00EE1E1D"/>
    <w:rsid w:val="00EF5F68"/>
    <w:rsid w:val="00F01784"/>
    <w:rsid w:val="00F17B00"/>
    <w:rsid w:val="00F34F89"/>
    <w:rsid w:val="00F43F74"/>
    <w:rsid w:val="00F47B8C"/>
    <w:rsid w:val="00F5121D"/>
    <w:rsid w:val="00F777C2"/>
    <w:rsid w:val="00FA448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F7A6F"/>
  <w15:docId w15:val="{A58949DA-E6C3-42BB-8E55-80B39314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1">
    <w:name w:val="Lista clara1"/>
    <w:basedOn w:val="Tablanormal"/>
    <w:next w:val="Listaclara"/>
    <w:uiPriority w:val="61"/>
    <w:rsid w:val="008027D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81F56-593C-4098-8F71-7C4CF0AD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1040</Words>
  <Characters>5725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javier.amoros</dc:creator>
  <cp:lastModifiedBy>ANA MARIA RUIZ MARTINEZ</cp:lastModifiedBy>
  <cp:revision>5</cp:revision>
  <cp:lastPrinted>2015-01-27T17:42:00Z</cp:lastPrinted>
  <dcterms:created xsi:type="dcterms:W3CDTF">2024-05-27T08:08:00Z</dcterms:created>
  <dcterms:modified xsi:type="dcterms:W3CDTF">2024-05-27T11:22:00Z</dcterms:modified>
</cp:coreProperties>
</file>