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7A291B48" w:rsidR="006F17B5" w:rsidRPr="00406F06" w:rsidRDefault="006F17B5" w:rsidP="001B16D9">
      <w:pPr>
        <w:pStyle w:val="Ttulo1"/>
        <w:jc w:val="both"/>
        <w:rPr>
          <w:rFonts w:ascii="Mulish" w:hAnsi="Mulish"/>
          <w:color w:val="079386"/>
        </w:rPr>
      </w:pPr>
      <w:r w:rsidRPr="00406F06">
        <w:rPr>
          <w:rFonts w:ascii="Mulish" w:hAnsi="Mulish"/>
          <w:color w:val="079386"/>
        </w:rPr>
        <w:t xml:space="preserve">INFORME RELATIVO A LAS OBSERVACIONES REMITIDAS POR </w:t>
      </w:r>
      <w:r w:rsidR="00C93842" w:rsidRPr="00406F06">
        <w:rPr>
          <w:rFonts w:ascii="Mulish" w:hAnsi="Mulish"/>
          <w:color w:val="079386"/>
        </w:rPr>
        <w:t xml:space="preserve">LA </w:t>
      </w:r>
      <w:r w:rsidR="008B5D4F">
        <w:rPr>
          <w:rFonts w:ascii="Mulish" w:hAnsi="Mulish"/>
          <w:color w:val="079386"/>
        </w:rPr>
        <w:t xml:space="preserve">SOCIEDAD </w:t>
      </w:r>
      <w:r w:rsidR="008B5D4F" w:rsidRPr="008B5D4F">
        <w:rPr>
          <w:rFonts w:ascii="Mulish" w:hAnsi="Mulish"/>
          <w:color w:val="079386"/>
        </w:rPr>
        <w:t>MERCANTIL ESTATAL PARA LA GESTIÓN DE LA INNOVACIÓN Y LAS TECNOLOGÍAS TURÍSTICAS</w:t>
      </w:r>
      <w:r w:rsidR="008B5D4F">
        <w:rPr>
          <w:rFonts w:ascii="Mulish" w:hAnsi="Mulish"/>
          <w:color w:val="079386"/>
        </w:rPr>
        <w:t xml:space="preserve"> (SEGITTUR) </w:t>
      </w:r>
      <w:r w:rsidRPr="00406F06">
        <w:rPr>
          <w:rFonts w:ascii="Mulish" w:hAnsi="Mulish"/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406F06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5E6F6CF0" w14:textId="162CB6F0" w:rsidR="00D23111" w:rsidRPr="00696864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 w:val="22"/>
        </w:rPr>
      </w:pPr>
      <w:r w:rsidRPr="00696864">
        <w:rPr>
          <w:rFonts w:ascii="Mulish" w:hAnsi="Mulish" w:cstheme="minorHAnsi"/>
          <w:sz w:val="22"/>
        </w:rPr>
        <w:t>En contestación a su</w:t>
      </w:r>
      <w:r w:rsidR="00C25FA5" w:rsidRPr="00696864">
        <w:rPr>
          <w:rFonts w:ascii="Mulish" w:hAnsi="Mulish" w:cstheme="minorHAnsi"/>
          <w:sz w:val="22"/>
        </w:rPr>
        <w:t xml:space="preserve"> </w:t>
      </w:r>
      <w:r w:rsidR="00C506D3" w:rsidRPr="00696864">
        <w:rPr>
          <w:rFonts w:ascii="Mulish" w:hAnsi="Mulish" w:cstheme="minorHAnsi"/>
          <w:sz w:val="22"/>
        </w:rPr>
        <w:t>escrito</w:t>
      </w:r>
      <w:r w:rsidR="00190952" w:rsidRPr="00696864">
        <w:rPr>
          <w:rFonts w:ascii="Mulish" w:hAnsi="Mulish" w:cstheme="minorHAnsi"/>
          <w:sz w:val="22"/>
        </w:rPr>
        <w:t xml:space="preserve"> </w:t>
      </w:r>
      <w:r w:rsidR="00565608" w:rsidRPr="00696864">
        <w:rPr>
          <w:rFonts w:ascii="Mulish" w:hAnsi="Mulish" w:cstheme="minorHAnsi"/>
          <w:sz w:val="22"/>
        </w:rPr>
        <w:t xml:space="preserve">de fecha </w:t>
      </w:r>
      <w:r w:rsidR="00696864" w:rsidRPr="00696864">
        <w:rPr>
          <w:rFonts w:ascii="Mulish" w:hAnsi="Mulish" w:cstheme="minorHAnsi"/>
          <w:sz w:val="22"/>
        </w:rPr>
        <w:t>7</w:t>
      </w:r>
      <w:r w:rsidRPr="00696864">
        <w:rPr>
          <w:rFonts w:ascii="Mulish" w:hAnsi="Mulish" w:cstheme="minorHAnsi"/>
          <w:sz w:val="22"/>
        </w:rPr>
        <w:t xml:space="preserve"> de </w:t>
      </w:r>
      <w:r w:rsidR="00696864" w:rsidRPr="00696864">
        <w:rPr>
          <w:rFonts w:ascii="Mulish" w:hAnsi="Mulish" w:cstheme="minorHAnsi"/>
          <w:sz w:val="22"/>
        </w:rPr>
        <w:t>mayo</w:t>
      </w:r>
      <w:r w:rsidRPr="00696864">
        <w:rPr>
          <w:rFonts w:ascii="Mulish" w:hAnsi="Mulish" w:cstheme="minorHAnsi"/>
          <w:sz w:val="22"/>
        </w:rPr>
        <w:t xml:space="preserve"> de 202</w:t>
      </w:r>
      <w:r w:rsidR="00FA580C" w:rsidRPr="00696864">
        <w:rPr>
          <w:rFonts w:ascii="Mulish" w:hAnsi="Mulish" w:cstheme="minorHAnsi"/>
          <w:sz w:val="22"/>
        </w:rPr>
        <w:t>4</w:t>
      </w:r>
      <w:r w:rsidR="00C119CE" w:rsidRPr="00696864">
        <w:rPr>
          <w:rFonts w:ascii="Mulish" w:hAnsi="Mulish" w:cstheme="minorHAnsi"/>
          <w:sz w:val="22"/>
        </w:rPr>
        <w:t>,</w:t>
      </w:r>
      <w:r w:rsidR="005B1C12" w:rsidRPr="00696864">
        <w:rPr>
          <w:rFonts w:ascii="Mulish" w:hAnsi="Mulish" w:cstheme="minorHAnsi"/>
          <w:sz w:val="22"/>
        </w:rPr>
        <w:t xml:space="preserve"> </w:t>
      </w:r>
      <w:r w:rsidRPr="00696864">
        <w:rPr>
          <w:rFonts w:ascii="Mulish" w:hAnsi="Mulish" w:cstheme="minorHAnsi"/>
          <w:sz w:val="22"/>
        </w:rPr>
        <w:t xml:space="preserve">una vez analizadas </w:t>
      </w:r>
      <w:r w:rsidR="00C119CE" w:rsidRPr="00696864">
        <w:rPr>
          <w:rFonts w:ascii="Mulish" w:hAnsi="Mulish" w:cstheme="minorHAnsi"/>
          <w:sz w:val="22"/>
        </w:rPr>
        <w:t xml:space="preserve">todas </w:t>
      </w:r>
      <w:r w:rsidRPr="00696864">
        <w:rPr>
          <w:rFonts w:ascii="Mulish" w:hAnsi="Mulish" w:cstheme="minorHAnsi"/>
          <w:sz w:val="22"/>
        </w:rPr>
        <w:t xml:space="preserve">las observaciones realizadas al borrador de informe de evaluación </w:t>
      </w:r>
      <w:r w:rsidR="00B81EE6" w:rsidRPr="00696864">
        <w:rPr>
          <w:rFonts w:ascii="Mulish" w:hAnsi="Mulish" w:cstheme="minorHAnsi"/>
          <w:sz w:val="22"/>
        </w:rPr>
        <w:t xml:space="preserve">relativo al </w:t>
      </w:r>
      <w:r w:rsidRPr="00696864">
        <w:rPr>
          <w:rFonts w:ascii="Mulish" w:hAnsi="Mulish" w:cstheme="minorHAnsi"/>
          <w:sz w:val="22"/>
        </w:rPr>
        <w:t xml:space="preserve">cumplimiento de las obligaciones de publicidad activa por parte de esa </w:t>
      </w:r>
      <w:r w:rsidR="00855ECA" w:rsidRPr="00696864">
        <w:rPr>
          <w:rFonts w:ascii="Mulish" w:hAnsi="Mulish" w:cstheme="minorHAnsi"/>
          <w:sz w:val="22"/>
        </w:rPr>
        <w:t>Institución</w:t>
      </w:r>
      <w:r w:rsidRPr="00696864">
        <w:rPr>
          <w:rFonts w:ascii="Mulish" w:hAnsi="Mulish" w:cstheme="minorHAnsi"/>
          <w:sz w:val="22"/>
        </w:rPr>
        <w:t>, este CTBG efectúa las siguientes consideraciones:</w:t>
      </w:r>
    </w:p>
    <w:p w14:paraId="73B32EE4" w14:textId="77777777" w:rsidR="00855ECA" w:rsidRPr="00696864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 w:val="22"/>
        </w:rPr>
      </w:pPr>
    </w:p>
    <w:p w14:paraId="049EF239" w14:textId="035CCD3E" w:rsidR="006F5AFB" w:rsidRDefault="00C506D3" w:rsidP="000343B5">
      <w:pPr>
        <w:pStyle w:val="Prrafodelista"/>
        <w:numPr>
          <w:ilvl w:val="0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</w:rPr>
      </w:pPr>
      <w:r w:rsidRPr="005B21ED">
        <w:rPr>
          <w:rFonts w:ascii="Mulish" w:hAnsi="Mulish" w:cstheme="minorHAnsi"/>
          <w:bCs/>
        </w:rPr>
        <w:t xml:space="preserve">Indica </w:t>
      </w:r>
      <w:r w:rsidR="00696864" w:rsidRPr="005B21ED">
        <w:rPr>
          <w:rFonts w:ascii="Mulish" w:hAnsi="Mulish" w:cstheme="minorHAnsi"/>
          <w:bCs/>
        </w:rPr>
        <w:t>SEGITTUR</w:t>
      </w:r>
      <w:r w:rsidRPr="005B21ED">
        <w:rPr>
          <w:rFonts w:ascii="Mulish" w:hAnsi="Mulish" w:cstheme="minorHAnsi"/>
          <w:bCs/>
        </w:rPr>
        <w:t xml:space="preserve">, en relación con </w:t>
      </w:r>
      <w:r w:rsidR="009951FE" w:rsidRPr="005B21ED">
        <w:rPr>
          <w:rFonts w:ascii="Mulish" w:hAnsi="Mulish" w:cstheme="minorHAnsi"/>
        </w:rPr>
        <w:t xml:space="preserve">la publicación de la información estadística de contratación de </w:t>
      </w:r>
      <w:proofErr w:type="spellStart"/>
      <w:r w:rsidR="009951FE" w:rsidRPr="005B21ED">
        <w:rPr>
          <w:rFonts w:ascii="Mulish" w:hAnsi="Mulish" w:cstheme="minorHAnsi"/>
        </w:rPr>
        <w:t>PYMEs</w:t>
      </w:r>
      <w:proofErr w:type="spellEnd"/>
      <w:r w:rsidR="00696864" w:rsidRPr="005B21ED">
        <w:rPr>
          <w:rFonts w:ascii="Mulish" w:hAnsi="Mulish" w:cstheme="minorHAnsi"/>
        </w:rPr>
        <w:t xml:space="preserve"> que dicha información se localiza a través de los enlaces </w:t>
      </w:r>
      <w:bookmarkStart w:id="0" w:name="_Hlk166757045"/>
      <w:r w:rsidR="00696864" w:rsidRPr="005B21ED">
        <w:rPr>
          <w:rFonts w:ascii="Mulish" w:hAnsi="Mulish" w:cstheme="minorHAnsi"/>
        </w:rPr>
        <w:t xml:space="preserve">Estadística Contratos Tipo Empresa 2023 </w:t>
      </w:r>
      <w:bookmarkEnd w:id="0"/>
      <w:r w:rsidR="00696864" w:rsidRPr="005B21ED">
        <w:rPr>
          <w:rFonts w:ascii="Mulish" w:hAnsi="Mulish" w:cstheme="minorHAnsi"/>
        </w:rPr>
        <w:t>y Estadística</w:t>
      </w:r>
      <w:r w:rsidR="00696864" w:rsidRPr="005B21ED">
        <w:rPr>
          <w:rFonts w:ascii="Mulish" w:hAnsi="Mulish" w:cstheme="minorHAnsi"/>
        </w:rPr>
        <w:t xml:space="preserve"> Contratos Tipo Empresa </w:t>
      </w:r>
      <w:r w:rsidR="00696864" w:rsidRPr="005B21ED">
        <w:rPr>
          <w:rFonts w:ascii="Mulish" w:hAnsi="Mulish" w:cstheme="minorHAnsi"/>
        </w:rPr>
        <w:t>1er semestre 2023. Efectivamente esta información se encuentra publicada y fue localizada</w:t>
      </w:r>
      <w:r w:rsidR="00696864" w:rsidRPr="005B21ED">
        <w:rPr>
          <w:rFonts w:ascii="Mulish" w:hAnsi="Mulish" w:cs="Times New Roman"/>
        </w:rPr>
        <w:t xml:space="preserve"> durante la evaluación. Lo que se indica en el informe provisional es que  </w:t>
      </w:r>
      <w:r w:rsidR="009951FE" w:rsidRPr="005B21ED">
        <w:rPr>
          <w:rFonts w:ascii="Mulish" w:hAnsi="Mulish" w:cstheme="minorHAnsi"/>
        </w:rPr>
        <w:t xml:space="preserve"> </w:t>
      </w:r>
      <w:r w:rsidR="00696864" w:rsidRPr="005B21ED">
        <w:rPr>
          <w:rFonts w:ascii="Mulish" w:hAnsi="Mulish" w:cstheme="minorHAnsi"/>
        </w:rPr>
        <w:t xml:space="preserve">esta </w:t>
      </w:r>
      <w:r w:rsidR="009951FE" w:rsidRPr="005B21ED">
        <w:rPr>
          <w:rFonts w:ascii="Mulish" w:hAnsi="Mulish" w:cstheme="minorHAnsi"/>
        </w:rPr>
        <w:t xml:space="preserve">obligación implica la publicación de la distribución en número y porcentaje </w:t>
      </w:r>
      <w:r w:rsidR="005B21ED">
        <w:rPr>
          <w:rFonts w:ascii="Mulish" w:hAnsi="Mulish" w:cstheme="minorHAnsi"/>
        </w:rPr>
        <w:t xml:space="preserve">tanto </w:t>
      </w:r>
      <w:r w:rsidR="00BB48B9" w:rsidRPr="005B21ED">
        <w:rPr>
          <w:rFonts w:ascii="Mulish" w:hAnsi="Mulish" w:cstheme="minorHAnsi"/>
        </w:rPr>
        <w:t>según procedimiento de licitación</w:t>
      </w:r>
      <w:r w:rsidR="009951FE" w:rsidRPr="005B21ED">
        <w:rPr>
          <w:rFonts w:ascii="Mulish" w:hAnsi="Mulish" w:cstheme="minorHAnsi"/>
        </w:rPr>
        <w:t xml:space="preserve"> – </w:t>
      </w:r>
      <w:r w:rsidR="00696864" w:rsidRPr="005B21ED">
        <w:rPr>
          <w:rFonts w:ascii="Mulish" w:hAnsi="Mulish" w:cstheme="minorHAnsi"/>
        </w:rPr>
        <w:t>que es lo que actualmente se publica</w:t>
      </w:r>
      <w:r w:rsidR="009951FE" w:rsidRPr="005B21ED">
        <w:rPr>
          <w:rFonts w:ascii="Mulish" w:hAnsi="Mulish" w:cstheme="minorHAnsi"/>
        </w:rPr>
        <w:t xml:space="preserve"> </w:t>
      </w:r>
      <w:r w:rsidR="00696864" w:rsidRPr="005B21ED">
        <w:rPr>
          <w:rFonts w:ascii="Mulish" w:hAnsi="Mulish" w:cstheme="minorHAnsi"/>
        </w:rPr>
        <w:t>–</w:t>
      </w:r>
      <w:r w:rsidR="00BB48B9" w:rsidRPr="005B21ED">
        <w:rPr>
          <w:rFonts w:ascii="Mulish" w:hAnsi="Mulish" w:cstheme="minorHAnsi"/>
        </w:rPr>
        <w:t xml:space="preserve"> </w:t>
      </w:r>
      <w:r w:rsidR="005B21ED">
        <w:rPr>
          <w:rFonts w:ascii="Mulish" w:hAnsi="Mulish" w:cstheme="minorHAnsi"/>
        </w:rPr>
        <w:t>como</w:t>
      </w:r>
      <w:r w:rsidR="00BB48B9" w:rsidRPr="005B21ED">
        <w:rPr>
          <w:rFonts w:ascii="Mulish" w:hAnsi="Mulish" w:cstheme="minorHAnsi"/>
        </w:rPr>
        <w:t xml:space="preserve"> según tipo de contrato</w:t>
      </w:r>
      <w:r w:rsidR="009951FE" w:rsidRPr="005B21ED">
        <w:rPr>
          <w:rFonts w:ascii="Mulish" w:hAnsi="Mulish" w:cstheme="minorHAnsi"/>
        </w:rPr>
        <w:t xml:space="preserve"> (obras, suministros, servicios) que actualmente no se publica.</w:t>
      </w:r>
      <w:r w:rsidR="00BB48B9" w:rsidRPr="005B21ED">
        <w:rPr>
          <w:rFonts w:ascii="Mulish" w:hAnsi="Mulish" w:cstheme="minorHAnsi"/>
        </w:rPr>
        <w:t xml:space="preserve"> </w:t>
      </w:r>
      <w:r w:rsidR="005B21ED" w:rsidRPr="005B21ED">
        <w:rPr>
          <w:rFonts w:ascii="Mulish" w:hAnsi="Mulish" w:cstheme="minorHAnsi"/>
        </w:rPr>
        <w:t>Concretamente</w:t>
      </w:r>
      <w:r w:rsidR="00696864" w:rsidRPr="005B21ED">
        <w:rPr>
          <w:rFonts w:ascii="Mulish" w:hAnsi="Mulish" w:cstheme="minorHAnsi"/>
        </w:rPr>
        <w:t xml:space="preserve"> el artículo 8.</w:t>
      </w:r>
      <w:r w:rsidR="005B21ED" w:rsidRPr="005B21ED">
        <w:rPr>
          <w:rFonts w:ascii="Mulish" w:hAnsi="Mulish" w:cstheme="minorHAnsi"/>
        </w:rPr>
        <w:t>1.a) establece que “</w:t>
      </w:r>
      <w:r w:rsidR="005B21ED" w:rsidRPr="005B21ED">
        <w:rPr>
          <w:rFonts w:ascii="Mulish" w:hAnsi="Mulish" w:cstheme="minorHAnsi"/>
          <w:i/>
          <w:iCs/>
        </w:rPr>
        <w:t xml:space="preserve">Además, se publicará 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</w:t>
      </w:r>
      <w:r w:rsidR="005B21ED" w:rsidRPr="005B21ED">
        <w:rPr>
          <w:rFonts w:ascii="Mulish" w:hAnsi="Mulish" w:cstheme="minorHAnsi"/>
          <w:i/>
          <w:iCs/>
          <w:u w:val="single"/>
        </w:rPr>
        <w:t>para cada uno de los procedimientos y tipologías previstas en la legislación de contratos del sector público</w:t>
      </w:r>
      <w:r w:rsidR="005B21ED" w:rsidRPr="005B21ED">
        <w:rPr>
          <w:rFonts w:ascii="Mulish" w:hAnsi="Mulish" w:cstheme="minorHAnsi"/>
          <w:i/>
          <w:iCs/>
        </w:rPr>
        <w:t>. La publicación de esta información se realizará semestralmente, a partir de un año de la publicación de la norma</w:t>
      </w:r>
      <w:r w:rsidR="005B21ED" w:rsidRPr="005B21ED">
        <w:rPr>
          <w:rFonts w:ascii="Mulish" w:hAnsi="Mulish" w:cstheme="minorHAnsi"/>
        </w:rPr>
        <w:t xml:space="preserve">”. </w:t>
      </w:r>
      <w:r w:rsidR="00696864" w:rsidRPr="005B21ED">
        <w:rPr>
          <w:rFonts w:ascii="Mulish" w:hAnsi="Mulish" w:cstheme="minorHAnsi"/>
        </w:rPr>
        <w:t>Por esta razón se consideró parcialmente cumplida la obligación.</w:t>
      </w:r>
    </w:p>
    <w:p w14:paraId="1A3A72F5" w14:textId="77777777" w:rsidR="0074664A" w:rsidRPr="005B21ED" w:rsidRDefault="0074664A" w:rsidP="0074664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</w:rPr>
      </w:pPr>
    </w:p>
    <w:p w14:paraId="1E5C5456" w14:textId="64BD2429" w:rsidR="005B21ED" w:rsidRPr="005B21ED" w:rsidRDefault="005B21ED" w:rsidP="005B21ED">
      <w:pPr>
        <w:pStyle w:val="Prrafodelista"/>
        <w:numPr>
          <w:ilvl w:val="0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</w:rPr>
      </w:pPr>
      <w:r>
        <w:rPr>
          <w:rFonts w:ascii="Mulish" w:hAnsi="Mulish" w:cstheme="minorHAnsi"/>
        </w:rPr>
        <w:t>Se ha revisado de oficio, la valoración del cumplimiento de las obligaciones del bloque Información Económica y Presupuestaria, al haberse detectado un error en la fórmula de cálculo del Índice de Cumplimiento. Tras la revisión efectuada el Índice de Cumplimiento alcanzado por SEGITTUR se sitúa en el 89,5%.</w:t>
      </w:r>
    </w:p>
    <w:p w14:paraId="4DF286C6" w14:textId="77777777" w:rsidR="00696864" w:rsidRPr="00696864" w:rsidRDefault="00696864" w:rsidP="0069686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</w:rPr>
      </w:pPr>
    </w:p>
    <w:p w14:paraId="6DF90766" w14:textId="2FA15AE0" w:rsidR="009E6E79" w:rsidRPr="00696864" w:rsidRDefault="009E6E79" w:rsidP="009E6E79">
      <w:p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 w:val="22"/>
        </w:rPr>
      </w:pPr>
      <w:r w:rsidRPr="00696864">
        <w:rPr>
          <w:rFonts w:ascii="Mulish" w:hAnsi="Mulish" w:cstheme="minorHAnsi"/>
          <w:sz w:val="22"/>
        </w:rPr>
        <w:lastRenderedPageBreak/>
        <w:t xml:space="preserve">Este Consejo valora muy positivamente la </w:t>
      </w:r>
      <w:r w:rsidR="00696864" w:rsidRPr="00696864">
        <w:rPr>
          <w:rFonts w:ascii="Mulish" w:hAnsi="Mulish" w:cstheme="minorHAnsi"/>
          <w:sz w:val="22"/>
        </w:rPr>
        <w:t>proactividad</w:t>
      </w:r>
      <w:r w:rsidRPr="00696864">
        <w:rPr>
          <w:rFonts w:ascii="Mulish" w:hAnsi="Mulish" w:cstheme="minorHAnsi"/>
          <w:sz w:val="22"/>
        </w:rPr>
        <w:t xml:space="preserve"> de </w:t>
      </w:r>
      <w:r w:rsidR="00696864" w:rsidRPr="00696864">
        <w:rPr>
          <w:rFonts w:ascii="Mulish" w:hAnsi="Mulish" w:cstheme="minorHAnsi"/>
          <w:sz w:val="22"/>
        </w:rPr>
        <w:t>SEGITTUR</w:t>
      </w:r>
      <w:r w:rsidRPr="00696864">
        <w:rPr>
          <w:rFonts w:ascii="Mulish" w:hAnsi="Mulish" w:cstheme="minorHAnsi"/>
          <w:sz w:val="22"/>
        </w:rPr>
        <w:t xml:space="preserve"> a aplicar las recomendaciones derivadas de la evaluación. De hecho</w:t>
      </w:r>
      <w:r w:rsidR="00431713" w:rsidRPr="00696864">
        <w:rPr>
          <w:rFonts w:ascii="Mulish" w:hAnsi="Mulish" w:cstheme="minorHAnsi"/>
          <w:sz w:val="22"/>
        </w:rPr>
        <w:t>,</w:t>
      </w:r>
      <w:r w:rsidRPr="00696864">
        <w:rPr>
          <w:rFonts w:ascii="Mulish" w:hAnsi="Mulish" w:cstheme="minorHAnsi"/>
          <w:sz w:val="22"/>
        </w:rPr>
        <w:t xml:space="preserve"> </w:t>
      </w:r>
      <w:r w:rsidR="00696864" w:rsidRPr="00696864">
        <w:rPr>
          <w:rFonts w:ascii="Mulish" w:hAnsi="Mulish" w:cstheme="minorHAnsi"/>
          <w:sz w:val="22"/>
        </w:rPr>
        <w:t>una de ellas, ya se ha implantado</w:t>
      </w:r>
      <w:r w:rsidR="00696864">
        <w:rPr>
          <w:rFonts w:ascii="Mulish" w:hAnsi="Mulish" w:cstheme="minorHAnsi"/>
          <w:sz w:val="22"/>
        </w:rPr>
        <w:t xml:space="preserve"> – lo que se reflejará en el informe específico </w:t>
      </w:r>
      <w:r w:rsidR="005B21ED">
        <w:rPr>
          <w:rFonts w:ascii="Mulish" w:hAnsi="Mulish" w:cstheme="minorHAnsi"/>
          <w:sz w:val="22"/>
        </w:rPr>
        <w:t>que se elabora por este Consejo, y que se publica junto a los informes de evaluación.</w:t>
      </w:r>
    </w:p>
    <w:p w14:paraId="7CA8D920" w14:textId="77777777" w:rsidR="007704A4" w:rsidRPr="00406F06" w:rsidRDefault="007704A4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</w:p>
    <w:p w14:paraId="5B401E42" w14:textId="4CDEBA87" w:rsidR="006F17B5" w:rsidRPr="005B21ED" w:rsidRDefault="006F17B5" w:rsidP="009557B1">
      <w:pPr>
        <w:autoSpaceDE w:val="0"/>
        <w:autoSpaceDN w:val="0"/>
        <w:adjustRightInd w:val="0"/>
        <w:spacing w:after="0"/>
        <w:jc w:val="right"/>
        <w:rPr>
          <w:rFonts w:ascii="Mulish" w:hAnsi="Mulish"/>
          <w:sz w:val="22"/>
        </w:rPr>
      </w:pPr>
      <w:r w:rsidRPr="005B21ED">
        <w:rPr>
          <w:rFonts w:ascii="Mulish" w:hAnsi="Mulish" w:cstheme="minorHAnsi"/>
          <w:sz w:val="22"/>
        </w:rPr>
        <w:t xml:space="preserve">Madrid, </w:t>
      </w:r>
      <w:r w:rsidR="005B21ED">
        <w:rPr>
          <w:rFonts w:ascii="Mulish" w:hAnsi="Mulish" w:cstheme="minorHAnsi"/>
          <w:sz w:val="22"/>
        </w:rPr>
        <w:t>mayo</w:t>
      </w:r>
      <w:r w:rsidRPr="005B21ED">
        <w:rPr>
          <w:rFonts w:ascii="Mulish" w:hAnsi="Mulish" w:cstheme="minorHAnsi"/>
          <w:sz w:val="22"/>
        </w:rPr>
        <w:t xml:space="preserve"> de 202</w:t>
      </w:r>
      <w:r w:rsidR="001C701F" w:rsidRPr="005B21ED">
        <w:rPr>
          <w:rFonts w:ascii="Mulish" w:hAnsi="Mulish" w:cstheme="minorHAnsi"/>
          <w:sz w:val="22"/>
        </w:rPr>
        <w:t>4</w:t>
      </w:r>
    </w:p>
    <w:sectPr w:rsidR="006F17B5" w:rsidRPr="005B21ED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727" type="#_x0000_t75" style="width:11.25pt;height:11.25pt" o:bullet="t">
        <v:imagedata r:id="rId1" o:title="BD14529_"/>
      </v:shape>
    </w:pict>
  </w:numPicBullet>
  <w:numPicBullet w:numPicBulletId="1">
    <w:pict>
      <v:shape id="_x0000_i2728" type="#_x0000_t75" style="width:11.25pt;height:11.2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4A2"/>
    <w:multiLevelType w:val="hybridMultilevel"/>
    <w:tmpl w:val="DB201012"/>
    <w:lvl w:ilvl="0" w:tplc="71DA5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3E35655"/>
    <w:multiLevelType w:val="hybridMultilevel"/>
    <w:tmpl w:val="C568E2C8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13E31"/>
    <w:rsid w:val="000234B9"/>
    <w:rsid w:val="00033E75"/>
    <w:rsid w:val="00034F48"/>
    <w:rsid w:val="00036A5D"/>
    <w:rsid w:val="0005249D"/>
    <w:rsid w:val="00070294"/>
    <w:rsid w:val="00070950"/>
    <w:rsid w:val="00073E04"/>
    <w:rsid w:val="00074030"/>
    <w:rsid w:val="000A7C47"/>
    <w:rsid w:val="000B3139"/>
    <w:rsid w:val="000D4422"/>
    <w:rsid w:val="000E5D1F"/>
    <w:rsid w:val="001257F9"/>
    <w:rsid w:val="0013625B"/>
    <w:rsid w:val="0014196C"/>
    <w:rsid w:val="00151290"/>
    <w:rsid w:val="0016439B"/>
    <w:rsid w:val="00173960"/>
    <w:rsid w:val="001750A8"/>
    <w:rsid w:val="00175D6C"/>
    <w:rsid w:val="0018324C"/>
    <w:rsid w:val="00186B56"/>
    <w:rsid w:val="00190952"/>
    <w:rsid w:val="00192060"/>
    <w:rsid w:val="0019362B"/>
    <w:rsid w:val="00194E05"/>
    <w:rsid w:val="001B16D9"/>
    <w:rsid w:val="001B7352"/>
    <w:rsid w:val="001C701F"/>
    <w:rsid w:val="001E44BC"/>
    <w:rsid w:val="001F290B"/>
    <w:rsid w:val="00235A40"/>
    <w:rsid w:val="00251194"/>
    <w:rsid w:val="00292806"/>
    <w:rsid w:val="002A4771"/>
    <w:rsid w:val="002A7933"/>
    <w:rsid w:val="002C000A"/>
    <w:rsid w:val="002F5D0B"/>
    <w:rsid w:val="003245B8"/>
    <w:rsid w:val="003259B9"/>
    <w:rsid w:val="00344FE7"/>
    <w:rsid w:val="00351475"/>
    <w:rsid w:val="003656B1"/>
    <w:rsid w:val="003B5DE7"/>
    <w:rsid w:val="003D2C6C"/>
    <w:rsid w:val="003D52DF"/>
    <w:rsid w:val="003F0972"/>
    <w:rsid w:val="003F38BD"/>
    <w:rsid w:val="00406F06"/>
    <w:rsid w:val="004108BB"/>
    <w:rsid w:val="004124E7"/>
    <w:rsid w:val="00431713"/>
    <w:rsid w:val="0045134F"/>
    <w:rsid w:val="00466973"/>
    <w:rsid w:val="00470F02"/>
    <w:rsid w:val="0049491F"/>
    <w:rsid w:val="004B15B8"/>
    <w:rsid w:val="004D4EF1"/>
    <w:rsid w:val="00511BED"/>
    <w:rsid w:val="00525FCA"/>
    <w:rsid w:val="0055202A"/>
    <w:rsid w:val="00565608"/>
    <w:rsid w:val="005B1C12"/>
    <w:rsid w:val="005B21ED"/>
    <w:rsid w:val="005E2370"/>
    <w:rsid w:val="005F0570"/>
    <w:rsid w:val="005F4305"/>
    <w:rsid w:val="005F59A5"/>
    <w:rsid w:val="00614890"/>
    <w:rsid w:val="00620AB5"/>
    <w:rsid w:val="00636FF6"/>
    <w:rsid w:val="006615ED"/>
    <w:rsid w:val="00696864"/>
    <w:rsid w:val="006F17B5"/>
    <w:rsid w:val="006F5890"/>
    <w:rsid w:val="006F5AFB"/>
    <w:rsid w:val="0071472F"/>
    <w:rsid w:val="007342F2"/>
    <w:rsid w:val="00745E83"/>
    <w:rsid w:val="0074664A"/>
    <w:rsid w:val="00753179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302F"/>
    <w:rsid w:val="00855ECA"/>
    <w:rsid w:val="0089717A"/>
    <w:rsid w:val="00897F59"/>
    <w:rsid w:val="008B5D4F"/>
    <w:rsid w:val="008B79BD"/>
    <w:rsid w:val="00901F1F"/>
    <w:rsid w:val="009029E0"/>
    <w:rsid w:val="00910EC2"/>
    <w:rsid w:val="00950524"/>
    <w:rsid w:val="009557B1"/>
    <w:rsid w:val="009951FE"/>
    <w:rsid w:val="009B7ADA"/>
    <w:rsid w:val="009D2560"/>
    <w:rsid w:val="009D6677"/>
    <w:rsid w:val="009E084D"/>
    <w:rsid w:val="009E16B5"/>
    <w:rsid w:val="009E30AA"/>
    <w:rsid w:val="009E6E79"/>
    <w:rsid w:val="00A24192"/>
    <w:rsid w:val="00A26523"/>
    <w:rsid w:val="00A41DE8"/>
    <w:rsid w:val="00A52A4D"/>
    <w:rsid w:val="00A603C7"/>
    <w:rsid w:val="00A62936"/>
    <w:rsid w:val="00A70779"/>
    <w:rsid w:val="00AE5BF4"/>
    <w:rsid w:val="00AF587E"/>
    <w:rsid w:val="00B263E1"/>
    <w:rsid w:val="00B2797F"/>
    <w:rsid w:val="00B31F84"/>
    <w:rsid w:val="00B35A53"/>
    <w:rsid w:val="00B4112D"/>
    <w:rsid w:val="00B81EE6"/>
    <w:rsid w:val="00BB48B9"/>
    <w:rsid w:val="00BC7A82"/>
    <w:rsid w:val="00BE33B9"/>
    <w:rsid w:val="00C01613"/>
    <w:rsid w:val="00C0201F"/>
    <w:rsid w:val="00C119CE"/>
    <w:rsid w:val="00C13C51"/>
    <w:rsid w:val="00C23F36"/>
    <w:rsid w:val="00C25FA5"/>
    <w:rsid w:val="00C305B6"/>
    <w:rsid w:val="00C3135F"/>
    <w:rsid w:val="00C506D3"/>
    <w:rsid w:val="00C736B9"/>
    <w:rsid w:val="00C82AB2"/>
    <w:rsid w:val="00C87BC3"/>
    <w:rsid w:val="00C90859"/>
    <w:rsid w:val="00C93842"/>
    <w:rsid w:val="00CB4447"/>
    <w:rsid w:val="00CD334A"/>
    <w:rsid w:val="00CF0704"/>
    <w:rsid w:val="00D23111"/>
    <w:rsid w:val="00D445A4"/>
    <w:rsid w:val="00D44E9D"/>
    <w:rsid w:val="00D55DED"/>
    <w:rsid w:val="00D72EF9"/>
    <w:rsid w:val="00D847B0"/>
    <w:rsid w:val="00D91A37"/>
    <w:rsid w:val="00DA126F"/>
    <w:rsid w:val="00DB1735"/>
    <w:rsid w:val="00DB21EC"/>
    <w:rsid w:val="00DB2CB4"/>
    <w:rsid w:val="00DB2CCC"/>
    <w:rsid w:val="00DD07B5"/>
    <w:rsid w:val="00DD49EF"/>
    <w:rsid w:val="00DF5982"/>
    <w:rsid w:val="00E03C82"/>
    <w:rsid w:val="00E35741"/>
    <w:rsid w:val="00E4386D"/>
    <w:rsid w:val="00E475B6"/>
    <w:rsid w:val="00E5135F"/>
    <w:rsid w:val="00E64F85"/>
    <w:rsid w:val="00EB7058"/>
    <w:rsid w:val="00EB79A4"/>
    <w:rsid w:val="00EC3AAE"/>
    <w:rsid w:val="00ED6FD3"/>
    <w:rsid w:val="00EF173E"/>
    <w:rsid w:val="00EF5F68"/>
    <w:rsid w:val="00F17B00"/>
    <w:rsid w:val="00F5121D"/>
    <w:rsid w:val="00F7456B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4</cp:revision>
  <cp:lastPrinted>2015-01-27T17:42:00Z</cp:lastPrinted>
  <dcterms:created xsi:type="dcterms:W3CDTF">2024-05-16T11:00:00Z</dcterms:created>
  <dcterms:modified xsi:type="dcterms:W3CDTF">2024-05-16T11:20:00Z</dcterms:modified>
</cp:coreProperties>
</file>