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ulish" w:eastAsiaTheme="majorEastAsia" w:hAnsi="Mulish"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25"/>
            <w:gridCol w:w="2695"/>
            <w:gridCol w:w="1510"/>
            <w:gridCol w:w="3841"/>
          </w:tblGrid>
          <w:tr w:rsidR="008876B2" w:rsidRPr="00941553" w14:paraId="3F3A8DCC" w14:textId="77777777" w:rsidTr="008876B2">
            <w:tc>
              <w:tcPr>
                <w:tcW w:w="1050" w:type="dxa"/>
                <w:vAlign w:val="center"/>
              </w:tcPr>
              <w:p w14:paraId="21039D94" w14:textId="77777777" w:rsidR="00743995" w:rsidRPr="00941553" w:rsidRDefault="00743995">
                <w:pPr>
                  <w:pStyle w:val="Sinespaciado"/>
                  <w:rPr>
                    <w:rFonts w:ascii="Mulish" w:hAnsi="Mulish"/>
                  </w:rPr>
                </w:pPr>
              </w:p>
            </w:tc>
            <w:tc>
              <w:tcPr>
                <w:tcW w:w="2778" w:type="dxa"/>
                <w:vAlign w:val="center"/>
              </w:tcPr>
              <w:p w14:paraId="22C0F927" w14:textId="77777777" w:rsidR="00743995" w:rsidRPr="00941553" w:rsidRDefault="00743995">
                <w:pPr>
                  <w:pStyle w:val="Sinespaciado"/>
                  <w:rPr>
                    <w:rFonts w:ascii="Mulish" w:hAnsi="Mulish"/>
                  </w:rPr>
                </w:pPr>
              </w:p>
            </w:tc>
            <w:tc>
              <w:tcPr>
                <w:tcW w:w="5473" w:type="dxa"/>
                <w:gridSpan w:val="2"/>
                <w:vAlign w:val="center"/>
              </w:tcPr>
              <w:p w14:paraId="60232475" w14:textId="77777777" w:rsidR="00743995" w:rsidRPr="00941553" w:rsidRDefault="00743995">
                <w:pPr>
                  <w:pStyle w:val="Sinespaciado"/>
                  <w:rPr>
                    <w:rFonts w:ascii="Mulish" w:hAnsi="Mulish"/>
                  </w:rPr>
                </w:pPr>
              </w:p>
            </w:tc>
          </w:tr>
          <w:tr w:rsidR="008876B2" w:rsidRPr="00941553" w14:paraId="0A04E413" w14:textId="77777777"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23"/>
                  <w:gridCol w:w="2567"/>
                </w:tblGrid>
                <w:tr w:rsidR="00743995" w:rsidRPr="00941553" w14:paraId="719C5AC8" w14:textId="77777777">
                  <w:trPr>
                    <w:trHeight w:hRule="exact" w:val="86"/>
                  </w:trPr>
                  <w:tc>
                    <w:tcPr>
                      <w:tcW w:w="990" w:type="dxa"/>
                    </w:tcPr>
                    <w:p w14:paraId="445E9729" w14:textId="77777777" w:rsidR="00743995" w:rsidRPr="00941553" w:rsidRDefault="00743995">
                      <w:pPr>
                        <w:pStyle w:val="Sinespaciado"/>
                        <w:framePr w:hSpace="187" w:wrap="around" w:hAnchor="text" w:yAlign="bottom"/>
                        <w:suppressOverlap/>
                        <w:rPr>
                          <w:rFonts w:ascii="Mulish" w:hAnsi="Mulish"/>
                        </w:rPr>
                      </w:pPr>
                    </w:p>
                  </w:tc>
                  <w:tc>
                    <w:tcPr>
                      <w:tcW w:w="2754" w:type="dxa"/>
                      <w:tcBorders>
                        <w:top w:val="single" w:sz="6" w:space="0" w:color="438086" w:themeColor="accent2"/>
                        <w:bottom w:val="single" w:sz="24" w:space="0" w:color="438086" w:themeColor="accent2"/>
                      </w:tcBorders>
                    </w:tcPr>
                    <w:p w14:paraId="7BD9E7BE" w14:textId="77777777" w:rsidR="00743995" w:rsidRPr="00941553" w:rsidRDefault="00743995">
                      <w:pPr>
                        <w:pStyle w:val="Sinespaciado"/>
                        <w:framePr w:hSpace="187" w:wrap="around" w:hAnchor="text" w:yAlign="bottom"/>
                        <w:suppressOverlap/>
                        <w:rPr>
                          <w:rFonts w:ascii="Mulish" w:hAnsi="Mulish"/>
                        </w:rPr>
                      </w:pPr>
                    </w:p>
                  </w:tc>
                </w:tr>
                <w:tr w:rsidR="00743995" w:rsidRPr="00941553" w14:paraId="5F1050F2" w14:textId="77777777">
                  <w:trPr>
                    <w:trHeight w:hRule="exact" w:val="86"/>
                  </w:trPr>
                  <w:tc>
                    <w:tcPr>
                      <w:tcW w:w="990" w:type="dxa"/>
                      <w:tcBorders>
                        <w:bottom w:val="single" w:sz="2" w:space="0" w:color="438086" w:themeColor="accent2"/>
                      </w:tcBorders>
                    </w:tcPr>
                    <w:p w14:paraId="1653A71D" w14:textId="77777777" w:rsidR="00743995" w:rsidRPr="00941553" w:rsidRDefault="00743995">
                      <w:pPr>
                        <w:pStyle w:val="Sinespaciado"/>
                        <w:framePr w:hSpace="187" w:wrap="around" w:hAnchor="text" w:yAlign="bottom"/>
                        <w:suppressOverlap/>
                        <w:rPr>
                          <w:rFonts w:ascii="Mulish" w:hAnsi="Mulish"/>
                        </w:rPr>
                      </w:pPr>
                    </w:p>
                  </w:tc>
                  <w:tc>
                    <w:tcPr>
                      <w:tcW w:w="2754" w:type="dxa"/>
                      <w:tcBorders>
                        <w:top w:val="single" w:sz="24" w:space="0" w:color="438086" w:themeColor="accent2"/>
                        <w:bottom w:val="single" w:sz="2" w:space="0" w:color="438086" w:themeColor="accent2"/>
                      </w:tcBorders>
                    </w:tcPr>
                    <w:p w14:paraId="223ED223" w14:textId="77777777" w:rsidR="00743995" w:rsidRPr="00941553" w:rsidRDefault="00743995">
                      <w:pPr>
                        <w:pStyle w:val="Sinespaciado"/>
                        <w:framePr w:hSpace="187" w:wrap="around" w:hAnchor="text" w:yAlign="bottom"/>
                        <w:suppressOverlap/>
                        <w:rPr>
                          <w:rFonts w:ascii="Mulish" w:hAnsi="Mulish"/>
                        </w:rPr>
                      </w:pPr>
                    </w:p>
                  </w:tc>
                </w:tr>
                <w:tr w:rsidR="00743995" w:rsidRPr="00941553" w14:paraId="5A7A78B9" w14:textId="77777777">
                  <w:trPr>
                    <w:trHeight w:hRule="exact" w:val="115"/>
                  </w:trPr>
                  <w:tc>
                    <w:tcPr>
                      <w:tcW w:w="990" w:type="dxa"/>
                      <w:tcBorders>
                        <w:top w:val="single" w:sz="2" w:space="0" w:color="438086" w:themeColor="accent2"/>
                        <w:bottom w:val="single" w:sz="8" w:space="0" w:color="438086" w:themeColor="accent2"/>
                      </w:tcBorders>
                    </w:tcPr>
                    <w:p w14:paraId="0FFE31A7" w14:textId="77777777" w:rsidR="00743995" w:rsidRPr="00941553" w:rsidRDefault="00743995">
                      <w:pPr>
                        <w:pStyle w:val="Sinespaciado"/>
                        <w:framePr w:hSpace="187" w:wrap="around" w:hAnchor="text" w:yAlign="bottom"/>
                        <w:suppressOverlap/>
                        <w:rPr>
                          <w:rFonts w:ascii="Mulish" w:hAnsi="Mulish"/>
                        </w:rPr>
                      </w:pPr>
                    </w:p>
                  </w:tc>
                  <w:tc>
                    <w:tcPr>
                      <w:tcW w:w="2754" w:type="dxa"/>
                      <w:tcBorders>
                        <w:top w:val="single" w:sz="2" w:space="0" w:color="438086" w:themeColor="accent2"/>
                        <w:bottom w:val="single" w:sz="8" w:space="0" w:color="438086" w:themeColor="accent2"/>
                      </w:tcBorders>
                    </w:tcPr>
                    <w:p w14:paraId="25C39010" w14:textId="77777777" w:rsidR="00743995" w:rsidRPr="00941553" w:rsidRDefault="00743995">
                      <w:pPr>
                        <w:pStyle w:val="Sinespaciado"/>
                        <w:framePr w:hSpace="187" w:wrap="around" w:hAnchor="text" w:yAlign="bottom"/>
                        <w:suppressOverlap/>
                        <w:rPr>
                          <w:rFonts w:ascii="Mulish" w:hAnsi="Mulish"/>
                        </w:rPr>
                      </w:pPr>
                    </w:p>
                  </w:tc>
                </w:tr>
                <w:tr w:rsidR="00743995" w:rsidRPr="00941553" w14:paraId="2439A3D1" w14:textId="77777777">
                  <w:trPr>
                    <w:trHeight w:hRule="exact" w:val="58"/>
                  </w:trPr>
                  <w:tc>
                    <w:tcPr>
                      <w:tcW w:w="990" w:type="dxa"/>
                      <w:tcBorders>
                        <w:top w:val="single" w:sz="8" w:space="0" w:color="438086" w:themeColor="accent2"/>
                      </w:tcBorders>
                    </w:tcPr>
                    <w:p w14:paraId="277632EA" w14:textId="77777777" w:rsidR="00743995" w:rsidRPr="00941553" w:rsidRDefault="00743995">
                      <w:pPr>
                        <w:pStyle w:val="Sinespaciado"/>
                        <w:framePr w:hSpace="187" w:wrap="around" w:hAnchor="text" w:yAlign="bottom"/>
                        <w:suppressOverlap/>
                        <w:rPr>
                          <w:rFonts w:ascii="Mulish" w:hAnsi="Mulish"/>
                        </w:rPr>
                      </w:pPr>
                    </w:p>
                  </w:tc>
                  <w:tc>
                    <w:tcPr>
                      <w:tcW w:w="2754" w:type="dxa"/>
                      <w:tcBorders>
                        <w:top w:val="single" w:sz="8" w:space="0" w:color="438086" w:themeColor="accent2"/>
                        <w:bottom w:val="single" w:sz="12" w:space="0" w:color="438086" w:themeColor="accent2"/>
                      </w:tcBorders>
                    </w:tcPr>
                    <w:p w14:paraId="7C8C0F73" w14:textId="77777777" w:rsidR="00743995" w:rsidRPr="00941553" w:rsidRDefault="00743995">
                      <w:pPr>
                        <w:pStyle w:val="Sinespaciado"/>
                        <w:framePr w:hSpace="187" w:wrap="around" w:hAnchor="text" w:yAlign="bottom"/>
                        <w:suppressOverlap/>
                        <w:rPr>
                          <w:rFonts w:ascii="Mulish" w:hAnsi="Mulish"/>
                        </w:rPr>
                      </w:pPr>
                    </w:p>
                  </w:tc>
                </w:tr>
              </w:tbl>
              <w:p w14:paraId="524E5846" w14:textId="77777777" w:rsidR="00743995" w:rsidRPr="00941553" w:rsidRDefault="00743995">
                <w:pPr>
                  <w:pStyle w:val="Sinespaciado"/>
                  <w:rPr>
                    <w:rFonts w:ascii="Mulish" w:hAnsi="Mulish"/>
                  </w:rPr>
                </w:pPr>
              </w:p>
            </w:tc>
            <w:tc>
              <w:tcPr>
                <w:tcW w:w="5473" w:type="dxa"/>
                <w:gridSpan w:val="2"/>
                <w:vAlign w:val="center"/>
              </w:tcPr>
              <w:p w14:paraId="229D5CFC" w14:textId="77777777" w:rsidR="00743995" w:rsidRPr="00941553" w:rsidRDefault="00743995">
                <w:pPr>
                  <w:pStyle w:val="Sinespaciado"/>
                  <w:rPr>
                    <w:rFonts w:ascii="Mulish" w:hAnsi="Mulish"/>
                  </w:rPr>
                </w:pPr>
              </w:p>
            </w:tc>
          </w:tr>
          <w:tr w:rsidR="00743995" w:rsidRPr="00941553" w14:paraId="6DC0BDA1" w14:textId="77777777" w:rsidTr="008876B2">
            <w:trPr>
              <w:trHeight w:val="1800"/>
            </w:trPr>
            <w:tc>
              <w:tcPr>
                <w:tcW w:w="9301" w:type="dxa"/>
                <w:gridSpan w:val="4"/>
                <w:tcMar>
                  <w:top w:w="115" w:type="dxa"/>
                  <w:left w:w="115" w:type="dxa"/>
                  <w:bottom w:w="72" w:type="dxa"/>
                  <w:right w:w="115" w:type="dxa"/>
                </w:tcMar>
                <w:vAlign w:val="center"/>
              </w:tcPr>
              <w:p w14:paraId="78AE6D0A" w14:textId="77777777" w:rsidR="00743995" w:rsidRPr="00941553" w:rsidRDefault="00967CE0">
                <w:pPr>
                  <w:pStyle w:val="Sinespaciado"/>
                  <w:rPr>
                    <w:rFonts w:ascii="Mulish" w:eastAsiaTheme="majorEastAsia" w:hAnsi="Mulish" w:cstheme="majorBidi"/>
                    <w:color w:val="53548A" w:themeColor="accent1"/>
                    <w:sz w:val="40"/>
                    <w:szCs w:val="40"/>
                  </w:rPr>
                </w:pPr>
                <w:sdt>
                  <w:sdtPr>
                    <w:rPr>
                      <w:rFonts w:ascii="Mulish" w:eastAsiaTheme="majorEastAsia" w:hAnsi="Mulish"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EndPr/>
                  <w:sdtContent>
                    <w:r w:rsidR="00811019">
                      <w:rPr>
                        <w:rFonts w:ascii="Mulish" w:eastAsiaTheme="majorEastAsia" w:hAnsi="Mulish" w:cstheme="majorBidi"/>
                        <w:sz w:val="40"/>
                        <w:szCs w:val="40"/>
                      </w:rPr>
                      <w:t>Informe de evaluación sobre el cumplimiento de la LTAIBG por parte de las entidades integrantes del Sector Público Institucional.</w:t>
                    </w:r>
                  </w:sdtContent>
                </w:sdt>
              </w:p>
              <w:p w14:paraId="569A050E" w14:textId="7393AC1F" w:rsidR="00743995" w:rsidRPr="00941553" w:rsidRDefault="00967CE0" w:rsidP="00A83A56">
                <w:pPr>
                  <w:pStyle w:val="Sinespaciado"/>
                  <w:rPr>
                    <w:rFonts w:ascii="Mulish" w:hAnsi="Mulish"/>
                  </w:rPr>
                </w:pPr>
                <w:sdt>
                  <w:sdtPr>
                    <w:rPr>
                      <w:rFonts w:ascii="Mulish" w:hAnsi="Mulish"/>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EndPr/>
                  <w:sdtContent>
                    <w:r w:rsidR="00811019">
                      <w:rPr>
                        <w:rFonts w:ascii="Mulish" w:hAnsi="Mulish"/>
                        <w:i/>
                        <w:iCs/>
                        <w:color w:val="424456" w:themeColor="text2"/>
                        <w:sz w:val="28"/>
                        <w:szCs w:val="28"/>
                      </w:rPr>
                      <w:t>Evaluaciones 2024.CTBG</w:t>
                    </w:r>
                  </w:sdtContent>
                </w:sdt>
              </w:p>
            </w:tc>
          </w:tr>
          <w:tr w:rsidR="008876B2" w:rsidRPr="00941553" w14:paraId="4B7EA1F4" w14:textId="77777777" w:rsidTr="008876B2">
            <w:tc>
              <w:tcPr>
                <w:tcW w:w="1050" w:type="dxa"/>
                <w:vAlign w:val="center"/>
              </w:tcPr>
              <w:p w14:paraId="1637B7A3" w14:textId="77777777" w:rsidR="00743995" w:rsidRPr="00941553" w:rsidRDefault="00743995">
                <w:pPr>
                  <w:pStyle w:val="Sinespaciado"/>
                  <w:rPr>
                    <w:rFonts w:ascii="Mulish" w:hAnsi="Mulish"/>
                  </w:rPr>
                </w:pPr>
              </w:p>
            </w:tc>
            <w:tc>
              <w:tcPr>
                <w:tcW w:w="4339" w:type="dxa"/>
                <w:gridSpan w:val="2"/>
                <w:vAlign w:val="center"/>
              </w:tcPr>
              <w:p w14:paraId="728C9C4A" w14:textId="77777777" w:rsidR="00743995" w:rsidRPr="00941553" w:rsidRDefault="00743995">
                <w:pPr>
                  <w:pStyle w:val="Sinespaciado"/>
                  <w:rPr>
                    <w:rFonts w:ascii="Mulish" w:hAnsi="Mulish"/>
                  </w:rPr>
                </w:pPr>
              </w:p>
            </w:tc>
            <w:tc>
              <w:tcPr>
                <w:tcW w:w="3912" w:type="dxa"/>
                <w:vAlign w:val="center"/>
              </w:tcPr>
              <w:tbl>
                <w:tblPr>
                  <w:tblW w:w="5000" w:type="pct"/>
                  <w:tblLook w:val="04A0" w:firstRow="1" w:lastRow="0" w:firstColumn="1" w:lastColumn="0" w:noHBand="0" w:noVBand="1"/>
                </w:tblPr>
                <w:tblGrid>
                  <w:gridCol w:w="1037"/>
                  <w:gridCol w:w="686"/>
                  <w:gridCol w:w="1888"/>
                </w:tblGrid>
                <w:tr w:rsidR="008876B2" w:rsidRPr="00941553" w14:paraId="2FF72FF0" w14:textId="77777777">
                  <w:trPr>
                    <w:trHeight w:hRule="exact" w:val="72"/>
                  </w:trPr>
                  <w:tc>
                    <w:tcPr>
                      <w:tcW w:w="1098" w:type="dxa"/>
                      <w:tcBorders>
                        <w:top w:val="single" w:sz="24" w:space="0" w:color="438086" w:themeColor="accent2"/>
                      </w:tcBorders>
                    </w:tcPr>
                    <w:p w14:paraId="1754A5F1"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24" w:space="0" w:color="438086" w:themeColor="accent2"/>
                        <w:bottom w:val="single" w:sz="6" w:space="0" w:color="438086" w:themeColor="accent2"/>
                      </w:tcBorders>
                    </w:tcPr>
                    <w:p w14:paraId="256EC720"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top w:val="single" w:sz="24" w:space="0" w:color="438086" w:themeColor="accent2"/>
                        <w:bottom w:val="single" w:sz="6" w:space="0" w:color="438086" w:themeColor="accent2"/>
                      </w:tcBorders>
                    </w:tcPr>
                    <w:p w14:paraId="25D9CF6C" w14:textId="77777777" w:rsidR="00743995" w:rsidRPr="00941553" w:rsidRDefault="00743995" w:rsidP="00967CE0">
                      <w:pPr>
                        <w:pStyle w:val="Sinespaciado"/>
                        <w:framePr w:hSpace="187" w:wrap="around" w:hAnchor="text" w:yAlign="bottom"/>
                        <w:suppressOverlap/>
                        <w:rPr>
                          <w:rFonts w:ascii="Mulish" w:hAnsi="Mulish"/>
                          <w:sz w:val="12"/>
                        </w:rPr>
                      </w:pPr>
                    </w:p>
                  </w:tc>
                </w:tr>
                <w:tr w:rsidR="008876B2" w:rsidRPr="00941553" w14:paraId="646FB595" w14:textId="77777777">
                  <w:trPr>
                    <w:trHeight w:hRule="exact" w:val="86"/>
                  </w:trPr>
                  <w:tc>
                    <w:tcPr>
                      <w:tcW w:w="1098" w:type="dxa"/>
                    </w:tcPr>
                    <w:p w14:paraId="38F6CB87"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6" w:space="0" w:color="438086" w:themeColor="accent2"/>
                        <w:bottom w:val="single" w:sz="24" w:space="0" w:color="438086" w:themeColor="accent2"/>
                      </w:tcBorders>
                    </w:tcPr>
                    <w:p w14:paraId="6EEABC80"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top w:val="single" w:sz="6" w:space="0" w:color="438086" w:themeColor="accent2"/>
                        <w:bottom w:val="single" w:sz="24" w:space="0" w:color="438086" w:themeColor="accent2"/>
                      </w:tcBorders>
                    </w:tcPr>
                    <w:p w14:paraId="3E4E7F20" w14:textId="77777777" w:rsidR="00743995" w:rsidRPr="00941553" w:rsidRDefault="00743995" w:rsidP="00967CE0">
                      <w:pPr>
                        <w:pStyle w:val="Sinespaciado"/>
                        <w:framePr w:hSpace="187" w:wrap="around" w:hAnchor="text" w:yAlign="bottom"/>
                        <w:suppressOverlap/>
                        <w:rPr>
                          <w:rFonts w:ascii="Mulish" w:hAnsi="Mulish"/>
                          <w:sz w:val="12"/>
                        </w:rPr>
                      </w:pPr>
                    </w:p>
                  </w:tc>
                </w:tr>
                <w:tr w:rsidR="008876B2" w:rsidRPr="00941553" w14:paraId="054AD7DE" w14:textId="77777777">
                  <w:trPr>
                    <w:trHeight w:hRule="exact" w:val="101"/>
                  </w:trPr>
                  <w:tc>
                    <w:tcPr>
                      <w:tcW w:w="1098" w:type="dxa"/>
                      <w:tcBorders>
                        <w:bottom w:val="single" w:sz="2" w:space="0" w:color="438086" w:themeColor="accent2"/>
                      </w:tcBorders>
                    </w:tcPr>
                    <w:p w14:paraId="2C95EF7E"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24" w:space="0" w:color="438086" w:themeColor="accent2"/>
                        <w:bottom w:val="single" w:sz="2" w:space="0" w:color="438086" w:themeColor="accent2"/>
                      </w:tcBorders>
                    </w:tcPr>
                    <w:p w14:paraId="0F1190DD"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top w:val="single" w:sz="24" w:space="0" w:color="438086" w:themeColor="accent2"/>
                        <w:bottom w:val="single" w:sz="2" w:space="0" w:color="438086" w:themeColor="accent2"/>
                      </w:tcBorders>
                    </w:tcPr>
                    <w:p w14:paraId="2FEF2AD4" w14:textId="77777777" w:rsidR="00743995" w:rsidRPr="00941553" w:rsidRDefault="00743995" w:rsidP="00967CE0">
                      <w:pPr>
                        <w:pStyle w:val="Sinespaciado"/>
                        <w:framePr w:hSpace="187" w:wrap="around" w:hAnchor="text" w:yAlign="bottom"/>
                        <w:suppressOverlap/>
                        <w:rPr>
                          <w:rFonts w:ascii="Mulish" w:hAnsi="Mulish"/>
                          <w:sz w:val="12"/>
                        </w:rPr>
                      </w:pPr>
                    </w:p>
                  </w:tc>
                </w:tr>
                <w:tr w:rsidR="008876B2" w:rsidRPr="00941553" w14:paraId="08690A37" w14:textId="77777777">
                  <w:trPr>
                    <w:trHeight w:hRule="exact" w:val="43"/>
                  </w:trPr>
                  <w:tc>
                    <w:tcPr>
                      <w:tcW w:w="1098" w:type="dxa"/>
                      <w:tcBorders>
                        <w:top w:val="single" w:sz="2" w:space="0" w:color="438086" w:themeColor="accent2"/>
                        <w:bottom w:val="single" w:sz="24" w:space="0" w:color="438086" w:themeColor="accent2"/>
                      </w:tcBorders>
                    </w:tcPr>
                    <w:p w14:paraId="234812C0"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2" w:space="0" w:color="438086" w:themeColor="accent2"/>
                        <w:bottom w:val="single" w:sz="24" w:space="0" w:color="438086" w:themeColor="accent2"/>
                      </w:tcBorders>
                    </w:tcPr>
                    <w:p w14:paraId="1F0424F2"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top w:val="single" w:sz="2" w:space="0" w:color="438086" w:themeColor="accent2"/>
                      </w:tcBorders>
                    </w:tcPr>
                    <w:p w14:paraId="7D0A1F8B" w14:textId="77777777" w:rsidR="00743995" w:rsidRPr="00941553" w:rsidRDefault="00743995" w:rsidP="00967CE0">
                      <w:pPr>
                        <w:pStyle w:val="Sinespaciado"/>
                        <w:framePr w:hSpace="187" w:wrap="around" w:hAnchor="text" w:yAlign="bottom"/>
                        <w:suppressOverlap/>
                        <w:rPr>
                          <w:rFonts w:ascii="Mulish" w:hAnsi="Mulish"/>
                          <w:sz w:val="12"/>
                        </w:rPr>
                      </w:pPr>
                    </w:p>
                  </w:tc>
                </w:tr>
                <w:tr w:rsidR="008876B2" w:rsidRPr="00941553" w14:paraId="38BE8E9E" w14:textId="77777777">
                  <w:trPr>
                    <w:trHeight w:hRule="exact" w:val="86"/>
                  </w:trPr>
                  <w:tc>
                    <w:tcPr>
                      <w:tcW w:w="1098" w:type="dxa"/>
                      <w:tcBorders>
                        <w:top w:val="single" w:sz="24" w:space="0" w:color="438086" w:themeColor="accent2"/>
                        <w:bottom w:val="single" w:sz="8" w:space="0" w:color="438086" w:themeColor="accent2"/>
                      </w:tcBorders>
                    </w:tcPr>
                    <w:p w14:paraId="40B9970E"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24" w:space="0" w:color="438086" w:themeColor="accent2"/>
                        <w:bottom w:val="single" w:sz="8" w:space="0" w:color="438086" w:themeColor="accent2"/>
                      </w:tcBorders>
                    </w:tcPr>
                    <w:p w14:paraId="2AE4BAF8"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bottom w:val="single" w:sz="8" w:space="0" w:color="438086" w:themeColor="accent2"/>
                      </w:tcBorders>
                    </w:tcPr>
                    <w:p w14:paraId="23E58F7E" w14:textId="77777777" w:rsidR="00743995" w:rsidRPr="00941553" w:rsidRDefault="00743995" w:rsidP="00967CE0">
                      <w:pPr>
                        <w:pStyle w:val="Sinespaciado"/>
                        <w:framePr w:hSpace="187" w:wrap="around" w:hAnchor="text" w:yAlign="bottom"/>
                        <w:suppressOverlap/>
                        <w:rPr>
                          <w:rFonts w:ascii="Mulish" w:hAnsi="Mulish"/>
                          <w:sz w:val="12"/>
                        </w:rPr>
                      </w:pPr>
                    </w:p>
                  </w:tc>
                </w:tr>
                <w:tr w:rsidR="008876B2" w:rsidRPr="00941553" w14:paraId="781AD8D0" w14:textId="77777777">
                  <w:trPr>
                    <w:trHeight w:hRule="exact" w:val="58"/>
                  </w:trPr>
                  <w:tc>
                    <w:tcPr>
                      <w:tcW w:w="1098" w:type="dxa"/>
                      <w:tcBorders>
                        <w:top w:val="single" w:sz="8" w:space="0" w:color="438086" w:themeColor="accent2"/>
                      </w:tcBorders>
                    </w:tcPr>
                    <w:p w14:paraId="017225EF" w14:textId="77777777" w:rsidR="00743995" w:rsidRPr="00941553" w:rsidRDefault="00743995" w:rsidP="00967CE0">
                      <w:pPr>
                        <w:pStyle w:val="Sinespaciado"/>
                        <w:framePr w:hSpace="187" w:wrap="around" w:hAnchor="text" w:yAlign="bottom"/>
                        <w:suppressOverlap/>
                        <w:rPr>
                          <w:rFonts w:ascii="Mulish" w:hAnsi="Mulish"/>
                          <w:sz w:val="12"/>
                        </w:rPr>
                      </w:pPr>
                    </w:p>
                  </w:tc>
                  <w:tc>
                    <w:tcPr>
                      <w:tcW w:w="720" w:type="dxa"/>
                      <w:tcBorders>
                        <w:top w:val="single" w:sz="8" w:space="0" w:color="438086" w:themeColor="accent2"/>
                        <w:bottom w:val="single" w:sz="12" w:space="0" w:color="438086" w:themeColor="accent2"/>
                      </w:tcBorders>
                    </w:tcPr>
                    <w:p w14:paraId="1325EFD5" w14:textId="77777777" w:rsidR="00743995" w:rsidRPr="00941553" w:rsidRDefault="00743995" w:rsidP="00967CE0">
                      <w:pPr>
                        <w:pStyle w:val="Sinespaciado"/>
                        <w:framePr w:hSpace="187" w:wrap="around" w:hAnchor="text" w:yAlign="bottom"/>
                        <w:suppressOverlap/>
                        <w:rPr>
                          <w:rFonts w:ascii="Mulish" w:hAnsi="Mulish"/>
                          <w:sz w:val="12"/>
                        </w:rPr>
                      </w:pPr>
                    </w:p>
                  </w:tc>
                  <w:tc>
                    <w:tcPr>
                      <w:tcW w:w="2012" w:type="dxa"/>
                      <w:tcBorders>
                        <w:top w:val="single" w:sz="8" w:space="0" w:color="438086" w:themeColor="accent2"/>
                        <w:bottom w:val="single" w:sz="12" w:space="0" w:color="438086" w:themeColor="accent2"/>
                      </w:tcBorders>
                    </w:tcPr>
                    <w:p w14:paraId="316E8616" w14:textId="77777777" w:rsidR="00743995" w:rsidRPr="00941553" w:rsidRDefault="00743995" w:rsidP="00967CE0">
                      <w:pPr>
                        <w:pStyle w:val="Sinespaciado"/>
                        <w:framePr w:hSpace="187" w:wrap="around" w:hAnchor="text" w:yAlign="bottom"/>
                        <w:suppressOverlap/>
                        <w:rPr>
                          <w:rFonts w:ascii="Mulish" w:hAnsi="Mulish"/>
                          <w:sz w:val="12"/>
                        </w:rPr>
                      </w:pPr>
                    </w:p>
                  </w:tc>
                </w:tr>
              </w:tbl>
              <w:p w14:paraId="38FC8B74" w14:textId="77777777" w:rsidR="00743995" w:rsidRPr="00941553" w:rsidRDefault="00743995">
                <w:pPr>
                  <w:pStyle w:val="Sinespaciado"/>
                  <w:rPr>
                    <w:rFonts w:ascii="Mulish" w:hAnsi="Mulish"/>
                  </w:rPr>
                </w:pPr>
              </w:p>
            </w:tc>
          </w:tr>
          <w:tr w:rsidR="008876B2" w:rsidRPr="00941553" w14:paraId="7F0CF55E" w14:textId="77777777" w:rsidTr="008876B2">
            <w:tc>
              <w:tcPr>
                <w:tcW w:w="1050" w:type="dxa"/>
                <w:vAlign w:val="center"/>
              </w:tcPr>
              <w:p w14:paraId="5417EC0D" w14:textId="77777777" w:rsidR="00743995" w:rsidRPr="00941553" w:rsidRDefault="00743995">
                <w:pPr>
                  <w:pStyle w:val="Sinespaciado"/>
                  <w:rPr>
                    <w:rFonts w:ascii="Mulish" w:hAnsi="Mulish"/>
                  </w:rPr>
                </w:pPr>
              </w:p>
            </w:tc>
            <w:tc>
              <w:tcPr>
                <w:tcW w:w="4339" w:type="dxa"/>
                <w:gridSpan w:val="2"/>
                <w:vAlign w:val="center"/>
              </w:tcPr>
              <w:p w14:paraId="34C78378" w14:textId="77777777" w:rsidR="00743995" w:rsidRPr="00941553" w:rsidRDefault="00743995">
                <w:pPr>
                  <w:pStyle w:val="Sinespaciado"/>
                  <w:rPr>
                    <w:rFonts w:ascii="Mulish" w:hAnsi="Mulish"/>
                  </w:rPr>
                </w:pPr>
              </w:p>
            </w:tc>
            <w:tc>
              <w:tcPr>
                <w:tcW w:w="3912" w:type="dxa"/>
                <w:vAlign w:val="center"/>
              </w:tcPr>
              <w:p w14:paraId="650B56C7" w14:textId="77777777" w:rsidR="00743995" w:rsidRPr="00941553" w:rsidRDefault="00967CE0" w:rsidP="00A83A56">
                <w:pPr>
                  <w:pStyle w:val="Sinespaciado"/>
                  <w:rPr>
                    <w:rFonts w:ascii="Mulish" w:hAnsi="Mulish"/>
                  </w:rPr>
                </w:pPr>
                <w:sdt>
                  <w:sdtPr>
                    <w:rPr>
                      <w:rFonts w:ascii="Mulish" w:hAnsi="Mulish"/>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EndPr/>
                  <w:sdtContent>
                    <w:r w:rsidR="00811019">
                      <w:rPr>
                        <w:rFonts w:ascii="Mulish" w:hAnsi="Mulish"/>
                        <w:color w:val="424456" w:themeColor="text2"/>
                        <w:szCs w:val="22"/>
                      </w:rPr>
                      <w:t>Consejo de Transparencia y Buen Gobierno.</w:t>
                    </w:r>
                  </w:sdtContent>
                </w:sdt>
              </w:p>
            </w:tc>
          </w:tr>
        </w:tbl>
        <w:p w14:paraId="2F2E18A0" w14:textId="77777777" w:rsidR="00743995" w:rsidRPr="00941553" w:rsidRDefault="008876B2">
          <w:pPr>
            <w:pStyle w:val="Ttulo"/>
            <w:rPr>
              <w:rFonts w:ascii="Mulish" w:eastAsiaTheme="majorEastAsia" w:hAnsi="Mulish" w:cstheme="majorBidi"/>
              <w:szCs w:val="20"/>
            </w:rPr>
          </w:pPr>
          <w:r w:rsidRPr="00941553">
            <w:rPr>
              <w:rFonts w:ascii="Mulish" w:hAnsi="Mulish"/>
              <w:noProof/>
            </w:rPr>
            <w:drawing>
              <wp:inline distT="0" distB="0" distL="0" distR="0" wp14:anchorId="3DA9F7E9" wp14:editId="3C9885A1">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sidRPr="00941553">
            <w:rPr>
              <w:rFonts w:ascii="Mulish" w:eastAsiaTheme="minorEastAsia" w:hAnsi="Mulish"/>
              <w:color w:val="000000"/>
              <w:sz w:val="20"/>
              <w:szCs w:val="20"/>
              <w14:textFill>
                <w14:solidFill>
                  <w14:srgbClr w14:val="000000">
                    <w14:lumMod w14:val="75000"/>
                  </w14:srgbClr>
                </w14:solidFill>
              </w14:textFill>
            </w:rPr>
            <w:br w:type="page"/>
          </w:r>
        </w:p>
      </w:sdtContent>
    </w:sdt>
    <w:sdt>
      <w:sdtPr>
        <w:rPr>
          <w:rFonts w:ascii="Mulish" w:eastAsiaTheme="minorHAnsi" w:hAnsi="Mulish" w:cstheme="minorBidi"/>
          <w:b w:val="0"/>
          <w:bCs w:val="0"/>
          <w:color w:val="auto"/>
          <w:sz w:val="20"/>
          <w:szCs w:val="20"/>
        </w:rPr>
        <w:id w:val="322091043"/>
        <w:docPartObj>
          <w:docPartGallery w:val="Table of Contents"/>
          <w:docPartUnique/>
        </w:docPartObj>
      </w:sdtPr>
      <w:sdtEndPr>
        <w:rPr>
          <w:sz w:val="18"/>
          <w:szCs w:val="18"/>
        </w:rPr>
      </w:sdtEndPr>
      <w:sdtContent>
        <w:p w14:paraId="1673872C" w14:textId="77777777" w:rsidR="00E924EF" w:rsidRPr="0056329E" w:rsidRDefault="00E924EF">
          <w:pPr>
            <w:pStyle w:val="TtuloTDC"/>
            <w:rPr>
              <w:rFonts w:ascii="Mulish" w:hAnsi="Mulish"/>
              <w:sz w:val="22"/>
              <w:szCs w:val="22"/>
            </w:rPr>
          </w:pPr>
          <w:r w:rsidRPr="0056329E">
            <w:rPr>
              <w:rFonts w:ascii="Mulish" w:hAnsi="Mulish"/>
              <w:sz w:val="22"/>
              <w:szCs w:val="22"/>
            </w:rPr>
            <w:t>Contenido</w:t>
          </w:r>
        </w:p>
        <w:p w14:paraId="045C92EF" w14:textId="6B889C32" w:rsidR="0056329E" w:rsidRPr="0056329E" w:rsidRDefault="00E924EF">
          <w:pPr>
            <w:pStyle w:val="TDC1"/>
            <w:tabs>
              <w:tab w:val="left" w:pos="400"/>
              <w:tab w:val="right" w:pos="9061"/>
            </w:tabs>
            <w:rPr>
              <w:rFonts w:ascii="Mulish" w:hAnsi="Mulish"/>
              <w:noProof/>
              <w:szCs w:val="22"/>
            </w:rPr>
          </w:pPr>
          <w:r w:rsidRPr="0056329E">
            <w:rPr>
              <w:rFonts w:ascii="Mulish" w:hAnsi="Mulish"/>
              <w:szCs w:val="22"/>
            </w:rPr>
            <w:fldChar w:fldCharType="begin"/>
          </w:r>
          <w:r w:rsidRPr="0056329E">
            <w:rPr>
              <w:rFonts w:ascii="Mulish" w:hAnsi="Mulish"/>
              <w:szCs w:val="22"/>
            </w:rPr>
            <w:instrText xml:space="preserve"> TOC \o "1-3" \h \z \u </w:instrText>
          </w:r>
          <w:r w:rsidRPr="0056329E">
            <w:rPr>
              <w:rFonts w:ascii="Mulish" w:hAnsi="Mulish"/>
              <w:szCs w:val="22"/>
            </w:rPr>
            <w:fldChar w:fldCharType="separate"/>
          </w:r>
          <w:hyperlink w:anchor="_Toc169082166" w:history="1">
            <w:r w:rsidR="0056329E" w:rsidRPr="0056329E">
              <w:rPr>
                <w:rStyle w:val="Hipervnculo"/>
                <w:rFonts w:ascii="Mulish" w:hAnsi="Mulish"/>
                <w:noProof/>
                <w:szCs w:val="22"/>
              </w:rPr>
              <w:t>I.</w:t>
            </w:r>
            <w:r w:rsidR="0056329E" w:rsidRPr="0056329E">
              <w:rPr>
                <w:rFonts w:ascii="Mulish" w:hAnsi="Mulish"/>
                <w:noProof/>
                <w:szCs w:val="22"/>
              </w:rPr>
              <w:tab/>
            </w:r>
            <w:r w:rsidR="0056329E" w:rsidRPr="0056329E">
              <w:rPr>
                <w:rStyle w:val="Hipervnculo"/>
                <w:rFonts w:ascii="Mulish" w:hAnsi="Mulish"/>
                <w:noProof/>
                <w:szCs w:val="22"/>
              </w:rPr>
              <w:t>Introducción</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_Toc169082166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3</w:t>
            </w:r>
            <w:r w:rsidR="0056329E" w:rsidRPr="0056329E">
              <w:rPr>
                <w:rFonts w:ascii="Mulish" w:hAnsi="Mulish"/>
                <w:noProof/>
                <w:webHidden/>
                <w:szCs w:val="22"/>
              </w:rPr>
              <w:fldChar w:fldCharType="end"/>
            </w:r>
          </w:hyperlink>
        </w:p>
        <w:p w14:paraId="6E7D854E" w14:textId="26620FEB" w:rsidR="0056329E" w:rsidRPr="0056329E" w:rsidRDefault="00967CE0">
          <w:pPr>
            <w:pStyle w:val="TDC1"/>
            <w:tabs>
              <w:tab w:val="right" w:pos="9061"/>
            </w:tabs>
            <w:rPr>
              <w:rFonts w:ascii="Mulish" w:hAnsi="Mulish"/>
              <w:noProof/>
              <w:szCs w:val="22"/>
            </w:rPr>
          </w:pPr>
          <w:hyperlink w:anchor="_Toc169082167" w:history="1">
            <w:r w:rsidR="0056329E" w:rsidRPr="0056329E">
              <w:rPr>
                <w:rStyle w:val="Hipervnculo"/>
                <w:rFonts w:ascii="Mulish" w:hAnsi="Mulish"/>
                <w:noProof/>
                <w:szCs w:val="22"/>
              </w:rPr>
              <w:t>II. Alcance de la evaluación.</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_Toc169082167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3</w:t>
            </w:r>
            <w:r w:rsidR="0056329E" w:rsidRPr="0056329E">
              <w:rPr>
                <w:rFonts w:ascii="Mulish" w:hAnsi="Mulish"/>
                <w:noProof/>
                <w:webHidden/>
                <w:szCs w:val="22"/>
              </w:rPr>
              <w:fldChar w:fldCharType="end"/>
            </w:r>
          </w:hyperlink>
        </w:p>
        <w:p w14:paraId="60700129" w14:textId="55B7AD95" w:rsidR="0056329E" w:rsidRPr="0056329E" w:rsidRDefault="00967CE0">
          <w:pPr>
            <w:pStyle w:val="TDC2"/>
            <w:tabs>
              <w:tab w:val="right" w:pos="9061"/>
            </w:tabs>
            <w:rPr>
              <w:rFonts w:ascii="Mulish" w:hAnsi="Mulish"/>
              <w:noProof/>
              <w:szCs w:val="22"/>
            </w:rPr>
          </w:pPr>
          <w:hyperlink w:anchor="_Toc169082168" w:history="1">
            <w:r w:rsidR="0056329E" w:rsidRPr="0056329E">
              <w:rPr>
                <w:rStyle w:val="Hipervnculo"/>
                <w:rFonts w:ascii="Mulish" w:hAnsi="Mulish"/>
                <w:noProof/>
                <w:szCs w:val="22"/>
              </w:rPr>
              <w:t>II.1 Entidades incluidas en este grupo de sujetos obligados.</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_Toc169082168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3</w:t>
            </w:r>
            <w:r w:rsidR="0056329E" w:rsidRPr="0056329E">
              <w:rPr>
                <w:rFonts w:ascii="Mulish" w:hAnsi="Mulish"/>
                <w:noProof/>
                <w:webHidden/>
                <w:szCs w:val="22"/>
              </w:rPr>
              <w:fldChar w:fldCharType="end"/>
            </w:r>
          </w:hyperlink>
        </w:p>
        <w:p w14:paraId="43E97D9A" w14:textId="2D99871C" w:rsidR="0056329E" w:rsidRPr="0056329E" w:rsidRDefault="00967CE0">
          <w:pPr>
            <w:pStyle w:val="TDC2"/>
            <w:tabs>
              <w:tab w:val="right" w:pos="9061"/>
            </w:tabs>
            <w:rPr>
              <w:rFonts w:ascii="Mulish" w:hAnsi="Mulish"/>
              <w:noProof/>
              <w:szCs w:val="22"/>
            </w:rPr>
          </w:pPr>
          <w:hyperlink w:anchor="_Toc169082169" w:history="1">
            <w:r w:rsidR="0056329E" w:rsidRPr="0056329E">
              <w:rPr>
                <w:rStyle w:val="Hipervnculo"/>
                <w:rFonts w:ascii="Mulish" w:hAnsi="Mulish"/>
                <w:noProof/>
                <w:szCs w:val="22"/>
              </w:rPr>
              <w:t>II.2 Delimitación de las obligaciones de publicidad activa aplicables.</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_Toc169082169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6</w:t>
            </w:r>
            <w:r w:rsidR="0056329E" w:rsidRPr="0056329E">
              <w:rPr>
                <w:rFonts w:ascii="Mulish" w:hAnsi="Mulish"/>
                <w:noProof/>
                <w:webHidden/>
                <w:szCs w:val="22"/>
              </w:rPr>
              <w:fldChar w:fldCharType="end"/>
            </w:r>
          </w:hyperlink>
        </w:p>
        <w:p w14:paraId="6F845283" w14:textId="52A22BCA" w:rsidR="0056329E" w:rsidRPr="0056329E" w:rsidRDefault="00967CE0">
          <w:pPr>
            <w:pStyle w:val="TDC1"/>
            <w:tabs>
              <w:tab w:val="right" w:pos="9061"/>
            </w:tabs>
            <w:rPr>
              <w:rFonts w:ascii="Mulish" w:hAnsi="Mulish"/>
              <w:noProof/>
              <w:szCs w:val="22"/>
            </w:rPr>
          </w:pPr>
          <w:hyperlink w:anchor="_Toc169082170" w:history="1">
            <w:r w:rsidR="0056329E" w:rsidRPr="0056329E">
              <w:rPr>
                <w:rStyle w:val="Hipervnculo"/>
                <w:rFonts w:ascii="Mulish" w:hAnsi="Mulish"/>
                <w:noProof/>
                <w:szCs w:val="22"/>
              </w:rPr>
              <w:t>III. Evaluación del cumplimiento de las obligaciones de publicidad activa por parte de las entidades del Sector Público Institucional.</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_Toc169082170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8</w:t>
            </w:r>
            <w:r w:rsidR="0056329E" w:rsidRPr="0056329E">
              <w:rPr>
                <w:rFonts w:ascii="Mulish" w:hAnsi="Mulish"/>
                <w:noProof/>
                <w:webHidden/>
                <w:szCs w:val="22"/>
              </w:rPr>
              <w:fldChar w:fldCharType="end"/>
            </w:r>
          </w:hyperlink>
        </w:p>
        <w:p w14:paraId="425E5610" w14:textId="0F416FD5" w:rsidR="0056329E" w:rsidRPr="0056329E" w:rsidRDefault="00967CE0">
          <w:pPr>
            <w:pStyle w:val="TDC2"/>
            <w:tabs>
              <w:tab w:val="right" w:pos="9061"/>
            </w:tabs>
            <w:rPr>
              <w:rFonts w:ascii="Mulish" w:hAnsi="Mulish"/>
              <w:noProof/>
              <w:szCs w:val="22"/>
            </w:rPr>
          </w:pPr>
          <w:hyperlink w:anchor="_Toc169082171" w:history="1">
            <w:r w:rsidR="0056329E" w:rsidRPr="0056329E">
              <w:rPr>
                <w:rStyle w:val="Hipervnculo"/>
                <w:rFonts w:ascii="Mulish" w:hAnsi="Mulish"/>
                <w:noProof/>
                <w:szCs w:val="22"/>
              </w:rPr>
              <w:t>III.1 Localización y estructuración de la información</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_Toc169082171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8</w:t>
            </w:r>
            <w:r w:rsidR="0056329E" w:rsidRPr="0056329E">
              <w:rPr>
                <w:rFonts w:ascii="Mulish" w:hAnsi="Mulish"/>
                <w:noProof/>
                <w:webHidden/>
                <w:szCs w:val="22"/>
              </w:rPr>
              <w:fldChar w:fldCharType="end"/>
            </w:r>
          </w:hyperlink>
        </w:p>
        <w:p w14:paraId="38188200" w14:textId="3515E5A0" w:rsidR="0056329E" w:rsidRPr="0056329E" w:rsidRDefault="00967CE0">
          <w:pPr>
            <w:pStyle w:val="TDC2"/>
            <w:tabs>
              <w:tab w:val="right" w:pos="9061"/>
            </w:tabs>
            <w:rPr>
              <w:rFonts w:ascii="Mulish" w:hAnsi="Mulish"/>
              <w:noProof/>
              <w:szCs w:val="22"/>
            </w:rPr>
          </w:pPr>
          <w:hyperlink w:anchor="_Toc169082172" w:history="1">
            <w:r w:rsidR="0056329E" w:rsidRPr="0056329E">
              <w:rPr>
                <w:rStyle w:val="Hipervnculo"/>
                <w:rFonts w:ascii="Mulish" w:hAnsi="Mulish"/>
                <w:noProof/>
                <w:szCs w:val="22"/>
              </w:rPr>
              <w:t>III.3. Cumplimiento de las obligaciones de publicidad activa</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_Toc169082172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9</w:t>
            </w:r>
            <w:r w:rsidR="0056329E" w:rsidRPr="0056329E">
              <w:rPr>
                <w:rFonts w:ascii="Mulish" w:hAnsi="Mulish"/>
                <w:noProof/>
                <w:webHidden/>
                <w:szCs w:val="22"/>
              </w:rPr>
              <w:fldChar w:fldCharType="end"/>
            </w:r>
          </w:hyperlink>
        </w:p>
        <w:p w14:paraId="1F3FF9D7" w14:textId="232EBD82" w:rsidR="0056329E" w:rsidRPr="0056329E" w:rsidRDefault="00967CE0">
          <w:pPr>
            <w:pStyle w:val="TDC3"/>
            <w:tabs>
              <w:tab w:val="right" w:pos="9061"/>
            </w:tabs>
            <w:rPr>
              <w:rFonts w:ascii="Mulish" w:eastAsiaTheme="minorEastAsia" w:hAnsi="Mulish"/>
              <w:noProof/>
              <w:szCs w:val="22"/>
            </w:rPr>
          </w:pPr>
          <w:hyperlink w:anchor="_Toc169082173" w:history="1">
            <w:r w:rsidR="0056329E" w:rsidRPr="0056329E">
              <w:rPr>
                <w:rStyle w:val="Hipervnculo"/>
                <w:rFonts w:ascii="Mulish" w:hAnsi="Mulish"/>
                <w:noProof/>
                <w:szCs w:val="22"/>
              </w:rPr>
              <w:t>III.3.1 Grado de aplicación de las recomendaciones derivadas de la evaluación 2023.</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_Toc169082173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9</w:t>
            </w:r>
            <w:r w:rsidR="0056329E" w:rsidRPr="0056329E">
              <w:rPr>
                <w:rFonts w:ascii="Mulish" w:hAnsi="Mulish"/>
                <w:noProof/>
                <w:webHidden/>
                <w:szCs w:val="22"/>
              </w:rPr>
              <w:fldChar w:fldCharType="end"/>
            </w:r>
          </w:hyperlink>
        </w:p>
        <w:p w14:paraId="74607DA7" w14:textId="61831F14" w:rsidR="0056329E" w:rsidRPr="0056329E" w:rsidRDefault="00967CE0">
          <w:pPr>
            <w:pStyle w:val="TDC3"/>
            <w:tabs>
              <w:tab w:val="right" w:pos="9061"/>
            </w:tabs>
            <w:rPr>
              <w:rFonts w:ascii="Mulish" w:eastAsiaTheme="minorEastAsia" w:hAnsi="Mulish"/>
              <w:noProof/>
              <w:szCs w:val="22"/>
            </w:rPr>
          </w:pPr>
          <w:hyperlink w:anchor="_Toc169082174" w:history="1">
            <w:r w:rsidR="0056329E" w:rsidRPr="0056329E">
              <w:rPr>
                <w:rStyle w:val="Hipervnculo"/>
                <w:rFonts w:ascii="Mulish" w:hAnsi="Mulish"/>
                <w:noProof/>
                <w:szCs w:val="22"/>
              </w:rPr>
              <w:t>III.3.2.  Información Institucional, Organizativa y de Planificación</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_Toc169082174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10</w:t>
            </w:r>
            <w:r w:rsidR="0056329E" w:rsidRPr="0056329E">
              <w:rPr>
                <w:rFonts w:ascii="Mulish" w:hAnsi="Mulish"/>
                <w:noProof/>
                <w:webHidden/>
                <w:szCs w:val="22"/>
              </w:rPr>
              <w:fldChar w:fldCharType="end"/>
            </w:r>
          </w:hyperlink>
        </w:p>
        <w:p w14:paraId="34C153A0" w14:textId="49F2FD11" w:rsidR="0056329E" w:rsidRPr="0056329E" w:rsidRDefault="00967CE0">
          <w:pPr>
            <w:pStyle w:val="TDC3"/>
            <w:tabs>
              <w:tab w:val="right" w:pos="9061"/>
            </w:tabs>
            <w:rPr>
              <w:rFonts w:ascii="Mulish" w:eastAsiaTheme="minorEastAsia" w:hAnsi="Mulish"/>
              <w:noProof/>
              <w:szCs w:val="22"/>
            </w:rPr>
          </w:pPr>
          <w:hyperlink w:anchor="_Toc169082175" w:history="1">
            <w:r w:rsidR="0056329E" w:rsidRPr="0056329E">
              <w:rPr>
                <w:rStyle w:val="Hipervnculo"/>
                <w:rFonts w:ascii="Mulish" w:hAnsi="Mulish"/>
                <w:noProof/>
                <w:szCs w:val="22"/>
              </w:rPr>
              <w:t>III.3.2. Información de Relevancia Jurídica</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_Toc169082175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13</w:t>
            </w:r>
            <w:r w:rsidR="0056329E" w:rsidRPr="0056329E">
              <w:rPr>
                <w:rFonts w:ascii="Mulish" w:hAnsi="Mulish"/>
                <w:noProof/>
                <w:webHidden/>
                <w:szCs w:val="22"/>
              </w:rPr>
              <w:fldChar w:fldCharType="end"/>
            </w:r>
          </w:hyperlink>
        </w:p>
        <w:p w14:paraId="77B1E096" w14:textId="6E83B355" w:rsidR="0056329E" w:rsidRPr="0056329E" w:rsidRDefault="00967CE0">
          <w:pPr>
            <w:pStyle w:val="TDC3"/>
            <w:tabs>
              <w:tab w:val="right" w:pos="9061"/>
            </w:tabs>
            <w:rPr>
              <w:rFonts w:ascii="Mulish" w:eastAsiaTheme="minorEastAsia" w:hAnsi="Mulish"/>
              <w:noProof/>
              <w:szCs w:val="22"/>
            </w:rPr>
          </w:pPr>
          <w:hyperlink w:anchor="_Toc169082176" w:history="1">
            <w:r w:rsidR="0056329E" w:rsidRPr="0056329E">
              <w:rPr>
                <w:rStyle w:val="Hipervnculo"/>
                <w:rFonts w:ascii="Mulish" w:hAnsi="Mulish"/>
                <w:noProof/>
                <w:szCs w:val="22"/>
              </w:rPr>
              <w:t>III.3.3.  Información Económica, Presupuestaria y Estadística</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_Toc169082176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14</w:t>
            </w:r>
            <w:r w:rsidR="0056329E" w:rsidRPr="0056329E">
              <w:rPr>
                <w:rFonts w:ascii="Mulish" w:hAnsi="Mulish"/>
                <w:noProof/>
                <w:webHidden/>
                <w:szCs w:val="22"/>
              </w:rPr>
              <w:fldChar w:fldCharType="end"/>
            </w:r>
          </w:hyperlink>
        </w:p>
        <w:p w14:paraId="27525A72" w14:textId="384E98F1" w:rsidR="0056329E" w:rsidRPr="0056329E" w:rsidRDefault="00967CE0">
          <w:pPr>
            <w:pStyle w:val="TDC3"/>
            <w:tabs>
              <w:tab w:val="right" w:pos="9061"/>
            </w:tabs>
            <w:rPr>
              <w:rFonts w:ascii="Mulish" w:eastAsiaTheme="minorEastAsia" w:hAnsi="Mulish"/>
              <w:noProof/>
              <w:szCs w:val="22"/>
            </w:rPr>
          </w:pPr>
          <w:hyperlink w:anchor="_Toc169082178" w:history="1">
            <w:r w:rsidR="0056329E" w:rsidRPr="0056329E">
              <w:rPr>
                <w:rStyle w:val="Hipervnculo"/>
                <w:rFonts w:ascii="Mulish" w:hAnsi="Mulish"/>
                <w:noProof/>
                <w:szCs w:val="22"/>
              </w:rPr>
              <w:t>III.3.4.  Información Patrimonial</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_Toc169082178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18</w:t>
            </w:r>
            <w:r w:rsidR="0056329E" w:rsidRPr="0056329E">
              <w:rPr>
                <w:rFonts w:ascii="Mulish" w:hAnsi="Mulish"/>
                <w:noProof/>
                <w:webHidden/>
                <w:szCs w:val="22"/>
              </w:rPr>
              <w:fldChar w:fldCharType="end"/>
            </w:r>
          </w:hyperlink>
        </w:p>
        <w:p w14:paraId="1D6492DF" w14:textId="658DF4B6" w:rsidR="0056329E" w:rsidRPr="0056329E" w:rsidRDefault="00967CE0">
          <w:pPr>
            <w:pStyle w:val="TDC3"/>
            <w:tabs>
              <w:tab w:val="right" w:pos="9061"/>
            </w:tabs>
            <w:rPr>
              <w:rFonts w:ascii="Mulish" w:eastAsiaTheme="minorEastAsia" w:hAnsi="Mulish"/>
              <w:noProof/>
              <w:szCs w:val="22"/>
            </w:rPr>
          </w:pPr>
          <w:hyperlink w:anchor="_Toc169082179" w:history="1">
            <w:r w:rsidR="0056329E" w:rsidRPr="0056329E">
              <w:rPr>
                <w:rStyle w:val="Hipervnculo"/>
                <w:rFonts w:ascii="Mulish" w:hAnsi="Mulish"/>
                <w:noProof/>
                <w:szCs w:val="22"/>
              </w:rPr>
              <w:t>III.3.5. Índice de Cumplimiento de la Información Obligatoria (ICIO)</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_Toc169082179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19</w:t>
            </w:r>
            <w:r w:rsidR="0056329E" w:rsidRPr="0056329E">
              <w:rPr>
                <w:rFonts w:ascii="Mulish" w:hAnsi="Mulish"/>
                <w:noProof/>
                <w:webHidden/>
                <w:szCs w:val="22"/>
              </w:rPr>
              <w:fldChar w:fldCharType="end"/>
            </w:r>
          </w:hyperlink>
        </w:p>
        <w:p w14:paraId="027602F1" w14:textId="53CB184E" w:rsidR="0056329E" w:rsidRPr="0056329E" w:rsidRDefault="00967CE0">
          <w:pPr>
            <w:pStyle w:val="TDC2"/>
            <w:tabs>
              <w:tab w:val="right" w:pos="9061"/>
            </w:tabs>
            <w:rPr>
              <w:rFonts w:ascii="Mulish" w:hAnsi="Mulish"/>
              <w:noProof/>
              <w:szCs w:val="22"/>
            </w:rPr>
          </w:pPr>
          <w:hyperlink w:anchor="_Toc169082182" w:history="1">
            <w:r w:rsidR="0056329E" w:rsidRPr="0056329E">
              <w:rPr>
                <w:rStyle w:val="Hipervnculo"/>
                <w:rFonts w:ascii="Mulish" w:hAnsi="Mulish"/>
                <w:noProof/>
                <w:szCs w:val="22"/>
              </w:rPr>
              <w:t>III.4. Transparencia Voluntaria  y Buenas  Prácticas</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_Toc169082182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21</w:t>
            </w:r>
            <w:r w:rsidR="0056329E" w:rsidRPr="0056329E">
              <w:rPr>
                <w:rFonts w:ascii="Mulish" w:hAnsi="Mulish"/>
                <w:noProof/>
                <w:webHidden/>
                <w:szCs w:val="22"/>
              </w:rPr>
              <w:fldChar w:fldCharType="end"/>
            </w:r>
          </w:hyperlink>
        </w:p>
        <w:p w14:paraId="045B94EC" w14:textId="394BB9AB" w:rsidR="0056329E" w:rsidRPr="0056329E" w:rsidRDefault="00967CE0">
          <w:pPr>
            <w:pStyle w:val="TDC1"/>
            <w:tabs>
              <w:tab w:val="left" w:pos="660"/>
              <w:tab w:val="right" w:pos="9061"/>
            </w:tabs>
            <w:rPr>
              <w:rFonts w:ascii="Mulish" w:hAnsi="Mulish"/>
              <w:noProof/>
              <w:szCs w:val="22"/>
            </w:rPr>
          </w:pPr>
          <w:hyperlink w:anchor="_Toc169082183" w:history="1">
            <w:r w:rsidR="0056329E" w:rsidRPr="0056329E">
              <w:rPr>
                <w:rStyle w:val="Hipervnculo"/>
                <w:rFonts w:ascii="Mulish" w:hAnsi="Mulish"/>
                <w:noProof/>
                <w:szCs w:val="22"/>
              </w:rPr>
              <w:t>V.</w:t>
            </w:r>
            <w:r w:rsidR="0056329E" w:rsidRPr="0056329E">
              <w:rPr>
                <w:rFonts w:ascii="Mulish" w:hAnsi="Mulish"/>
                <w:noProof/>
                <w:szCs w:val="22"/>
              </w:rPr>
              <w:tab/>
            </w:r>
            <w:r w:rsidR="0056329E" w:rsidRPr="0056329E">
              <w:rPr>
                <w:rStyle w:val="Hipervnculo"/>
                <w:rFonts w:ascii="Mulish" w:hAnsi="Mulish"/>
                <w:noProof/>
                <w:szCs w:val="22"/>
              </w:rPr>
              <w:t>Conclusiones y Recomendaciones</w:t>
            </w:r>
            <w:r w:rsidR="0056329E" w:rsidRPr="0056329E">
              <w:rPr>
                <w:rFonts w:ascii="Mulish" w:hAnsi="Mulish"/>
                <w:noProof/>
                <w:webHidden/>
                <w:szCs w:val="22"/>
              </w:rPr>
              <w:tab/>
            </w:r>
            <w:r w:rsidR="0056329E" w:rsidRPr="0056329E">
              <w:rPr>
                <w:rFonts w:ascii="Mulish" w:hAnsi="Mulish"/>
                <w:noProof/>
                <w:webHidden/>
                <w:szCs w:val="22"/>
              </w:rPr>
              <w:fldChar w:fldCharType="begin"/>
            </w:r>
            <w:r w:rsidR="0056329E" w:rsidRPr="0056329E">
              <w:rPr>
                <w:rFonts w:ascii="Mulish" w:hAnsi="Mulish"/>
                <w:noProof/>
                <w:webHidden/>
                <w:szCs w:val="22"/>
              </w:rPr>
              <w:instrText xml:space="preserve"> PAGEREF _Toc169082183 \h </w:instrText>
            </w:r>
            <w:r w:rsidR="0056329E" w:rsidRPr="0056329E">
              <w:rPr>
                <w:rFonts w:ascii="Mulish" w:hAnsi="Mulish"/>
                <w:noProof/>
                <w:webHidden/>
                <w:szCs w:val="22"/>
              </w:rPr>
            </w:r>
            <w:r w:rsidR="0056329E" w:rsidRPr="0056329E">
              <w:rPr>
                <w:rFonts w:ascii="Mulish" w:hAnsi="Mulish"/>
                <w:noProof/>
                <w:webHidden/>
                <w:szCs w:val="22"/>
              </w:rPr>
              <w:fldChar w:fldCharType="separate"/>
            </w:r>
            <w:r w:rsidR="0056329E" w:rsidRPr="0056329E">
              <w:rPr>
                <w:rFonts w:ascii="Mulish" w:hAnsi="Mulish"/>
                <w:noProof/>
                <w:webHidden/>
                <w:szCs w:val="22"/>
              </w:rPr>
              <w:t>22</w:t>
            </w:r>
            <w:r w:rsidR="0056329E" w:rsidRPr="0056329E">
              <w:rPr>
                <w:rFonts w:ascii="Mulish" w:hAnsi="Mulish"/>
                <w:noProof/>
                <w:webHidden/>
                <w:szCs w:val="22"/>
              </w:rPr>
              <w:fldChar w:fldCharType="end"/>
            </w:r>
          </w:hyperlink>
        </w:p>
        <w:p w14:paraId="40D032AF" w14:textId="486CCC25" w:rsidR="00E924EF" w:rsidRPr="00941553" w:rsidRDefault="00E924EF">
          <w:pPr>
            <w:rPr>
              <w:rFonts w:ascii="Mulish" w:hAnsi="Mulish"/>
              <w:sz w:val="18"/>
              <w:szCs w:val="18"/>
            </w:rPr>
          </w:pPr>
          <w:r w:rsidRPr="0056329E">
            <w:rPr>
              <w:rFonts w:ascii="Mulish" w:hAnsi="Mulish"/>
              <w:b/>
              <w:bCs/>
              <w:szCs w:val="22"/>
            </w:rPr>
            <w:fldChar w:fldCharType="end"/>
          </w:r>
        </w:p>
      </w:sdtContent>
    </w:sdt>
    <w:p w14:paraId="0E35450F" w14:textId="77777777" w:rsidR="00743995" w:rsidRPr="00941553" w:rsidRDefault="00E924EF" w:rsidP="00022692">
      <w:pPr>
        <w:pStyle w:val="Ttulo1"/>
        <w:numPr>
          <w:ilvl w:val="0"/>
          <w:numId w:val="9"/>
        </w:numPr>
        <w:rPr>
          <w:rFonts w:ascii="Mulish" w:hAnsi="Mulish"/>
        </w:rPr>
      </w:pPr>
      <w:r w:rsidRPr="00941553">
        <w:rPr>
          <w:rFonts w:ascii="Mulish" w:hAnsi="Mulish"/>
          <w:sz w:val="18"/>
          <w:szCs w:val="18"/>
        </w:rPr>
        <w:br w:type="page"/>
      </w:r>
      <w:bookmarkStart w:id="0" w:name="_Toc169082166"/>
      <w:r w:rsidR="005F586A" w:rsidRPr="00941553">
        <w:rPr>
          <w:rFonts w:ascii="Mulish" w:hAnsi="Mulish"/>
        </w:rPr>
        <w:lastRenderedPageBreak/>
        <w:t>Introducción</w:t>
      </w:r>
      <w:bookmarkEnd w:id="0"/>
    </w:p>
    <w:p w14:paraId="2CA70FFD" w14:textId="77777777" w:rsidR="00743995" w:rsidRPr="00941553" w:rsidRDefault="00743995">
      <w:pPr>
        <w:rPr>
          <w:rFonts w:ascii="Mulish" w:hAnsi="Mulish"/>
        </w:rPr>
      </w:pPr>
    </w:p>
    <w:p w14:paraId="201D37F3" w14:textId="060F61EC" w:rsidR="00341355" w:rsidRPr="00941553" w:rsidRDefault="00341355" w:rsidP="00341355">
      <w:pPr>
        <w:rPr>
          <w:rFonts w:ascii="Mulish" w:hAnsi="Mulish"/>
        </w:rPr>
      </w:pPr>
      <w:r w:rsidRPr="00941553">
        <w:rPr>
          <w:rFonts w:ascii="Mulish" w:hAnsi="Mulish"/>
        </w:rPr>
        <w:t xml:space="preserve">El presente informe recoge los resultados agregados de la evaluación del cumplimiento de las obligaciones de publicidad activa correspondientes a </w:t>
      </w:r>
      <w:r w:rsidR="00473D85" w:rsidRPr="00941553">
        <w:rPr>
          <w:rFonts w:ascii="Mulish" w:hAnsi="Mulish"/>
        </w:rPr>
        <w:t>diferentes entidades integrantes del Sector Público Institucional Estatal</w:t>
      </w:r>
      <w:r w:rsidRPr="00941553">
        <w:rPr>
          <w:rFonts w:ascii="Mulish" w:hAnsi="Mulish"/>
        </w:rPr>
        <w:t>.</w:t>
      </w:r>
    </w:p>
    <w:p w14:paraId="1BF8335B" w14:textId="485E46D6" w:rsidR="00341355" w:rsidRPr="00941553" w:rsidRDefault="00341355" w:rsidP="00D74601">
      <w:pPr>
        <w:rPr>
          <w:rFonts w:ascii="Mulish" w:hAnsi="Mulish"/>
        </w:rPr>
      </w:pPr>
      <w:r w:rsidRPr="00941553">
        <w:rPr>
          <w:rFonts w:ascii="Mulish" w:hAnsi="Mulish"/>
        </w:rPr>
        <w:t>Para la evaluación del cumplimiento de las obligaciones de publicidad activa se ha aplicado la metodología MESTA desarrollada conjuntamente por el CTBG y la extinguida AEVAL. Se ha analizado el grado de publicación de contenidos obligatorios</w:t>
      </w:r>
      <w:r w:rsidR="00746B31" w:rsidRPr="00941553">
        <w:rPr>
          <w:rFonts w:ascii="Mulish" w:hAnsi="Mulish"/>
        </w:rPr>
        <w:t>,</w:t>
      </w:r>
      <w:r w:rsidRPr="00941553">
        <w:rPr>
          <w:rFonts w:ascii="Mulish" w:hAnsi="Mulish"/>
        </w:rPr>
        <w:t xml:space="preserve"> así como el cumplimiento de los criterios en cuanto a la forma de publicación y </w:t>
      </w:r>
      <w:r w:rsidR="00252074">
        <w:rPr>
          <w:rFonts w:ascii="Mulish" w:hAnsi="Mulish"/>
        </w:rPr>
        <w:t>a</w:t>
      </w:r>
      <w:r w:rsidRPr="00941553">
        <w:rPr>
          <w:rFonts w:ascii="Mulish" w:hAnsi="Mulish"/>
        </w:rPr>
        <w:t xml:space="preserve"> los atributos de calidad aplicables a la información publicada que establece la LTAIBG</w:t>
      </w:r>
      <w:r w:rsidR="007462DD" w:rsidRPr="00941553">
        <w:rPr>
          <w:rFonts w:ascii="Mulish" w:hAnsi="Mulish"/>
        </w:rPr>
        <w:t>. Para ello,</w:t>
      </w:r>
      <w:r w:rsidR="00342EA2" w:rsidRPr="00941553">
        <w:rPr>
          <w:rFonts w:ascii="Mulish" w:hAnsi="Mulish"/>
        </w:rPr>
        <w:t xml:space="preserve"> </w:t>
      </w:r>
      <w:r w:rsidR="007462DD" w:rsidRPr="00941553">
        <w:rPr>
          <w:rFonts w:ascii="Mulish" w:hAnsi="Mulish"/>
        </w:rPr>
        <w:t>se ha efectuado</w:t>
      </w:r>
      <w:r w:rsidR="00342EA2" w:rsidRPr="00941553">
        <w:rPr>
          <w:rFonts w:ascii="Mulish" w:hAnsi="Mulish"/>
        </w:rPr>
        <w:t xml:space="preserve"> una revisión en profundidad de los portales de transparencia y/o las webs institucionales de las entidades seleccionadas</w:t>
      </w:r>
      <w:r w:rsidRPr="00941553">
        <w:rPr>
          <w:rFonts w:ascii="Mulish" w:hAnsi="Mulish"/>
        </w:rPr>
        <w:t xml:space="preserve">. </w:t>
      </w:r>
    </w:p>
    <w:p w14:paraId="1E8A5099" w14:textId="106D3DD0" w:rsidR="005F586A" w:rsidRPr="00941553" w:rsidRDefault="00BE7047">
      <w:pPr>
        <w:rPr>
          <w:rFonts w:ascii="Mulish" w:hAnsi="Mulish"/>
        </w:rPr>
      </w:pPr>
      <w:r>
        <w:rPr>
          <w:rFonts w:ascii="Mulish" w:hAnsi="Mulish"/>
        </w:rPr>
        <w:t>L</w:t>
      </w:r>
      <w:r w:rsidR="00341355" w:rsidRPr="00941553">
        <w:rPr>
          <w:rFonts w:ascii="Mulish" w:hAnsi="Mulish"/>
        </w:rPr>
        <w:t>a evaluación del cumplimiento de las obligaciones de publicidad activa se ha realizado con recursos propios del CTBG.</w:t>
      </w:r>
    </w:p>
    <w:p w14:paraId="3B42B75A" w14:textId="64D498F1" w:rsidR="00A83A56" w:rsidRPr="00941553" w:rsidRDefault="00A83A56" w:rsidP="00A83A56">
      <w:pPr>
        <w:rPr>
          <w:rFonts w:ascii="Mulish" w:hAnsi="Mulish"/>
        </w:rPr>
      </w:pPr>
      <w:r w:rsidRPr="00941553">
        <w:rPr>
          <w:rFonts w:ascii="Mulish" w:hAnsi="Mulish"/>
        </w:rPr>
        <w:t xml:space="preserve">Los resultados de las evaluaciones se han documentado en </w:t>
      </w:r>
      <w:r w:rsidR="005E0C13">
        <w:rPr>
          <w:rFonts w:ascii="Mulish" w:hAnsi="Mulish"/>
        </w:rPr>
        <w:t>177</w:t>
      </w:r>
      <w:r w:rsidRPr="00941553">
        <w:rPr>
          <w:rFonts w:ascii="Mulish" w:hAnsi="Mulish"/>
        </w:rPr>
        <w:t xml:space="preserve"> informes, que están publicados en la página Web del CTBG, y pueden agruparse de la siguiente manera:</w:t>
      </w:r>
    </w:p>
    <w:p w14:paraId="0980D343" w14:textId="330FCF68" w:rsidR="00A83A56" w:rsidRPr="00941553" w:rsidRDefault="005E0C13" w:rsidP="00022692">
      <w:pPr>
        <w:pStyle w:val="Prrafodelista"/>
        <w:numPr>
          <w:ilvl w:val="0"/>
          <w:numId w:val="10"/>
        </w:numPr>
        <w:rPr>
          <w:rFonts w:ascii="Mulish" w:hAnsi="Mulish"/>
        </w:rPr>
      </w:pPr>
      <w:r>
        <w:rPr>
          <w:rFonts w:ascii="Mulish" w:hAnsi="Mulish"/>
        </w:rPr>
        <w:t>12</w:t>
      </w:r>
      <w:r w:rsidR="0097407B">
        <w:rPr>
          <w:rFonts w:ascii="Mulish" w:hAnsi="Mulish"/>
        </w:rPr>
        <w:t>8</w:t>
      </w:r>
      <w:r w:rsidR="00A83A56" w:rsidRPr="00941553">
        <w:rPr>
          <w:rFonts w:ascii="Mulish" w:hAnsi="Mulish"/>
        </w:rPr>
        <w:t xml:space="preserve"> informes individuales resultantes de la evaluación del cumplimiento de las obligaciones de publicidad activa, </w:t>
      </w:r>
    </w:p>
    <w:p w14:paraId="5135B9ED" w14:textId="75936741" w:rsidR="00A83A56" w:rsidRPr="00941553" w:rsidRDefault="005E0C13" w:rsidP="00022692">
      <w:pPr>
        <w:pStyle w:val="Prrafodelista"/>
        <w:numPr>
          <w:ilvl w:val="0"/>
          <w:numId w:val="10"/>
        </w:numPr>
        <w:rPr>
          <w:rFonts w:ascii="Mulish" w:hAnsi="Mulish"/>
        </w:rPr>
      </w:pPr>
      <w:r>
        <w:rPr>
          <w:rFonts w:ascii="Mulish" w:hAnsi="Mulish"/>
        </w:rPr>
        <w:t>48</w:t>
      </w:r>
      <w:r w:rsidR="00A83A56" w:rsidRPr="00941553">
        <w:rPr>
          <w:rFonts w:ascii="Mulish" w:hAnsi="Mulish"/>
        </w:rPr>
        <w:t xml:space="preserve"> informes de contestación a las observaciones efectuadas por las entidades que han formulado alegaciones a los informes provisionales de evaluación. </w:t>
      </w:r>
    </w:p>
    <w:p w14:paraId="1CE0D809" w14:textId="77777777" w:rsidR="0047212C" w:rsidRPr="00941553" w:rsidRDefault="00077CDF" w:rsidP="00077CDF">
      <w:pPr>
        <w:pStyle w:val="Ttulo1"/>
        <w:rPr>
          <w:rFonts w:ascii="Mulish" w:hAnsi="Mulish"/>
        </w:rPr>
      </w:pPr>
      <w:bookmarkStart w:id="1" w:name="_Toc169082167"/>
      <w:r w:rsidRPr="00941553">
        <w:rPr>
          <w:rFonts w:ascii="Mulish" w:hAnsi="Mulish"/>
        </w:rPr>
        <w:t>I</w:t>
      </w:r>
      <w:r w:rsidR="0047212C" w:rsidRPr="00941553">
        <w:rPr>
          <w:rFonts w:ascii="Mulish" w:hAnsi="Mulish"/>
        </w:rPr>
        <w:t>I</w:t>
      </w:r>
      <w:r w:rsidRPr="00941553">
        <w:rPr>
          <w:rFonts w:ascii="Mulish" w:hAnsi="Mulish"/>
        </w:rPr>
        <w:t>.</w:t>
      </w:r>
      <w:r w:rsidR="0047212C" w:rsidRPr="00941553">
        <w:rPr>
          <w:rFonts w:ascii="Mulish" w:hAnsi="Mulish"/>
        </w:rPr>
        <w:t xml:space="preserve"> Alcance de la evaluación.</w:t>
      </w:r>
      <w:bookmarkEnd w:id="1"/>
      <w:r w:rsidR="0047212C" w:rsidRPr="00941553">
        <w:rPr>
          <w:rFonts w:ascii="Mulish" w:hAnsi="Mulish"/>
        </w:rPr>
        <w:t xml:space="preserve"> </w:t>
      </w:r>
    </w:p>
    <w:p w14:paraId="78CC8FAF" w14:textId="77777777" w:rsidR="00CE43A8" w:rsidRPr="00941553" w:rsidRDefault="00CE43A8" w:rsidP="00CE43A8">
      <w:pPr>
        <w:rPr>
          <w:rFonts w:ascii="Mulish" w:hAnsi="Mulish"/>
        </w:rPr>
      </w:pPr>
    </w:p>
    <w:p w14:paraId="5AB1122D" w14:textId="77777777" w:rsidR="005F586A" w:rsidRPr="00941553" w:rsidRDefault="005A1B1B" w:rsidP="00077CDF">
      <w:pPr>
        <w:pStyle w:val="Ttulo2"/>
        <w:rPr>
          <w:rFonts w:ascii="Mulish" w:hAnsi="Mulish"/>
        </w:rPr>
      </w:pPr>
      <w:bookmarkStart w:id="2" w:name="_Toc169082168"/>
      <w:r w:rsidRPr="00941553">
        <w:rPr>
          <w:rFonts w:ascii="Mulish" w:hAnsi="Mulish"/>
        </w:rPr>
        <w:t>II.1 Entidades incluidas en este grupo de sujetos obligados</w:t>
      </w:r>
      <w:r w:rsidR="00BE7255" w:rsidRPr="00941553">
        <w:rPr>
          <w:rFonts w:ascii="Mulish" w:hAnsi="Mulish"/>
        </w:rPr>
        <w:t>.</w:t>
      </w:r>
      <w:bookmarkEnd w:id="2"/>
    </w:p>
    <w:p w14:paraId="56132DE0" w14:textId="77777777" w:rsidR="00077CDF" w:rsidRPr="00941553" w:rsidRDefault="00077CDF" w:rsidP="005F586A">
      <w:pPr>
        <w:rPr>
          <w:rFonts w:ascii="Mulish" w:hAnsi="Mulish"/>
        </w:rPr>
      </w:pPr>
    </w:p>
    <w:p w14:paraId="38D3C8EF" w14:textId="77777777" w:rsidR="0047212C" w:rsidRPr="00941553" w:rsidRDefault="00CE43A8" w:rsidP="005F586A">
      <w:pPr>
        <w:rPr>
          <w:rFonts w:ascii="Mulish" w:hAnsi="Mulish"/>
        </w:rPr>
      </w:pPr>
      <w:r w:rsidRPr="00941553">
        <w:rPr>
          <w:rFonts w:ascii="Mulish" w:hAnsi="Mulish"/>
        </w:rPr>
        <w:t>Las entidades integrantes de este grupo de sujetos obligados</w:t>
      </w:r>
      <w:r w:rsidR="00FB4BBF" w:rsidRPr="00941553">
        <w:rPr>
          <w:rFonts w:ascii="Mulish" w:hAnsi="Mulish"/>
        </w:rPr>
        <w:t>, seleccionadas a partir del INVENTE mediante muestreo aleatorio</w:t>
      </w:r>
      <w:r w:rsidR="00F30A2C" w:rsidRPr="00941553">
        <w:rPr>
          <w:rFonts w:ascii="Mulish" w:hAnsi="Mulish"/>
        </w:rPr>
        <w:t>,</w:t>
      </w:r>
      <w:r w:rsidRPr="00941553">
        <w:rPr>
          <w:rFonts w:ascii="Mulish" w:hAnsi="Mulish"/>
        </w:rPr>
        <w:t xml:space="preserve"> son las siguientes:</w:t>
      </w:r>
    </w:p>
    <w:tbl>
      <w:tblPr>
        <w:tblStyle w:val="Listaclara-nfasis2"/>
        <w:tblW w:w="9889" w:type="dxa"/>
        <w:tblLook w:val="04A0" w:firstRow="1" w:lastRow="0" w:firstColumn="1" w:lastColumn="0" w:noHBand="0" w:noVBand="1"/>
      </w:tblPr>
      <w:tblGrid>
        <w:gridCol w:w="3652"/>
        <w:gridCol w:w="6237"/>
      </w:tblGrid>
      <w:tr w:rsidR="00D21232" w:rsidRPr="00941553" w14:paraId="00B7C574" w14:textId="77777777" w:rsidTr="005300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2FD05B82" w14:textId="77777777" w:rsidR="00D21232" w:rsidRPr="00941553" w:rsidRDefault="00D21232" w:rsidP="00141DBA">
            <w:pPr>
              <w:jc w:val="center"/>
              <w:rPr>
                <w:rFonts w:ascii="Mulish" w:hAnsi="Mulish"/>
                <w:sz w:val="18"/>
                <w:szCs w:val="18"/>
              </w:rPr>
            </w:pPr>
            <w:r w:rsidRPr="00941553">
              <w:rPr>
                <w:rFonts w:ascii="Mulish" w:hAnsi="Mulish"/>
                <w:sz w:val="18"/>
                <w:szCs w:val="18"/>
              </w:rPr>
              <w:t>Tipo</w:t>
            </w:r>
          </w:p>
        </w:tc>
        <w:tc>
          <w:tcPr>
            <w:tcW w:w="6237" w:type="dxa"/>
            <w:noWrap/>
            <w:hideMark/>
          </w:tcPr>
          <w:p w14:paraId="6753462B" w14:textId="77777777" w:rsidR="00D21232" w:rsidRPr="00941553" w:rsidRDefault="00D21232" w:rsidP="00141DBA">
            <w:pPr>
              <w:jc w:val="center"/>
              <w:cnfStyle w:val="100000000000" w:firstRow="1" w:lastRow="0" w:firstColumn="0" w:lastColumn="0" w:oddVBand="0" w:evenVBand="0" w:oddHBand="0" w:evenHBand="0" w:firstRowFirstColumn="0" w:firstRowLastColumn="0" w:lastRowFirstColumn="0" w:lastRowLastColumn="0"/>
              <w:rPr>
                <w:rFonts w:ascii="Mulish" w:hAnsi="Mulish"/>
                <w:sz w:val="18"/>
                <w:szCs w:val="18"/>
              </w:rPr>
            </w:pPr>
            <w:r w:rsidRPr="00941553">
              <w:rPr>
                <w:rFonts w:ascii="Mulish" w:hAnsi="Mulish"/>
                <w:sz w:val="18"/>
                <w:szCs w:val="18"/>
              </w:rPr>
              <w:t>Entidad</w:t>
            </w:r>
          </w:p>
        </w:tc>
      </w:tr>
      <w:tr w:rsidR="00D21232" w:rsidRPr="00941553" w14:paraId="186D45C8" w14:textId="77777777" w:rsidTr="005300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251EA0D9" w14:textId="77777777" w:rsidR="00D21232" w:rsidRPr="00941553" w:rsidRDefault="00D21232" w:rsidP="00D21232">
            <w:pPr>
              <w:jc w:val="left"/>
              <w:rPr>
                <w:rFonts w:ascii="Mulish" w:hAnsi="Mulish"/>
                <w:sz w:val="18"/>
                <w:szCs w:val="18"/>
              </w:rPr>
            </w:pPr>
            <w:r w:rsidRPr="00941553">
              <w:rPr>
                <w:rFonts w:ascii="Mulish" w:hAnsi="Mulish"/>
                <w:sz w:val="18"/>
                <w:szCs w:val="18"/>
              </w:rPr>
              <w:t>Agencias</w:t>
            </w:r>
            <w:r w:rsidR="00141DBA" w:rsidRPr="00941553">
              <w:rPr>
                <w:rFonts w:ascii="Mulish" w:hAnsi="Mulish"/>
                <w:sz w:val="18"/>
                <w:szCs w:val="18"/>
              </w:rPr>
              <w:t xml:space="preserve"> Estatales</w:t>
            </w:r>
            <w:r w:rsidRPr="00941553">
              <w:rPr>
                <w:rFonts w:ascii="Mulish" w:hAnsi="Mulish"/>
                <w:sz w:val="18"/>
                <w:szCs w:val="18"/>
              </w:rPr>
              <w:t>, Organismos Autónomos y Entidades Públicas Empresariales</w:t>
            </w:r>
            <w:r w:rsidR="0053007B" w:rsidRPr="00941553">
              <w:rPr>
                <w:rFonts w:ascii="Mulish" w:hAnsi="Mulish"/>
                <w:sz w:val="18"/>
                <w:szCs w:val="18"/>
              </w:rPr>
              <w:t xml:space="preserve"> </w:t>
            </w:r>
            <w:r w:rsidRPr="00941553">
              <w:rPr>
                <w:rFonts w:ascii="Mulish" w:hAnsi="Mulish"/>
                <w:sz w:val="18"/>
                <w:szCs w:val="18"/>
              </w:rPr>
              <w:t xml:space="preserve"> (art. 2.1.c LTAIBG)</w:t>
            </w:r>
          </w:p>
        </w:tc>
        <w:tc>
          <w:tcPr>
            <w:tcW w:w="6237" w:type="dxa"/>
            <w:noWrap/>
            <w:hideMark/>
          </w:tcPr>
          <w:p w14:paraId="230D7708" w14:textId="77777777" w:rsidR="00A83A56" w:rsidRPr="00EB61B2" w:rsidRDefault="00A83A56" w:rsidP="00D21232">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Agencia Estatal Consejo Superior de Investigaciones Científicas, M.P.</w:t>
            </w:r>
          </w:p>
          <w:p w14:paraId="569C36D9" w14:textId="77777777" w:rsidR="00A83A56" w:rsidRPr="00EB61B2" w:rsidRDefault="00A83A56" w:rsidP="00D21232">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Agencia Estatal de Seguridad Aérea</w:t>
            </w:r>
          </w:p>
          <w:p w14:paraId="41F10939" w14:textId="77777777" w:rsidR="00A83A56" w:rsidRPr="00EB61B2" w:rsidRDefault="00A83A56" w:rsidP="00D21232">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ICEX España Exportación e Inversiones, E.P.E, M.P.</w:t>
            </w:r>
          </w:p>
          <w:p w14:paraId="56FB9E88" w14:textId="77777777" w:rsidR="00A83A56" w:rsidRPr="00EB61B2" w:rsidRDefault="00A83A56" w:rsidP="00D21232">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Confederación Hidrográfica del Ebro, O.A.</w:t>
            </w:r>
          </w:p>
          <w:p w14:paraId="0DFDA48C"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Agencia de Información y Control Alimentarios, O.A.</w:t>
            </w:r>
          </w:p>
          <w:p w14:paraId="569E39DE"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Biblioteca Nacional de España, O.A.</w:t>
            </w:r>
          </w:p>
          <w:p w14:paraId="0F1EDD88"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Confederación Hidrográfica del Segura, O.A.</w:t>
            </w:r>
          </w:p>
          <w:p w14:paraId="2E2562C1"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Instituto Nacional de Administración Pública, O.A.</w:t>
            </w:r>
          </w:p>
          <w:p w14:paraId="6B4A505D"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Mutualidad General Judicial</w:t>
            </w:r>
          </w:p>
          <w:p w14:paraId="1CFA0037"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O.A. Organización Nacional de Trasplantes</w:t>
            </w:r>
          </w:p>
          <w:p w14:paraId="3DE6FE58" w14:textId="77777777" w:rsidR="00A83A56" w:rsidRPr="00EB61B2" w:rsidRDefault="00A83A56" w:rsidP="00A83A56">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lastRenderedPageBreak/>
              <w:t>Organismo Autónomo Gerencia de Infraestructuras y Equipamiento de la Seguridad del Estado</w:t>
            </w:r>
          </w:p>
          <w:p w14:paraId="17C0E67A" w14:textId="77777777" w:rsidR="00342EA2" w:rsidRPr="00EB61B2" w:rsidRDefault="005E0C13" w:rsidP="00D21232">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Agencia Española de Medicamentos y Productos Sanitarios</w:t>
            </w:r>
          </w:p>
          <w:p w14:paraId="590058CE" w14:textId="77777777" w:rsidR="00822E13" w:rsidRPr="00EB61B2" w:rsidRDefault="00822E13" w:rsidP="00822E13">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Administrador de Infraestructuras Ferroviarias</w:t>
            </w:r>
          </w:p>
          <w:p w14:paraId="7D5BC700" w14:textId="77777777" w:rsidR="00822E13" w:rsidRPr="00EB61B2" w:rsidRDefault="00822E13" w:rsidP="00822E13">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de Crédito Oficial</w:t>
            </w:r>
          </w:p>
          <w:p w14:paraId="44EE47FB" w14:textId="77777777" w:rsidR="00822E13" w:rsidRPr="00EB61B2" w:rsidRDefault="00822E13" w:rsidP="00822E13">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E.P.E. Instituto para la Diversificación y Ahorro de la Energía</w:t>
            </w:r>
          </w:p>
          <w:p w14:paraId="78B015EE" w14:textId="77777777" w:rsidR="00822E13" w:rsidRPr="00EB61B2" w:rsidRDefault="00822E13" w:rsidP="00822E13">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Entidad Pública Empresarial Red.es, M.P.</w:t>
            </w:r>
          </w:p>
          <w:p w14:paraId="08C0F982"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Nacional de Información Geográfica</w:t>
            </w:r>
          </w:p>
          <w:p w14:paraId="6E30AF3D"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Confederación Hidrográfica del Guadalquivir, O.A.</w:t>
            </w:r>
          </w:p>
          <w:p w14:paraId="5CBFAE2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Confederación Hidrográfica del Guadiana, O.A.</w:t>
            </w:r>
          </w:p>
          <w:p w14:paraId="4088AC5D"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Confederación Hidrográfica del Cantábrico, O.A.</w:t>
            </w:r>
          </w:p>
          <w:p w14:paraId="56494D57"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Nacional de Gestión Sanitaria</w:t>
            </w:r>
          </w:p>
          <w:p w14:paraId="5528EF7A"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Nacional de las Artes Escénicas y de la Música, O.A.</w:t>
            </w:r>
          </w:p>
          <w:p w14:paraId="1E77F23D"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Nacional de Técnica Aeroespacial Esteban Terradas</w:t>
            </w:r>
          </w:p>
          <w:p w14:paraId="7A94DC9B"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Organismo Autónomo Parques Nacionales</w:t>
            </w:r>
          </w:p>
          <w:p w14:paraId="3BE02D54"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Agencia Estatal de Seguridad Ferroviaria</w:t>
            </w:r>
          </w:p>
          <w:p w14:paraId="2237D5A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de Vivienda, Infraestructura y Equipamiento de la Defensa O.A.</w:t>
            </w:r>
          </w:p>
          <w:p w14:paraId="530BE48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Nacional de la Seguridad Social</w:t>
            </w:r>
          </w:p>
          <w:p w14:paraId="0A4AAA6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de Turismo de España, O.A.</w:t>
            </w:r>
          </w:p>
          <w:p w14:paraId="6D77A3A1"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O.A. Gerencia de Infraestructuras y Equipamientos de Cultura</w:t>
            </w:r>
          </w:p>
          <w:p w14:paraId="21CD4782"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de Investigaciones Sociológicas, O.A.</w:t>
            </w:r>
          </w:p>
          <w:p w14:paraId="5B3D0EFB"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de la Cinematografía y de las Artes Audiovisuales, O.A.</w:t>
            </w:r>
          </w:p>
          <w:p w14:paraId="50749B5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Nacional de Seguridad y Salud en el Trabajo, O.A., M.P.</w:t>
            </w:r>
          </w:p>
          <w:p w14:paraId="2477F827"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de Estudios Políticos y Constitucionales, O.A.</w:t>
            </w:r>
          </w:p>
          <w:p w14:paraId="3B49C73D" w14:textId="2977B5B4" w:rsidR="00052B05" w:rsidRPr="00941553"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EB61B2">
              <w:rPr>
                <w:rFonts w:ascii="Mulish" w:hAnsi="Mulish"/>
                <w:b/>
                <w:bCs/>
                <w:sz w:val="18"/>
                <w:szCs w:val="18"/>
              </w:rPr>
              <w:t>Instituto de Mayores y Servicios Sociales</w:t>
            </w:r>
          </w:p>
        </w:tc>
      </w:tr>
      <w:tr w:rsidR="00D21232" w:rsidRPr="00941553" w14:paraId="3C0AADE1" w14:textId="77777777" w:rsidTr="0053007B">
        <w:trPr>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331ABC3C" w14:textId="77777777" w:rsidR="00D21232" w:rsidRPr="00941553" w:rsidRDefault="00D21232" w:rsidP="00DB5307">
            <w:pPr>
              <w:rPr>
                <w:rFonts w:ascii="Mulish" w:hAnsi="Mulish"/>
                <w:sz w:val="18"/>
                <w:szCs w:val="18"/>
              </w:rPr>
            </w:pPr>
            <w:r w:rsidRPr="00941553">
              <w:rPr>
                <w:rFonts w:ascii="Mulish" w:hAnsi="Mulish"/>
                <w:sz w:val="18"/>
                <w:szCs w:val="18"/>
              </w:rPr>
              <w:lastRenderedPageBreak/>
              <w:t>Entidades de derecho público (art.</w:t>
            </w:r>
            <w:r w:rsidR="00DB5307" w:rsidRPr="00941553">
              <w:rPr>
                <w:rFonts w:ascii="Mulish" w:hAnsi="Mulish"/>
                <w:sz w:val="18"/>
                <w:szCs w:val="18"/>
              </w:rPr>
              <w:t xml:space="preserve"> 2.1.d LTAIBG</w:t>
            </w:r>
            <w:r w:rsidR="0053007B" w:rsidRPr="00941553">
              <w:rPr>
                <w:rFonts w:ascii="Mulish" w:hAnsi="Mulish"/>
                <w:sz w:val="18"/>
                <w:szCs w:val="18"/>
              </w:rPr>
              <w:t>)</w:t>
            </w:r>
          </w:p>
        </w:tc>
        <w:tc>
          <w:tcPr>
            <w:tcW w:w="6237" w:type="dxa"/>
            <w:noWrap/>
            <w:hideMark/>
          </w:tcPr>
          <w:p w14:paraId="23B41494"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Casa del Mediterráneo</w:t>
            </w:r>
          </w:p>
          <w:p w14:paraId="4E862FE1"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para el Diseño, Construcción, Equipamiento y Explotación del Centro de Láseres Pulsados Ultracortos Ultraintensos</w:t>
            </w:r>
          </w:p>
          <w:p w14:paraId="0CE7BAD6"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para el Diseño, Construcción, Equipamiento y Explotación del Sistema de Observación Costero de las Islas Baleares</w:t>
            </w:r>
          </w:p>
          <w:p w14:paraId="30F74D07"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Universitario del Centro Asociado a la UNED en Vitoria-Gasteiz</w:t>
            </w:r>
          </w:p>
          <w:p w14:paraId="1A52E29B"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de la Zona Franca de Barcelona</w:t>
            </w:r>
          </w:p>
          <w:p w14:paraId="78CC1EB6"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Obra Pía de los Santos Lugares</w:t>
            </w:r>
          </w:p>
          <w:p w14:paraId="49C3141E"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de la Zona Franca de Cádiz</w:t>
            </w:r>
          </w:p>
          <w:p w14:paraId="5BE7A13B"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Museo Nacional Centro de Arte Reina Sofía</w:t>
            </w:r>
          </w:p>
          <w:p w14:paraId="60214892"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Almería</w:t>
            </w:r>
          </w:p>
          <w:p w14:paraId="77E9F7B4"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Barcelona</w:t>
            </w:r>
          </w:p>
          <w:p w14:paraId="65D0BF75"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Las Palmas</w:t>
            </w:r>
          </w:p>
          <w:p w14:paraId="144DCA24"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Marín y Ría de Pontevedra</w:t>
            </w:r>
          </w:p>
          <w:p w14:paraId="07508A5E"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Santander</w:t>
            </w:r>
          </w:p>
          <w:p w14:paraId="37D8EFF9"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Sevilla</w:t>
            </w:r>
          </w:p>
          <w:p w14:paraId="187AE34C"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Valencia</w:t>
            </w:r>
          </w:p>
          <w:p w14:paraId="3D6EAB28"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Autoridad Portuaria de Ferrol-San Cibrao</w:t>
            </w:r>
          </w:p>
          <w:p w14:paraId="59A9017C"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Consorcio de la Zona Franca de Vigo</w:t>
            </w:r>
          </w:p>
          <w:p w14:paraId="43AAD7BA"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Centro Universitario de la Defensa Ubicado en la Academia General Militar de Zaragoza</w:t>
            </w:r>
          </w:p>
          <w:p w14:paraId="0C22C0B5"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Trabajo Penitenciario y Formación para el Empleo</w:t>
            </w:r>
          </w:p>
          <w:p w14:paraId="197A6CF8" w14:textId="77777777" w:rsidR="00822E13" w:rsidRPr="00EB61B2" w:rsidRDefault="00822E13" w:rsidP="00822E13">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Consorcio Barcelona Supercomputing Center - Centro Nacional de Supercomputación</w:t>
            </w:r>
          </w:p>
          <w:p w14:paraId="08B31D65" w14:textId="77777777" w:rsidR="00822E13" w:rsidRPr="00EB61B2" w:rsidRDefault="00822E13" w:rsidP="00822E13">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Consorcio de Actividades Logísticas, Empresariales, Tecnológicas, Ambientales y de Servicios de la Bahía de Cádiz</w:t>
            </w:r>
          </w:p>
          <w:p w14:paraId="5A7B611D" w14:textId="77777777" w:rsidR="00822E13" w:rsidRPr="00EB61B2" w:rsidRDefault="00822E13" w:rsidP="00822E13">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Consorcio para el Equipamiento y Explotación del Laboratorio Subterráneo de Canfranc</w:t>
            </w:r>
          </w:p>
          <w:p w14:paraId="4A4982EE" w14:textId="77777777" w:rsidR="00822E13" w:rsidRPr="00EB61B2" w:rsidRDefault="00822E13" w:rsidP="00822E13">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Consorcio Universitario del Centro Asociado a la UNED en la provincia de Barcelona</w:t>
            </w:r>
          </w:p>
          <w:p w14:paraId="1A68CB14" w14:textId="77777777" w:rsidR="00342EA2" w:rsidRPr="00EB61B2" w:rsidRDefault="00822E13" w:rsidP="00822E13">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Consorcio Universitario del Centro Asociado a la UNED Lorenzo Luzuriaga en Ciudad Real</w:t>
            </w:r>
          </w:p>
          <w:p w14:paraId="30BD266E"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lastRenderedPageBreak/>
              <w:t>Autoridad Portuaria de Alicante</w:t>
            </w:r>
          </w:p>
          <w:p w14:paraId="63782958"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Autoridad Portuaria de Avilés</w:t>
            </w:r>
          </w:p>
          <w:p w14:paraId="13D6F794"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Autoridad Portuaria de Bilbao</w:t>
            </w:r>
          </w:p>
          <w:p w14:paraId="38E49DBE"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Autoridad Portuaria de la Bahía de Algeciras</w:t>
            </w:r>
          </w:p>
          <w:p w14:paraId="3584459C"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Autoridad Portuaria de Motril</w:t>
            </w:r>
          </w:p>
          <w:p w14:paraId="2E6F455E"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Autoridad Portuaria de Pasaia</w:t>
            </w:r>
          </w:p>
          <w:p w14:paraId="7DC4FCDD"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Universitario de la Defensa Ubicado en la Academia General del Aire de San Javier</w:t>
            </w:r>
          </w:p>
          <w:p w14:paraId="0925A2B3"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Cervantes</w:t>
            </w:r>
          </w:p>
          <w:p w14:paraId="03DF5C9C"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Instituto de Astrofísica de Canarias</w:t>
            </w:r>
          </w:p>
          <w:p w14:paraId="2AF08D43" w14:textId="77777777" w:rsidR="00D930A9" w:rsidRPr="00EB61B2"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Puertos del Estado</w:t>
            </w:r>
          </w:p>
          <w:p w14:paraId="54E6F9D1" w14:textId="69680CD8" w:rsidR="00052B05" w:rsidRPr="00941553" w:rsidRDefault="00D930A9" w:rsidP="00D930A9">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EB61B2">
              <w:rPr>
                <w:rFonts w:ascii="Mulish" w:hAnsi="Mulish"/>
                <w:b/>
                <w:bCs/>
                <w:sz w:val="18"/>
                <w:szCs w:val="18"/>
              </w:rPr>
              <w:t>Consorcio de la Zona Franca de Santa Cruz de Tenerife</w:t>
            </w:r>
          </w:p>
        </w:tc>
      </w:tr>
      <w:tr w:rsidR="00D21232" w:rsidRPr="00941553" w14:paraId="75A3773D" w14:textId="77777777" w:rsidTr="005300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00BD5A3F" w14:textId="77777777" w:rsidR="00D21232" w:rsidRPr="00941553" w:rsidRDefault="00D21232" w:rsidP="00D21232">
            <w:pPr>
              <w:rPr>
                <w:rFonts w:ascii="Mulish" w:hAnsi="Mulish"/>
                <w:sz w:val="18"/>
                <w:szCs w:val="18"/>
              </w:rPr>
            </w:pPr>
            <w:r w:rsidRPr="00941553">
              <w:rPr>
                <w:rFonts w:ascii="Mulish" w:hAnsi="Mulish"/>
                <w:sz w:val="18"/>
                <w:szCs w:val="18"/>
              </w:rPr>
              <w:lastRenderedPageBreak/>
              <w:t>Fundaciones</w:t>
            </w:r>
          </w:p>
        </w:tc>
        <w:tc>
          <w:tcPr>
            <w:tcW w:w="6237" w:type="dxa"/>
            <w:noWrap/>
            <w:hideMark/>
          </w:tcPr>
          <w:p w14:paraId="7B3BDDA1"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Fundación Centro de Estudios Monetarios y Financieros</w:t>
            </w:r>
          </w:p>
          <w:p w14:paraId="42B252EA"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Centro Nacional de Investigaciones Cardiovasculares Carlos III, F.S.P.</w:t>
            </w:r>
          </w:p>
          <w:p w14:paraId="4E23AFE7"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Fundación General de la Universidad Nacional de Educación a Distancia</w:t>
            </w:r>
          </w:p>
          <w:p w14:paraId="4A20030A"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Fundación Instituto Iberoamericano de Mercados de Valores, F.S.P.</w:t>
            </w:r>
          </w:p>
          <w:p w14:paraId="49217378" w14:textId="77777777" w:rsidR="00DB5307" w:rsidRPr="00941553"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
                <w:sz w:val="18"/>
                <w:szCs w:val="18"/>
              </w:rPr>
            </w:pPr>
            <w:r w:rsidRPr="00EB61B2">
              <w:rPr>
                <w:rFonts w:ascii="Mulish" w:hAnsi="Mulish"/>
                <w:bCs/>
                <w:sz w:val="18"/>
                <w:szCs w:val="18"/>
              </w:rPr>
              <w:t>Fundación UIMP-Campo de Gibraltar</w:t>
            </w:r>
          </w:p>
          <w:p w14:paraId="68B5D77B"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Biodiversidad, F.S.P.</w:t>
            </w:r>
          </w:p>
          <w:p w14:paraId="23188ACA"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Ciudad de la Energía-Ciuden, F.S.P.</w:t>
            </w:r>
          </w:p>
          <w:p w14:paraId="7F911995"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Colección Thyssen Bornemisza, F.S.P.</w:t>
            </w:r>
          </w:p>
          <w:p w14:paraId="7C8F5DCA"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de la Santa Cruz del Valle de los Caídos</w:t>
            </w:r>
          </w:p>
          <w:p w14:paraId="230E078B"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Residencia de Estudiantes, F.S.P.</w:t>
            </w:r>
          </w:p>
          <w:p w14:paraId="0EB4BCCD"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EOI, F.S.P.</w:t>
            </w:r>
          </w:p>
          <w:p w14:paraId="46BBAB5C"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Internacional y para Iberoamérica de Administración y Políticas Públicas, F.S.P.</w:t>
            </w:r>
          </w:p>
          <w:p w14:paraId="28A9CCAD" w14:textId="77777777" w:rsidR="00052B05" w:rsidRPr="00EB61B2"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Fundación Canaria Puertos de Las Palmas</w:t>
            </w:r>
          </w:p>
          <w:p w14:paraId="475A7E13" w14:textId="151DE40A" w:rsidR="00827F78" w:rsidRPr="00941553" w:rsidRDefault="00052B05" w:rsidP="00052B05">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EB61B2">
              <w:rPr>
                <w:rFonts w:ascii="Mulish" w:hAnsi="Mulish"/>
                <w:b/>
                <w:bCs/>
                <w:sz w:val="18"/>
                <w:szCs w:val="18"/>
              </w:rPr>
              <w:t>Fundación Estatal para la Formación en el Empleo, F.S.P.</w:t>
            </w:r>
          </w:p>
        </w:tc>
      </w:tr>
      <w:tr w:rsidR="00D21232" w:rsidRPr="00941553" w14:paraId="001DAB2F" w14:textId="77777777" w:rsidTr="0053007B">
        <w:trPr>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1B226549" w14:textId="77777777" w:rsidR="00D21232" w:rsidRPr="00941553" w:rsidRDefault="00D21232" w:rsidP="00D21232">
            <w:pPr>
              <w:rPr>
                <w:rFonts w:ascii="Mulish" w:hAnsi="Mulish"/>
                <w:sz w:val="18"/>
                <w:szCs w:val="18"/>
              </w:rPr>
            </w:pPr>
            <w:r w:rsidRPr="00941553">
              <w:rPr>
                <w:rFonts w:ascii="Mulish" w:hAnsi="Mulish"/>
                <w:sz w:val="18"/>
                <w:szCs w:val="18"/>
              </w:rPr>
              <w:t>Mutuas</w:t>
            </w:r>
            <w:r w:rsidR="00DB5307" w:rsidRPr="00941553">
              <w:rPr>
                <w:rFonts w:ascii="Mulish" w:hAnsi="Mulish"/>
                <w:sz w:val="18"/>
                <w:szCs w:val="18"/>
              </w:rPr>
              <w:t xml:space="preserve"> Accidentes de Trabajo y Enfermedades Profesionales</w:t>
            </w:r>
          </w:p>
        </w:tc>
        <w:tc>
          <w:tcPr>
            <w:tcW w:w="6237" w:type="dxa"/>
            <w:noWrap/>
            <w:hideMark/>
          </w:tcPr>
          <w:p w14:paraId="11945A65" w14:textId="77777777" w:rsidR="0053007B" w:rsidRPr="00EB61B2"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Cs/>
                <w:sz w:val="18"/>
                <w:szCs w:val="18"/>
              </w:rPr>
            </w:pPr>
            <w:r w:rsidRPr="00EB61B2">
              <w:rPr>
                <w:rFonts w:ascii="Mulish" w:hAnsi="Mulish"/>
                <w:bCs/>
                <w:sz w:val="18"/>
                <w:szCs w:val="18"/>
              </w:rPr>
              <w:t>Mutua de Andalucía y de Ceuta, Mutua Colaboradora con la Seguridad Social nº 115</w:t>
            </w:r>
          </w:p>
          <w:p w14:paraId="035C8300" w14:textId="77777777" w:rsidR="0053007B" w:rsidRPr="00941553" w:rsidRDefault="0053007B" w:rsidP="0053007B">
            <w:pPr>
              <w:cnfStyle w:val="000000000000" w:firstRow="0" w:lastRow="0" w:firstColumn="0" w:lastColumn="0" w:oddVBand="0" w:evenVBand="0" w:oddHBand="0" w:evenHBand="0" w:firstRowFirstColumn="0" w:firstRowLastColumn="0" w:lastRowFirstColumn="0" w:lastRowLastColumn="0"/>
              <w:rPr>
                <w:rFonts w:ascii="Mulish" w:hAnsi="Mulish"/>
                <w:b/>
                <w:sz w:val="18"/>
                <w:szCs w:val="18"/>
              </w:rPr>
            </w:pPr>
            <w:r w:rsidRPr="00EB61B2">
              <w:rPr>
                <w:rFonts w:ascii="Mulish" w:hAnsi="Mulish"/>
                <w:bCs/>
                <w:sz w:val="18"/>
                <w:szCs w:val="18"/>
              </w:rPr>
              <w:t>Mutua Montañesa, Mutua Colaboradora con la Seguridad Social nº 7</w:t>
            </w:r>
          </w:p>
          <w:p w14:paraId="03F6C5EB" w14:textId="77777777" w:rsidR="00052B05" w:rsidRPr="00EB61B2" w:rsidRDefault="00052B05" w:rsidP="00052B05">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IBERMUTUA</w:t>
            </w:r>
          </w:p>
          <w:p w14:paraId="2D137089" w14:textId="77777777" w:rsidR="00052B05" w:rsidRPr="00EB61B2" w:rsidRDefault="00052B05" w:rsidP="00052B05">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Mutual Midat Cyclops</w:t>
            </w:r>
          </w:p>
          <w:p w14:paraId="5DD0F908" w14:textId="77777777" w:rsidR="00052B05" w:rsidRPr="00EB61B2" w:rsidRDefault="00052B05" w:rsidP="00052B05">
            <w:pPr>
              <w:cnfStyle w:val="000000000000" w:firstRow="0" w:lastRow="0" w:firstColumn="0" w:lastColumn="0" w:oddVBand="0" w:evenVBand="0" w:oddHBand="0" w:evenHBand="0" w:firstRowFirstColumn="0" w:firstRowLastColumn="0" w:lastRowFirstColumn="0" w:lastRowLastColumn="0"/>
              <w:rPr>
                <w:rFonts w:ascii="Mulish" w:hAnsi="Mulish"/>
                <w:b/>
                <w:bCs/>
                <w:sz w:val="18"/>
                <w:szCs w:val="18"/>
              </w:rPr>
            </w:pPr>
            <w:r w:rsidRPr="00EB61B2">
              <w:rPr>
                <w:rFonts w:ascii="Mulish" w:hAnsi="Mulish"/>
                <w:b/>
                <w:bCs/>
                <w:sz w:val="18"/>
                <w:szCs w:val="18"/>
              </w:rPr>
              <w:t>Unión de Mutuas</w:t>
            </w:r>
          </w:p>
          <w:p w14:paraId="0F1A5438" w14:textId="34EE89C3" w:rsidR="00827F78" w:rsidRPr="00941553" w:rsidRDefault="00052B05" w:rsidP="00052B05">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EB61B2">
              <w:rPr>
                <w:rFonts w:ascii="Mulish" w:hAnsi="Mulish"/>
                <w:b/>
                <w:bCs/>
                <w:sz w:val="18"/>
                <w:szCs w:val="18"/>
              </w:rPr>
              <w:t>Mutua Universal Mugenat</w:t>
            </w:r>
          </w:p>
        </w:tc>
      </w:tr>
      <w:tr w:rsidR="00D21232" w:rsidRPr="00941553" w14:paraId="54972867" w14:textId="77777777" w:rsidTr="005300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0D3CDE74" w14:textId="77777777" w:rsidR="00D21232" w:rsidRPr="00941553" w:rsidRDefault="00D21232" w:rsidP="00DB5307">
            <w:pPr>
              <w:rPr>
                <w:rFonts w:ascii="Mulish" w:hAnsi="Mulish"/>
                <w:sz w:val="18"/>
                <w:szCs w:val="18"/>
              </w:rPr>
            </w:pPr>
            <w:r w:rsidRPr="00941553">
              <w:rPr>
                <w:rFonts w:ascii="Mulish" w:hAnsi="Mulish"/>
                <w:sz w:val="18"/>
                <w:szCs w:val="18"/>
              </w:rPr>
              <w:t>Sociedad</w:t>
            </w:r>
            <w:r w:rsidR="00DB5307" w:rsidRPr="00941553">
              <w:rPr>
                <w:rFonts w:ascii="Mulish" w:hAnsi="Mulish"/>
                <w:sz w:val="18"/>
                <w:szCs w:val="18"/>
              </w:rPr>
              <w:t>es M</w:t>
            </w:r>
            <w:r w:rsidRPr="00941553">
              <w:rPr>
                <w:rFonts w:ascii="Mulish" w:hAnsi="Mulish"/>
                <w:sz w:val="18"/>
                <w:szCs w:val="18"/>
              </w:rPr>
              <w:t>ercantil</w:t>
            </w:r>
            <w:r w:rsidR="00DB5307" w:rsidRPr="00941553">
              <w:rPr>
                <w:rFonts w:ascii="Mulish" w:hAnsi="Mulish"/>
                <w:sz w:val="18"/>
                <w:szCs w:val="18"/>
              </w:rPr>
              <w:t>es</w:t>
            </w:r>
          </w:p>
        </w:tc>
        <w:tc>
          <w:tcPr>
            <w:tcW w:w="6237" w:type="dxa"/>
            <w:noWrap/>
            <w:hideMark/>
          </w:tcPr>
          <w:p w14:paraId="732EBA57"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A.I. Abra Industrial, S.A. Sociedad Mercantil Estatal</w:t>
            </w:r>
          </w:p>
          <w:p w14:paraId="62AF9EA5"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Desarrollos Empresariales de la Zona Franca de Cádiz, S.M.E., M.P., S.A.U.</w:t>
            </w:r>
          </w:p>
          <w:p w14:paraId="06660506"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Equipos Nucleares, S.A., S.M.E.</w:t>
            </w:r>
          </w:p>
          <w:p w14:paraId="12DB6BEF"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Ingeniería y Economía del Transporte, S.M.E., M.P., S.A.</w:t>
            </w:r>
          </w:p>
          <w:p w14:paraId="06C85E82"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Hipódromo de la Zarzuela, S.A., S.M.E.</w:t>
            </w:r>
          </w:p>
          <w:p w14:paraId="4FDE5AEC"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Logirail, S.M.E., S.A.</w:t>
            </w:r>
          </w:p>
          <w:p w14:paraId="2052E455"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Museo Nacional del Prado Difusión, S.A.U. S.M.E.</w:t>
            </w:r>
          </w:p>
          <w:p w14:paraId="270E4721"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Agencia EFE, S.A., S.M.E.</w:t>
            </w:r>
          </w:p>
          <w:p w14:paraId="69CB83F1"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Almería Alta Velocidad, S.A.</w:t>
            </w:r>
          </w:p>
          <w:p w14:paraId="3F91B547"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Cofivacasa, S.A., S.M.E.</w:t>
            </w:r>
          </w:p>
          <w:p w14:paraId="53E440E1"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Ingeniería de Sistemas para la Defensa de España, S.A., S.M.E., M.P.</w:t>
            </w:r>
          </w:p>
          <w:p w14:paraId="7699DAA4"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Innvierte Economía Sostenible, SICC S.M.E., S.A.</w:t>
            </w:r>
          </w:p>
          <w:p w14:paraId="0765BCCB"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Logroño Integración del Ferrocarril, 2002, S.A.</w:t>
            </w:r>
          </w:p>
          <w:p w14:paraId="65086AEC"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Sociedad Mercantil Estatal para la Gestión de la Innovación y las Tecnologías Turísticas, S.A., M.P.</w:t>
            </w:r>
          </w:p>
          <w:p w14:paraId="0EFABBE6"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Valencia Parque Central Alta Velocidad 2.003, S.A.</w:t>
            </w:r>
          </w:p>
          <w:p w14:paraId="44072A11" w14:textId="77777777" w:rsidR="0053007B" w:rsidRPr="00EB61B2" w:rsidRDefault="0053007B" w:rsidP="0053007B">
            <w:pPr>
              <w:cnfStyle w:val="000000100000" w:firstRow="0" w:lastRow="0" w:firstColumn="0" w:lastColumn="0" w:oddVBand="0" w:evenVBand="0" w:oddHBand="1" w:evenHBand="0" w:firstRowFirstColumn="0" w:firstRowLastColumn="0" w:lastRowFirstColumn="0" w:lastRowLastColumn="0"/>
              <w:rPr>
                <w:rFonts w:ascii="Mulish" w:hAnsi="Mulish"/>
                <w:bCs/>
                <w:sz w:val="18"/>
                <w:szCs w:val="18"/>
              </w:rPr>
            </w:pPr>
            <w:r w:rsidRPr="00EB61B2">
              <w:rPr>
                <w:rFonts w:ascii="Mulish" w:hAnsi="Mulish"/>
                <w:bCs/>
                <w:sz w:val="18"/>
                <w:szCs w:val="18"/>
              </w:rPr>
              <w:t>Vipar Parque Empresarial, Sociedad Limitada, Sociedad Mercantil Estatal</w:t>
            </w:r>
          </w:p>
          <w:p w14:paraId="14EB3660"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Bilbao Ría 2000, S.A.</w:t>
            </w:r>
          </w:p>
          <w:p w14:paraId="1E91B8EC"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Astronómico Hispano Alemán, Agrupación de Interés Económico</w:t>
            </w:r>
          </w:p>
          <w:p w14:paraId="57700A7A"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Intermodal de Logística, S.A., S.M.E.</w:t>
            </w:r>
          </w:p>
          <w:p w14:paraId="004ED4DF"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Correos Express Paquetería Urgente, S.A., S.M.E.</w:t>
            </w:r>
          </w:p>
          <w:p w14:paraId="6B492DB9"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CTI Tecnología y Gestión, S.A. (S.M.E.)</w:t>
            </w:r>
          </w:p>
          <w:p w14:paraId="716C13AF"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Enajenación de Materiales Ferroviarios, S.A., S.M.E., M.P.</w:t>
            </w:r>
          </w:p>
          <w:p w14:paraId="5A3C0401"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Gijón al Norte, S. A.</w:t>
            </w:r>
          </w:p>
          <w:p w14:paraId="4B7275B3"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lastRenderedPageBreak/>
              <w:t>Mercalgeciras, S.A., S.M.E., M.P.</w:t>
            </w:r>
          </w:p>
          <w:p w14:paraId="011A3DFB"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Parque Empresarial Principado de Asturias, Sociedad Limitada, Sociedad Mercantil Estatal</w:t>
            </w:r>
          </w:p>
          <w:p w14:paraId="66C87383"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S.M.E. Instituto Nacional de Ciberseguridad de España, M.P., S.A.</w:t>
            </w:r>
          </w:p>
          <w:p w14:paraId="330464AC"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Sainsel Sistemas Navales, S.A.U., S.M.E.</w:t>
            </w:r>
          </w:p>
          <w:p w14:paraId="4A96F7FF"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Sociedad Estatal Loterías y Apuestas del Estado, S.M.E., S.A.</w:t>
            </w:r>
          </w:p>
          <w:p w14:paraId="1CB4BF7D"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Sociedad Mercantil Estatal Canal de Navarra, S.A.</w:t>
            </w:r>
          </w:p>
          <w:p w14:paraId="5D22EDAF"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World Trade Center Barcelona, S.A., S.M.E.</w:t>
            </w:r>
          </w:p>
          <w:p w14:paraId="20053329"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Vigo Activo, Sociedad de Capital Riesgo, S.A., S.M.E.</w:t>
            </w:r>
          </w:p>
          <w:p w14:paraId="4585E843"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Etsa Global Logistics, S.A., S.M.E.</w:t>
            </w:r>
          </w:p>
          <w:p w14:paraId="3D2C1BEC"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Centro de Referencia Investigación, Desarrollo e Innovación ATM Agrupación de Intereses Económicos</w:t>
            </w:r>
          </w:p>
          <w:p w14:paraId="6035E903" w14:textId="77777777" w:rsidR="00D930A9" w:rsidRPr="00EB61B2" w:rsidRDefault="00D930A9" w:rsidP="00D930A9">
            <w:pPr>
              <w:cnfStyle w:val="000000100000" w:firstRow="0" w:lastRow="0" w:firstColumn="0" w:lastColumn="0" w:oddVBand="0" w:evenVBand="0" w:oddHBand="1" w:evenHBand="0" w:firstRowFirstColumn="0" w:firstRowLastColumn="0" w:lastRowFirstColumn="0" w:lastRowLastColumn="0"/>
              <w:rPr>
                <w:rFonts w:ascii="Mulish" w:hAnsi="Mulish"/>
                <w:b/>
                <w:bCs/>
                <w:sz w:val="18"/>
                <w:szCs w:val="18"/>
              </w:rPr>
            </w:pPr>
            <w:r w:rsidRPr="00EB61B2">
              <w:rPr>
                <w:rFonts w:ascii="Mulish" w:hAnsi="Mulish"/>
                <w:b/>
                <w:bCs/>
                <w:sz w:val="18"/>
                <w:szCs w:val="18"/>
              </w:rPr>
              <w:t>Mercados Centrales de Abastecimiento de Asturias, S.A., S.M.E.</w:t>
            </w:r>
          </w:p>
          <w:p w14:paraId="72EEF76E" w14:textId="309550E7" w:rsidR="00827F78" w:rsidRPr="00941553" w:rsidRDefault="00D930A9" w:rsidP="00EB61B2">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EB61B2">
              <w:rPr>
                <w:rFonts w:ascii="Mulish" w:hAnsi="Mulish"/>
                <w:b/>
                <w:bCs/>
                <w:sz w:val="18"/>
                <w:szCs w:val="18"/>
              </w:rPr>
              <w:t>Sociedad Mercantil Estatal Aguas de las Cuencas de España, S.A.</w:t>
            </w:r>
          </w:p>
        </w:tc>
      </w:tr>
    </w:tbl>
    <w:p w14:paraId="45F5E87C" w14:textId="17443BD3" w:rsidR="00827F78" w:rsidRPr="00941553" w:rsidRDefault="00827F78" w:rsidP="00827F78">
      <w:pPr>
        <w:rPr>
          <w:rFonts w:ascii="Mulish" w:hAnsi="Mulish"/>
        </w:rPr>
      </w:pPr>
      <w:r w:rsidRPr="00941553">
        <w:rPr>
          <w:rFonts w:ascii="Mulish" w:hAnsi="Mulish"/>
          <w:sz w:val="18"/>
          <w:szCs w:val="16"/>
        </w:rPr>
        <w:lastRenderedPageBreak/>
        <w:t>Nota: las entidades resaltadas en negrita se han evaluado por primera vez en 202</w:t>
      </w:r>
      <w:r w:rsidR="00EB61B2">
        <w:rPr>
          <w:rFonts w:ascii="Mulish" w:hAnsi="Mulish"/>
          <w:sz w:val="18"/>
          <w:szCs w:val="16"/>
        </w:rPr>
        <w:t>4</w:t>
      </w:r>
      <w:r w:rsidRPr="00941553">
        <w:rPr>
          <w:rFonts w:ascii="Mulish" w:hAnsi="Mulish"/>
          <w:sz w:val="18"/>
          <w:szCs w:val="16"/>
        </w:rPr>
        <w:t xml:space="preserve">. </w:t>
      </w:r>
    </w:p>
    <w:p w14:paraId="05E4BA90" w14:textId="53D098B4" w:rsidR="00827F78" w:rsidRPr="00941553" w:rsidRDefault="00EB61B2" w:rsidP="0053007B">
      <w:pPr>
        <w:rPr>
          <w:rFonts w:ascii="Mulish" w:hAnsi="Mulish"/>
        </w:rPr>
      </w:pPr>
      <w:r>
        <w:rPr>
          <w:rFonts w:ascii="Mulish" w:hAnsi="Mulish"/>
        </w:rPr>
        <w:t>Respecto</w:t>
      </w:r>
      <w:r w:rsidR="0053007B" w:rsidRPr="00941553">
        <w:rPr>
          <w:rFonts w:ascii="Mulish" w:hAnsi="Mulish"/>
        </w:rPr>
        <w:t xml:space="preserve"> de las </w:t>
      </w:r>
      <w:r w:rsidR="00827F78" w:rsidRPr="00941553">
        <w:rPr>
          <w:rFonts w:ascii="Mulish" w:hAnsi="Mulish"/>
        </w:rPr>
        <w:t>previsiones contempladas en el Plan de Evaluación 202</w:t>
      </w:r>
      <w:r w:rsidR="006A6513">
        <w:rPr>
          <w:rFonts w:ascii="Mulish" w:hAnsi="Mulish"/>
        </w:rPr>
        <w:t>4</w:t>
      </w:r>
      <w:r w:rsidR="00827F78" w:rsidRPr="00941553">
        <w:rPr>
          <w:rFonts w:ascii="Mulish" w:hAnsi="Mulish"/>
        </w:rPr>
        <w:t xml:space="preserve">, </w:t>
      </w:r>
      <w:r w:rsidR="006A6513">
        <w:rPr>
          <w:rFonts w:ascii="Mulish" w:hAnsi="Mulish"/>
        </w:rPr>
        <w:t xml:space="preserve">no ha podido efectuarse la evaluación de </w:t>
      </w:r>
      <w:r w:rsidR="0097407B">
        <w:rPr>
          <w:rFonts w:ascii="Mulish" w:hAnsi="Mulish"/>
        </w:rPr>
        <w:t>cinco</w:t>
      </w:r>
      <w:r w:rsidR="006A6513">
        <w:rPr>
          <w:rFonts w:ascii="Mulish" w:hAnsi="Mulish"/>
        </w:rPr>
        <w:t xml:space="preserve"> de las entidades seleccionadas. En dos casos – </w:t>
      </w:r>
      <w:r w:rsidR="00ED4ED1">
        <w:rPr>
          <w:rFonts w:ascii="Mulish" w:hAnsi="Mulish"/>
        </w:rPr>
        <w:t xml:space="preserve">la </w:t>
      </w:r>
      <w:r w:rsidR="006A6513">
        <w:rPr>
          <w:rFonts w:ascii="Mulish" w:hAnsi="Mulish"/>
        </w:rPr>
        <w:t xml:space="preserve">Fundación Juan José Garcia y </w:t>
      </w:r>
      <w:r w:rsidR="00ED4ED1">
        <w:rPr>
          <w:rFonts w:ascii="Mulish" w:hAnsi="Mulish"/>
        </w:rPr>
        <w:t xml:space="preserve">la </w:t>
      </w:r>
      <w:r w:rsidR="006A6513">
        <w:rPr>
          <w:rFonts w:ascii="Mulish" w:hAnsi="Mulish"/>
        </w:rPr>
        <w:t xml:space="preserve">SME Olympic </w:t>
      </w:r>
      <w:r w:rsidR="005249AC">
        <w:rPr>
          <w:rFonts w:ascii="Mulish" w:hAnsi="Mulish"/>
        </w:rPr>
        <w:t xml:space="preserve">Moll - </w:t>
      </w:r>
      <w:r w:rsidR="006A6513">
        <w:rPr>
          <w:rFonts w:ascii="Mulish" w:hAnsi="Mulish"/>
        </w:rPr>
        <w:t xml:space="preserve">por encontrarse </w:t>
      </w:r>
      <w:r w:rsidR="005249AC">
        <w:rPr>
          <w:rFonts w:ascii="Mulish" w:hAnsi="Mulish"/>
        </w:rPr>
        <w:t>en</w:t>
      </w:r>
      <w:r w:rsidR="00252074">
        <w:rPr>
          <w:rFonts w:ascii="Mulish" w:hAnsi="Mulish"/>
        </w:rPr>
        <w:t xml:space="preserve"> fase de</w:t>
      </w:r>
      <w:r w:rsidR="005249AC">
        <w:rPr>
          <w:rFonts w:ascii="Mulish" w:hAnsi="Mulish"/>
        </w:rPr>
        <w:t xml:space="preserve"> liquidación. </w:t>
      </w:r>
      <w:r w:rsidR="0097407B">
        <w:rPr>
          <w:rFonts w:ascii="Mulish" w:hAnsi="Mulish"/>
        </w:rPr>
        <w:t>En el caso de la Obra Pía de los Santos Lugares, no ha sido posible la evaluación porque la entidad carece de web propia</w:t>
      </w:r>
      <w:r w:rsidR="002D1782">
        <w:rPr>
          <w:rFonts w:ascii="Mulish" w:hAnsi="Mulish"/>
        </w:rPr>
        <w:t xml:space="preserve">. </w:t>
      </w:r>
      <w:r w:rsidR="005249AC">
        <w:rPr>
          <w:rFonts w:ascii="Mulish" w:hAnsi="Mulish"/>
        </w:rPr>
        <w:t>Tampoco se ha evaluado a la SME Nueva Rula de Avilés ya que la participación del Estado en la sociedad es inferior al 50% y</w:t>
      </w:r>
      <w:r w:rsidR="00252074">
        <w:rPr>
          <w:rFonts w:ascii="Mulish" w:hAnsi="Mulish"/>
        </w:rPr>
        <w:t>,</w:t>
      </w:r>
      <w:r w:rsidR="005249AC">
        <w:rPr>
          <w:rFonts w:ascii="Mulish" w:hAnsi="Mulish"/>
        </w:rPr>
        <w:t xml:space="preserve"> finalmente, </w:t>
      </w:r>
      <w:r w:rsidR="00ED4ED1">
        <w:rPr>
          <w:rFonts w:ascii="Mulish" w:hAnsi="Mulish"/>
        </w:rPr>
        <w:t>tampoco se ha evaluado a la SME TRAGSA, dado que en 2022</w:t>
      </w:r>
      <w:r w:rsidR="00C25E98">
        <w:rPr>
          <w:rFonts w:ascii="Mulish" w:hAnsi="Mulish"/>
        </w:rPr>
        <w:t xml:space="preserve">, año en el que se había seleccionado a la SME TRAGSATEC, </w:t>
      </w:r>
      <w:r w:rsidR="00C25E98" w:rsidRPr="00C25E98">
        <w:rPr>
          <w:rFonts w:ascii="Mulish" w:hAnsi="Mulish"/>
        </w:rPr>
        <w:t>durante el proceso de evaluación se constató que TRAGSATEC compart</w:t>
      </w:r>
      <w:r w:rsidR="00C25E98">
        <w:rPr>
          <w:rFonts w:ascii="Mulish" w:hAnsi="Mulish"/>
        </w:rPr>
        <w:t>ía</w:t>
      </w:r>
      <w:r w:rsidR="00C25E98" w:rsidRPr="00C25E98">
        <w:rPr>
          <w:rFonts w:ascii="Mulish" w:hAnsi="Mulish"/>
        </w:rPr>
        <w:t xml:space="preserve"> gran parte de la estructura directiva y de gestión con TRAGSA y que el Portal de Transparencia del Grupo TRAGSA inclu</w:t>
      </w:r>
      <w:r w:rsidR="00C25E98">
        <w:rPr>
          <w:rFonts w:ascii="Mulish" w:hAnsi="Mulish"/>
        </w:rPr>
        <w:t>ía</w:t>
      </w:r>
      <w:r w:rsidR="00C25E98" w:rsidRPr="00C25E98">
        <w:rPr>
          <w:rFonts w:ascii="Mulish" w:hAnsi="Mulish"/>
        </w:rPr>
        <w:t xml:space="preserve"> informaciones relativas a las dos sociedades, por lo que se decidió evaluar al Grupo TRAGSA en su conjunto</w:t>
      </w:r>
      <w:r w:rsidR="00C25E98">
        <w:rPr>
          <w:rFonts w:ascii="Mulish" w:hAnsi="Mulish"/>
        </w:rPr>
        <w:t>.</w:t>
      </w:r>
      <w:r w:rsidR="006A6513">
        <w:rPr>
          <w:rFonts w:ascii="Mulish" w:hAnsi="Mulish"/>
        </w:rPr>
        <w:t xml:space="preserve"> </w:t>
      </w:r>
    </w:p>
    <w:p w14:paraId="32D5CDCD" w14:textId="207BB375" w:rsidR="00D24B74" w:rsidRPr="00941553" w:rsidRDefault="008F1A8D" w:rsidP="00D24B74">
      <w:pPr>
        <w:rPr>
          <w:rFonts w:ascii="Mulish" w:hAnsi="Mulish"/>
        </w:rPr>
      </w:pPr>
      <w:r>
        <w:rPr>
          <w:rFonts w:ascii="Mulish" w:hAnsi="Mulish"/>
        </w:rPr>
        <w:t>S</w:t>
      </w:r>
      <w:r w:rsidR="00D24B74" w:rsidRPr="00941553">
        <w:rPr>
          <w:rFonts w:ascii="Mulish" w:hAnsi="Mulish"/>
        </w:rPr>
        <w:t xml:space="preserve">e ha evaluado a un total de </w:t>
      </w:r>
      <w:r w:rsidR="00C25E98">
        <w:rPr>
          <w:rFonts w:ascii="Mulish" w:hAnsi="Mulish"/>
        </w:rPr>
        <w:t>12</w:t>
      </w:r>
      <w:r w:rsidR="008C4C57">
        <w:rPr>
          <w:rFonts w:ascii="Mulish" w:hAnsi="Mulish"/>
        </w:rPr>
        <w:t>8</w:t>
      </w:r>
      <w:r w:rsidR="00D24B74" w:rsidRPr="00941553">
        <w:rPr>
          <w:rFonts w:ascii="Mulish" w:hAnsi="Mulish"/>
        </w:rPr>
        <w:t xml:space="preserve"> entidades, de las cuales</w:t>
      </w:r>
      <w:r>
        <w:rPr>
          <w:rFonts w:ascii="Mulish" w:hAnsi="Mulish"/>
        </w:rPr>
        <w:t xml:space="preserve"> 73</w:t>
      </w:r>
      <w:r w:rsidR="00D24B74" w:rsidRPr="00941553">
        <w:rPr>
          <w:rFonts w:ascii="Mulish" w:hAnsi="Mulish"/>
        </w:rPr>
        <w:t xml:space="preserve"> </w:t>
      </w:r>
      <w:r>
        <w:rPr>
          <w:rFonts w:ascii="Mulish" w:hAnsi="Mulish"/>
        </w:rPr>
        <w:t xml:space="preserve">- </w:t>
      </w:r>
      <w:r w:rsidR="0053007B" w:rsidRPr="00941553">
        <w:rPr>
          <w:rFonts w:ascii="Mulish" w:hAnsi="Mulish"/>
        </w:rPr>
        <w:t xml:space="preserve">el </w:t>
      </w:r>
      <w:r>
        <w:rPr>
          <w:rFonts w:ascii="Mulish" w:hAnsi="Mulish"/>
        </w:rPr>
        <w:t>57</w:t>
      </w:r>
      <w:r w:rsidR="0053007B" w:rsidRPr="00941553">
        <w:rPr>
          <w:rFonts w:ascii="Mulish" w:hAnsi="Mulish"/>
        </w:rPr>
        <w:t>%</w:t>
      </w:r>
      <w:r w:rsidR="00D24B74" w:rsidRPr="00941553">
        <w:rPr>
          <w:rFonts w:ascii="Mulish" w:hAnsi="Mulish"/>
        </w:rPr>
        <w:t xml:space="preserve"> </w:t>
      </w:r>
      <w:r>
        <w:rPr>
          <w:rFonts w:ascii="Mulish" w:hAnsi="Mulish"/>
        </w:rPr>
        <w:t>- s</w:t>
      </w:r>
      <w:r w:rsidR="00D24B74" w:rsidRPr="00941553">
        <w:rPr>
          <w:rFonts w:ascii="Mulish" w:hAnsi="Mulish"/>
        </w:rPr>
        <w:t>on entidades evaluadas por primera vez en 202</w:t>
      </w:r>
      <w:r>
        <w:rPr>
          <w:rFonts w:ascii="Mulish" w:hAnsi="Mulish"/>
        </w:rPr>
        <w:t>4</w:t>
      </w:r>
      <w:r w:rsidR="00D24B74" w:rsidRPr="00941553">
        <w:rPr>
          <w:rFonts w:ascii="Mulish" w:hAnsi="Mulish"/>
        </w:rPr>
        <w:t>.</w:t>
      </w:r>
    </w:p>
    <w:p w14:paraId="4F4500BF" w14:textId="77777777" w:rsidR="00CE43A8" w:rsidRPr="00941553" w:rsidRDefault="00CE43A8" w:rsidP="00077CDF">
      <w:pPr>
        <w:pStyle w:val="Ttulo2"/>
        <w:rPr>
          <w:rFonts w:ascii="Mulish" w:hAnsi="Mulish"/>
        </w:rPr>
      </w:pPr>
      <w:bookmarkStart w:id="3" w:name="_Toc169082169"/>
      <w:r w:rsidRPr="00941553">
        <w:rPr>
          <w:rFonts w:ascii="Mulish" w:hAnsi="Mulish"/>
        </w:rPr>
        <w:t>II.2 Delimitación de las obligaciones de publicidad activa aplicables.</w:t>
      </w:r>
      <w:bookmarkEnd w:id="3"/>
    </w:p>
    <w:p w14:paraId="253A7FF9" w14:textId="77777777" w:rsidR="00077CDF" w:rsidRPr="00941553" w:rsidRDefault="00077CDF" w:rsidP="00CE43A8">
      <w:pPr>
        <w:rPr>
          <w:rFonts w:ascii="Mulish" w:hAnsi="Mulish"/>
        </w:rPr>
      </w:pPr>
    </w:p>
    <w:p w14:paraId="504C2C1A" w14:textId="6D0AE557" w:rsidR="00CE43A8" w:rsidRPr="00941553" w:rsidRDefault="00077CDF" w:rsidP="00CE43A8">
      <w:pPr>
        <w:rPr>
          <w:rFonts w:ascii="Mulish" w:hAnsi="Mulish"/>
        </w:rPr>
      </w:pPr>
      <w:r w:rsidRPr="00941553">
        <w:rPr>
          <w:rFonts w:ascii="Mulish" w:hAnsi="Mulish"/>
        </w:rPr>
        <w:t>E</w:t>
      </w:r>
      <w:r w:rsidR="00CE43A8" w:rsidRPr="00941553">
        <w:rPr>
          <w:rFonts w:ascii="Mulish" w:hAnsi="Mulish"/>
        </w:rPr>
        <w:t xml:space="preserve">l alcance de la evaluación se ha definido en función de las obligaciones de publicidad activa que son aplicables a </w:t>
      </w:r>
      <w:r w:rsidR="00141DBA" w:rsidRPr="00941553">
        <w:rPr>
          <w:rFonts w:ascii="Mulish" w:hAnsi="Mulish"/>
        </w:rPr>
        <w:t xml:space="preserve">los </w:t>
      </w:r>
      <w:r w:rsidR="00F8258D" w:rsidRPr="00941553">
        <w:rPr>
          <w:rFonts w:ascii="Mulish" w:hAnsi="Mulish"/>
        </w:rPr>
        <w:t>diferentes sujetos</w:t>
      </w:r>
      <w:r w:rsidR="00CE43A8" w:rsidRPr="00941553">
        <w:rPr>
          <w:rFonts w:ascii="Mulish" w:hAnsi="Mulish"/>
        </w:rPr>
        <w:t xml:space="preserve"> obligados. </w:t>
      </w:r>
      <w:r w:rsidR="00141DBA" w:rsidRPr="00941553">
        <w:rPr>
          <w:rFonts w:ascii="Mulish" w:hAnsi="Mulish"/>
        </w:rPr>
        <w:t>No todas las entidades integrantes de este grupo están sujetas a las mismas obligaciones</w:t>
      </w:r>
      <w:r w:rsidR="00F30A2C" w:rsidRPr="00941553">
        <w:rPr>
          <w:rFonts w:ascii="Mulish" w:hAnsi="Mulish"/>
        </w:rPr>
        <w:t>,</w:t>
      </w:r>
      <w:r w:rsidR="00141DBA" w:rsidRPr="00941553">
        <w:rPr>
          <w:rFonts w:ascii="Mulish" w:hAnsi="Mulish"/>
        </w:rPr>
        <w:t xml:space="preserve"> ya que</w:t>
      </w:r>
      <w:r w:rsidR="00D24B74" w:rsidRPr="00941553">
        <w:rPr>
          <w:rFonts w:ascii="Mulish" w:hAnsi="Mulish"/>
        </w:rPr>
        <w:t>,</w:t>
      </w:r>
      <w:r w:rsidR="00141DBA" w:rsidRPr="00941553">
        <w:rPr>
          <w:rFonts w:ascii="Mulish" w:hAnsi="Mulish"/>
        </w:rPr>
        <w:t xml:space="preserve"> tal y como establece la LTAIBG</w:t>
      </w:r>
      <w:r w:rsidR="00D24B74" w:rsidRPr="00941553">
        <w:rPr>
          <w:rFonts w:ascii="Mulish" w:hAnsi="Mulish"/>
        </w:rPr>
        <w:t>,</w:t>
      </w:r>
      <w:r w:rsidR="00141DBA" w:rsidRPr="00941553">
        <w:rPr>
          <w:rFonts w:ascii="Mulish" w:hAnsi="Mulish"/>
        </w:rPr>
        <w:t xml:space="preserve"> unas son consideradas por la norma administraciones públicas</w:t>
      </w:r>
      <w:r w:rsidR="00F30A2C" w:rsidRPr="00941553">
        <w:rPr>
          <w:rFonts w:ascii="Mulish" w:hAnsi="Mulish"/>
        </w:rPr>
        <w:t>,</w:t>
      </w:r>
      <w:r w:rsidR="00141DBA" w:rsidRPr="00941553">
        <w:rPr>
          <w:rFonts w:ascii="Mulish" w:hAnsi="Mulish"/>
        </w:rPr>
        <w:t xml:space="preserve"> mientras que otras no lo son. Igualmente</w:t>
      </w:r>
      <w:r w:rsidR="00F30A2C" w:rsidRPr="00941553">
        <w:rPr>
          <w:rFonts w:ascii="Mulish" w:hAnsi="Mulish"/>
        </w:rPr>
        <w:t>,</w:t>
      </w:r>
      <w:r w:rsidR="00141DBA" w:rsidRPr="00941553">
        <w:rPr>
          <w:rFonts w:ascii="Mulish" w:hAnsi="Mulish"/>
        </w:rPr>
        <w:t xml:space="preserve"> dentro de este grupo existen organizaciones cuyo presupuesto tiene carácter estimativo</w:t>
      </w:r>
      <w:r w:rsidR="00F30A2C" w:rsidRPr="00941553">
        <w:rPr>
          <w:rFonts w:ascii="Mulish" w:hAnsi="Mulish"/>
        </w:rPr>
        <w:t>,</w:t>
      </w:r>
      <w:r w:rsidR="00141DBA" w:rsidRPr="00941553">
        <w:rPr>
          <w:rFonts w:ascii="Mulish" w:hAnsi="Mulish"/>
        </w:rPr>
        <w:t xml:space="preserve"> mientras que otras tienen presupuestos de carácter limitativo.</w:t>
      </w:r>
    </w:p>
    <w:p w14:paraId="1544C793" w14:textId="77777777" w:rsidR="001D364C" w:rsidRPr="00941553" w:rsidRDefault="00CE43A8" w:rsidP="00CE43A8">
      <w:pPr>
        <w:rPr>
          <w:rFonts w:ascii="Mulish" w:hAnsi="Mulish"/>
        </w:rPr>
      </w:pPr>
      <w:r w:rsidRPr="00941553">
        <w:rPr>
          <w:rFonts w:ascii="Mulish" w:hAnsi="Mulish"/>
        </w:rPr>
        <w:t xml:space="preserve">El siguiente cuadro recoge las obligaciones de publicidad activa que son aplicables a </w:t>
      </w:r>
      <w:r w:rsidR="001D364C" w:rsidRPr="00941553">
        <w:rPr>
          <w:rFonts w:ascii="Mulish" w:hAnsi="Mulish"/>
        </w:rPr>
        <w:t>las entidades que integran este grupo</w:t>
      </w:r>
      <w:r w:rsidR="00141DBA" w:rsidRPr="00941553">
        <w:rPr>
          <w:rFonts w:ascii="Mulish" w:hAnsi="Mulish"/>
        </w:rPr>
        <w:t xml:space="preserve">, indicándose a qué tipo de organizaciones no </w:t>
      </w:r>
      <w:r w:rsidR="00D24B74" w:rsidRPr="00941553">
        <w:rPr>
          <w:rFonts w:ascii="Mulish" w:hAnsi="Mulish"/>
        </w:rPr>
        <w:t>serían de aplicación determinadas obligaciones</w:t>
      </w:r>
      <w:r w:rsidR="009417A3" w:rsidRPr="00941553">
        <w:rPr>
          <w:rFonts w:ascii="Mulish" w:hAnsi="Mulish"/>
        </w:rPr>
        <w:t>.</w:t>
      </w:r>
    </w:p>
    <w:p w14:paraId="0AA91BFC" w14:textId="77777777" w:rsidR="00563729" w:rsidRPr="00941553" w:rsidRDefault="00563729" w:rsidP="00563729">
      <w:pPr>
        <w:pStyle w:val="Descripcin"/>
        <w:keepNext/>
        <w:rPr>
          <w:rFonts w:ascii="Mulish" w:hAnsi="Mulish"/>
          <w:color w:val="325F64" w:themeColor="accent2" w:themeShade="BF"/>
          <w:sz w:val="22"/>
          <w:szCs w:val="22"/>
        </w:rPr>
      </w:pPr>
      <w:r w:rsidRPr="00941553">
        <w:rPr>
          <w:rFonts w:ascii="Mulish" w:hAnsi="Mulish"/>
          <w:color w:val="325F64" w:themeColor="accent2" w:themeShade="BF"/>
          <w:sz w:val="22"/>
          <w:szCs w:val="22"/>
        </w:rPr>
        <w:lastRenderedPageBreak/>
        <w:t xml:space="preserve">Cuadro </w:t>
      </w:r>
      <w:r w:rsidRPr="00941553">
        <w:rPr>
          <w:rFonts w:ascii="Mulish" w:hAnsi="Mulish"/>
          <w:color w:val="325F64" w:themeColor="accent2" w:themeShade="BF"/>
          <w:sz w:val="22"/>
          <w:szCs w:val="22"/>
        </w:rPr>
        <w:fldChar w:fldCharType="begin"/>
      </w:r>
      <w:r w:rsidRPr="00941553">
        <w:rPr>
          <w:rFonts w:ascii="Mulish" w:hAnsi="Mulish"/>
          <w:color w:val="325F64" w:themeColor="accent2" w:themeShade="BF"/>
          <w:sz w:val="22"/>
          <w:szCs w:val="22"/>
        </w:rPr>
        <w:instrText xml:space="preserve"> SEQ Cuadro \* ARABIC </w:instrText>
      </w:r>
      <w:r w:rsidRPr="00941553">
        <w:rPr>
          <w:rFonts w:ascii="Mulish" w:hAnsi="Mulish"/>
          <w:color w:val="325F64" w:themeColor="accent2" w:themeShade="BF"/>
          <w:sz w:val="22"/>
          <w:szCs w:val="22"/>
        </w:rPr>
        <w:fldChar w:fldCharType="separate"/>
      </w:r>
      <w:r w:rsidR="00801472" w:rsidRPr="00941553">
        <w:rPr>
          <w:rFonts w:ascii="Mulish" w:hAnsi="Mulish"/>
          <w:noProof/>
          <w:color w:val="325F64" w:themeColor="accent2" w:themeShade="BF"/>
          <w:sz w:val="22"/>
          <w:szCs w:val="22"/>
        </w:rPr>
        <w:t>1</w:t>
      </w:r>
      <w:r w:rsidRPr="00941553">
        <w:rPr>
          <w:rFonts w:ascii="Mulish" w:hAnsi="Mulish"/>
          <w:color w:val="325F64" w:themeColor="accent2" w:themeShade="BF"/>
          <w:sz w:val="22"/>
          <w:szCs w:val="22"/>
        </w:rPr>
        <w:fldChar w:fldCharType="end"/>
      </w:r>
      <w:r w:rsidRPr="00941553">
        <w:rPr>
          <w:rFonts w:ascii="Mulish" w:hAnsi="Mulish"/>
          <w:color w:val="325F64" w:themeColor="accent2" w:themeShade="BF"/>
          <w:sz w:val="22"/>
          <w:szCs w:val="22"/>
        </w:rPr>
        <w:t xml:space="preserve">: Obligaciones aplicables a las </w:t>
      </w:r>
      <w:r w:rsidR="00375B00" w:rsidRPr="00941553">
        <w:rPr>
          <w:rFonts w:ascii="Mulish" w:hAnsi="Mulish"/>
          <w:color w:val="325F64" w:themeColor="accent2" w:themeShade="BF"/>
          <w:sz w:val="22"/>
          <w:szCs w:val="22"/>
        </w:rPr>
        <w:t>entidades integrantes del Sector Público Institucional</w:t>
      </w:r>
      <w:r w:rsidRPr="00941553">
        <w:rPr>
          <w:rFonts w:ascii="Mulish" w:hAnsi="Mulish"/>
          <w:color w:val="325F64" w:themeColor="accent2" w:themeShade="BF"/>
          <w:sz w:val="22"/>
          <w:szCs w:val="22"/>
        </w:rPr>
        <w:t xml:space="preserve">. </w:t>
      </w:r>
    </w:p>
    <w:tbl>
      <w:tblPr>
        <w:tblStyle w:val="Tablaconcuadrcula2"/>
        <w:tblW w:w="9747" w:type="dxa"/>
        <w:tblBorders>
          <w:top w:val="single" w:sz="4" w:space="0" w:color="F2F2F2" w:themeColor="background1" w:themeShade="F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4769"/>
        <w:gridCol w:w="3684"/>
      </w:tblGrid>
      <w:tr w:rsidR="00141DBA" w:rsidRPr="00941553" w14:paraId="3DA7D03E" w14:textId="77777777" w:rsidTr="00E66846">
        <w:tc>
          <w:tcPr>
            <w:tcW w:w="1292" w:type="dxa"/>
            <w:tcBorders>
              <w:top w:val="single" w:sz="4" w:space="0" w:color="F2F2F2" w:themeColor="background1" w:themeShade="F2"/>
              <w:bottom w:val="single" w:sz="4" w:space="0" w:color="F2F2F2" w:themeColor="background1" w:themeShade="F2"/>
            </w:tcBorders>
            <w:shd w:val="clear" w:color="auto" w:fill="438086" w:themeFill="accent2"/>
          </w:tcPr>
          <w:p w14:paraId="14A35443" w14:textId="77777777" w:rsidR="00141DBA" w:rsidRPr="00941553" w:rsidRDefault="00141DBA" w:rsidP="001D364C">
            <w:pPr>
              <w:jc w:val="left"/>
              <w:rPr>
                <w:rFonts w:ascii="Mulish" w:hAnsi="Mulish" w:cs="Times New Roman"/>
                <w:b/>
                <w:color w:val="FFFFFF"/>
                <w:sz w:val="18"/>
                <w:szCs w:val="18"/>
              </w:rPr>
            </w:pPr>
            <w:r w:rsidRPr="00941553">
              <w:rPr>
                <w:rFonts w:ascii="Mulish" w:hAnsi="Mulish" w:cs="Times New Roman"/>
                <w:b/>
                <w:color w:val="FFFFFF"/>
                <w:sz w:val="18"/>
                <w:szCs w:val="18"/>
              </w:rPr>
              <w:t>Bloque de obligaciones</w:t>
            </w:r>
          </w:p>
        </w:tc>
        <w:tc>
          <w:tcPr>
            <w:tcW w:w="4770" w:type="dxa"/>
            <w:tcBorders>
              <w:top w:val="single" w:sz="4" w:space="0" w:color="F2F2F2" w:themeColor="background1" w:themeShade="F2"/>
              <w:bottom w:val="nil"/>
            </w:tcBorders>
            <w:shd w:val="clear" w:color="auto" w:fill="438086" w:themeFill="accent2"/>
          </w:tcPr>
          <w:p w14:paraId="58E44D47" w14:textId="77777777" w:rsidR="00141DBA" w:rsidRPr="00941553" w:rsidRDefault="00141DBA" w:rsidP="001D364C">
            <w:pPr>
              <w:jc w:val="center"/>
              <w:rPr>
                <w:rFonts w:ascii="Mulish" w:hAnsi="Mulish" w:cs="Times New Roman"/>
                <w:b/>
                <w:color w:val="FFFFFF"/>
                <w:sz w:val="18"/>
                <w:szCs w:val="18"/>
              </w:rPr>
            </w:pPr>
            <w:r w:rsidRPr="00941553">
              <w:rPr>
                <w:rFonts w:ascii="Mulish" w:hAnsi="Mulish" w:cs="Times New Roman"/>
                <w:b/>
                <w:color w:val="FFFFFF"/>
                <w:sz w:val="18"/>
                <w:szCs w:val="18"/>
              </w:rPr>
              <w:t>Obligaciones</w:t>
            </w:r>
          </w:p>
        </w:tc>
        <w:tc>
          <w:tcPr>
            <w:tcW w:w="3685" w:type="dxa"/>
            <w:tcBorders>
              <w:top w:val="single" w:sz="4" w:space="0" w:color="F2F2F2" w:themeColor="background1" w:themeShade="F2"/>
              <w:bottom w:val="nil"/>
            </w:tcBorders>
            <w:shd w:val="clear" w:color="auto" w:fill="438086" w:themeFill="accent2"/>
          </w:tcPr>
          <w:p w14:paraId="49758CCF" w14:textId="77777777" w:rsidR="00141DBA" w:rsidRPr="00941553" w:rsidRDefault="00141DBA" w:rsidP="001D364C">
            <w:pPr>
              <w:jc w:val="center"/>
              <w:rPr>
                <w:rFonts w:ascii="Mulish" w:hAnsi="Mulish" w:cs="Times New Roman"/>
                <w:b/>
                <w:color w:val="FFFFFF"/>
                <w:sz w:val="18"/>
                <w:szCs w:val="18"/>
              </w:rPr>
            </w:pPr>
            <w:r w:rsidRPr="00941553">
              <w:rPr>
                <w:rFonts w:ascii="Mulish" w:hAnsi="Mulish" w:cs="Times New Roman"/>
                <w:b/>
                <w:color w:val="FFFFFF"/>
                <w:sz w:val="18"/>
                <w:szCs w:val="18"/>
              </w:rPr>
              <w:t>Obligación no aplicable</w:t>
            </w:r>
          </w:p>
        </w:tc>
      </w:tr>
      <w:tr w:rsidR="00141DBA" w:rsidRPr="00941553" w14:paraId="1C931D4A" w14:textId="77777777" w:rsidTr="00E66846">
        <w:tc>
          <w:tcPr>
            <w:tcW w:w="1292"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14:paraId="69ECBBB4" w14:textId="77777777" w:rsidR="00141DBA" w:rsidRPr="00941553" w:rsidRDefault="00141DBA" w:rsidP="001D364C">
            <w:pPr>
              <w:ind w:left="113" w:right="113"/>
              <w:jc w:val="center"/>
              <w:rPr>
                <w:rFonts w:ascii="Mulish" w:hAnsi="Mulish" w:cs="Times New Roman"/>
                <w:b/>
                <w:color w:val="FFFFFF"/>
                <w:sz w:val="18"/>
                <w:szCs w:val="18"/>
              </w:rPr>
            </w:pPr>
            <w:r w:rsidRPr="00941553">
              <w:rPr>
                <w:rFonts w:ascii="Mulish" w:hAnsi="Mulish" w:cs="Times New Roman"/>
                <w:b/>
                <w:color w:val="FFFFFF"/>
                <w:sz w:val="18"/>
                <w:szCs w:val="18"/>
              </w:rPr>
              <w:t>Institucional, Organizativa y de Planificación. Registro de Actividades de Tratamiento</w:t>
            </w:r>
          </w:p>
        </w:tc>
        <w:tc>
          <w:tcPr>
            <w:tcW w:w="4770" w:type="dxa"/>
            <w:tcBorders>
              <w:top w:val="nil"/>
              <w:right w:val="single" w:sz="4" w:space="0" w:color="406E8C" w:themeColor="accent6" w:themeShade="BF"/>
            </w:tcBorders>
          </w:tcPr>
          <w:p w14:paraId="39E9D8C9"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Normativa aplicable</w:t>
            </w:r>
          </w:p>
        </w:tc>
        <w:tc>
          <w:tcPr>
            <w:tcW w:w="3685" w:type="dxa"/>
            <w:tcBorders>
              <w:top w:val="nil"/>
              <w:right w:val="single" w:sz="4" w:space="0" w:color="406E8C" w:themeColor="accent6" w:themeShade="BF"/>
            </w:tcBorders>
          </w:tcPr>
          <w:p w14:paraId="5B2E5C2D" w14:textId="77777777" w:rsidR="00141DBA" w:rsidRPr="00941553" w:rsidRDefault="00141DBA" w:rsidP="001D364C">
            <w:pPr>
              <w:jc w:val="left"/>
              <w:rPr>
                <w:rFonts w:ascii="Mulish" w:hAnsi="Mulish" w:cs="Times New Roman"/>
                <w:sz w:val="18"/>
                <w:szCs w:val="18"/>
              </w:rPr>
            </w:pPr>
          </w:p>
        </w:tc>
      </w:tr>
      <w:tr w:rsidR="00141DBA" w:rsidRPr="00941553" w14:paraId="6583DE7F"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52D76BC9"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2D4ED7EF"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Funciones</w:t>
            </w:r>
          </w:p>
        </w:tc>
        <w:tc>
          <w:tcPr>
            <w:tcW w:w="3685" w:type="dxa"/>
            <w:tcBorders>
              <w:top w:val="nil"/>
              <w:right w:val="single" w:sz="4" w:space="0" w:color="406E8C" w:themeColor="accent6" w:themeShade="BF"/>
            </w:tcBorders>
          </w:tcPr>
          <w:p w14:paraId="44BEC477" w14:textId="77777777" w:rsidR="00141DBA" w:rsidRPr="00941553" w:rsidRDefault="00141DBA" w:rsidP="001D364C">
            <w:pPr>
              <w:jc w:val="left"/>
              <w:rPr>
                <w:rFonts w:ascii="Mulish" w:hAnsi="Mulish" w:cs="Times New Roman"/>
                <w:sz w:val="18"/>
                <w:szCs w:val="18"/>
              </w:rPr>
            </w:pPr>
          </w:p>
        </w:tc>
      </w:tr>
      <w:tr w:rsidR="00141DBA" w:rsidRPr="00941553" w14:paraId="18499CE3"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0EFBA31A"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66ACE4AD"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Registro de Actividades de Tratamiento</w:t>
            </w:r>
          </w:p>
        </w:tc>
        <w:tc>
          <w:tcPr>
            <w:tcW w:w="3685" w:type="dxa"/>
            <w:tcBorders>
              <w:top w:val="nil"/>
              <w:right w:val="single" w:sz="4" w:space="0" w:color="406E8C" w:themeColor="accent6" w:themeShade="BF"/>
            </w:tcBorders>
          </w:tcPr>
          <w:p w14:paraId="11CD9E96" w14:textId="77777777" w:rsidR="00141DBA" w:rsidRPr="00941553" w:rsidRDefault="00141DBA" w:rsidP="00141DBA">
            <w:pPr>
              <w:jc w:val="left"/>
              <w:rPr>
                <w:rFonts w:ascii="Mulish" w:hAnsi="Mulish" w:cs="Times New Roman"/>
                <w:sz w:val="18"/>
                <w:szCs w:val="18"/>
              </w:rPr>
            </w:pPr>
            <w:r w:rsidRPr="00941553">
              <w:rPr>
                <w:rFonts w:ascii="Mulish" w:hAnsi="Mulish" w:cs="Times New Roman"/>
                <w:sz w:val="18"/>
                <w:szCs w:val="18"/>
              </w:rPr>
              <w:t xml:space="preserve">Mutuas </w:t>
            </w:r>
          </w:p>
        </w:tc>
      </w:tr>
      <w:tr w:rsidR="00141DBA" w:rsidRPr="00941553" w14:paraId="5EB30113"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5B147360"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3A9B0B95"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Descripción estructura organizativa</w:t>
            </w:r>
          </w:p>
        </w:tc>
        <w:tc>
          <w:tcPr>
            <w:tcW w:w="3685" w:type="dxa"/>
            <w:tcBorders>
              <w:top w:val="nil"/>
              <w:right w:val="single" w:sz="4" w:space="0" w:color="406E8C" w:themeColor="accent6" w:themeShade="BF"/>
            </w:tcBorders>
          </w:tcPr>
          <w:p w14:paraId="69182792" w14:textId="77777777" w:rsidR="00141DBA" w:rsidRPr="00941553" w:rsidRDefault="00141DBA" w:rsidP="001D364C">
            <w:pPr>
              <w:jc w:val="left"/>
              <w:rPr>
                <w:rFonts w:ascii="Mulish" w:hAnsi="Mulish" w:cs="Times New Roman"/>
                <w:sz w:val="18"/>
                <w:szCs w:val="18"/>
              </w:rPr>
            </w:pPr>
          </w:p>
        </w:tc>
      </w:tr>
      <w:tr w:rsidR="00141DBA" w:rsidRPr="00941553" w14:paraId="1590E556"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143D2B78"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09B94DD9"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Organigrama</w:t>
            </w:r>
          </w:p>
        </w:tc>
        <w:tc>
          <w:tcPr>
            <w:tcW w:w="3685" w:type="dxa"/>
            <w:tcBorders>
              <w:top w:val="nil"/>
              <w:right w:val="single" w:sz="4" w:space="0" w:color="406E8C" w:themeColor="accent6" w:themeShade="BF"/>
            </w:tcBorders>
          </w:tcPr>
          <w:p w14:paraId="24EC3A9A" w14:textId="77777777" w:rsidR="00141DBA" w:rsidRPr="00941553" w:rsidRDefault="00141DBA" w:rsidP="001D364C">
            <w:pPr>
              <w:jc w:val="left"/>
              <w:rPr>
                <w:rFonts w:ascii="Mulish" w:hAnsi="Mulish" w:cs="Times New Roman"/>
                <w:sz w:val="18"/>
                <w:szCs w:val="18"/>
              </w:rPr>
            </w:pPr>
          </w:p>
        </w:tc>
      </w:tr>
      <w:tr w:rsidR="00141DBA" w:rsidRPr="00941553" w14:paraId="2476078B"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72BAE157"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0663C34A"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Identificación Responsables</w:t>
            </w:r>
          </w:p>
        </w:tc>
        <w:tc>
          <w:tcPr>
            <w:tcW w:w="3685" w:type="dxa"/>
            <w:tcBorders>
              <w:top w:val="nil"/>
              <w:right w:val="single" w:sz="4" w:space="0" w:color="406E8C" w:themeColor="accent6" w:themeShade="BF"/>
            </w:tcBorders>
          </w:tcPr>
          <w:p w14:paraId="3C47AAF3" w14:textId="77777777" w:rsidR="00141DBA" w:rsidRPr="00941553" w:rsidRDefault="00141DBA" w:rsidP="001D364C">
            <w:pPr>
              <w:jc w:val="left"/>
              <w:rPr>
                <w:rFonts w:ascii="Mulish" w:hAnsi="Mulish" w:cs="Times New Roman"/>
                <w:sz w:val="18"/>
                <w:szCs w:val="18"/>
              </w:rPr>
            </w:pPr>
          </w:p>
        </w:tc>
      </w:tr>
      <w:tr w:rsidR="00141DBA" w:rsidRPr="00941553" w14:paraId="01D55B48"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5F0C1C1D"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6E9F5C59" w14:textId="40FFAE14" w:rsidR="00141DBA" w:rsidRPr="00941553" w:rsidRDefault="002D1782" w:rsidP="001D364C">
            <w:pPr>
              <w:jc w:val="left"/>
              <w:rPr>
                <w:rFonts w:ascii="Mulish" w:hAnsi="Mulish" w:cs="Times New Roman"/>
                <w:sz w:val="18"/>
                <w:szCs w:val="18"/>
              </w:rPr>
            </w:pPr>
            <w:r w:rsidRPr="00941553">
              <w:rPr>
                <w:rFonts w:ascii="Mulish" w:hAnsi="Mulish" w:cs="Times New Roman"/>
                <w:noProof/>
                <w:sz w:val="18"/>
                <w:szCs w:val="18"/>
              </w:rPr>
              <mc:AlternateContent>
                <mc:Choice Requires="wps">
                  <w:drawing>
                    <wp:anchor distT="0" distB="0" distL="114300" distR="114300" simplePos="0" relativeHeight="251657216" behindDoc="0" locked="0" layoutInCell="1" allowOverlap="1" wp14:anchorId="424B3F1D" wp14:editId="1D7D17C0">
                      <wp:simplePos x="0" y="0"/>
                      <wp:positionH relativeFrom="column">
                        <wp:posOffset>2836545</wp:posOffset>
                      </wp:positionH>
                      <wp:positionV relativeFrom="paragraph">
                        <wp:posOffset>106680</wp:posOffset>
                      </wp:positionV>
                      <wp:extent cx="190500" cy="552450"/>
                      <wp:effectExtent l="0" t="0" r="19050" b="19050"/>
                      <wp:wrapNone/>
                      <wp:docPr id="9" name="9 Abrir llave"/>
                      <wp:cNvGraphicFramePr/>
                      <a:graphic xmlns:a="http://schemas.openxmlformats.org/drawingml/2006/main">
                        <a:graphicData uri="http://schemas.microsoft.com/office/word/2010/wordprocessingShape">
                          <wps:wsp>
                            <wps:cNvSpPr/>
                            <wps:spPr>
                              <a:xfrm>
                                <a:off x="0" y="0"/>
                                <a:ext cx="190500" cy="552450"/>
                              </a:xfrm>
                              <a:prstGeom prst="lef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A885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9 Abrir llave" o:spid="_x0000_s1026" type="#_x0000_t87" style="position:absolute;margin-left:223.35pt;margin-top:8.4pt;width:15pt;height:4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" adj="621" strokecolor="#406e8c [2409]"/>
                  </w:pict>
                </mc:Fallback>
              </mc:AlternateContent>
            </w:r>
            <w:r w:rsidR="00141DBA" w:rsidRPr="00941553">
              <w:rPr>
                <w:rFonts w:ascii="Mulish" w:hAnsi="Mulish" w:cs="Times New Roman"/>
                <w:sz w:val="18"/>
                <w:szCs w:val="18"/>
              </w:rPr>
              <w:t>Perfil y trayectoria profesional responsables</w:t>
            </w:r>
          </w:p>
        </w:tc>
        <w:tc>
          <w:tcPr>
            <w:tcW w:w="3685" w:type="dxa"/>
            <w:tcBorders>
              <w:top w:val="nil"/>
              <w:right w:val="single" w:sz="4" w:space="0" w:color="406E8C" w:themeColor="accent6" w:themeShade="BF"/>
            </w:tcBorders>
          </w:tcPr>
          <w:p w14:paraId="72A6BE09" w14:textId="77777777" w:rsidR="002F4D73" w:rsidRPr="00941553" w:rsidRDefault="002F4D73" w:rsidP="001D364C">
            <w:pPr>
              <w:jc w:val="left"/>
              <w:rPr>
                <w:rFonts w:ascii="Mulish" w:hAnsi="Mulish" w:cs="Times New Roman"/>
                <w:sz w:val="18"/>
                <w:szCs w:val="18"/>
              </w:rPr>
            </w:pPr>
          </w:p>
        </w:tc>
      </w:tr>
      <w:tr w:rsidR="00141DBA" w:rsidRPr="00941553" w14:paraId="10237B31"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711B7DF2"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46BB8DE0"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 xml:space="preserve">Planes y Programas </w:t>
            </w:r>
          </w:p>
        </w:tc>
        <w:tc>
          <w:tcPr>
            <w:tcW w:w="3685" w:type="dxa"/>
            <w:tcBorders>
              <w:top w:val="nil"/>
              <w:right w:val="single" w:sz="4" w:space="0" w:color="406E8C" w:themeColor="accent6" w:themeShade="BF"/>
            </w:tcBorders>
          </w:tcPr>
          <w:p w14:paraId="243E9694" w14:textId="77777777" w:rsidR="00141DBA" w:rsidRPr="00941553" w:rsidRDefault="002F4D73" w:rsidP="002F4D73">
            <w:pPr>
              <w:jc w:val="left"/>
              <w:rPr>
                <w:rFonts w:ascii="Mulish" w:hAnsi="Mulish" w:cs="Times New Roman"/>
                <w:sz w:val="18"/>
                <w:szCs w:val="18"/>
              </w:rPr>
            </w:pPr>
            <w:r w:rsidRPr="00941553">
              <w:rPr>
                <w:rFonts w:ascii="Mulish" w:hAnsi="Mulish" w:cs="Times New Roman"/>
                <w:sz w:val="18"/>
                <w:szCs w:val="18"/>
              </w:rPr>
              <w:t xml:space="preserve"> Fundaciones Públicas</w:t>
            </w:r>
          </w:p>
        </w:tc>
      </w:tr>
      <w:tr w:rsidR="00141DBA" w:rsidRPr="00941553" w14:paraId="07A0CEF4" w14:textId="77777777" w:rsidTr="00E66846">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3C39CEF5"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bottom w:val="nil"/>
              <w:right w:val="single" w:sz="4" w:space="0" w:color="406E8C" w:themeColor="accent6" w:themeShade="BF"/>
            </w:tcBorders>
          </w:tcPr>
          <w:p w14:paraId="10C563C6" w14:textId="1351B7AA"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Grado de cumplimiento y resultados</w:t>
            </w:r>
          </w:p>
        </w:tc>
        <w:tc>
          <w:tcPr>
            <w:tcW w:w="3685" w:type="dxa"/>
            <w:tcBorders>
              <w:top w:val="nil"/>
              <w:bottom w:val="nil"/>
              <w:right w:val="single" w:sz="4" w:space="0" w:color="406E8C" w:themeColor="accent6" w:themeShade="BF"/>
            </w:tcBorders>
          </w:tcPr>
          <w:p w14:paraId="7F916370" w14:textId="77777777" w:rsidR="00141DBA" w:rsidRPr="00941553" w:rsidRDefault="002F4D73" w:rsidP="001D364C">
            <w:pPr>
              <w:jc w:val="left"/>
              <w:rPr>
                <w:rFonts w:ascii="Mulish" w:hAnsi="Mulish" w:cs="Times New Roman"/>
                <w:sz w:val="18"/>
                <w:szCs w:val="18"/>
              </w:rPr>
            </w:pPr>
            <w:r w:rsidRPr="00941553">
              <w:rPr>
                <w:rFonts w:ascii="Mulish" w:hAnsi="Mulish" w:cs="Times New Roman"/>
                <w:sz w:val="18"/>
                <w:szCs w:val="18"/>
              </w:rPr>
              <w:t xml:space="preserve"> Sociedades Mercantiles</w:t>
            </w:r>
          </w:p>
        </w:tc>
      </w:tr>
      <w:tr w:rsidR="00141DBA" w:rsidRPr="00941553" w14:paraId="0A8ECD03" w14:textId="77777777" w:rsidTr="00E66846">
        <w:trPr>
          <w:trHeight w:val="381"/>
        </w:trPr>
        <w:tc>
          <w:tcPr>
            <w:tcW w:w="1292"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14:paraId="3F302581"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bottom w:val="single" w:sz="4" w:space="0" w:color="406E8C" w:themeColor="accent6" w:themeShade="BF"/>
              <w:right w:val="single" w:sz="4" w:space="0" w:color="406E8C" w:themeColor="accent6" w:themeShade="BF"/>
            </w:tcBorders>
          </w:tcPr>
          <w:p w14:paraId="351BAEEA"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Indicadores de medida y valoración</w:t>
            </w:r>
          </w:p>
        </w:tc>
        <w:tc>
          <w:tcPr>
            <w:tcW w:w="3685" w:type="dxa"/>
            <w:tcBorders>
              <w:top w:val="nil"/>
              <w:bottom w:val="single" w:sz="4" w:space="0" w:color="406E8C" w:themeColor="accent6" w:themeShade="BF"/>
              <w:right w:val="single" w:sz="4" w:space="0" w:color="406E8C" w:themeColor="accent6" w:themeShade="BF"/>
            </w:tcBorders>
          </w:tcPr>
          <w:p w14:paraId="021213D0" w14:textId="77777777" w:rsidR="00141DBA" w:rsidRPr="00941553" w:rsidRDefault="00141DBA" w:rsidP="001D364C">
            <w:pPr>
              <w:jc w:val="left"/>
              <w:rPr>
                <w:rFonts w:ascii="Mulish" w:hAnsi="Mulish" w:cs="Times New Roman"/>
                <w:sz w:val="18"/>
                <w:szCs w:val="18"/>
              </w:rPr>
            </w:pPr>
          </w:p>
        </w:tc>
      </w:tr>
      <w:tr w:rsidR="00141DBA" w:rsidRPr="00941553" w14:paraId="1F8A306A" w14:textId="77777777" w:rsidTr="00E66846">
        <w:trPr>
          <w:trHeight w:val="1455"/>
        </w:trPr>
        <w:tc>
          <w:tcPr>
            <w:tcW w:w="1292"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14:paraId="235B9348" w14:textId="77777777" w:rsidR="00141DBA" w:rsidRPr="00941553" w:rsidRDefault="00141DBA" w:rsidP="001D364C">
            <w:pPr>
              <w:ind w:left="113" w:right="113"/>
              <w:jc w:val="center"/>
              <w:rPr>
                <w:rFonts w:ascii="Mulish" w:hAnsi="Mulish" w:cs="Times New Roman"/>
                <w:b/>
                <w:color w:val="FFFFFF"/>
                <w:sz w:val="18"/>
                <w:szCs w:val="18"/>
              </w:rPr>
            </w:pPr>
            <w:r w:rsidRPr="00941553">
              <w:rPr>
                <w:rFonts w:ascii="Mulish" w:hAnsi="Mulish" w:cs="Times New Roman"/>
                <w:b/>
                <w:color w:val="FFFFFF"/>
                <w:sz w:val="18"/>
                <w:szCs w:val="18"/>
              </w:rPr>
              <w:t>Relevancia Jurídica</w:t>
            </w:r>
          </w:p>
        </w:tc>
        <w:tc>
          <w:tcPr>
            <w:tcW w:w="4770" w:type="dxa"/>
            <w:tcBorders>
              <w:top w:val="single" w:sz="4" w:space="0" w:color="406E8C" w:themeColor="accent6" w:themeShade="BF"/>
              <w:bottom w:val="single" w:sz="4" w:space="0" w:color="406E8C" w:themeColor="accent6" w:themeShade="BF"/>
              <w:right w:val="single" w:sz="4" w:space="0" w:color="406E8C" w:themeColor="accent6" w:themeShade="BF"/>
            </w:tcBorders>
            <w:vAlign w:val="center"/>
          </w:tcPr>
          <w:p w14:paraId="0B2DFB8E"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Directrices, instrucciones, acuerdos, circulares o respuestas a consultas</w:t>
            </w:r>
          </w:p>
          <w:p w14:paraId="7E1828F9" w14:textId="77777777" w:rsidR="002F4D73" w:rsidRPr="00941553" w:rsidRDefault="002F4D73" w:rsidP="001D364C">
            <w:pPr>
              <w:jc w:val="left"/>
              <w:rPr>
                <w:rFonts w:ascii="Mulish" w:hAnsi="Mulish" w:cs="Times New Roman"/>
                <w:sz w:val="18"/>
                <w:szCs w:val="18"/>
              </w:rPr>
            </w:pPr>
          </w:p>
          <w:p w14:paraId="7FE8CB5B" w14:textId="77777777" w:rsidR="002F4D73" w:rsidRPr="00941553" w:rsidRDefault="002F4D73" w:rsidP="001D364C">
            <w:pPr>
              <w:jc w:val="left"/>
              <w:rPr>
                <w:rFonts w:ascii="Mulish" w:hAnsi="Mulish" w:cs="Times New Roman"/>
                <w:sz w:val="18"/>
                <w:szCs w:val="18"/>
              </w:rPr>
            </w:pPr>
            <w:r w:rsidRPr="00941553">
              <w:rPr>
                <w:rFonts w:ascii="Mulish" w:hAnsi="Mulish" w:cs="Times New Roman"/>
                <w:sz w:val="18"/>
                <w:szCs w:val="18"/>
              </w:rPr>
              <w:t>Documentos sometidos a información pública durante su tramitación (según legislación sectorial)</w:t>
            </w:r>
          </w:p>
        </w:tc>
        <w:tc>
          <w:tcPr>
            <w:tcW w:w="3685" w:type="dxa"/>
            <w:tcBorders>
              <w:top w:val="single" w:sz="4" w:space="0" w:color="406E8C" w:themeColor="accent6" w:themeShade="BF"/>
              <w:bottom w:val="single" w:sz="4" w:space="0" w:color="406E8C" w:themeColor="accent6" w:themeShade="BF"/>
              <w:right w:val="single" w:sz="4" w:space="0" w:color="406E8C" w:themeColor="accent6" w:themeShade="BF"/>
            </w:tcBorders>
          </w:tcPr>
          <w:p w14:paraId="20CE6410" w14:textId="77777777" w:rsidR="00141DBA" w:rsidRPr="00941553" w:rsidRDefault="002F4D73" w:rsidP="001D364C">
            <w:pPr>
              <w:jc w:val="left"/>
              <w:rPr>
                <w:rFonts w:ascii="Mulish" w:hAnsi="Mulish" w:cs="Times New Roman"/>
                <w:sz w:val="18"/>
                <w:szCs w:val="18"/>
              </w:rPr>
            </w:pPr>
            <w:r w:rsidRPr="00941553">
              <w:rPr>
                <w:rFonts w:ascii="Mulish" w:hAnsi="Mulish" w:cs="Times New Roman"/>
                <w:sz w:val="18"/>
                <w:szCs w:val="18"/>
              </w:rPr>
              <w:t>Fundaciones Públicas</w:t>
            </w:r>
          </w:p>
          <w:p w14:paraId="28E172FC" w14:textId="77777777" w:rsidR="002F4D73" w:rsidRPr="00941553" w:rsidRDefault="00196E57" w:rsidP="001D364C">
            <w:pPr>
              <w:jc w:val="left"/>
              <w:rPr>
                <w:rFonts w:ascii="Mulish" w:hAnsi="Mulish" w:cs="Times New Roman"/>
                <w:sz w:val="18"/>
                <w:szCs w:val="18"/>
              </w:rPr>
            </w:pPr>
            <w:r w:rsidRPr="00941553">
              <w:rPr>
                <w:rFonts w:ascii="Mulish" w:hAnsi="Mulish" w:cs="Times New Roman"/>
                <w:sz w:val="18"/>
                <w:szCs w:val="18"/>
              </w:rPr>
              <w:t>Sociedades Mercantiles</w:t>
            </w:r>
          </w:p>
          <w:p w14:paraId="6C04F7B9" w14:textId="77777777" w:rsidR="00D24B74" w:rsidRPr="00941553" w:rsidRDefault="00D24B74" w:rsidP="001D364C">
            <w:pPr>
              <w:jc w:val="left"/>
              <w:rPr>
                <w:rFonts w:ascii="Mulish" w:hAnsi="Mulish" w:cs="Times New Roman"/>
                <w:sz w:val="18"/>
                <w:szCs w:val="18"/>
              </w:rPr>
            </w:pPr>
            <w:r w:rsidRPr="00941553">
              <w:rPr>
                <w:rFonts w:ascii="Mulish" w:hAnsi="Mulish" w:cs="Times New Roman"/>
                <w:sz w:val="18"/>
                <w:szCs w:val="18"/>
              </w:rPr>
              <w:t>Mutuas de Accidentes de Trabajo y Enfermedades Profesionales</w:t>
            </w:r>
          </w:p>
          <w:p w14:paraId="15A06DAB" w14:textId="77777777" w:rsidR="002F4D73" w:rsidRPr="00941553" w:rsidRDefault="002F4D73" w:rsidP="001D364C">
            <w:pPr>
              <w:jc w:val="left"/>
              <w:rPr>
                <w:rFonts w:ascii="Mulish" w:hAnsi="Mulish" w:cs="Times New Roman"/>
                <w:sz w:val="18"/>
                <w:szCs w:val="18"/>
              </w:rPr>
            </w:pPr>
          </w:p>
          <w:p w14:paraId="469BFD88" w14:textId="77777777" w:rsidR="002F4D73" w:rsidRPr="00941553" w:rsidRDefault="002F4D73" w:rsidP="001D364C">
            <w:pPr>
              <w:jc w:val="left"/>
              <w:rPr>
                <w:rFonts w:ascii="Mulish" w:hAnsi="Mulish" w:cs="Times New Roman"/>
                <w:sz w:val="18"/>
                <w:szCs w:val="18"/>
              </w:rPr>
            </w:pPr>
            <w:r w:rsidRPr="00941553">
              <w:rPr>
                <w:rFonts w:ascii="Mulish" w:hAnsi="Mulish" w:cs="Times New Roman"/>
                <w:sz w:val="18"/>
                <w:szCs w:val="18"/>
              </w:rPr>
              <w:t>Fundaciones Públicas</w:t>
            </w:r>
          </w:p>
          <w:p w14:paraId="695A1E06" w14:textId="77777777" w:rsidR="00196E57" w:rsidRPr="00941553" w:rsidRDefault="00196E57" w:rsidP="001D364C">
            <w:pPr>
              <w:jc w:val="left"/>
              <w:rPr>
                <w:rFonts w:ascii="Mulish" w:hAnsi="Mulish" w:cs="Times New Roman"/>
                <w:sz w:val="18"/>
                <w:szCs w:val="18"/>
              </w:rPr>
            </w:pPr>
            <w:r w:rsidRPr="00941553">
              <w:rPr>
                <w:rFonts w:ascii="Mulish" w:hAnsi="Mulish" w:cs="Times New Roman"/>
                <w:sz w:val="18"/>
                <w:szCs w:val="18"/>
              </w:rPr>
              <w:t>Sociedades Mercantiles</w:t>
            </w:r>
          </w:p>
          <w:p w14:paraId="413EC14B" w14:textId="77777777" w:rsidR="00D24B74" w:rsidRPr="00941553" w:rsidRDefault="00D24B74" w:rsidP="001D364C">
            <w:pPr>
              <w:jc w:val="left"/>
              <w:rPr>
                <w:rFonts w:ascii="Mulish" w:hAnsi="Mulish" w:cs="Times New Roman"/>
                <w:sz w:val="18"/>
                <w:szCs w:val="18"/>
              </w:rPr>
            </w:pPr>
            <w:r w:rsidRPr="00941553">
              <w:rPr>
                <w:rFonts w:ascii="Mulish" w:hAnsi="Mulish" w:cs="Times New Roman"/>
                <w:sz w:val="18"/>
                <w:szCs w:val="18"/>
              </w:rPr>
              <w:t>Mutuas de Accidentes de Trabajo y Enfermedades Profesionales</w:t>
            </w:r>
          </w:p>
        </w:tc>
      </w:tr>
      <w:tr w:rsidR="00141DBA" w:rsidRPr="00941553" w14:paraId="54147594" w14:textId="77777777" w:rsidTr="00E66846">
        <w:tc>
          <w:tcPr>
            <w:tcW w:w="1292" w:type="dxa"/>
            <w:vMerge w:val="restart"/>
            <w:tcBorders>
              <w:top w:val="nil"/>
              <w:bottom w:val="single" w:sz="4" w:space="0" w:color="F2F2F2" w:themeColor="background1" w:themeShade="F2"/>
            </w:tcBorders>
            <w:shd w:val="clear" w:color="auto" w:fill="438086" w:themeFill="accent2"/>
            <w:textDirection w:val="btLr"/>
          </w:tcPr>
          <w:p w14:paraId="13702801" w14:textId="77777777" w:rsidR="00141DBA" w:rsidRPr="00941553" w:rsidRDefault="00141DBA" w:rsidP="001D364C">
            <w:pPr>
              <w:ind w:left="113" w:right="113"/>
              <w:jc w:val="center"/>
              <w:rPr>
                <w:rFonts w:ascii="Mulish" w:hAnsi="Mulish" w:cs="Times New Roman"/>
                <w:b/>
                <w:color w:val="FFFFFF"/>
                <w:sz w:val="18"/>
                <w:szCs w:val="18"/>
              </w:rPr>
            </w:pPr>
            <w:r w:rsidRPr="00941553">
              <w:rPr>
                <w:rFonts w:ascii="Mulish" w:hAnsi="Mulish" w:cs="Times New Roman"/>
                <w:b/>
                <w:color w:val="FFFFFF"/>
                <w:sz w:val="18"/>
                <w:szCs w:val="18"/>
              </w:rPr>
              <w:t>Económica, Presupuestaria y Estadística</w:t>
            </w:r>
          </w:p>
        </w:tc>
        <w:tc>
          <w:tcPr>
            <w:tcW w:w="4770" w:type="dxa"/>
            <w:tcBorders>
              <w:top w:val="single" w:sz="4" w:space="0" w:color="406E8C" w:themeColor="accent6" w:themeShade="BF"/>
              <w:right w:val="single" w:sz="4" w:space="0" w:color="406E8C" w:themeColor="accent6" w:themeShade="BF"/>
            </w:tcBorders>
          </w:tcPr>
          <w:p w14:paraId="50BB6B81"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 xml:space="preserve">Contratos </w:t>
            </w:r>
          </w:p>
        </w:tc>
        <w:tc>
          <w:tcPr>
            <w:tcW w:w="3685" w:type="dxa"/>
            <w:tcBorders>
              <w:top w:val="single" w:sz="4" w:space="0" w:color="406E8C" w:themeColor="accent6" w:themeShade="BF"/>
              <w:right w:val="single" w:sz="4" w:space="0" w:color="406E8C" w:themeColor="accent6" w:themeShade="BF"/>
            </w:tcBorders>
          </w:tcPr>
          <w:p w14:paraId="41181618" w14:textId="77777777" w:rsidR="00141DBA" w:rsidRPr="00941553" w:rsidRDefault="00141DBA" w:rsidP="001D364C">
            <w:pPr>
              <w:jc w:val="left"/>
              <w:rPr>
                <w:rFonts w:ascii="Mulish" w:hAnsi="Mulish" w:cs="Times New Roman"/>
                <w:sz w:val="18"/>
                <w:szCs w:val="18"/>
              </w:rPr>
            </w:pPr>
          </w:p>
        </w:tc>
      </w:tr>
      <w:tr w:rsidR="00141DBA" w:rsidRPr="00941553" w14:paraId="7BC61A2A" w14:textId="77777777" w:rsidTr="00E66846">
        <w:tc>
          <w:tcPr>
            <w:tcW w:w="1292" w:type="dxa"/>
            <w:vMerge/>
            <w:tcBorders>
              <w:top w:val="nil"/>
              <w:bottom w:val="single" w:sz="4" w:space="0" w:color="F2F2F2" w:themeColor="background1" w:themeShade="F2"/>
            </w:tcBorders>
            <w:shd w:val="clear" w:color="auto" w:fill="438086" w:themeFill="accent2"/>
          </w:tcPr>
          <w:p w14:paraId="2FEF86F5"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131936D4"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 xml:space="preserve">Modificaciones  de contratos </w:t>
            </w:r>
          </w:p>
        </w:tc>
        <w:tc>
          <w:tcPr>
            <w:tcW w:w="3685" w:type="dxa"/>
            <w:tcBorders>
              <w:top w:val="nil"/>
              <w:right w:val="single" w:sz="4" w:space="0" w:color="406E8C" w:themeColor="accent6" w:themeShade="BF"/>
            </w:tcBorders>
          </w:tcPr>
          <w:p w14:paraId="495923FA" w14:textId="77777777" w:rsidR="00141DBA" w:rsidRPr="00941553" w:rsidRDefault="00141DBA" w:rsidP="001D364C">
            <w:pPr>
              <w:jc w:val="left"/>
              <w:rPr>
                <w:rFonts w:ascii="Mulish" w:hAnsi="Mulish" w:cs="Times New Roman"/>
                <w:sz w:val="18"/>
                <w:szCs w:val="18"/>
              </w:rPr>
            </w:pPr>
          </w:p>
        </w:tc>
      </w:tr>
      <w:tr w:rsidR="00141DBA" w:rsidRPr="00941553" w14:paraId="4F2EA493" w14:textId="77777777" w:rsidTr="00E66846">
        <w:tc>
          <w:tcPr>
            <w:tcW w:w="1292" w:type="dxa"/>
            <w:vMerge/>
            <w:tcBorders>
              <w:top w:val="nil"/>
              <w:bottom w:val="single" w:sz="4" w:space="0" w:color="F2F2F2" w:themeColor="background1" w:themeShade="F2"/>
            </w:tcBorders>
            <w:shd w:val="clear" w:color="auto" w:fill="438086" w:themeFill="accent2"/>
          </w:tcPr>
          <w:p w14:paraId="79E6B01F"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21FF80A3"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 xml:space="preserve">Desistimientos y Renuncias </w:t>
            </w:r>
          </w:p>
        </w:tc>
        <w:tc>
          <w:tcPr>
            <w:tcW w:w="3685" w:type="dxa"/>
            <w:tcBorders>
              <w:top w:val="nil"/>
              <w:right w:val="single" w:sz="4" w:space="0" w:color="406E8C" w:themeColor="accent6" w:themeShade="BF"/>
            </w:tcBorders>
          </w:tcPr>
          <w:p w14:paraId="61F6ABEE" w14:textId="77777777" w:rsidR="00141DBA" w:rsidRPr="00941553" w:rsidRDefault="00141DBA" w:rsidP="001D364C">
            <w:pPr>
              <w:jc w:val="left"/>
              <w:rPr>
                <w:rFonts w:ascii="Mulish" w:hAnsi="Mulish" w:cs="Times New Roman"/>
                <w:sz w:val="18"/>
                <w:szCs w:val="18"/>
              </w:rPr>
            </w:pPr>
          </w:p>
        </w:tc>
      </w:tr>
      <w:tr w:rsidR="00141DBA" w:rsidRPr="00941553" w14:paraId="41E9E8D6" w14:textId="77777777" w:rsidTr="00E66846">
        <w:tc>
          <w:tcPr>
            <w:tcW w:w="1292" w:type="dxa"/>
            <w:vMerge/>
            <w:tcBorders>
              <w:top w:val="nil"/>
              <w:bottom w:val="single" w:sz="4" w:space="0" w:color="F2F2F2" w:themeColor="background1" w:themeShade="F2"/>
            </w:tcBorders>
            <w:shd w:val="clear" w:color="auto" w:fill="438086" w:themeFill="accent2"/>
          </w:tcPr>
          <w:p w14:paraId="4B6C7072"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1A22A57A"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Datos estadísticos sobre contratos</w:t>
            </w:r>
          </w:p>
        </w:tc>
        <w:tc>
          <w:tcPr>
            <w:tcW w:w="3685" w:type="dxa"/>
            <w:tcBorders>
              <w:top w:val="nil"/>
              <w:right w:val="single" w:sz="4" w:space="0" w:color="406E8C" w:themeColor="accent6" w:themeShade="BF"/>
            </w:tcBorders>
          </w:tcPr>
          <w:p w14:paraId="3E32E78D" w14:textId="77777777" w:rsidR="00141DBA" w:rsidRPr="00941553" w:rsidRDefault="00141DBA" w:rsidP="001D364C">
            <w:pPr>
              <w:jc w:val="left"/>
              <w:rPr>
                <w:rFonts w:ascii="Mulish" w:hAnsi="Mulish" w:cs="Times New Roman"/>
                <w:sz w:val="18"/>
                <w:szCs w:val="18"/>
              </w:rPr>
            </w:pPr>
          </w:p>
        </w:tc>
      </w:tr>
      <w:tr w:rsidR="00141DBA" w:rsidRPr="00941553" w14:paraId="4B18B26A" w14:textId="77777777" w:rsidTr="00E66846">
        <w:tc>
          <w:tcPr>
            <w:tcW w:w="1292" w:type="dxa"/>
            <w:vMerge/>
            <w:tcBorders>
              <w:top w:val="nil"/>
              <w:bottom w:val="single" w:sz="4" w:space="0" w:color="F2F2F2" w:themeColor="background1" w:themeShade="F2"/>
            </w:tcBorders>
            <w:shd w:val="clear" w:color="auto" w:fill="438086" w:themeFill="accent2"/>
          </w:tcPr>
          <w:p w14:paraId="459620B3"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2B714D64"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Contratos Menores</w:t>
            </w:r>
          </w:p>
        </w:tc>
        <w:tc>
          <w:tcPr>
            <w:tcW w:w="3685" w:type="dxa"/>
            <w:tcBorders>
              <w:top w:val="nil"/>
              <w:right w:val="single" w:sz="4" w:space="0" w:color="406E8C" w:themeColor="accent6" w:themeShade="BF"/>
            </w:tcBorders>
          </w:tcPr>
          <w:p w14:paraId="34B2D16A" w14:textId="77777777" w:rsidR="00141DBA" w:rsidRPr="00941553" w:rsidRDefault="00141DBA" w:rsidP="001D364C">
            <w:pPr>
              <w:jc w:val="left"/>
              <w:rPr>
                <w:rFonts w:ascii="Mulish" w:hAnsi="Mulish" w:cs="Times New Roman"/>
                <w:sz w:val="18"/>
                <w:szCs w:val="18"/>
              </w:rPr>
            </w:pPr>
          </w:p>
        </w:tc>
      </w:tr>
      <w:tr w:rsidR="00141DBA" w:rsidRPr="00941553" w14:paraId="2D3F2B02" w14:textId="77777777" w:rsidTr="00E66846">
        <w:tc>
          <w:tcPr>
            <w:tcW w:w="1292" w:type="dxa"/>
            <w:vMerge/>
            <w:tcBorders>
              <w:top w:val="nil"/>
              <w:bottom w:val="single" w:sz="4" w:space="0" w:color="F2F2F2" w:themeColor="background1" w:themeShade="F2"/>
            </w:tcBorders>
            <w:shd w:val="clear" w:color="auto" w:fill="438086" w:themeFill="accent2"/>
          </w:tcPr>
          <w:p w14:paraId="0D815D5C"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36E74586" w14:textId="77777777" w:rsidR="00141DBA" w:rsidRPr="00941553" w:rsidRDefault="009417A3" w:rsidP="001D364C">
            <w:pPr>
              <w:jc w:val="left"/>
              <w:rPr>
                <w:rFonts w:ascii="Mulish" w:hAnsi="Mulish" w:cs="Times New Roman"/>
                <w:sz w:val="18"/>
                <w:szCs w:val="18"/>
              </w:rPr>
            </w:pPr>
            <w:r w:rsidRPr="00941553">
              <w:rPr>
                <w:rFonts w:ascii="Mulish" w:hAnsi="Mulish" w:cs="Times New Roman"/>
                <w:noProof/>
                <w:sz w:val="18"/>
                <w:szCs w:val="18"/>
              </w:rPr>
              <mc:AlternateContent>
                <mc:Choice Requires="wps">
                  <w:drawing>
                    <wp:anchor distT="0" distB="0" distL="114300" distR="114300" simplePos="0" relativeHeight="251662336" behindDoc="0" locked="0" layoutInCell="1" allowOverlap="1" wp14:anchorId="1A6649A7" wp14:editId="4B8C0CFC">
                      <wp:simplePos x="0" y="0"/>
                      <wp:positionH relativeFrom="column">
                        <wp:posOffset>2900045</wp:posOffset>
                      </wp:positionH>
                      <wp:positionV relativeFrom="paragraph">
                        <wp:posOffset>139065</wp:posOffset>
                      </wp:positionV>
                      <wp:extent cx="63500" cy="387350"/>
                      <wp:effectExtent l="0" t="0" r="12700" b="12700"/>
                      <wp:wrapNone/>
                      <wp:docPr id="7" name="7 Abrir llave"/>
                      <wp:cNvGraphicFramePr/>
                      <a:graphic xmlns:a="http://schemas.openxmlformats.org/drawingml/2006/main">
                        <a:graphicData uri="http://schemas.microsoft.com/office/word/2010/wordprocessingShape">
                          <wps:wsp>
                            <wps:cNvSpPr/>
                            <wps:spPr>
                              <a:xfrm>
                                <a:off x="0" y="0"/>
                                <a:ext cx="63500" cy="387350"/>
                              </a:xfrm>
                              <a:prstGeom prst="lef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AF38" id="7 Abrir llave" o:spid="_x0000_s1026" type="#_x0000_t87" style="position:absolute;margin-left:228.35pt;margin-top:10.95pt;width: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" adj="295" strokecolor="#406e8c [2409]"/>
                  </w:pict>
                </mc:Fallback>
              </mc:AlternateContent>
            </w:r>
            <w:r w:rsidR="00141DBA" w:rsidRPr="00941553">
              <w:rPr>
                <w:rFonts w:ascii="Mulish" w:hAnsi="Mulish" w:cs="Times New Roman"/>
                <w:sz w:val="18"/>
                <w:szCs w:val="18"/>
              </w:rPr>
              <w:t>Relación de los convenios suscritos</w:t>
            </w:r>
          </w:p>
        </w:tc>
        <w:tc>
          <w:tcPr>
            <w:tcW w:w="3685" w:type="dxa"/>
            <w:tcBorders>
              <w:top w:val="nil"/>
              <w:right w:val="single" w:sz="4" w:space="0" w:color="406E8C" w:themeColor="accent6" w:themeShade="BF"/>
            </w:tcBorders>
          </w:tcPr>
          <w:p w14:paraId="6162FADF" w14:textId="77777777" w:rsidR="00141DBA" w:rsidRPr="00941553" w:rsidRDefault="00141DBA" w:rsidP="001D364C">
            <w:pPr>
              <w:jc w:val="left"/>
              <w:rPr>
                <w:rFonts w:ascii="Mulish" w:hAnsi="Mulish" w:cs="Times New Roman"/>
                <w:sz w:val="18"/>
                <w:szCs w:val="18"/>
              </w:rPr>
            </w:pPr>
          </w:p>
        </w:tc>
      </w:tr>
      <w:tr w:rsidR="00141DBA" w:rsidRPr="00941553" w14:paraId="224FBAAD" w14:textId="77777777" w:rsidTr="00E66846">
        <w:tc>
          <w:tcPr>
            <w:tcW w:w="1292" w:type="dxa"/>
            <w:vMerge/>
            <w:tcBorders>
              <w:top w:val="nil"/>
              <w:bottom w:val="single" w:sz="4" w:space="0" w:color="F2F2F2" w:themeColor="background1" w:themeShade="F2"/>
            </w:tcBorders>
            <w:shd w:val="clear" w:color="auto" w:fill="438086" w:themeFill="accent2"/>
          </w:tcPr>
          <w:p w14:paraId="6B61B813"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1EDFB4A1"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Encomiendas y Encargos</w:t>
            </w:r>
          </w:p>
        </w:tc>
        <w:tc>
          <w:tcPr>
            <w:tcW w:w="3685" w:type="dxa"/>
            <w:tcBorders>
              <w:top w:val="nil"/>
              <w:right w:val="single" w:sz="4" w:space="0" w:color="406E8C" w:themeColor="accent6" w:themeShade="BF"/>
            </w:tcBorders>
          </w:tcPr>
          <w:p w14:paraId="0721448E" w14:textId="77777777" w:rsidR="00141DBA" w:rsidRPr="00941553" w:rsidRDefault="002F4D73" w:rsidP="001D364C">
            <w:pPr>
              <w:jc w:val="left"/>
              <w:rPr>
                <w:rFonts w:ascii="Mulish" w:hAnsi="Mulish" w:cs="Times New Roman"/>
                <w:sz w:val="18"/>
                <w:szCs w:val="18"/>
              </w:rPr>
            </w:pPr>
            <w:r w:rsidRPr="00941553">
              <w:rPr>
                <w:rFonts w:ascii="Mulish" w:hAnsi="Mulish" w:cs="Times New Roman"/>
                <w:sz w:val="18"/>
                <w:szCs w:val="18"/>
              </w:rPr>
              <w:t>Fundaciones Públicas</w:t>
            </w:r>
            <w:r w:rsidR="00196E57" w:rsidRPr="00941553">
              <w:rPr>
                <w:rFonts w:ascii="Mulish" w:hAnsi="Mulish" w:cs="Times New Roman"/>
                <w:sz w:val="18"/>
                <w:szCs w:val="18"/>
              </w:rPr>
              <w:t>; Sociedades Mercantiles</w:t>
            </w:r>
          </w:p>
        </w:tc>
      </w:tr>
      <w:tr w:rsidR="00141DBA" w:rsidRPr="00941553" w14:paraId="203410F5" w14:textId="77777777" w:rsidTr="00E66846">
        <w:tc>
          <w:tcPr>
            <w:tcW w:w="1292" w:type="dxa"/>
            <w:vMerge/>
            <w:tcBorders>
              <w:top w:val="nil"/>
              <w:bottom w:val="single" w:sz="4" w:space="0" w:color="F2F2F2" w:themeColor="background1" w:themeShade="F2"/>
            </w:tcBorders>
            <w:shd w:val="clear" w:color="auto" w:fill="438086" w:themeFill="accent2"/>
          </w:tcPr>
          <w:p w14:paraId="67B95670"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4C35ED7D"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Subcontrataciones</w:t>
            </w:r>
          </w:p>
        </w:tc>
        <w:tc>
          <w:tcPr>
            <w:tcW w:w="3685" w:type="dxa"/>
            <w:tcBorders>
              <w:top w:val="nil"/>
              <w:right w:val="single" w:sz="4" w:space="0" w:color="406E8C" w:themeColor="accent6" w:themeShade="BF"/>
            </w:tcBorders>
          </w:tcPr>
          <w:p w14:paraId="4BE4B657" w14:textId="77777777" w:rsidR="00141DBA" w:rsidRPr="00941553" w:rsidRDefault="00141DBA" w:rsidP="001D364C">
            <w:pPr>
              <w:jc w:val="left"/>
              <w:rPr>
                <w:rFonts w:ascii="Mulish" w:hAnsi="Mulish" w:cs="Times New Roman"/>
                <w:sz w:val="18"/>
                <w:szCs w:val="18"/>
              </w:rPr>
            </w:pPr>
          </w:p>
        </w:tc>
      </w:tr>
      <w:tr w:rsidR="00141DBA" w:rsidRPr="00941553" w14:paraId="4AAC803A" w14:textId="77777777" w:rsidTr="00E66846">
        <w:tc>
          <w:tcPr>
            <w:tcW w:w="1292" w:type="dxa"/>
            <w:vMerge/>
            <w:tcBorders>
              <w:top w:val="nil"/>
              <w:bottom w:val="single" w:sz="4" w:space="0" w:color="F2F2F2" w:themeColor="background1" w:themeShade="F2"/>
            </w:tcBorders>
            <w:shd w:val="clear" w:color="auto" w:fill="438086" w:themeFill="accent2"/>
          </w:tcPr>
          <w:p w14:paraId="087B4952"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7CB878BF"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 xml:space="preserve">Subvenciones y ayudas públicas </w:t>
            </w:r>
          </w:p>
        </w:tc>
        <w:tc>
          <w:tcPr>
            <w:tcW w:w="3685" w:type="dxa"/>
            <w:tcBorders>
              <w:top w:val="nil"/>
              <w:right w:val="single" w:sz="4" w:space="0" w:color="406E8C" w:themeColor="accent6" w:themeShade="BF"/>
            </w:tcBorders>
          </w:tcPr>
          <w:p w14:paraId="4BFD2CCD" w14:textId="6B3812E4" w:rsidR="00141DBA" w:rsidRPr="00941553" w:rsidRDefault="000A0D75" w:rsidP="001D364C">
            <w:pPr>
              <w:jc w:val="left"/>
              <w:rPr>
                <w:rFonts w:ascii="Mulish" w:hAnsi="Mulish" w:cs="Times New Roman"/>
                <w:sz w:val="18"/>
                <w:szCs w:val="18"/>
              </w:rPr>
            </w:pPr>
            <w:r>
              <w:rPr>
                <w:rFonts w:ascii="Mulish" w:hAnsi="Mulish" w:cs="Times New Roman"/>
                <w:sz w:val="18"/>
                <w:szCs w:val="18"/>
              </w:rPr>
              <w:t>Mutuas de Accidentes de Trabajo y Enfermedades Profesionales</w:t>
            </w:r>
          </w:p>
        </w:tc>
      </w:tr>
      <w:tr w:rsidR="00141DBA" w:rsidRPr="00941553" w14:paraId="185884A4" w14:textId="77777777" w:rsidTr="00E66846">
        <w:tc>
          <w:tcPr>
            <w:tcW w:w="1292" w:type="dxa"/>
            <w:vMerge/>
            <w:tcBorders>
              <w:top w:val="nil"/>
              <w:bottom w:val="single" w:sz="4" w:space="0" w:color="F2F2F2" w:themeColor="background1" w:themeShade="F2"/>
            </w:tcBorders>
            <w:shd w:val="clear" w:color="auto" w:fill="438086" w:themeFill="accent2"/>
          </w:tcPr>
          <w:p w14:paraId="56BFFD0C"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1E5B963E"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Presupuestos</w:t>
            </w:r>
          </w:p>
        </w:tc>
        <w:tc>
          <w:tcPr>
            <w:tcW w:w="3685" w:type="dxa"/>
            <w:tcBorders>
              <w:top w:val="nil"/>
              <w:right w:val="single" w:sz="4" w:space="0" w:color="406E8C" w:themeColor="accent6" w:themeShade="BF"/>
            </w:tcBorders>
          </w:tcPr>
          <w:p w14:paraId="3A9F9D0B" w14:textId="77777777" w:rsidR="00141DBA" w:rsidRPr="00941553" w:rsidRDefault="00141DBA" w:rsidP="001D364C">
            <w:pPr>
              <w:jc w:val="left"/>
              <w:rPr>
                <w:rFonts w:ascii="Mulish" w:hAnsi="Mulish" w:cs="Times New Roman"/>
                <w:sz w:val="18"/>
                <w:szCs w:val="18"/>
              </w:rPr>
            </w:pPr>
          </w:p>
        </w:tc>
      </w:tr>
      <w:tr w:rsidR="00141DBA" w:rsidRPr="00941553" w14:paraId="423B02BF" w14:textId="77777777" w:rsidTr="00E66846">
        <w:tc>
          <w:tcPr>
            <w:tcW w:w="1292" w:type="dxa"/>
            <w:vMerge/>
            <w:tcBorders>
              <w:top w:val="nil"/>
              <w:bottom w:val="single" w:sz="4" w:space="0" w:color="F2F2F2" w:themeColor="background1" w:themeShade="F2"/>
            </w:tcBorders>
            <w:shd w:val="clear" w:color="auto" w:fill="438086" w:themeFill="accent2"/>
          </w:tcPr>
          <w:p w14:paraId="16E552A9"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76A0D104"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Ejecución presupuestaria</w:t>
            </w:r>
          </w:p>
        </w:tc>
        <w:tc>
          <w:tcPr>
            <w:tcW w:w="3685" w:type="dxa"/>
            <w:tcBorders>
              <w:top w:val="nil"/>
              <w:right w:val="single" w:sz="4" w:space="0" w:color="406E8C" w:themeColor="accent6" w:themeShade="BF"/>
            </w:tcBorders>
          </w:tcPr>
          <w:p w14:paraId="127F8C6E" w14:textId="77777777" w:rsidR="00141DBA" w:rsidRPr="00941553" w:rsidRDefault="002F4D73" w:rsidP="00196E57">
            <w:pPr>
              <w:jc w:val="left"/>
              <w:rPr>
                <w:rFonts w:ascii="Mulish" w:hAnsi="Mulish" w:cs="Times New Roman"/>
                <w:sz w:val="18"/>
                <w:szCs w:val="18"/>
              </w:rPr>
            </w:pPr>
            <w:r w:rsidRPr="00941553">
              <w:rPr>
                <w:rFonts w:ascii="Mulish" w:hAnsi="Mulish" w:cs="Times New Roman"/>
                <w:sz w:val="18"/>
                <w:szCs w:val="18"/>
              </w:rPr>
              <w:t>Entidades de derecho público (art. 2.1.d LTAIBG</w:t>
            </w:r>
            <w:r w:rsidR="009417A3" w:rsidRPr="00941553">
              <w:rPr>
                <w:rFonts w:ascii="Mulish" w:hAnsi="Mulish" w:cs="Times New Roman"/>
                <w:sz w:val="18"/>
                <w:szCs w:val="18"/>
              </w:rPr>
              <w:t>)</w:t>
            </w:r>
            <w:r w:rsidRPr="00941553">
              <w:rPr>
                <w:rFonts w:ascii="Mulish" w:hAnsi="Mulish" w:cs="Times New Roman"/>
                <w:sz w:val="18"/>
                <w:szCs w:val="18"/>
              </w:rPr>
              <w:t>; Fundaciones Públicas</w:t>
            </w:r>
            <w:r w:rsidR="00196E57" w:rsidRPr="00941553">
              <w:rPr>
                <w:rFonts w:ascii="Mulish" w:hAnsi="Mulish" w:cs="Times New Roman"/>
                <w:sz w:val="18"/>
                <w:szCs w:val="18"/>
              </w:rPr>
              <w:t>; Sociedades Mercantiles</w:t>
            </w:r>
            <w:r w:rsidR="00D24B74" w:rsidRPr="00941553">
              <w:rPr>
                <w:rFonts w:ascii="Mulish" w:hAnsi="Mulish" w:cs="Times New Roman"/>
                <w:sz w:val="18"/>
                <w:szCs w:val="18"/>
              </w:rPr>
              <w:t>; Organismos públicos con presupuestos estimativos</w:t>
            </w:r>
          </w:p>
        </w:tc>
      </w:tr>
      <w:tr w:rsidR="00141DBA" w:rsidRPr="00941553" w14:paraId="1943FE35" w14:textId="77777777" w:rsidTr="00E66846">
        <w:tc>
          <w:tcPr>
            <w:tcW w:w="1292" w:type="dxa"/>
            <w:vMerge/>
            <w:tcBorders>
              <w:top w:val="nil"/>
              <w:bottom w:val="single" w:sz="4" w:space="0" w:color="F2F2F2" w:themeColor="background1" w:themeShade="F2"/>
            </w:tcBorders>
            <w:shd w:val="clear" w:color="auto" w:fill="438086" w:themeFill="accent2"/>
          </w:tcPr>
          <w:p w14:paraId="6CE5285C"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2E4A3C7F"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Cuentas anuales</w:t>
            </w:r>
          </w:p>
        </w:tc>
        <w:tc>
          <w:tcPr>
            <w:tcW w:w="3685" w:type="dxa"/>
            <w:tcBorders>
              <w:top w:val="nil"/>
              <w:right w:val="single" w:sz="4" w:space="0" w:color="406E8C" w:themeColor="accent6" w:themeShade="BF"/>
            </w:tcBorders>
          </w:tcPr>
          <w:p w14:paraId="70FF9D57" w14:textId="77777777" w:rsidR="00141DBA" w:rsidRPr="00941553" w:rsidRDefault="00141DBA" w:rsidP="001D364C">
            <w:pPr>
              <w:jc w:val="left"/>
              <w:rPr>
                <w:rFonts w:ascii="Mulish" w:hAnsi="Mulish" w:cs="Times New Roman"/>
                <w:sz w:val="18"/>
                <w:szCs w:val="18"/>
              </w:rPr>
            </w:pPr>
          </w:p>
        </w:tc>
      </w:tr>
      <w:tr w:rsidR="00141DBA" w:rsidRPr="00941553" w14:paraId="2F119839" w14:textId="77777777" w:rsidTr="00E66846">
        <w:tc>
          <w:tcPr>
            <w:tcW w:w="1292" w:type="dxa"/>
            <w:vMerge/>
            <w:tcBorders>
              <w:top w:val="nil"/>
              <w:bottom w:val="single" w:sz="4" w:space="0" w:color="F2F2F2" w:themeColor="background1" w:themeShade="F2"/>
            </w:tcBorders>
            <w:shd w:val="clear" w:color="auto" w:fill="438086" w:themeFill="accent2"/>
          </w:tcPr>
          <w:p w14:paraId="607BE46F"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0BF76479"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Informes de auditoría de cuentas y de fiscalización por órganos de control externo</w:t>
            </w:r>
          </w:p>
        </w:tc>
        <w:tc>
          <w:tcPr>
            <w:tcW w:w="3685" w:type="dxa"/>
            <w:tcBorders>
              <w:top w:val="nil"/>
              <w:right w:val="single" w:sz="4" w:space="0" w:color="406E8C" w:themeColor="accent6" w:themeShade="BF"/>
            </w:tcBorders>
          </w:tcPr>
          <w:p w14:paraId="2CD629E2" w14:textId="77777777" w:rsidR="00141DBA" w:rsidRPr="00941553" w:rsidRDefault="00141DBA" w:rsidP="001D364C">
            <w:pPr>
              <w:jc w:val="left"/>
              <w:rPr>
                <w:rFonts w:ascii="Mulish" w:hAnsi="Mulish" w:cs="Times New Roman"/>
                <w:sz w:val="18"/>
                <w:szCs w:val="18"/>
              </w:rPr>
            </w:pPr>
          </w:p>
        </w:tc>
      </w:tr>
      <w:tr w:rsidR="00141DBA" w:rsidRPr="00941553" w14:paraId="30E56648" w14:textId="77777777" w:rsidTr="00E66846">
        <w:tc>
          <w:tcPr>
            <w:tcW w:w="1292" w:type="dxa"/>
            <w:vMerge/>
            <w:tcBorders>
              <w:top w:val="nil"/>
              <w:bottom w:val="single" w:sz="4" w:space="0" w:color="F2F2F2" w:themeColor="background1" w:themeShade="F2"/>
            </w:tcBorders>
            <w:shd w:val="clear" w:color="auto" w:fill="438086" w:themeFill="accent2"/>
          </w:tcPr>
          <w:p w14:paraId="5109835F"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7501A3FB"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Retribuciones anuales Altos Cargos y máximos responsables</w:t>
            </w:r>
          </w:p>
        </w:tc>
        <w:tc>
          <w:tcPr>
            <w:tcW w:w="3685" w:type="dxa"/>
            <w:tcBorders>
              <w:top w:val="nil"/>
              <w:right w:val="single" w:sz="4" w:space="0" w:color="406E8C" w:themeColor="accent6" w:themeShade="BF"/>
            </w:tcBorders>
          </w:tcPr>
          <w:p w14:paraId="5AFCD788" w14:textId="77777777" w:rsidR="00141DBA" w:rsidRPr="00941553" w:rsidRDefault="00141DBA" w:rsidP="001D364C">
            <w:pPr>
              <w:jc w:val="left"/>
              <w:rPr>
                <w:rFonts w:ascii="Mulish" w:hAnsi="Mulish" w:cs="Times New Roman"/>
                <w:sz w:val="18"/>
                <w:szCs w:val="18"/>
              </w:rPr>
            </w:pPr>
          </w:p>
        </w:tc>
      </w:tr>
      <w:tr w:rsidR="00141DBA" w:rsidRPr="00941553" w14:paraId="2B19F9F8" w14:textId="77777777" w:rsidTr="00E66846">
        <w:tc>
          <w:tcPr>
            <w:tcW w:w="1292" w:type="dxa"/>
            <w:vMerge/>
            <w:tcBorders>
              <w:top w:val="nil"/>
              <w:bottom w:val="single" w:sz="4" w:space="0" w:color="F2F2F2" w:themeColor="background1" w:themeShade="F2"/>
            </w:tcBorders>
            <w:shd w:val="clear" w:color="auto" w:fill="438086" w:themeFill="accent2"/>
          </w:tcPr>
          <w:p w14:paraId="6B91A4E1"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4D6F4BF1"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Indemnizaciones percibidas por Altos Cargos con ocasión del abandono del cargo</w:t>
            </w:r>
          </w:p>
        </w:tc>
        <w:tc>
          <w:tcPr>
            <w:tcW w:w="3685" w:type="dxa"/>
            <w:tcBorders>
              <w:top w:val="nil"/>
              <w:right w:val="single" w:sz="4" w:space="0" w:color="406E8C" w:themeColor="accent6" w:themeShade="BF"/>
            </w:tcBorders>
          </w:tcPr>
          <w:p w14:paraId="41C12E4C" w14:textId="77777777" w:rsidR="00141DBA" w:rsidRPr="00941553" w:rsidRDefault="00141DBA" w:rsidP="001D364C">
            <w:pPr>
              <w:jc w:val="left"/>
              <w:rPr>
                <w:rFonts w:ascii="Mulish" w:hAnsi="Mulish" w:cs="Times New Roman"/>
                <w:sz w:val="18"/>
                <w:szCs w:val="18"/>
              </w:rPr>
            </w:pPr>
          </w:p>
        </w:tc>
      </w:tr>
      <w:tr w:rsidR="00141DBA" w:rsidRPr="00941553" w14:paraId="720085AF" w14:textId="77777777" w:rsidTr="00E66846">
        <w:tc>
          <w:tcPr>
            <w:tcW w:w="1292" w:type="dxa"/>
            <w:vMerge/>
            <w:tcBorders>
              <w:top w:val="nil"/>
              <w:bottom w:val="single" w:sz="4" w:space="0" w:color="F2F2F2" w:themeColor="background1" w:themeShade="F2"/>
            </w:tcBorders>
            <w:shd w:val="clear" w:color="auto" w:fill="438086" w:themeFill="accent2"/>
          </w:tcPr>
          <w:p w14:paraId="1E976933"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right w:val="single" w:sz="4" w:space="0" w:color="406E8C" w:themeColor="accent6" w:themeShade="BF"/>
            </w:tcBorders>
          </w:tcPr>
          <w:p w14:paraId="31AB95A8"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Resoluciones de autorización o reconocimiento de compatibilidad de empleados.</w:t>
            </w:r>
          </w:p>
        </w:tc>
        <w:tc>
          <w:tcPr>
            <w:tcW w:w="3685" w:type="dxa"/>
            <w:tcBorders>
              <w:top w:val="nil"/>
              <w:right w:val="single" w:sz="4" w:space="0" w:color="406E8C" w:themeColor="accent6" w:themeShade="BF"/>
            </w:tcBorders>
          </w:tcPr>
          <w:p w14:paraId="1E99167D" w14:textId="0F1212E8" w:rsidR="00141DBA" w:rsidRPr="00941553" w:rsidRDefault="000A0D75" w:rsidP="001D364C">
            <w:pPr>
              <w:jc w:val="left"/>
              <w:rPr>
                <w:rFonts w:ascii="Mulish" w:hAnsi="Mulish" w:cs="Times New Roman"/>
                <w:sz w:val="18"/>
                <w:szCs w:val="18"/>
              </w:rPr>
            </w:pPr>
            <w:r>
              <w:rPr>
                <w:rFonts w:ascii="Mulish" w:hAnsi="Mulish" w:cs="Times New Roman"/>
                <w:sz w:val="18"/>
                <w:szCs w:val="18"/>
              </w:rPr>
              <w:t>Mutuas de Accidentes de Trabajo y Enfermedades Profesionales</w:t>
            </w:r>
          </w:p>
        </w:tc>
      </w:tr>
      <w:tr w:rsidR="00141DBA" w:rsidRPr="00941553" w14:paraId="34996A0D" w14:textId="77777777" w:rsidTr="00E66846">
        <w:tc>
          <w:tcPr>
            <w:tcW w:w="1292" w:type="dxa"/>
            <w:vMerge/>
            <w:tcBorders>
              <w:top w:val="nil"/>
              <w:bottom w:val="single" w:sz="4" w:space="0" w:color="F2F2F2" w:themeColor="background1" w:themeShade="F2"/>
            </w:tcBorders>
            <w:shd w:val="clear" w:color="auto" w:fill="438086" w:themeFill="accent2"/>
          </w:tcPr>
          <w:p w14:paraId="19158755"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bottom w:val="nil"/>
              <w:right w:val="single" w:sz="4" w:space="0" w:color="406E8C" w:themeColor="accent6" w:themeShade="BF"/>
            </w:tcBorders>
          </w:tcPr>
          <w:p w14:paraId="69F58BFD"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Autorización para actividad privada al cese de altos cargos en la AGE, CCAA o EELL</w:t>
            </w:r>
          </w:p>
        </w:tc>
        <w:tc>
          <w:tcPr>
            <w:tcW w:w="3685" w:type="dxa"/>
            <w:tcBorders>
              <w:top w:val="nil"/>
              <w:bottom w:val="nil"/>
              <w:right w:val="single" w:sz="4" w:space="0" w:color="406E8C" w:themeColor="accent6" w:themeShade="BF"/>
            </w:tcBorders>
          </w:tcPr>
          <w:p w14:paraId="0C084706" w14:textId="74D3E737" w:rsidR="00141DBA" w:rsidRPr="00941553" w:rsidRDefault="000A0D75" w:rsidP="001D364C">
            <w:pPr>
              <w:jc w:val="left"/>
              <w:rPr>
                <w:rFonts w:ascii="Mulish" w:hAnsi="Mulish" w:cs="Times New Roman"/>
                <w:sz w:val="18"/>
                <w:szCs w:val="18"/>
              </w:rPr>
            </w:pPr>
            <w:r>
              <w:rPr>
                <w:rFonts w:ascii="Mulish" w:hAnsi="Mulish" w:cs="Times New Roman"/>
                <w:sz w:val="18"/>
                <w:szCs w:val="18"/>
              </w:rPr>
              <w:t xml:space="preserve">Universidades Públicas, Mutuas de Accidentes de Trabajo y Enfermedades </w:t>
            </w:r>
            <w:r w:rsidR="00E66846">
              <w:rPr>
                <w:rFonts w:ascii="Mulish" w:hAnsi="Mulish" w:cs="Times New Roman"/>
                <w:sz w:val="18"/>
                <w:szCs w:val="18"/>
              </w:rPr>
              <w:t>Profesionales</w:t>
            </w:r>
          </w:p>
        </w:tc>
      </w:tr>
      <w:tr w:rsidR="00141DBA" w:rsidRPr="00941553" w14:paraId="1282BFB2" w14:textId="77777777" w:rsidTr="00E66846">
        <w:tc>
          <w:tcPr>
            <w:tcW w:w="1292" w:type="dxa"/>
            <w:vMerge/>
            <w:tcBorders>
              <w:top w:val="nil"/>
              <w:bottom w:val="single" w:sz="4" w:space="0" w:color="F2F2F2" w:themeColor="background1" w:themeShade="F2"/>
            </w:tcBorders>
            <w:shd w:val="clear" w:color="auto" w:fill="438086" w:themeFill="accent2"/>
          </w:tcPr>
          <w:p w14:paraId="7C864963" w14:textId="77777777" w:rsidR="00141DBA" w:rsidRPr="00941553" w:rsidRDefault="00141DBA" w:rsidP="001D364C">
            <w:pPr>
              <w:jc w:val="left"/>
              <w:rPr>
                <w:rFonts w:ascii="Mulish" w:hAnsi="Mulish" w:cs="Times New Roman"/>
                <w:b/>
                <w:color w:val="FFFFFF"/>
                <w:sz w:val="18"/>
                <w:szCs w:val="18"/>
              </w:rPr>
            </w:pPr>
          </w:p>
        </w:tc>
        <w:tc>
          <w:tcPr>
            <w:tcW w:w="4770" w:type="dxa"/>
            <w:tcBorders>
              <w:top w:val="nil"/>
              <w:bottom w:val="single" w:sz="4" w:space="0" w:color="406E8C" w:themeColor="accent6" w:themeShade="BF"/>
              <w:right w:val="single" w:sz="4" w:space="0" w:color="406E8C" w:themeColor="accent6" w:themeShade="BF"/>
            </w:tcBorders>
          </w:tcPr>
          <w:p w14:paraId="46BA64E8"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Información estadística necesaria para valorar el grado de cumplimiento y calidad de los servicios públicos de su competencia</w:t>
            </w:r>
          </w:p>
        </w:tc>
        <w:tc>
          <w:tcPr>
            <w:tcW w:w="3685" w:type="dxa"/>
            <w:tcBorders>
              <w:top w:val="nil"/>
              <w:bottom w:val="single" w:sz="4" w:space="0" w:color="406E8C" w:themeColor="accent6" w:themeShade="BF"/>
              <w:right w:val="single" w:sz="4" w:space="0" w:color="406E8C" w:themeColor="accent6" w:themeShade="BF"/>
            </w:tcBorders>
          </w:tcPr>
          <w:p w14:paraId="77BE018D" w14:textId="77777777" w:rsidR="00141DBA" w:rsidRPr="00941553" w:rsidRDefault="002F4D73" w:rsidP="001D364C">
            <w:pPr>
              <w:jc w:val="left"/>
              <w:rPr>
                <w:rFonts w:ascii="Mulish" w:hAnsi="Mulish" w:cs="Times New Roman"/>
                <w:sz w:val="18"/>
                <w:szCs w:val="18"/>
              </w:rPr>
            </w:pPr>
            <w:r w:rsidRPr="00941553">
              <w:rPr>
                <w:rFonts w:ascii="Mulish" w:hAnsi="Mulish" w:cs="Times New Roman"/>
                <w:sz w:val="18"/>
                <w:szCs w:val="18"/>
              </w:rPr>
              <w:t>Fundaciones Públicas</w:t>
            </w:r>
          </w:p>
          <w:p w14:paraId="4F4E864B" w14:textId="77777777" w:rsidR="00196E57" w:rsidRPr="00941553" w:rsidRDefault="00196E57" w:rsidP="001D364C">
            <w:pPr>
              <w:jc w:val="left"/>
              <w:rPr>
                <w:rFonts w:ascii="Mulish" w:hAnsi="Mulish" w:cs="Times New Roman"/>
                <w:sz w:val="18"/>
                <w:szCs w:val="18"/>
              </w:rPr>
            </w:pPr>
            <w:r w:rsidRPr="00941553">
              <w:rPr>
                <w:rFonts w:ascii="Mulish" w:hAnsi="Mulish" w:cs="Times New Roman"/>
                <w:sz w:val="18"/>
                <w:szCs w:val="18"/>
              </w:rPr>
              <w:t>Sociedades Mercantiles</w:t>
            </w:r>
          </w:p>
        </w:tc>
      </w:tr>
      <w:tr w:rsidR="00141DBA" w:rsidRPr="00941553" w14:paraId="3759C11C" w14:textId="77777777" w:rsidTr="00E66846">
        <w:tc>
          <w:tcPr>
            <w:tcW w:w="1292" w:type="dxa"/>
            <w:tcBorders>
              <w:top w:val="single" w:sz="4" w:space="0" w:color="F2F2F2" w:themeColor="background1" w:themeShade="F2"/>
              <w:bottom w:val="single" w:sz="4" w:space="0" w:color="325F64" w:themeColor="accent2" w:themeShade="BF"/>
            </w:tcBorders>
            <w:shd w:val="clear" w:color="auto" w:fill="438086" w:themeFill="accent2"/>
          </w:tcPr>
          <w:p w14:paraId="3D00B7FA" w14:textId="77777777" w:rsidR="00141DBA" w:rsidRPr="00941553" w:rsidRDefault="00141DBA" w:rsidP="001D364C">
            <w:pPr>
              <w:jc w:val="left"/>
              <w:rPr>
                <w:rFonts w:ascii="Mulish" w:hAnsi="Mulish" w:cs="Times New Roman"/>
                <w:b/>
                <w:color w:val="FFFFFF"/>
                <w:sz w:val="18"/>
                <w:szCs w:val="18"/>
              </w:rPr>
            </w:pPr>
            <w:r w:rsidRPr="00941553">
              <w:rPr>
                <w:rFonts w:ascii="Mulish" w:hAnsi="Mulish" w:cs="Times New Roman"/>
                <w:b/>
                <w:color w:val="FFFFFF"/>
                <w:sz w:val="18"/>
                <w:szCs w:val="18"/>
              </w:rPr>
              <w:t>Información Patrimonial</w:t>
            </w:r>
          </w:p>
        </w:tc>
        <w:tc>
          <w:tcPr>
            <w:tcW w:w="4770" w:type="dxa"/>
            <w:tcBorders>
              <w:top w:val="single" w:sz="4" w:space="0" w:color="406E8C" w:themeColor="accent6" w:themeShade="BF"/>
              <w:bottom w:val="single" w:sz="4" w:space="0" w:color="325F64" w:themeColor="accent2" w:themeShade="BF"/>
              <w:right w:val="single" w:sz="4" w:space="0" w:color="406E8C" w:themeColor="accent6" w:themeShade="BF"/>
            </w:tcBorders>
          </w:tcPr>
          <w:p w14:paraId="5F9EC105" w14:textId="77777777" w:rsidR="00141DBA" w:rsidRPr="00941553" w:rsidRDefault="00141DBA" w:rsidP="001D364C">
            <w:pPr>
              <w:jc w:val="left"/>
              <w:rPr>
                <w:rFonts w:ascii="Mulish" w:hAnsi="Mulish" w:cs="Times New Roman"/>
                <w:sz w:val="18"/>
                <w:szCs w:val="18"/>
              </w:rPr>
            </w:pPr>
            <w:r w:rsidRPr="00941553">
              <w:rPr>
                <w:rFonts w:ascii="Mulish" w:hAnsi="Mulish" w:cs="Times New Roman"/>
                <w:sz w:val="18"/>
                <w:szCs w:val="18"/>
              </w:rPr>
              <w:t>Relación de los bienes inmuebles que sean de su propiedad o sobre los que ostenten algún derecho real.</w:t>
            </w:r>
          </w:p>
        </w:tc>
        <w:tc>
          <w:tcPr>
            <w:tcW w:w="3685" w:type="dxa"/>
            <w:tcBorders>
              <w:top w:val="single" w:sz="4" w:space="0" w:color="406E8C" w:themeColor="accent6" w:themeShade="BF"/>
              <w:bottom w:val="single" w:sz="4" w:space="0" w:color="325F64" w:themeColor="accent2" w:themeShade="BF"/>
              <w:right w:val="single" w:sz="4" w:space="0" w:color="406E8C" w:themeColor="accent6" w:themeShade="BF"/>
            </w:tcBorders>
          </w:tcPr>
          <w:p w14:paraId="685FB66E" w14:textId="77777777" w:rsidR="00141DBA" w:rsidRPr="00941553" w:rsidRDefault="002F4D73" w:rsidP="001D364C">
            <w:pPr>
              <w:jc w:val="left"/>
              <w:rPr>
                <w:rFonts w:ascii="Mulish" w:hAnsi="Mulish" w:cs="Times New Roman"/>
                <w:sz w:val="18"/>
                <w:szCs w:val="18"/>
              </w:rPr>
            </w:pPr>
            <w:r w:rsidRPr="00941553">
              <w:rPr>
                <w:rFonts w:ascii="Mulish" w:hAnsi="Mulish" w:cs="Times New Roman"/>
                <w:sz w:val="18"/>
                <w:szCs w:val="18"/>
              </w:rPr>
              <w:t>Fundaciones Públicas</w:t>
            </w:r>
          </w:p>
          <w:p w14:paraId="3AE67D17" w14:textId="77777777" w:rsidR="00196E57" w:rsidRPr="00941553" w:rsidRDefault="00196E57" w:rsidP="001D364C">
            <w:pPr>
              <w:jc w:val="left"/>
              <w:rPr>
                <w:rFonts w:ascii="Mulish" w:hAnsi="Mulish" w:cs="Times New Roman"/>
                <w:sz w:val="18"/>
                <w:szCs w:val="18"/>
              </w:rPr>
            </w:pPr>
            <w:r w:rsidRPr="00941553">
              <w:rPr>
                <w:rFonts w:ascii="Mulish" w:hAnsi="Mulish" w:cs="Times New Roman"/>
                <w:sz w:val="18"/>
                <w:szCs w:val="18"/>
              </w:rPr>
              <w:t>Sociedades Mercantiles</w:t>
            </w:r>
          </w:p>
        </w:tc>
      </w:tr>
    </w:tbl>
    <w:p w14:paraId="2E137FC0" w14:textId="77777777" w:rsidR="00E719EF" w:rsidRPr="00941553" w:rsidRDefault="00F07996" w:rsidP="00E719EF">
      <w:pPr>
        <w:rPr>
          <w:rFonts w:ascii="Mulish" w:hAnsi="Mulish"/>
        </w:rPr>
      </w:pPr>
      <w:r w:rsidRPr="00941553">
        <w:rPr>
          <w:rFonts w:ascii="Mulish" w:hAnsi="Mulish"/>
        </w:rPr>
        <w:lastRenderedPageBreak/>
        <w:t>Además</w:t>
      </w:r>
      <w:r w:rsidR="00F30A2C" w:rsidRPr="00941553">
        <w:rPr>
          <w:rFonts w:ascii="Mulish" w:hAnsi="Mulish"/>
        </w:rPr>
        <w:t>,</w:t>
      </w:r>
      <w:r w:rsidRPr="00941553">
        <w:rPr>
          <w:rFonts w:ascii="Mulish" w:hAnsi="Mulish"/>
        </w:rPr>
        <w:t xml:space="preserve"> pueden existir ámbitos en los que </w:t>
      </w:r>
      <w:r w:rsidR="009417A3" w:rsidRPr="00941553">
        <w:rPr>
          <w:rFonts w:ascii="Mulish" w:hAnsi="Mulish"/>
        </w:rPr>
        <w:t>una</w:t>
      </w:r>
      <w:r w:rsidRPr="00941553">
        <w:rPr>
          <w:rFonts w:ascii="Mulish" w:hAnsi="Mulish"/>
        </w:rPr>
        <w:t xml:space="preserve"> </w:t>
      </w:r>
      <w:r w:rsidR="009417A3" w:rsidRPr="00941553">
        <w:rPr>
          <w:rFonts w:ascii="Mulish" w:hAnsi="Mulish"/>
        </w:rPr>
        <w:t>entidad concreta</w:t>
      </w:r>
      <w:r w:rsidRPr="00941553">
        <w:rPr>
          <w:rFonts w:ascii="Mulish" w:hAnsi="Mulish"/>
        </w:rPr>
        <w:t xml:space="preserve"> carezca de competencias para desarrollar las actividades a las que se refiere una determinada obligación de publicidad activa o en un ámbito concreto no haya existido actividad –por ejemplo, que no se haya </w:t>
      </w:r>
      <w:r w:rsidR="001551A7" w:rsidRPr="00941553">
        <w:rPr>
          <w:rFonts w:ascii="Mulish" w:hAnsi="Mulish"/>
        </w:rPr>
        <w:t>suscrito</w:t>
      </w:r>
      <w:r w:rsidRPr="00941553">
        <w:rPr>
          <w:rFonts w:ascii="Mulish" w:hAnsi="Mulish"/>
        </w:rPr>
        <w:t xml:space="preserve"> ningún convenio – o que la información no sea publicable por existir algún tipo de restricción legal.</w:t>
      </w:r>
    </w:p>
    <w:p w14:paraId="3D18A5D1" w14:textId="77777777" w:rsidR="00E719EF" w:rsidRPr="00941553" w:rsidRDefault="00E719EF" w:rsidP="00E719EF">
      <w:pPr>
        <w:rPr>
          <w:rFonts w:ascii="Mulish" w:hAnsi="Mulish"/>
        </w:rPr>
      </w:pPr>
    </w:p>
    <w:p w14:paraId="759E1E2F" w14:textId="77777777" w:rsidR="005F586A" w:rsidRPr="00941553" w:rsidRDefault="000B5A54" w:rsidP="00E719EF">
      <w:pPr>
        <w:pStyle w:val="Ttulo1"/>
        <w:rPr>
          <w:rFonts w:ascii="Mulish" w:hAnsi="Mulish"/>
        </w:rPr>
      </w:pPr>
      <w:bookmarkStart w:id="4" w:name="_Toc169082170"/>
      <w:r w:rsidRPr="00941553">
        <w:rPr>
          <w:rStyle w:val="Ttulo1Car"/>
          <w:rFonts w:ascii="Mulish" w:hAnsi="Mulish"/>
        </w:rPr>
        <w:t xml:space="preserve">III. </w:t>
      </w:r>
      <w:r w:rsidR="005F586A" w:rsidRPr="00941553">
        <w:rPr>
          <w:rStyle w:val="Ttulo1Car"/>
          <w:rFonts w:ascii="Mulish" w:hAnsi="Mulish"/>
        </w:rPr>
        <w:t>Evaluación del cumplimiento de las obligaciones de publicidad activa</w:t>
      </w:r>
      <w:r w:rsidR="00090A3E" w:rsidRPr="00941553">
        <w:rPr>
          <w:rStyle w:val="Ttulo1Car"/>
          <w:rFonts w:ascii="Mulish" w:hAnsi="Mulish"/>
        </w:rPr>
        <w:t xml:space="preserve"> por parte de las </w:t>
      </w:r>
      <w:r w:rsidR="00196E57" w:rsidRPr="00941553">
        <w:rPr>
          <w:rStyle w:val="Ttulo1Car"/>
          <w:rFonts w:ascii="Mulish" w:hAnsi="Mulish"/>
        </w:rPr>
        <w:t>entidades del Sector Público Institucional</w:t>
      </w:r>
      <w:r w:rsidR="00090A3E" w:rsidRPr="00941553">
        <w:rPr>
          <w:rFonts w:ascii="Mulish" w:hAnsi="Mulish"/>
        </w:rPr>
        <w:t>.</w:t>
      </w:r>
      <w:bookmarkEnd w:id="4"/>
    </w:p>
    <w:p w14:paraId="4DF8FA6B" w14:textId="77777777" w:rsidR="009505E3" w:rsidRPr="00941553" w:rsidRDefault="009505E3" w:rsidP="00077CDF">
      <w:pPr>
        <w:pStyle w:val="Ttulo2"/>
        <w:rPr>
          <w:rFonts w:ascii="Mulish" w:hAnsi="Mulish"/>
        </w:rPr>
      </w:pPr>
    </w:p>
    <w:p w14:paraId="63ABB2C3" w14:textId="77777777" w:rsidR="005F586A" w:rsidRPr="00941553" w:rsidRDefault="000B5A54" w:rsidP="00077CDF">
      <w:pPr>
        <w:pStyle w:val="Ttulo2"/>
        <w:rPr>
          <w:rFonts w:ascii="Mulish" w:hAnsi="Mulish"/>
        </w:rPr>
      </w:pPr>
      <w:bookmarkStart w:id="5" w:name="_Toc169082171"/>
      <w:r w:rsidRPr="00941553">
        <w:rPr>
          <w:rFonts w:ascii="Mulish" w:hAnsi="Mulish"/>
        </w:rPr>
        <w:t>III.</w:t>
      </w:r>
      <w:r w:rsidR="009505E3" w:rsidRPr="00941553">
        <w:rPr>
          <w:rFonts w:ascii="Mulish" w:hAnsi="Mulish"/>
        </w:rPr>
        <w:t>1</w:t>
      </w:r>
      <w:r w:rsidRPr="00941553">
        <w:rPr>
          <w:rFonts w:ascii="Mulish" w:hAnsi="Mulish"/>
        </w:rPr>
        <w:t xml:space="preserve"> </w:t>
      </w:r>
      <w:r w:rsidR="00513EC7" w:rsidRPr="00941553">
        <w:rPr>
          <w:rFonts w:ascii="Mulish" w:hAnsi="Mulish"/>
        </w:rPr>
        <w:t>Localización y estructuración de la información</w:t>
      </w:r>
      <w:bookmarkEnd w:id="5"/>
    </w:p>
    <w:p w14:paraId="4CF5BF27" w14:textId="77777777" w:rsidR="00513EC7" w:rsidRPr="00941553" w:rsidRDefault="00513EC7" w:rsidP="00513EC7">
      <w:pPr>
        <w:rPr>
          <w:rFonts w:ascii="Mulish" w:hAnsi="Mulish"/>
        </w:rPr>
      </w:pPr>
    </w:p>
    <w:p w14:paraId="0AB30C9E" w14:textId="1F0B6264" w:rsidR="00235A5B" w:rsidRPr="00941553" w:rsidRDefault="00AC7031" w:rsidP="00235A5B">
      <w:pPr>
        <w:rPr>
          <w:rFonts w:ascii="Mulish" w:hAnsi="Mulish"/>
        </w:rPr>
      </w:pPr>
      <w:r w:rsidRPr="00941553">
        <w:rPr>
          <w:rFonts w:ascii="Mulish" w:hAnsi="Mulish"/>
        </w:rPr>
        <w:t xml:space="preserve">El </w:t>
      </w:r>
      <w:r w:rsidR="00436708">
        <w:rPr>
          <w:rFonts w:ascii="Mulish" w:hAnsi="Mulish"/>
        </w:rPr>
        <w:t>77,3</w:t>
      </w:r>
      <w:r w:rsidRPr="00941553">
        <w:rPr>
          <w:rFonts w:ascii="Mulish" w:hAnsi="Mulish"/>
        </w:rPr>
        <w:t>%</w:t>
      </w:r>
      <w:r w:rsidR="00144DA6" w:rsidRPr="00941553">
        <w:rPr>
          <w:rFonts w:ascii="Mulish" w:hAnsi="Mulish"/>
        </w:rPr>
        <w:t xml:space="preserve"> de las</w:t>
      </w:r>
      <w:r w:rsidR="00235A5B" w:rsidRPr="00941553">
        <w:rPr>
          <w:rFonts w:ascii="Mulish" w:hAnsi="Mulish"/>
        </w:rPr>
        <w:t xml:space="preserve"> entidades evaluadas </w:t>
      </w:r>
      <w:r w:rsidR="00144DA6" w:rsidRPr="00941553">
        <w:rPr>
          <w:rFonts w:ascii="Mulish" w:hAnsi="Mulish"/>
        </w:rPr>
        <w:t>dispone de un</w:t>
      </w:r>
      <w:r w:rsidR="00235A5B" w:rsidRPr="00941553">
        <w:rPr>
          <w:rFonts w:ascii="Mulish" w:hAnsi="Mulish"/>
        </w:rPr>
        <w:t xml:space="preserve"> Portal de Transparencia</w:t>
      </w:r>
      <w:r w:rsidR="00144DA6" w:rsidRPr="00941553">
        <w:rPr>
          <w:rFonts w:ascii="Mulish" w:hAnsi="Mulish"/>
        </w:rPr>
        <w:t xml:space="preserve"> en su web institucional</w:t>
      </w:r>
      <w:r w:rsidR="00235A5B" w:rsidRPr="00941553">
        <w:rPr>
          <w:rFonts w:ascii="Mulish" w:hAnsi="Mulish"/>
        </w:rPr>
        <w:t>.</w:t>
      </w:r>
      <w:r w:rsidR="00144DA6" w:rsidRPr="00941553">
        <w:rPr>
          <w:rFonts w:ascii="Mulish" w:hAnsi="Mulish"/>
        </w:rPr>
        <w:t xml:space="preserve"> De ellas</w:t>
      </w:r>
      <w:r w:rsidR="00F30A2C" w:rsidRPr="00941553">
        <w:rPr>
          <w:rFonts w:ascii="Mulish" w:hAnsi="Mulish"/>
        </w:rPr>
        <w:t>,</w:t>
      </w:r>
      <w:r w:rsidR="00144DA6" w:rsidRPr="00941553">
        <w:rPr>
          <w:rFonts w:ascii="Mulish" w:hAnsi="Mulish"/>
        </w:rPr>
        <w:t xml:space="preserve"> un </w:t>
      </w:r>
      <w:r w:rsidR="00436708">
        <w:rPr>
          <w:rFonts w:ascii="Mulish" w:hAnsi="Mulish"/>
        </w:rPr>
        <w:t>65,7</w:t>
      </w:r>
      <w:r w:rsidR="00144DA6" w:rsidRPr="00941553">
        <w:rPr>
          <w:rFonts w:ascii="Mulish" w:hAnsi="Mulish"/>
        </w:rPr>
        <w:t>% da acceso a este Portal mediante un banner ubicado en un lugar visible de la página principal</w:t>
      </w:r>
      <w:r w:rsidR="00F30A2C" w:rsidRPr="00941553">
        <w:rPr>
          <w:rFonts w:ascii="Mulish" w:hAnsi="Mulish"/>
        </w:rPr>
        <w:t>,</w:t>
      </w:r>
      <w:r w:rsidR="00144DA6" w:rsidRPr="00941553">
        <w:rPr>
          <w:rFonts w:ascii="Mulish" w:hAnsi="Mulish"/>
        </w:rPr>
        <w:t xml:space="preserve"> mientras que el </w:t>
      </w:r>
      <w:r w:rsidR="00436708">
        <w:rPr>
          <w:rFonts w:ascii="Mulish" w:hAnsi="Mulish"/>
        </w:rPr>
        <w:t>34,3</w:t>
      </w:r>
      <w:r w:rsidR="00144DA6" w:rsidRPr="00941553">
        <w:rPr>
          <w:rFonts w:ascii="Mulish" w:hAnsi="Mulish"/>
        </w:rPr>
        <w:t>% restante enlaza a</w:t>
      </w:r>
      <w:r w:rsidR="004856CF" w:rsidRPr="00941553">
        <w:rPr>
          <w:rFonts w:ascii="Mulish" w:hAnsi="Mulish"/>
        </w:rPr>
        <w:t xml:space="preserve"> su</w:t>
      </w:r>
      <w:r w:rsidR="00144DA6" w:rsidRPr="00941553">
        <w:rPr>
          <w:rFonts w:ascii="Mulish" w:hAnsi="Mulish"/>
        </w:rPr>
        <w:t xml:space="preserve"> Portal a través de un link dependiente de alguno de los accesos principales de la página de inicio.  </w:t>
      </w:r>
    </w:p>
    <w:p w14:paraId="11F7CDE3" w14:textId="51D1A445" w:rsidR="00900909" w:rsidRPr="00941553" w:rsidRDefault="00436708" w:rsidP="00235A5B">
      <w:pPr>
        <w:rPr>
          <w:rFonts w:ascii="Mulish" w:hAnsi="Mulish"/>
        </w:rPr>
      </w:pPr>
      <w:r>
        <w:rPr>
          <w:rFonts w:ascii="Mulish" w:hAnsi="Mulish"/>
        </w:rPr>
        <w:t>Casi el 23</w:t>
      </w:r>
      <w:r w:rsidR="005140D7" w:rsidRPr="00941553">
        <w:rPr>
          <w:rFonts w:ascii="Mulish" w:hAnsi="Mulish"/>
        </w:rPr>
        <w:t>%</w:t>
      </w:r>
      <w:r w:rsidR="00AC7031" w:rsidRPr="00941553">
        <w:rPr>
          <w:rFonts w:ascii="Mulish" w:hAnsi="Mulish"/>
        </w:rPr>
        <w:t xml:space="preserve"> de las entidades evaluadas carece de un espacio específico para la publicación de las informaciones obligatorias, lo que obliga a recorrer los distintos accesos y apartados de sus webs institucionales para localizar esta información. </w:t>
      </w:r>
    </w:p>
    <w:p w14:paraId="6AA231B0" w14:textId="6AFA3114" w:rsidR="00144DA6" w:rsidRPr="00941553" w:rsidRDefault="00235A5B" w:rsidP="00235A5B">
      <w:pPr>
        <w:rPr>
          <w:rFonts w:ascii="Mulish" w:hAnsi="Mulish"/>
        </w:rPr>
      </w:pPr>
      <w:r w:rsidRPr="00941553">
        <w:rPr>
          <w:rFonts w:ascii="Mulish" w:hAnsi="Mulish"/>
        </w:rPr>
        <w:t>La información se estructura conforme a los bloques de obligaciones en materia de publicidad activa que establece la LTAIBG</w:t>
      </w:r>
      <w:r w:rsidR="00144DA6" w:rsidRPr="00941553">
        <w:rPr>
          <w:rFonts w:ascii="Mulish" w:hAnsi="Mulish"/>
        </w:rPr>
        <w:t xml:space="preserve"> en el </w:t>
      </w:r>
      <w:r w:rsidR="001F0A3E">
        <w:rPr>
          <w:rFonts w:ascii="Mulish" w:hAnsi="Mulish"/>
        </w:rPr>
        <w:t>34,4</w:t>
      </w:r>
      <w:r w:rsidR="00144DA6" w:rsidRPr="00941553">
        <w:rPr>
          <w:rFonts w:ascii="Mulish" w:hAnsi="Mulish"/>
        </w:rPr>
        <w:t xml:space="preserve">% de los casos. Un </w:t>
      </w:r>
      <w:r w:rsidR="005140D7" w:rsidRPr="00941553">
        <w:rPr>
          <w:rFonts w:ascii="Mulish" w:hAnsi="Mulish"/>
        </w:rPr>
        <w:t>3</w:t>
      </w:r>
      <w:r w:rsidR="001F0A3E">
        <w:rPr>
          <w:rFonts w:ascii="Mulish" w:hAnsi="Mulish"/>
        </w:rPr>
        <w:t>8</w:t>
      </w:r>
      <w:r w:rsidR="005140D7" w:rsidRPr="00941553">
        <w:rPr>
          <w:rFonts w:ascii="Mulish" w:hAnsi="Mulish"/>
        </w:rPr>
        <w:t>,3%</w:t>
      </w:r>
      <w:r w:rsidR="00144DA6" w:rsidRPr="00941553">
        <w:rPr>
          <w:rFonts w:ascii="Mulish" w:hAnsi="Mulish"/>
        </w:rPr>
        <w:t xml:space="preserve"> adicional presenta la información obligatoria organizada</w:t>
      </w:r>
      <w:r w:rsidR="00F30A2C" w:rsidRPr="00941553">
        <w:rPr>
          <w:rFonts w:ascii="Mulish" w:hAnsi="Mulish"/>
        </w:rPr>
        <w:t>,</w:t>
      </w:r>
      <w:r w:rsidR="00144DA6" w:rsidRPr="00941553">
        <w:rPr>
          <w:rFonts w:ascii="Mulish" w:hAnsi="Mulish"/>
        </w:rPr>
        <w:t xml:space="preserve"> pero siguiendo un patrón diferente del establecido por la LTAIBG. En un </w:t>
      </w:r>
      <w:r w:rsidR="001F0A3E">
        <w:rPr>
          <w:rFonts w:ascii="Mulish" w:hAnsi="Mulish"/>
        </w:rPr>
        <w:t>26,6</w:t>
      </w:r>
      <w:r w:rsidR="00144DA6" w:rsidRPr="00941553">
        <w:rPr>
          <w:rFonts w:ascii="Mulish" w:hAnsi="Mulish"/>
        </w:rPr>
        <w:t xml:space="preserve">% de los casos la información está dispersa y se localiza en diferentes lugares de la web institucional. </w:t>
      </w:r>
    </w:p>
    <w:p w14:paraId="6B591DED" w14:textId="727D685D" w:rsidR="00152FBA" w:rsidRPr="00941553" w:rsidRDefault="005140D7" w:rsidP="00235A5B">
      <w:pPr>
        <w:rPr>
          <w:rFonts w:ascii="Mulish" w:hAnsi="Mulish"/>
        </w:rPr>
      </w:pPr>
      <w:r w:rsidRPr="00941553">
        <w:rPr>
          <w:rFonts w:ascii="Mulish" w:hAnsi="Mulish"/>
        </w:rPr>
        <w:t>El</w:t>
      </w:r>
      <w:r w:rsidR="00900909" w:rsidRPr="00941553">
        <w:rPr>
          <w:rFonts w:ascii="Mulish" w:hAnsi="Mulish"/>
        </w:rPr>
        <w:t xml:space="preserve"> </w:t>
      </w:r>
      <w:r w:rsidR="001F0A3E">
        <w:rPr>
          <w:rFonts w:ascii="Mulish" w:hAnsi="Mulish"/>
        </w:rPr>
        <w:t>59,1</w:t>
      </w:r>
      <w:r w:rsidR="00900909" w:rsidRPr="00941553">
        <w:rPr>
          <w:rFonts w:ascii="Mulish" w:hAnsi="Mulish"/>
        </w:rPr>
        <w:t xml:space="preserve">% de </w:t>
      </w:r>
      <w:r w:rsidR="001F0A3E">
        <w:rPr>
          <w:rFonts w:ascii="Mulish" w:hAnsi="Mulish"/>
        </w:rPr>
        <w:t>las entidades</w:t>
      </w:r>
      <w:r w:rsidR="00900909" w:rsidRPr="00941553">
        <w:rPr>
          <w:rFonts w:ascii="Mulish" w:hAnsi="Mulish"/>
        </w:rPr>
        <w:t xml:space="preserve"> que disponen de Portal de Transparencia, </w:t>
      </w:r>
      <w:r w:rsidR="00144DA6" w:rsidRPr="00941553">
        <w:rPr>
          <w:rFonts w:ascii="Mulish" w:hAnsi="Mulish"/>
        </w:rPr>
        <w:t xml:space="preserve">publica </w:t>
      </w:r>
      <w:r w:rsidR="00152FBA" w:rsidRPr="00941553">
        <w:rPr>
          <w:rFonts w:ascii="Mulish" w:hAnsi="Mulish"/>
        </w:rPr>
        <w:t>informaciones sujetas a obligaciones de publicidad activa en otros apartados de su web institucional</w:t>
      </w:r>
      <w:r w:rsidR="001551A7" w:rsidRPr="00941553">
        <w:rPr>
          <w:rFonts w:ascii="Mulish" w:hAnsi="Mulish"/>
        </w:rPr>
        <w:t>,</w:t>
      </w:r>
      <w:r w:rsidR="00152FBA" w:rsidRPr="00941553">
        <w:rPr>
          <w:rFonts w:ascii="Mulish" w:hAnsi="Mulish"/>
        </w:rPr>
        <w:t xml:space="preserve"> distintos del </w:t>
      </w:r>
      <w:r w:rsidR="004856CF" w:rsidRPr="00941553">
        <w:rPr>
          <w:rFonts w:ascii="Mulish" w:hAnsi="Mulish"/>
        </w:rPr>
        <w:t>P</w:t>
      </w:r>
      <w:r w:rsidR="00152FBA" w:rsidRPr="00941553">
        <w:rPr>
          <w:rFonts w:ascii="Mulish" w:hAnsi="Mulish"/>
        </w:rPr>
        <w:t>ortal de Transparencia.</w:t>
      </w:r>
    </w:p>
    <w:p w14:paraId="54DE0A01" w14:textId="118F0397" w:rsidR="009005BB" w:rsidRDefault="009005BB" w:rsidP="00235A5B">
      <w:pPr>
        <w:rPr>
          <w:rFonts w:ascii="Mulish" w:hAnsi="Mulish"/>
        </w:rPr>
      </w:pPr>
    </w:p>
    <w:p w14:paraId="368970CD" w14:textId="51B9441C" w:rsidR="001F0A3E" w:rsidRDefault="001F0A3E" w:rsidP="00235A5B">
      <w:pPr>
        <w:rPr>
          <w:rFonts w:ascii="Mulish" w:hAnsi="Mulish"/>
        </w:rPr>
      </w:pPr>
    </w:p>
    <w:p w14:paraId="4B76C5A1" w14:textId="7355D2DD" w:rsidR="001F0A3E" w:rsidRDefault="001F0A3E" w:rsidP="00235A5B">
      <w:pPr>
        <w:rPr>
          <w:rFonts w:ascii="Mulish" w:hAnsi="Mulish"/>
        </w:rPr>
      </w:pPr>
    </w:p>
    <w:p w14:paraId="3E875ED2" w14:textId="77777777" w:rsidR="001F0A3E" w:rsidRPr="00941553" w:rsidRDefault="001F0A3E" w:rsidP="00235A5B">
      <w:pPr>
        <w:rPr>
          <w:rFonts w:ascii="Mulish" w:hAnsi="Mulish"/>
        </w:rPr>
      </w:pPr>
    </w:p>
    <w:p w14:paraId="65329A68" w14:textId="77777777" w:rsidR="00513EC7" w:rsidRPr="00941553" w:rsidRDefault="00984881" w:rsidP="00984881">
      <w:pPr>
        <w:pStyle w:val="Ttulo2"/>
        <w:rPr>
          <w:rFonts w:ascii="Mulish" w:hAnsi="Mulish"/>
        </w:rPr>
      </w:pPr>
      <w:bookmarkStart w:id="6" w:name="_Toc169082172"/>
      <w:r w:rsidRPr="00941553">
        <w:rPr>
          <w:rFonts w:ascii="Mulish" w:hAnsi="Mulish"/>
        </w:rPr>
        <w:lastRenderedPageBreak/>
        <w:t>III</w:t>
      </w:r>
      <w:r w:rsidR="000B5A54" w:rsidRPr="00941553">
        <w:rPr>
          <w:rFonts w:ascii="Mulish" w:hAnsi="Mulish"/>
        </w:rPr>
        <w:t>.</w:t>
      </w:r>
      <w:r w:rsidR="00D24B74" w:rsidRPr="00941553">
        <w:rPr>
          <w:rFonts w:ascii="Mulish" w:hAnsi="Mulish"/>
        </w:rPr>
        <w:t>3</w:t>
      </w:r>
      <w:r w:rsidR="000B5A54" w:rsidRPr="00941553">
        <w:rPr>
          <w:rFonts w:ascii="Mulish" w:hAnsi="Mulish"/>
        </w:rPr>
        <w:t xml:space="preserve">. </w:t>
      </w:r>
      <w:r w:rsidR="00E924EF" w:rsidRPr="00941553">
        <w:rPr>
          <w:rFonts w:ascii="Mulish" w:hAnsi="Mulish"/>
        </w:rPr>
        <w:t>Cumplimiento de las o</w:t>
      </w:r>
      <w:r w:rsidR="00513EC7" w:rsidRPr="00941553">
        <w:rPr>
          <w:rFonts w:ascii="Mulish" w:hAnsi="Mulish"/>
        </w:rPr>
        <w:t>bligaciones de publicidad activa</w:t>
      </w:r>
      <w:bookmarkEnd w:id="6"/>
    </w:p>
    <w:p w14:paraId="615A8403" w14:textId="77777777" w:rsidR="00513EC7" w:rsidRPr="00941553" w:rsidRDefault="00513EC7" w:rsidP="00513EC7">
      <w:pPr>
        <w:rPr>
          <w:rFonts w:ascii="Mulish" w:hAnsi="Mulish"/>
        </w:rPr>
      </w:pPr>
    </w:p>
    <w:p w14:paraId="68874712" w14:textId="5D97018D" w:rsidR="00900909" w:rsidRPr="00941553" w:rsidRDefault="00900909" w:rsidP="00900909">
      <w:pPr>
        <w:pStyle w:val="Ttulo3"/>
        <w:rPr>
          <w:rFonts w:ascii="Mulish" w:hAnsi="Mulish"/>
        </w:rPr>
      </w:pPr>
      <w:bookmarkStart w:id="7" w:name="_Toc169082173"/>
      <w:r w:rsidRPr="00941553">
        <w:rPr>
          <w:rFonts w:ascii="Mulish" w:hAnsi="Mulish"/>
        </w:rPr>
        <w:t>III.3.1 Grado de aplicación de las recomendaciones derivadas de la evaluación 202</w:t>
      </w:r>
      <w:r w:rsidR="001F0A3E">
        <w:rPr>
          <w:rFonts w:ascii="Mulish" w:hAnsi="Mulish"/>
        </w:rPr>
        <w:t>3</w:t>
      </w:r>
      <w:r w:rsidRPr="00941553">
        <w:rPr>
          <w:rFonts w:ascii="Mulish" w:hAnsi="Mulish"/>
        </w:rPr>
        <w:t>.</w:t>
      </w:r>
      <w:bookmarkEnd w:id="7"/>
      <w:r w:rsidRPr="00941553">
        <w:rPr>
          <w:rFonts w:ascii="Mulish" w:hAnsi="Mulish"/>
        </w:rPr>
        <w:t xml:space="preserve"> </w:t>
      </w:r>
    </w:p>
    <w:p w14:paraId="28BE7188" w14:textId="77777777" w:rsidR="00900909" w:rsidRPr="00941553" w:rsidRDefault="00900909" w:rsidP="00900909">
      <w:pPr>
        <w:pStyle w:val="Ttulo3"/>
        <w:rPr>
          <w:rFonts w:ascii="Mulish" w:hAnsi="Mulish"/>
        </w:rPr>
      </w:pPr>
    </w:p>
    <w:p w14:paraId="2D1628C7" w14:textId="0168E000" w:rsidR="00900909" w:rsidRPr="00941553" w:rsidRDefault="00900909" w:rsidP="00900909">
      <w:pPr>
        <w:rPr>
          <w:rFonts w:ascii="Mulish" w:hAnsi="Mulish"/>
        </w:rPr>
      </w:pPr>
      <w:r w:rsidRPr="000401B0">
        <w:rPr>
          <w:rFonts w:ascii="Mulish" w:hAnsi="Mulish"/>
        </w:rPr>
        <w:t>En 202</w:t>
      </w:r>
      <w:r w:rsidR="009769D3">
        <w:rPr>
          <w:rFonts w:ascii="Mulish" w:hAnsi="Mulish"/>
        </w:rPr>
        <w:t>3</w:t>
      </w:r>
      <w:r w:rsidR="00E84BCE" w:rsidRPr="000401B0">
        <w:rPr>
          <w:rFonts w:ascii="Mulish" w:hAnsi="Mulish"/>
        </w:rPr>
        <w:t xml:space="preserve"> </w:t>
      </w:r>
      <w:r w:rsidRPr="000401B0">
        <w:rPr>
          <w:rFonts w:ascii="Mulish" w:hAnsi="Mulish"/>
        </w:rPr>
        <w:t xml:space="preserve">se efectuaron un total de </w:t>
      </w:r>
      <w:r w:rsidR="000401B0">
        <w:rPr>
          <w:rFonts w:ascii="Mulish" w:hAnsi="Mulish"/>
        </w:rPr>
        <w:t>9</w:t>
      </w:r>
      <w:r w:rsidR="00E84BCE" w:rsidRPr="000401B0">
        <w:rPr>
          <w:rFonts w:ascii="Mulish" w:hAnsi="Mulish"/>
        </w:rPr>
        <w:t>95</w:t>
      </w:r>
      <w:r w:rsidRPr="000401B0">
        <w:rPr>
          <w:rFonts w:ascii="Mulish" w:hAnsi="Mulish"/>
        </w:rPr>
        <w:t xml:space="preserve"> recomendaciones a partir de las evidencias obtenidas en la evaluación correspondiente a dicho año. De estas </w:t>
      </w:r>
      <w:r w:rsidR="009769D3">
        <w:rPr>
          <w:rFonts w:ascii="Mulish" w:hAnsi="Mulish"/>
        </w:rPr>
        <w:t>9</w:t>
      </w:r>
      <w:r w:rsidR="00E84BCE" w:rsidRPr="000401B0">
        <w:rPr>
          <w:rFonts w:ascii="Mulish" w:hAnsi="Mulish"/>
        </w:rPr>
        <w:t>95</w:t>
      </w:r>
      <w:r w:rsidRPr="000401B0">
        <w:rPr>
          <w:rFonts w:ascii="Mulish" w:hAnsi="Mulish"/>
        </w:rPr>
        <w:t xml:space="preserve"> recomendaciones</w:t>
      </w:r>
      <w:r w:rsidR="00A25618" w:rsidRPr="000401B0">
        <w:rPr>
          <w:rFonts w:ascii="Mulish" w:hAnsi="Mulish"/>
        </w:rPr>
        <w:t>,</w:t>
      </w:r>
      <w:r w:rsidRPr="000401B0">
        <w:rPr>
          <w:rFonts w:ascii="Mulish" w:hAnsi="Mulish"/>
        </w:rPr>
        <w:t xml:space="preserve"> se han aplicado </w:t>
      </w:r>
      <w:r w:rsidR="009769D3">
        <w:rPr>
          <w:rFonts w:ascii="Mulish" w:hAnsi="Mulish"/>
        </w:rPr>
        <w:t>4</w:t>
      </w:r>
      <w:r w:rsidR="00E84BCE" w:rsidRPr="000401B0">
        <w:rPr>
          <w:rFonts w:ascii="Mulish" w:hAnsi="Mulish"/>
        </w:rPr>
        <w:t>52</w:t>
      </w:r>
      <w:r w:rsidRPr="000401B0">
        <w:rPr>
          <w:rFonts w:ascii="Mulish" w:hAnsi="Mulish"/>
        </w:rPr>
        <w:t xml:space="preserve">, lo que representa un </w:t>
      </w:r>
      <w:r w:rsidR="009769D3">
        <w:rPr>
          <w:rFonts w:ascii="Mulish" w:hAnsi="Mulish"/>
        </w:rPr>
        <w:t xml:space="preserve">45,4 </w:t>
      </w:r>
      <w:r w:rsidRPr="000401B0">
        <w:rPr>
          <w:rFonts w:ascii="Mulish" w:hAnsi="Mulish"/>
        </w:rPr>
        <w:t>del total.</w:t>
      </w:r>
      <w:r w:rsidR="00E84BCE" w:rsidRPr="000401B0">
        <w:rPr>
          <w:rFonts w:ascii="Mulish" w:hAnsi="Mulish"/>
        </w:rPr>
        <w:t xml:space="preserve"> Esta proporción </w:t>
      </w:r>
      <w:r w:rsidR="009769D3">
        <w:rPr>
          <w:rFonts w:ascii="Mulish" w:hAnsi="Mulish"/>
        </w:rPr>
        <w:t>aumenta</w:t>
      </w:r>
      <w:r w:rsidR="00E84BCE" w:rsidRPr="000401B0">
        <w:rPr>
          <w:rFonts w:ascii="Mulish" w:hAnsi="Mulish"/>
        </w:rPr>
        <w:t xml:space="preserve"> ligeramente – </w:t>
      </w:r>
      <w:r w:rsidR="009769D3">
        <w:rPr>
          <w:rFonts w:ascii="Mulish" w:hAnsi="Mulish"/>
        </w:rPr>
        <w:t>6,9</w:t>
      </w:r>
      <w:r w:rsidR="00E84BCE" w:rsidRPr="000401B0">
        <w:rPr>
          <w:rFonts w:ascii="Mulish" w:hAnsi="Mulish"/>
        </w:rPr>
        <w:t xml:space="preserve"> punto</w:t>
      </w:r>
      <w:r w:rsidR="009769D3">
        <w:rPr>
          <w:rFonts w:ascii="Mulish" w:hAnsi="Mulish"/>
        </w:rPr>
        <w:t>s</w:t>
      </w:r>
      <w:r w:rsidR="00E84BCE" w:rsidRPr="000401B0">
        <w:rPr>
          <w:rFonts w:ascii="Mulish" w:hAnsi="Mulish"/>
        </w:rPr>
        <w:t xml:space="preserve"> porcentual</w:t>
      </w:r>
      <w:r w:rsidR="009769D3">
        <w:rPr>
          <w:rFonts w:ascii="Mulish" w:hAnsi="Mulish"/>
        </w:rPr>
        <w:t>es (en adelante, p.p.)</w:t>
      </w:r>
      <w:r w:rsidR="00E84BCE" w:rsidRPr="000401B0">
        <w:rPr>
          <w:rFonts w:ascii="Mulish" w:hAnsi="Mulish"/>
        </w:rPr>
        <w:t xml:space="preserve"> - respecto de 202</w:t>
      </w:r>
      <w:r w:rsidR="007D3316">
        <w:rPr>
          <w:rFonts w:ascii="Mulish" w:hAnsi="Mulish"/>
        </w:rPr>
        <w:t>3</w:t>
      </w:r>
      <w:r w:rsidR="00E84BCE" w:rsidRPr="000401B0">
        <w:rPr>
          <w:rFonts w:ascii="Mulish" w:hAnsi="Mulish"/>
        </w:rPr>
        <w:t>.</w:t>
      </w:r>
    </w:p>
    <w:p w14:paraId="462720E0" w14:textId="270181C2" w:rsidR="009A0015" w:rsidRPr="00941553" w:rsidRDefault="009A0015" w:rsidP="009A0015">
      <w:pPr>
        <w:pStyle w:val="Descripcin"/>
        <w:keepNext/>
        <w:rPr>
          <w:rFonts w:ascii="Mulish" w:hAnsi="Mulish"/>
          <w:bCs w:val="0"/>
          <w:color w:val="438086" w:themeColor="accent2"/>
          <w:sz w:val="22"/>
          <w:szCs w:val="22"/>
        </w:rPr>
      </w:pPr>
      <w:r w:rsidRPr="00941553">
        <w:rPr>
          <w:rFonts w:ascii="Mulish" w:hAnsi="Mulish"/>
          <w:bCs w:val="0"/>
          <w:color w:val="438086" w:themeColor="accent2"/>
          <w:sz w:val="22"/>
          <w:szCs w:val="22"/>
        </w:rPr>
        <w:t xml:space="preserve">Gráfico </w:t>
      </w:r>
      <w:r w:rsidRPr="00941553">
        <w:rPr>
          <w:rFonts w:ascii="Mulish" w:hAnsi="Mulish"/>
          <w:bCs w:val="0"/>
          <w:color w:val="438086" w:themeColor="accent2"/>
          <w:sz w:val="22"/>
          <w:szCs w:val="22"/>
        </w:rPr>
        <w:fldChar w:fldCharType="begin"/>
      </w:r>
      <w:r w:rsidRPr="00941553">
        <w:rPr>
          <w:rFonts w:ascii="Mulish" w:hAnsi="Mulish"/>
          <w:bCs w:val="0"/>
          <w:color w:val="438086" w:themeColor="accent2"/>
          <w:sz w:val="22"/>
          <w:szCs w:val="22"/>
        </w:rPr>
        <w:instrText xml:space="preserve"> SEQ Gráfico \* ARABIC </w:instrText>
      </w:r>
      <w:r w:rsidRPr="00941553">
        <w:rPr>
          <w:rFonts w:ascii="Mulish" w:hAnsi="Mulish"/>
          <w:bCs w:val="0"/>
          <w:color w:val="438086" w:themeColor="accent2"/>
          <w:sz w:val="22"/>
          <w:szCs w:val="22"/>
        </w:rPr>
        <w:fldChar w:fldCharType="separate"/>
      </w:r>
      <w:r w:rsidRPr="00941553">
        <w:rPr>
          <w:rFonts w:ascii="Mulish" w:hAnsi="Mulish"/>
          <w:bCs w:val="0"/>
          <w:color w:val="438086" w:themeColor="accent2"/>
          <w:sz w:val="22"/>
          <w:szCs w:val="22"/>
        </w:rPr>
        <w:t>1</w:t>
      </w:r>
      <w:r w:rsidRPr="00941553">
        <w:rPr>
          <w:rFonts w:ascii="Mulish" w:hAnsi="Mulish"/>
          <w:bCs w:val="0"/>
          <w:color w:val="438086" w:themeColor="accent2"/>
          <w:sz w:val="22"/>
          <w:szCs w:val="22"/>
        </w:rPr>
        <w:fldChar w:fldCharType="end"/>
      </w:r>
      <w:r w:rsidRPr="00941553">
        <w:rPr>
          <w:rFonts w:ascii="Mulish" w:hAnsi="Mulish"/>
          <w:bCs w:val="0"/>
          <w:color w:val="438086" w:themeColor="accent2"/>
          <w:sz w:val="22"/>
          <w:szCs w:val="22"/>
        </w:rPr>
        <w:t>: Grado de aplicación de las recomendaciones derivadas de la evaluación 202</w:t>
      </w:r>
      <w:r w:rsidR="00227493">
        <w:rPr>
          <w:rFonts w:ascii="Mulish" w:hAnsi="Mulish"/>
          <w:bCs w:val="0"/>
          <w:color w:val="438086" w:themeColor="accent2"/>
          <w:sz w:val="22"/>
          <w:szCs w:val="22"/>
        </w:rPr>
        <w:t>3</w:t>
      </w:r>
      <w:r w:rsidRPr="00941553">
        <w:rPr>
          <w:rFonts w:ascii="Mulish" w:hAnsi="Mulish"/>
          <w:bCs w:val="0"/>
          <w:color w:val="438086" w:themeColor="accent2"/>
          <w:sz w:val="22"/>
          <w:szCs w:val="22"/>
        </w:rPr>
        <w:t>.</w:t>
      </w:r>
    </w:p>
    <w:p w14:paraId="66250F42" w14:textId="05ABD226" w:rsidR="009A0015" w:rsidRPr="00941553" w:rsidRDefault="00227493" w:rsidP="00900909">
      <w:pPr>
        <w:rPr>
          <w:rFonts w:ascii="Mulish" w:hAnsi="Mulish"/>
        </w:rPr>
      </w:pPr>
      <w:r>
        <w:rPr>
          <w:noProof/>
        </w:rPr>
        <w:drawing>
          <wp:inline distT="0" distB="0" distL="0" distR="0" wp14:anchorId="2BA9A431" wp14:editId="159A1886">
            <wp:extent cx="5778500" cy="2965450"/>
            <wp:effectExtent l="0" t="0" r="12700" b="6350"/>
            <wp:docPr id="4" name="Gráfico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C747AB" w14:textId="7C6D2550" w:rsidR="00900909" w:rsidRPr="00941553" w:rsidRDefault="009A0015" w:rsidP="00900909">
      <w:pPr>
        <w:rPr>
          <w:rFonts w:ascii="Mulish" w:hAnsi="Mulish"/>
        </w:rPr>
      </w:pPr>
      <w:r w:rsidRPr="00941553">
        <w:rPr>
          <w:rFonts w:ascii="Mulish" w:hAnsi="Mulish"/>
        </w:rPr>
        <w:t xml:space="preserve">El </w:t>
      </w:r>
      <w:r w:rsidR="00227493">
        <w:rPr>
          <w:rFonts w:ascii="Mulish" w:hAnsi="Mulish"/>
        </w:rPr>
        <w:t>28,1</w:t>
      </w:r>
      <w:r w:rsidR="00E84BCE" w:rsidRPr="00941553">
        <w:rPr>
          <w:rFonts w:ascii="Mulish" w:hAnsi="Mulish"/>
        </w:rPr>
        <w:t xml:space="preserve">% </w:t>
      </w:r>
      <w:r w:rsidR="00900909" w:rsidRPr="00941553">
        <w:rPr>
          <w:rFonts w:ascii="Mulish" w:hAnsi="Mulish"/>
        </w:rPr>
        <w:t xml:space="preserve">de </w:t>
      </w:r>
      <w:r w:rsidRPr="00941553">
        <w:rPr>
          <w:rFonts w:ascii="Mulish" w:hAnsi="Mulish"/>
        </w:rPr>
        <w:t>las entidades evaluadas por primera vez en 202</w:t>
      </w:r>
      <w:r w:rsidR="007D3316">
        <w:rPr>
          <w:rFonts w:ascii="Mulish" w:hAnsi="Mulish"/>
        </w:rPr>
        <w:t>3</w:t>
      </w:r>
      <w:r w:rsidRPr="00941553">
        <w:rPr>
          <w:rFonts w:ascii="Mulish" w:hAnsi="Mulish"/>
        </w:rPr>
        <w:t>, ha aplicado el 8</w:t>
      </w:r>
      <w:r w:rsidR="00900909" w:rsidRPr="00941553">
        <w:rPr>
          <w:rFonts w:ascii="Mulish" w:hAnsi="Mulish"/>
        </w:rPr>
        <w:t xml:space="preserve">0% </w:t>
      </w:r>
      <w:r w:rsidRPr="00941553">
        <w:rPr>
          <w:rFonts w:ascii="Mulish" w:hAnsi="Mulish"/>
        </w:rPr>
        <w:t xml:space="preserve">o más </w:t>
      </w:r>
      <w:r w:rsidR="00900909" w:rsidRPr="00941553">
        <w:rPr>
          <w:rFonts w:ascii="Mulish" w:hAnsi="Mulish"/>
        </w:rPr>
        <w:t xml:space="preserve">de las recomendaciones efectuadas. En estas instituciones, el incremento medio del Índice de Cumplimiento de la Información Obligatoria asciende a </w:t>
      </w:r>
      <w:r w:rsidR="009D7F2E">
        <w:rPr>
          <w:rFonts w:ascii="Mulish" w:hAnsi="Mulish"/>
        </w:rPr>
        <w:t>38,3</w:t>
      </w:r>
      <w:r w:rsidR="00900909" w:rsidRPr="00941553">
        <w:rPr>
          <w:rFonts w:ascii="Mulish" w:hAnsi="Mulish"/>
        </w:rPr>
        <w:t xml:space="preserve"> </w:t>
      </w:r>
      <w:r w:rsidR="009D7F2E">
        <w:rPr>
          <w:rFonts w:ascii="Mulish" w:hAnsi="Mulish"/>
        </w:rPr>
        <w:t>p.p.</w:t>
      </w:r>
      <w:r w:rsidR="00F30A2C" w:rsidRPr="00941553">
        <w:rPr>
          <w:rFonts w:ascii="Mulish" w:hAnsi="Mulish"/>
        </w:rPr>
        <w:t>,</w:t>
      </w:r>
      <w:r w:rsidR="00900909" w:rsidRPr="00941553">
        <w:rPr>
          <w:rFonts w:ascii="Mulish" w:hAnsi="Mulish"/>
        </w:rPr>
        <w:t xml:space="preserve"> con un rango de variación que oscila entre </w:t>
      </w:r>
      <w:r w:rsidR="009D7F2E">
        <w:rPr>
          <w:rFonts w:ascii="Mulish" w:hAnsi="Mulish"/>
        </w:rPr>
        <w:t>26</w:t>
      </w:r>
      <w:r w:rsidR="00900909" w:rsidRPr="00941553">
        <w:rPr>
          <w:rFonts w:ascii="Mulish" w:hAnsi="Mulish"/>
        </w:rPr>
        <w:t xml:space="preserve"> y </w:t>
      </w:r>
      <w:r w:rsidR="009D7F2E">
        <w:rPr>
          <w:rFonts w:ascii="Mulish" w:hAnsi="Mulish"/>
        </w:rPr>
        <w:t>78,6</w:t>
      </w:r>
      <w:r w:rsidR="00900909" w:rsidRPr="00941553">
        <w:rPr>
          <w:rFonts w:ascii="Mulish" w:hAnsi="Mulish"/>
        </w:rPr>
        <w:t xml:space="preserve"> </w:t>
      </w:r>
      <w:r w:rsidR="009D7F2E">
        <w:rPr>
          <w:rFonts w:ascii="Mulish" w:hAnsi="Mulish"/>
        </w:rPr>
        <w:t>p.p</w:t>
      </w:r>
      <w:r w:rsidR="00900909" w:rsidRPr="00941553">
        <w:rPr>
          <w:rFonts w:ascii="Mulish" w:hAnsi="Mulish"/>
        </w:rPr>
        <w:t>.</w:t>
      </w:r>
      <w:r w:rsidR="00E84BCE" w:rsidRPr="00941553">
        <w:rPr>
          <w:rFonts w:ascii="Mulish" w:hAnsi="Mulish"/>
        </w:rPr>
        <w:t xml:space="preserve"> Respecto de 202</w:t>
      </w:r>
      <w:r w:rsidR="009D7F2E">
        <w:rPr>
          <w:rFonts w:ascii="Mulish" w:hAnsi="Mulish"/>
        </w:rPr>
        <w:t>3</w:t>
      </w:r>
      <w:r w:rsidR="00E84BCE" w:rsidRPr="00941553">
        <w:rPr>
          <w:rFonts w:ascii="Mulish" w:hAnsi="Mulish"/>
        </w:rPr>
        <w:t xml:space="preserve">, </w:t>
      </w:r>
      <w:r w:rsidR="009D7F2E">
        <w:rPr>
          <w:rFonts w:ascii="Mulish" w:hAnsi="Mulish"/>
        </w:rPr>
        <w:t>aumenta</w:t>
      </w:r>
      <w:r w:rsidR="00E84BCE" w:rsidRPr="00941553">
        <w:rPr>
          <w:rFonts w:ascii="Mulish" w:hAnsi="Mulish"/>
        </w:rPr>
        <w:t xml:space="preserve"> en </w:t>
      </w:r>
      <w:r w:rsidR="009D7F2E">
        <w:rPr>
          <w:rFonts w:ascii="Mulish" w:hAnsi="Mulish"/>
        </w:rPr>
        <w:t>8</w:t>
      </w:r>
      <w:r w:rsidR="00E84BCE" w:rsidRPr="00941553">
        <w:rPr>
          <w:rFonts w:ascii="Mulish" w:hAnsi="Mulish"/>
        </w:rPr>
        <w:t xml:space="preserve"> </w:t>
      </w:r>
      <w:r w:rsidR="00F62A7C" w:rsidRPr="00941553">
        <w:rPr>
          <w:rFonts w:ascii="Mulish" w:hAnsi="Mulish"/>
        </w:rPr>
        <w:t>p.p.</w:t>
      </w:r>
      <w:r w:rsidR="00E84BCE" w:rsidRPr="00941553">
        <w:rPr>
          <w:rFonts w:ascii="Mulish" w:hAnsi="Mulish"/>
        </w:rPr>
        <w:t xml:space="preserve"> la proporción de entidades que aplicaron el 80% o más de las recomendaciones derivadas de la evaluación.</w:t>
      </w:r>
    </w:p>
    <w:p w14:paraId="16154C28" w14:textId="1B2802CD" w:rsidR="00632B6E" w:rsidRDefault="00632B6E" w:rsidP="00900909">
      <w:pPr>
        <w:rPr>
          <w:rFonts w:ascii="Mulish" w:hAnsi="Mulish"/>
        </w:rPr>
      </w:pPr>
      <w:r w:rsidRPr="00941553">
        <w:rPr>
          <w:rFonts w:ascii="Mulish" w:hAnsi="Mulish"/>
        </w:rPr>
        <w:t xml:space="preserve">Por otra parte, </w:t>
      </w:r>
      <w:r w:rsidR="00F35E2B">
        <w:rPr>
          <w:rFonts w:ascii="Mulish" w:hAnsi="Mulish"/>
        </w:rPr>
        <w:t>27</w:t>
      </w:r>
      <w:r w:rsidRPr="00941553">
        <w:rPr>
          <w:rFonts w:ascii="Mulish" w:hAnsi="Mulish"/>
        </w:rPr>
        <w:t xml:space="preserve"> de las entidades evaluadas han aplicado total o parcialmente, las recomendaciones efectuadas por el Consejo</w:t>
      </w:r>
      <w:r w:rsidR="007D3316">
        <w:rPr>
          <w:rFonts w:ascii="Mulish" w:hAnsi="Mulish"/>
        </w:rPr>
        <w:t xml:space="preserve"> o han introducido mejoras</w:t>
      </w:r>
      <w:r w:rsidRPr="00941553">
        <w:rPr>
          <w:rFonts w:ascii="Mulish" w:hAnsi="Mulish"/>
        </w:rPr>
        <w:t>, durante el periodo de observaciones</w:t>
      </w:r>
      <w:r w:rsidR="0014410F" w:rsidRPr="00941553">
        <w:rPr>
          <w:rFonts w:ascii="Mulish" w:hAnsi="Mulish"/>
        </w:rPr>
        <w:t xml:space="preserve"> a los informes provisionales de evaluación</w:t>
      </w:r>
      <w:r w:rsidRPr="00941553">
        <w:rPr>
          <w:rFonts w:ascii="Mulish" w:hAnsi="Mulish"/>
        </w:rPr>
        <w:t xml:space="preserve">. Estas </w:t>
      </w:r>
      <w:r w:rsidR="004756CA">
        <w:rPr>
          <w:rFonts w:ascii="Mulish" w:hAnsi="Mulish"/>
        </w:rPr>
        <w:t>27</w:t>
      </w:r>
      <w:r w:rsidRPr="00941553">
        <w:rPr>
          <w:rFonts w:ascii="Mulish" w:hAnsi="Mulish"/>
        </w:rPr>
        <w:t xml:space="preserve"> entidades se relacionan en la siguiente tabla</w:t>
      </w:r>
    </w:p>
    <w:p w14:paraId="184E71C1" w14:textId="77777777" w:rsidR="00F35E2B" w:rsidRPr="00941553" w:rsidRDefault="00F35E2B" w:rsidP="00900909">
      <w:pPr>
        <w:rPr>
          <w:rFonts w:ascii="Mulish" w:hAnsi="Mulish"/>
        </w:rPr>
      </w:pPr>
    </w:p>
    <w:p w14:paraId="4A1756A0" w14:textId="08D329FD" w:rsidR="00632B6E" w:rsidRPr="00941553" w:rsidRDefault="00632B6E" w:rsidP="00632B6E">
      <w:pPr>
        <w:pStyle w:val="Descripcin"/>
        <w:keepNext/>
        <w:rPr>
          <w:rFonts w:ascii="Mulish" w:hAnsi="Mulish"/>
          <w:bCs w:val="0"/>
          <w:color w:val="438086" w:themeColor="accent2"/>
          <w:sz w:val="22"/>
          <w:szCs w:val="22"/>
        </w:rPr>
      </w:pPr>
      <w:r w:rsidRPr="00941553">
        <w:rPr>
          <w:rFonts w:ascii="Mulish" w:hAnsi="Mulish"/>
          <w:bCs w:val="0"/>
          <w:color w:val="438086" w:themeColor="accent2"/>
          <w:sz w:val="22"/>
          <w:szCs w:val="22"/>
        </w:rPr>
        <w:lastRenderedPageBreak/>
        <w:t xml:space="preserve">Tabla </w:t>
      </w:r>
      <w:r w:rsidRPr="00941553">
        <w:rPr>
          <w:rFonts w:ascii="Mulish" w:hAnsi="Mulish"/>
          <w:bCs w:val="0"/>
          <w:color w:val="438086" w:themeColor="accent2"/>
          <w:sz w:val="22"/>
          <w:szCs w:val="22"/>
        </w:rPr>
        <w:fldChar w:fldCharType="begin"/>
      </w:r>
      <w:r w:rsidRPr="00941553">
        <w:rPr>
          <w:rFonts w:ascii="Mulish" w:hAnsi="Mulish"/>
          <w:bCs w:val="0"/>
          <w:color w:val="438086" w:themeColor="accent2"/>
          <w:sz w:val="22"/>
          <w:szCs w:val="22"/>
        </w:rPr>
        <w:instrText xml:space="preserve"> SEQ Tabla \* ARABIC </w:instrText>
      </w:r>
      <w:r w:rsidRPr="00941553">
        <w:rPr>
          <w:rFonts w:ascii="Mulish" w:hAnsi="Mulish"/>
          <w:bCs w:val="0"/>
          <w:color w:val="438086" w:themeColor="accent2"/>
          <w:sz w:val="22"/>
          <w:szCs w:val="22"/>
        </w:rPr>
        <w:fldChar w:fldCharType="separate"/>
      </w:r>
      <w:r w:rsidR="007D1395">
        <w:rPr>
          <w:rFonts w:ascii="Mulish" w:hAnsi="Mulish"/>
          <w:bCs w:val="0"/>
          <w:noProof/>
          <w:color w:val="438086" w:themeColor="accent2"/>
          <w:sz w:val="22"/>
          <w:szCs w:val="22"/>
        </w:rPr>
        <w:t>1</w:t>
      </w:r>
      <w:r w:rsidRPr="00941553">
        <w:rPr>
          <w:rFonts w:ascii="Mulish" w:hAnsi="Mulish"/>
          <w:bCs w:val="0"/>
          <w:color w:val="438086" w:themeColor="accent2"/>
          <w:sz w:val="22"/>
          <w:szCs w:val="22"/>
        </w:rPr>
        <w:fldChar w:fldCharType="end"/>
      </w:r>
      <w:r w:rsidRPr="00941553">
        <w:rPr>
          <w:rFonts w:ascii="Mulish" w:hAnsi="Mulish"/>
          <w:bCs w:val="0"/>
          <w:color w:val="438086" w:themeColor="accent2"/>
          <w:sz w:val="22"/>
          <w:szCs w:val="22"/>
        </w:rPr>
        <w:t>: Entidades que han aplicado recomendaciones durante el periodo de observaciones los informes provisionales de evaluación</w:t>
      </w:r>
    </w:p>
    <w:tbl>
      <w:tblPr>
        <w:tblStyle w:val="Listaclara-nfasis2"/>
        <w:tblW w:w="9062" w:type="dxa"/>
        <w:tblLook w:val="04A0" w:firstRow="1" w:lastRow="0" w:firstColumn="1" w:lastColumn="0" w:noHBand="0" w:noVBand="1"/>
      </w:tblPr>
      <w:tblGrid>
        <w:gridCol w:w="6062"/>
        <w:gridCol w:w="3000"/>
      </w:tblGrid>
      <w:tr w:rsidR="00632B6E" w:rsidRPr="00E43106" w14:paraId="5C8158F5" w14:textId="77777777" w:rsidTr="00000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C630586" w14:textId="77777777" w:rsidR="00632B6E" w:rsidRPr="00E43106" w:rsidRDefault="00632B6E" w:rsidP="00632B6E">
            <w:pPr>
              <w:rPr>
                <w:rFonts w:ascii="Mulish" w:eastAsia="Calibri" w:hAnsi="Mulish" w:cs="Times New Roman"/>
                <w:sz w:val="20"/>
              </w:rPr>
            </w:pPr>
            <w:r w:rsidRPr="00E43106">
              <w:rPr>
                <w:rFonts w:ascii="Mulish" w:eastAsia="Calibri" w:hAnsi="Mulish" w:cs="Times New Roman"/>
                <w:sz w:val="20"/>
              </w:rPr>
              <w:t>Entidad</w:t>
            </w:r>
          </w:p>
        </w:tc>
        <w:tc>
          <w:tcPr>
            <w:tcW w:w="3000" w:type="dxa"/>
          </w:tcPr>
          <w:p w14:paraId="7DD7D7DE" w14:textId="6569016E" w:rsidR="00632B6E" w:rsidRPr="00E43106" w:rsidRDefault="00632B6E" w:rsidP="00632B6E">
            <w:pPr>
              <w:cnfStyle w:val="100000000000" w:firstRow="1"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eastAsia="Calibri" w:hAnsi="Mulish" w:cs="Times New Roman"/>
                <w:sz w:val="20"/>
              </w:rPr>
              <w:t>Número de recomendacione</w:t>
            </w:r>
            <w:r w:rsidR="007D3316">
              <w:rPr>
                <w:rFonts w:ascii="Mulish" w:eastAsia="Calibri" w:hAnsi="Mulish" w:cs="Times New Roman"/>
                <w:sz w:val="20"/>
              </w:rPr>
              <w:t xml:space="preserve">s o mejoras </w:t>
            </w:r>
            <w:r w:rsidRPr="00E43106">
              <w:rPr>
                <w:rFonts w:ascii="Mulish" w:eastAsia="Calibri" w:hAnsi="Mulish" w:cs="Times New Roman"/>
                <w:sz w:val="20"/>
              </w:rPr>
              <w:t>aplicadas durante el periodo de observaciones</w:t>
            </w:r>
          </w:p>
        </w:tc>
      </w:tr>
      <w:tr w:rsidR="00000068" w:rsidRPr="00E43106" w14:paraId="2F1E0218"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93E8BD6" w14:textId="34D24AFA"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CRIDA</w:t>
            </w:r>
          </w:p>
        </w:tc>
        <w:tc>
          <w:tcPr>
            <w:tcW w:w="3000" w:type="dxa"/>
          </w:tcPr>
          <w:p w14:paraId="1F8792F8" w14:textId="11BA9124"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13</w:t>
            </w:r>
          </w:p>
        </w:tc>
      </w:tr>
      <w:tr w:rsidR="00000068" w:rsidRPr="00E43106" w14:paraId="6389B93B"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2D432FEE" w14:textId="5FC70035"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Mutua de Andalucía y de Ceuta</w:t>
            </w:r>
          </w:p>
        </w:tc>
        <w:tc>
          <w:tcPr>
            <w:tcW w:w="3000" w:type="dxa"/>
          </w:tcPr>
          <w:p w14:paraId="059295CE" w14:textId="7AE146D2"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11</w:t>
            </w:r>
          </w:p>
        </w:tc>
      </w:tr>
      <w:tr w:rsidR="00000068" w:rsidRPr="00E43106" w14:paraId="6B70FC2E"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593EB85" w14:textId="2AA54ADB"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SAINSEL</w:t>
            </w:r>
          </w:p>
        </w:tc>
        <w:tc>
          <w:tcPr>
            <w:tcW w:w="3000" w:type="dxa"/>
          </w:tcPr>
          <w:p w14:paraId="06BF140D" w14:textId="1715DF02"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11</w:t>
            </w:r>
          </w:p>
        </w:tc>
      </w:tr>
      <w:tr w:rsidR="00000068" w:rsidRPr="00E43106" w14:paraId="29F39701"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68875929" w14:textId="0BB8D2C4"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Consorcio Laboratorio Canfranc</w:t>
            </w:r>
          </w:p>
        </w:tc>
        <w:tc>
          <w:tcPr>
            <w:tcW w:w="3000" w:type="dxa"/>
          </w:tcPr>
          <w:p w14:paraId="2B745BD4" w14:textId="076B27BA"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9</w:t>
            </w:r>
          </w:p>
        </w:tc>
      </w:tr>
      <w:tr w:rsidR="00000068" w:rsidRPr="00E43106" w14:paraId="29582B09"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00F4C3AE" w14:textId="6D0F640C"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IBERMUTUA</w:t>
            </w:r>
          </w:p>
        </w:tc>
        <w:tc>
          <w:tcPr>
            <w:tcW w:w="3000" w:type="dxa"/>
          </w:tcPr>
          <w:p w14:paraId="4903942C" w14:textId="0415205C"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8</w:t>
            </w:r>
          </w:p>
        </w:tc>
      </w:tr>
      <w:tr w:rsidR="00000068" w:rsidRPr="00E43106" w14:paraId="5D044CCB"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3677CF69" w14:textId="396100C1"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INCIBE</w:t>
            </w:r>
          </w:p>
        </w:tc>
        <w:tc>
          <w:tcPr>
            <w:tcW w:w="3000" w:type="dxa"/>
          </w:tcPr>
          <w:p w14:paraId="2D5CD280" w14:textId="0CA0B56F"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7</w:t>
            </w:r>
          </w:p>
        </w:tc>
      </w:tr>
      <w:tr w:rsidR="00000068" w:rsidRPr="00E43106" w14:paraId="053CA04C"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0902EEDA" w14:textId="580F9B71"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Gijón al Norte</w:t>
            </w:r>
          </w:p>
        </w:tc>
        <w:tc>
          <w:tcPr>
            <w:tcW w:w="3000" w:type="dxa"/>
          </w:tcPr>
          <w:p w14:paraId="5091D246" w14:textId="68BC799A"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7</w:t>
            </w:r>
          </w:p>
        </w:tc>
      </w:tr>
      <w:tr w:rsidR="00000068" w:rsidRPr="00E43106" w14:paraId="4B593750"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01DE476C" w14:textId="55CE549F"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Parque Empresarial Principado de Asturias</w:t>
            </w:r>
          </w:p>
        </w:tc>
        <w:tc>
          <w:tcPr>
            <w:tcW w:w="3000" w:type="dxa"/>
          </w:tcPr>
          <w:p w14:paraId="4766BC79" w14:textId="77878A3A"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7</w:t>
            </w:r>
          </w:p>
        </w:tc>
      </w:tr>
      <w:tr w:rsidR="00000068" w:rsidRPr="00E43106" w14:paraId="35031269"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8ABE23D" w14:textId="138ABC6C"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Desarrollos Empresariales de la Zona Franca de Cádiz</w:t>
            </w:r>
          </w:p>
        </w:tc>
        <w:tc>
          <w:tcPr>
            <w:tcW w:w="3000" w:type="dxa"/>
          </w:tcPr>
          <w:p w14:paraId="35130066" w14:textId="0AB1546D"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6</w:t>
            </w:r>
          </w:p>
        </w:tc>
      </w:tr>
      <w:tr w:rsidR="00000068" w:rsidRPr="00E43106" w14:paraId="7BA9E576" w14:textId="77777777" w:rsidTr="00000068">
        <w:trPr>
          <w:trHeight w:val="223"/>
        </w:trPr>
        <w:tc>
          <w:tcPr>
            <w:cnfStyle w:val="001000000000" w:firstRow="0" w:lastRow="0" w:firstColumn="1" w:lastColumn="0" w:oddVBand="0" w:evenVBand="0" w:oddHBand="0" w:evenHBand="0" w:firstRowFirstColumn="0" w:firstRowLastColumn="0" w:lastRowFirstColumn="0" w:lastRowLastColumn="0"/>
            <w:tcW w:w="6062" w:type="dxa"/>
          </w:tcPr>
          <w:p w14:paraId="51E61950" w14:textId="4661D3FF"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Fundación CIUDEN</w:t>
            </w:r>
          </w:p>
        </w:tc>
        <w:tc>
          <w:tcPr>
            <w:tcW w:w="3000" w:type="dxa"/>
          </w:tcPr>
          <w:p w14:paraId="036603BC" w14:textId="3DD81E9B"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6</w:t>
            </w:r>
          </w:p>
        </w:tc>
      </w:tr>
      <w:tr w:rsidR="00000068" w:rsidRPr="00E43106" w14:paraId="3CA23E80"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FD4D97A" w14:textId="7A764B6B"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CTISA</w:t>
            </w:r>
          </w:p>
        </w:tc>
        <w:tc>
          <w:tcPr>
            <w:tcW w:w="3000" w:type="dxa"/>
          </w:tcPr>
          <w:p w14:paraId="63A7EFAA" w14:textId="4DC25A98"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6</w:t>
            </w:r>
          </w:p>
        </w:tc>
      </w:tr>
      <w:tr w:rsidR="00000068" w:rsidRPr="00E43106" w14:paraId="4BB27545"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37448400" w14:textId="356B5010"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Valencia Parque Central</w:t>
            </w:r>
          </w:p>
        </w:tc>
        <w:tc>
          <w:tcPr>
            <w:tcW w:w="3000" w:type="dxa"/>
          </w:tcPr>
          <w:p w14:paraId="5A88C31F" w14:textId="6FE5E425"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5</w:t>
            </w:r>
          </w:p>
        </w:tc>
      </w:tr>
      <w:tr w:rsidR="00000068" w:rsidRPr="00E43106" w14:paraId="2F5D8E76"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849BF52" w14:textId="0E7B29EC"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Mutua Universal  MUGENAT</w:t>
            </w:r>
          </w:p>
        </w:tc>
        <w:tc>
          <w:tcPr>
            <w:tcW w:w="3000" w:type="dxa"/>
          </w:tcPr>
          <w:p w14:paraId="603D6BCD" w14:textId="62387009"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5</w:t>
            </w:r>
          </w:p>
        </w:tc>
      </w:tr>
      <w:tr w:rsidR="00000068" w:rsidRPr="00E43106" w14:paraId="6B6CD109"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332F096D" w14:textId="39D170F9"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Correos Express</w:t>
            </w:r>
          </w:p>
        </w:tc>
        <w:tc>
          <w:tcPr>
            <w:tcW w:w="3000" w:type="dxa"/>
          </w:tcPr>
          <w:p w14:paraId="2E897C28" w14:textId="64C58F97"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5</w:t>
            </w:r>
          </w:p>
        </w:tc>
      </w:tr>
      <w:tr w:rsidR="00000068" w:rsidRPr="00E43106" w14:paraId="7CAB2B5A"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90755C7" w14:textId="0FB5157D"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Fundación Centro de Estudios Monetarios y Financieros</w:t>
            </w:r>
          </w:p>
        </w:tc>
        <w:tc>
          <w:tcPr>
            <w:tcW w:w="3000" w:type="dxa"/>
          </w:tcPr>
          <w:p w14:paraId="39729AD8" w14:textId="0A228659"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4</w:t>
            </w:r>
          </w:p>
        </w:tc>
      </w:tr>
      <w:tr w:rsidR="00000068" w:rsidRPr="00E43106" w14:paraId="3FDC29FB"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4DAB288F" w14:textId="5FE686DB"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Casa Mediterráneo</w:t>
            </w:r>
          </w:p>
        </w:tc>
        <w:tc>
          <w:tcPr>
            <w:tcW w:w="3000" w:type="dxa"/>
          </w:tcPr>
          <w:p w14:paraId="3A3FE25F" w14:textId="6988CCC9"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4</w:t>
            </w:r>
          </w:p>
        </w:tc>
      </w:tr>
      <w:tr w:rsidR="00000068" w:rsidRPr="00E43106" w14:paraId="1517DC20"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C43695B" w14:textId="003D4125" w:rsidR="00000068" w:rsidRPr="00E43106" w:rsidRDefault="00E43106" w:rsidP="00000068">
            <w:pPr>
              <w:jc w:val="left"/>
              <w:rPr>
                <w:rFonts w:ascii="Mulish" w:eastAsia="Calibri" w:hAnsi="Mulish" w:cs="Times New Roman"/>
                <w:b w:val="0"/>
                <w:bCs w:val="0"/>
                <w:sz w:val="20"/>
              </w:rPr>
            </w:pPr>
            <w:r w:rsidRPr="00E43106">
              <w:rPr>
                <w:rFonts w:ascii="Mulish" w:hAnsi="Mulish"/>
                <w:b w:val="0"/>
                <w:bCs w:val="0"/>
                <w:sz w:val="20"/>
              </w:rPr>
              <w:t xml:space="preserve">Mutual </w:t>
            </w:r>
            <w:r w:rsidR="00000068" w:rsidRPr="00E43106">
              <w:rPr>
                <w:rFonts w:ascii="Mulish" w:hAnsi="Mulish"/>
                <w:b w:val="0"/>
                <w:bCs w:val="0"/>
                <w:sz w:val="20"/>
              </w:rPr>
              <w:t>Midat Cyclops</w:t>
            </w:r>
          </w:p>
        </w:tc>
        <w:tc>
          <w:tcPr>
            <w:tcW w:w="3000" w:type="dxa"/>
          </w:tcPr>
          <w:p w14:paraId="412DCCD5" w14:textId="40252DA9"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4</w:t>
            </w:r>
          </w:p>
        </w:tc>
      </w:tr>
      <w:tr w:rsidR="00000068" w:rsidRPr="00E43106" w14:paraId="487B13E8"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4F647BCF" w14:textId="3DAB5A0F"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Consorcio UNED Vitoria-Gasteiz</w:t>
            </w:r>
          </w:p>
        </w:tc>
        <w:tc>
          <w:tcPr>
            <w:tcW w:w="3000" w:type="dxa"/>
          </w:tcPr>
          <w:p w14:paraId="5CEE9947" w14:textId="6D5582C9"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4</w:t>
            </w:r>
          </w:p>
        </w:tc>
      </w:tr>
      <w:tr w:rsidR="00000068" w:rsidRPr="00E43106" w14:paraId="12BA7C37"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4B78053" w14:textId="71AAB495"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VIPAR</w:t>
            </w:r>
          </w:p>
        </w:tc>
        <w:tc>
          <w:tcPr>
            <w:tcW w:w="3000" w:type="dxa"/>
          </w:tcPr>
          <w:p w14:paraId="7EC2D035" w14:textId="0487436C"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4</w:t>
            </w:r>
          </w:p>
        </w:tc>
      </w:tr>
      <w:tr w:rsidR="00000068" w:rsidRPr="00E43106" w14:paraId="1FCCA696"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173C004E" w14:textId="7748FA37" w:rsidR="00000068" w:rsidRPr="00E43106" w:rsidRDefault="00E43106" w:rsidP="00000068">
            <w:pPr>
              <w:jc w:val="left"/>
              <w:rPr>
                <w:rFonts w:ascii="Mulish" w:eastAsia="Calibri" w:hAnsi="Mulish" w:cs="Times New Roman"/>
                <w:b w:val="0"/>
                <w:bCs w:val="0"/>
                <w:sz w:val="20"/>
              </w:rPr>
            </w:pPr>
            <w:r w:rsidRPr="00E43106">
              <w:rPr>
                <w:rFonts w:ascii="Mulish" w:hAnsi="Mulish"/>
                <w:b w:val="0"/>
                <w:bCs w:val="0"/>
                <w:sz w:val="20"/>
              </w:rPr>
              <w:t xml:space="preserve">Centro </w:t>
            </w:r>
            <w:r w:rsidR="003223E2">
              <w:rPr>
                <w:rFonts w:ascii="Mulish" w:hAnsi="Mulish"/>
                <w:b w:val="0"/>
                <w:bCs w:val="0"/>
                <w:sz w:val="20"/>
              </w:rPr>
              <w:t>N</w:t>
            </w:r>
            <w:r w:rsidRPr="00E43106">
              <w:rPr>
                <w:rFonts w:ascii="Mulish" w:hAnsi="Mulish"/>
                <w:b w:val="0"/>
                <w:bCs w:val="0"/>
                <w:sz w:val="20"/>
              </w:rPr>
              <w:t>acional de Investigaciones Cardiovasculares</w:t>
            </w:r>
          </w:p>
        </w:tc>
        <w:tc>
          <w:tcPr>
            <w:tcW w:w="3000" w:type="dxa"/>
          </w:tcPr>
          <w:p w14:paraId="73E47E42" w14:textId="54323703"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3</w:t>
            </w:r>
          </w:p>
        </w:tc>
      </w:tr>
      <w:tr w:rsidR="00000068" w:rsidRPr="00E43106" w14:paraId="1601DEA9"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091F7EAB" w14:textId="45E2772E"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CUD-AGM</w:t>
            </w:r>
          </w:p>
        </w:tc>
        <w:tc>
          <w:tcPr>
            <w:tcW w:w="3000" w:type="dxa"/>
          </w:tcPr>
          <w:p w14:paraId="184B261D" w14:textId="25755172"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3</w:t>
            </w:r>
          </w:p>
        </w:tc>
      </w:tr>
      <w:tr w:rsidR="00000068" w:rsidRPr="00E43106" w14:paraId="577D423B"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60C7AEBE" w14:textId="1C02F67B" w:rsidR="00000068" w:rsidRPr="00E43106" w:rsidRDefault="00000068" w:rsidP="00000068">
            <w:pPr>
              <w:jc w:val="left"/>
              <w:rPr>
                <w:rFonts w:ascii="Mulish" w:eastAsia="Calibri" w:hAnsi="Mulish" w:cs="Times New Roman"/>
                <w:b w:val="0"/>
                <w:bCs w:val="0"/>
                <w:sz w:val="20"/>
              </w:rPr>
            </w:pPr>
            <w:r w:rsidRPr="00E43106">
              <w:rPr>
                <w:rFonts w:ascii="Mulish" w:hAnsi="Mulish"/>
                <w:b w:val="0"/>
                <w:bCs w:val="0"/>
                <w:sz w:val="20"/>
              </w:rPr>
              <w:t>Consorcio de la Zona Franca de Cádiz</w:t>
            </w:r>
          </w:p>
        </w:tc>
        <w:tc>
          <w:tcPr>
            <w:tcW w:w="3000" w:type="dxa"/>
          </w:tcPr>
          <w:p w14:paraId="67879573" w14:textId="20C256B6"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3</w:t>
            </w:r>
          </w:p>
        </w:tc>
      </w:tr>
      <w:tr w:rsidR="00000068" w:rsidRPr="00E43106" w14:paraId="4DD5D186"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9306B0A" w14:textId="2817A220" w:rsidR="00000068" w:rsidRPr="00E43106" w:rsidRDefault="00000068" w:rsidP="00000068">
            <w:pPr>
              <w:jc w:val="left"/>
              <w:rPr>
                <w:rFonts w:ascii="Mulish" w:hAnsi="Mulish"/>
                <w:b w:val="0"/>
                <w:bCs w:val="0"/>
                <w:sz w:val="20"/>
              </w:rPr>
            </w:pPr>
            <w:r w:rsidRPr="00E43106">
              <w:rPr>
                <w:rFonts w:ascii="Mulish" w:hAnsi="Mulish"/>
                <w:b w:val="0"/>
                <w:bCs w:val="0"/>
                <w:sz w:val="20"/>
              </w:rPr>
              <w:t>Consorcio Centro Láseres Pulsados</w:t>
            </w:r>
          </w:p>
        </w:tc>
        <w:tc>
          <w:tcPr>
            <w:tcW w:w="3000" w:type="dxa"/>
          </w:tcPr>
          <w:p w14:paraId="518747AE" w14:textId="5A8544DB"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3</w:t>
            </w:r>
          </w:p>
        </w:tc>
      </w:tr>
      <w:tr w:rsidR="00000068" w:rsidRPr="00E43106" w14:paraId="033580CC"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1ED3F06D" w14:textId="2DB371AE" w:rsidR="00000068" w:rsidRPr="00E43106" w:rsidRDefault="00000068" w:rsidP="00000068">
            <w:pPr>
              <w:jc w:val="left"/>
              <w:rPr>
                <w:rFonts w:ascii="Mulish" w:hAnsi="Mulish"/>
                <w:b w:val="0"/>
                <w:bCs w:val="0"/>
                <w:sz w:val="20"/>
              </w:rPr>
            </w:pPr>
            <w:r w:rsidRPr="00E43106">
              <w:rPr>
                <w:rFonts w:ascii="Mulish" w:hAnsi="Mulish"/>
                <w:b w:val="0"/>
                <w:bCs w:val="0"/>
                <w:sz w:val="20"/>
              </w:rPr>
              <w:t>SEGITTUR</w:t>
            </w:r>
          </w:p>
        </w:tc>
        <w:tc>
          <w:tcPr>
            <w:tcW w:w="3000" w:type="dxa"/>
          </w:tcPr>
          <w:p w14:paraId="43BB4AE8" w14:textId="45AF5D00"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1</w:t>
            </w:r>
          </w:p>
        </w:tc>
      </w:tr>
      <w:tr w:rsidR="00000068" w:rsidRPr="00E43106" w14:paraId="5D8CDD08"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69AD5C5" w14:textId="581CE1B2" w:rsidR="00000068" w:rsidRPr="00E43106" w:rsidRDefault="00000068" w:rsidP="00000068">
            <w:pPr>
              <w:jc w:val="left"/>
              <w:rPr>
                <w:rFonts w:ascii="Mulish" w:hAnsi="Mulish"/>
                <w:b w:val="0"/>
                <w:bCs w:val="0"/>
                <w:sz w:val="20"/>
              </w:rPr>
            </w:pPr>
            <w:r w:rsidRPr="00E43106">
              <w:rPr>
                <w:rFonts w:ascii="Mulish" w:hAnsi="Mulish"/>
                <w:b w:val="0"/>
                <w:bCs w:val="0"/>
                <w:sz w:val="20"/>
              </w:rPr>
              <w:t>Mutua Montañesa</w:t>
            </w:r>
          </w:p>
        </w:tc>
        <w:tc>
          <w:tcPr>
            <w:tcW w:w="3000" w:type="dxa"/>
          </w:tcPr>
          <w:p w14:paraId="6D07C13B" w14:textId="738FA1DD"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1</w:t>
            </w:r>
          </w:p>
        </w:tc>
      </w:tr>
      <w:tr w:rsidR="00000068" w:rsidRPr="00E43106" w14:paraId="007FAAEB" w14:textId="77777777" w:rsidTr="00000068">
        <w:tc>
          <w:tcPr>
            <w:cnfStyle w:val="001000000000" w:firstRow="0" w:lastRow="0" w:firstColumn="1" w:lastColumn="0" w:oddVBand="0" w:evenVBand="0" w:oddHBand="0" w:evenHBand="0" w:firstRowFirstColumn="0" w:firstRowLastColumn="0" w:lastRowFirstColumn="0" w:lastRowLastColumn="0"/>
            <w:tcW w:w="6062" w:type="dxa"/>
          </w:tcPr>
          <w:p w14:paraId="00086BA1" w14:textId="670B606C" w:rsidR="00000068" w:rsidRPr="00E43106" w:rsidRDefault="00000068" w:rsidP="00000068">
            <w:pPr>
              <w:jc w:val="left"/>
              <w:rPr>
                <w:rFonts w:ascii="Mulish" w:hAnsi="Mulish"/>
                <w:b w:val="0"/>
                <w:bCs w:val="0"/>
                <w:sz w:val="20"/>
              </w:rPr>
            </w:pPr>
            <w:r w:rsidRPr="00E43106">
              <w:rPr>
                <w:rFonts w:ascii="Mulish" w:hAnsi="Mulish"/>
                <w:b w:val="0"/>
                <w:bCs w:val="0"/>
                <w:sz w:val="20"/>
              </w:rPr>
              <w:t>Agencia EFE</w:t>
            </w:r>
          </w:p>
        </w:tc>
        <w:tc>
          <w:tcPr>
            <w:tcW w:w="3000" w:type="dxa"/>
          </w:tcPr>
          <w:p w14:paraId="5E15AC4B" w14:textId="68418575" w:rsidR="00000068" w:rsidRPr="00E43106" w:rsidRDefault="00000068" w:rsidP="00000068">
            <w:pPr>
              <w:jc w:val="center"/>
              <w:cnfStyle w:val="000000000000" w:firstRow="0" w:lastRow="0" w:firstColumn="0" w:lastColumn="0" w:oddVBand="0" w:evenVBand="0" w:oddHBand="0" w:evenHBand="0" w:firstRowFirstColumn="0" w:firstRowLastColumn="0" w:lastRowFirstColumn="0" w:lastRowLastColumn="0"/>
              <w:rPr>
                <w:rFonts w:ascii="Mulish" w:eastAsia="Calibri" w:hAnsi="Mulish" w:cs="Times New Roman"/>
                <w:sz w:val="20"/>
              </w:rPr>
            </w:pPr>
            <w:r w:rsidRPr="00E43106">
              <w:rPr>
                <w:rFonts w:ascii="Mulish" w:hAnsi="Mulish"/>
                <w:sz w:val="20"/>
              </w:rPr>
              <w:t>1</w:t>
            </w:r>
          </w:p>
        </w:tc>
      </w:tr>
      <w:tr w:rsidR="00000068" w:rsidRPr="00E43106" w14:paraId="45913F13" w14:textId="77777777" w:rsidTr="00000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CCCA92D" w14:textId="41EB5C82" w:rsidR="00000068" w:rsidRPr="00E43106" w:rsidRDefault="00E43106" w:rsidP="00000068">
            <w:pPr>
              <w:jc w:val="left"/>
              <w:rPr>
                <w:rFonts w:ascii="Mulish" w:hAnsi="Mulish"/>
                <w:b w:val="0"/>
                <w:bCs w:val="0"/>
                <w:sz w:val="20"/>
              </w:rPr>
            </w:pPr>
            <w:r w:rsidRPr="00E43106">
              <w:rPr>
                <w:rFonts w:ascii="Mulish" w:hAnsi="Mulish"/>
                <w:b w:val="0"/>
                <w:bCs w:val="0"/>
                <w:sz w:val="20"/>
              </w:rPr>
              <w:t>Instituto de la Cinematografía y de las Artes Audiovisuales</w:t>
            </w:r>
          </w:p>
        </w:tc>
        <w:tc>
          <w:tcPr>
            <w:tcW w:w="3000" w:type="dxa"/>
          </w:tcPr>
          <w:p w14:paraId="1282F8D8" w14:textId="34A9C22E" w:rsidR="00000068" w:rsidRPr="00E43106" w:rsidRDefault="00000068" w:rsidP="00000068">
            <w:pPr>
              <w:jc w:val="center"/>
              <w:cnfStyle w:val="000000100000" w:firstRow="0" w:lastRow="0" w:firstColumn="0" w:lastColumn="0" w:oddVBand="0" w:evenVBand="0" w:oddHBand="1" w:evenHBand="0" w:firstRowFirstColumn="0" w:firstRowLastColumn="0" w:lastRowFirstColumn="0" w:lastRowLastColumn="0"/>
              <w:rPr>
                <w:rFonts w:ascii="Mulish" w:eastAsia="Calibri" w:hAnsi="Mulish" w:cs="Times New Roman"/>
                <w:sz w:val="20"/>
              </w:rPr>
            </w:pPr>
            <w:r w:rsidRPr="00E43106">
              <w:rPr>
                <w:rFonts w:ascii="Mulish" w:hAnsi="Mulish"/>
                <w:sz w:val="20"/>
              </w:rPr>
              <w:t>1</w:t>
            </w:r>
          </w:p>
        </w:tc>
      </w:tr>
    </w:tbl>
    <w:p w14:paraId="489C438D" w14:textId="77777777" w:rsidR="00632B6E" w:rsidRPr="00941553" w:rsidRDefault="00632B6E" w:rsidP="00900909">
      <w:pPr>
        <w:rPr>
          <w:rFonts w:ascii="Mulish" w:hAnsi="Mulish"/>
        </w:rPr>
      </w:pPr>
    </w:p>
    <w:p w14:paraId="2DD846AD" w14:textId="77777777" w:rsidR="00900909" w:rsidRPr="00941553" w:rsidRDefault="00900909" w:rsidP="00984881">
      <w:pPr>
        <w:pStyle w:val="Ttulo3"/>
        <w:rPr>
          <w:rFonts w:ascii="Mulish" w:hAnsi="Mulish"/>
        </w:rPr>
      </w:pPr>
    </w:p>
    <w:p w14:paraId="5D1C1524" w14:textId="77777777" w:rsidR="00513EC7" w:rsidRPr="00941553" w:rsidRDefault="000B5A54" w:rsidP="00984881">
      <w:pPr>
        <w:pStyle w:val="Ttulo3"/>
        <w:rPr>
          <w:rFonts w:ascii="Mulish" w:hAnsi="Mulish"/>
        </w:rPr>
      </w:pPr>
      <w:bookmarkStart w:id="8" w:name="_Toc169082174"/>
      <w:r w:rsidRPr="00941553">
        <w:rPr>
          <w:rFonts w:ascii="Mulish" w:hAnsi="Mulish"/>
        </w:rPr>
        <w:t>III.</w:t>
      </w:r>
      <w:r w:rsidR="00D24B74" w:rsidRPr="00941553">
        <w:rPr>
          <w:rFonts w:ascii="Mulish" w:hAnsi="Mulish"/>
        </w:rPr>
        <w:t>3</w:t>
      </w:r>
      <w:r w:rsidRPr="00941553">
        <w:rPr>
          <w:rFonts w:ascii="Mulish" w:hAnsi="Mulish"/>
        </w:rPr>
        <w:t>.</w:t>
      </w:r>
      <w:r w:rsidR="009A0015" w:rsidRPr="00941553">
        <w:rPr>
          <w:rFonts w:ascii="Mulish" w:hAnsi="Mulish"/>
        </w:rPr>
        <w:t>2</w:t>
      </w:r>
      <w:r w:rsidRPr="00941553">
        <w:rPr>
          <w:rFonts w:ascii="Mulish" w:hAnsi="Mulish"/>
        </w:rPr>
        <w:t xml:space="preserve">.  </w:t>
      </w:r>
      <w:r w:rsidR="00513EC7" w:rsidRPr="00941553">
        <w:rPr>
          <w:rFonts w:ascii="Mulish" w:hAnsi="Mulish"/>
        </w:rPr>
        <w:t>Información Institucional, Organizativa y de Planificación</w:t>
      </w:r>
      <w:bookmarkEnd w:id="8"/>
    </w:p>
    <w:p w14:paraId="1963EC0F" w14:textId="77777777" w:rsidR="00513EC7" w:rsidRPr="00941553" w:rsidRDefault="00513EC7" w:rsidP="00513EC7">
      <w:pPr>
        <w:pStyle w:val="Ttulo4"/>
        <w:rPr>
          <w:rFonts w:ascii="Mulish" w:hAnsi="Mulish"/>
          <w:i w:val="0"/>
        </w:rPr>
      </w:pPr>
    </w:p>
    <w:p w14:paraId="2963B718" w14:textId="0CB9A07A" w:rsidR="0014410F" w:rsidRPr="007B2E5B" w:rsidRDefault="00F23B80" w:rsidP="00152FBA">
      <w:pPr>
        <w:rPr>
          <w:rFonts w:ascii="Mulish" w:hAnsi="Mulish"/>
        </w:rPr>
      </w:pPr>
      <w:r w:rsidRPr="007B2E5B">
        <w:rPr>
          <w:rFonts w:ascii="Mulish" w:hAnsi="Mulish"/>
        </w:rPr>
        <w:t>En promedio</w:t>
      </w:r>
      <w:r w:rsidR="00A25618" w:rsidRPr="007B2E5B">
        <w:rPr>
          <w:rFonts w:ascii="Mulish" w:hAnsi="Mulish"/>
        </w:rPr>
        <w:t>,</w:t>
      </w:r>
      <w:r w:rsidRPr="007B2E5B">
        <w:rPr>
          <w:rFonts w:ascii="Mulish" w:hAnsi="Mulish"/>
        </w:rPr>
        <w:t xml:space="preserve"> se publica</w:t>
      </w:r>
      <w:r w:rsidR="00984881" w:rsidRPr="007B2E5B">
        <w:rPr>
          <w:rFonts w:ascii="Mulish" w:hAnsi="Mulish"/>
        </w:rPr>
        <w:t xml:space="preserve"> </w:t>
      </w:r>
      <w:r w:rsidR="00100FDC" w:rsidRPr="007B2E5B">
        <w:rPr>
          <w:rFonts w:ascii="Mulish" w:hAnsi="Mulish"/>
        </w:rPr>
        <w:t xml:space="preserve">el </w:t>
      </w:r>
      <w:r w:rsidR="007B2E5B">
        <w:rPr>
          <w:rFonts w:ascii="Mulish" w:hAnsi="Mulish"/>
        </w:rPr>
        <w:t>69,7</w:t>
      </w:r>
      <w:r w:rsidR="00790AF9" w:rsidRPr="007B2E5B">
        <w:rPr>
          <w:rFonts w:ascii="Mulish" w:hAnsi="Mulish"/>
        </w:rPr>
        <w:t xml:space="preserve">% </w:t>
      </w:r>
      <w:r w:rsidRPr="007B2E5B">
        <w:rPr>
          <w:rFonts w:ascii="Mulish" w:hAnsi="Mulish"/>
        </w:rPr>
        <w:t>de las informaciones obligatorias</w:t>
      </w:r>
      <w:r w:rsidR="005C658E" w:rsidRPr="007B2E5B">
        <w:rPr>
          <w:rFonts w:ascii="Mulish" w:hAnsi="Mulish"/>
        </w:rPr>
        <w:t xml:space="preserve"> de este bloque</w:t>
      </w:r>
      <w:r w:rsidRPr="007B2E5B">
        <w:rPr>
          <w:rFonts w:ascii="Mulish" w:hAnsi="Mulish"/>
        </w:rPr>
        <w:t xml:space="preserve">, con un rango de variación de entre el </w:t>
      </w:r>
      <w:r w:rsidR="007B2E5B" w:rsidRPr="007B2E5B">
        <w:rPr>
          <w:rFonts w:ascii="Mulish" w:hAnsi="Mulish"/>
        </w:rPr>
        <w:t>1</w:t>
      </w:r>
      <w:r w:rsidR="007B2E5B">
        <w:rPr>
          <w:rFonts w:ascii="Mulish" w:hAnsi="Mulish"/>
        </w:rPr>
        <w:t>0</w:t>
      </w:r>
      <w:r w:rsidR="007B2E5B" w:rsidRPr="007B2E5B">
        <w:rPr>
          <w:rFonts w:ascii="Mulish" w:hAnsi="Mulish"/>
        </w:rPr>
        <w:t xml:space="preserve"> y</w:t>
      </w:r>
      <w:r w:rsidRPr="007B2E5B">
        <w:rPr>
          <w:rFonts w:ascii="Mulish" w:hAnsi="Mulish"/>
        </w:rPr>
        <w:t xml:space="preserve"> el </w:t>
      </w:r>
      <w:r w:rsidR="00BB5FFF" w:rsidRPr="007B2E5B">
        <w:rPr>
          <w:rFonts w:ascii="Mulish" w:hAnsi="Mulish"/>
        </w:rPr>
        <w:t>100</w:t>
      </w:r>
      <w:r w:rsidRPr="007B2E5B">
        <w:rPr>
          <w:rFonts w:ascii="Mulish" w:hAnsi="Mulish"/>
        </w:rPr>
        <w:t>%.</w:t>
      </w:r>
      <w:r w:rsidR="00F62A7C" w:rsidRPr="007B2E5B">
        <w:rPr>
          <w:rFonts w:ascii="Mulish" w:hAnsi="Mulish"/>
        </w:rPr>
        <w:t xml:space="preserve"> </w:t>
      </w:r>
      <w:r w:rsidR="00DB52E9" w:rsidRPr="007B2E5B">
        <w:rPr>
          <w:rFonts w:ascii="Mulish" w:hAnsi="Mulish"/>
        </w:rPr>
        <w:t>Existen diferencias en cuanto a la proporción de contenidos obligatorios que publican unas entidades u otras.</w:t>
      </w:r>
    </w:p>
    <w:p w14:paraId="7173DDAC" w14:textId="7AD9D775" w:rsidR="00144DA6" w:rsidRPr="00941553" w:rsidRDefault="00333D50" w:rsidP="00152FBA">
      <w:pPr>
        <w:rPr>
          <w:rFonts w:ascii="Mulish" w:hAnsi="Mulish"/>
        </w:rPr>
      </w:pPr>
      <w:r>
        <w:rPr>
          <w:rFonts w:ascii="Mulish" w:hAnsi="Mulish"/>
        </w:rPr>
        <w:t xml:space="preserve">Las MATEPSS, seguidas de las </w:t>
      </w:r>
      <w:r w:rsidR="0014410F" w:rsidRPr="007B2E5B">
        <w:rPr>
          <w:rFonts w:ascii="Mulish" w:hAnsi="Mulish"/>
        </w:rPr>
        <w:t>fundaciones</w:t>
      </w:r>
      <w:r w:rsidR="0014410F" w:rsidRPr="00941553">
        <w:rPr>
          <w:rFonts w:ascii="Mulish" w:hAnsi="Mulish"/>
        </w:rPr>
        <w:t xml:space="preserve"> </w:t>
      </w:r>
      <w:r w:rsidR="00917A1F" w:rsidRPr="00941553">
        <w:rPr>
          <w:rFonts w:ascii="Mulish" w:hAnsi="Mulish"/>
        </w:rPr>
        <w:t>públicas</w:t>
      </w:r>
      <w:r w:rsidR="00917A1F">
        <w:rPr>
          <w:rFonts w:ascii="Mulish" w:hAnsi="Mulish"/>
        </w:rPr>
        <w:t xml:space="preserve"> son</w:t>
      </w:r>
      <w:r w:rsidR="0014410F" w:rsidRPr="00941553">
        <w:rPr>
          <w:rFonts w:ascii="Mulish" w:hAnsi="Mulish"/>
        </w:rPr>
        <w:t xml:space="preserve"> las </w:t>
      </w:r>
      <w:r w:rsidR="00F0704B">
        <w:rPr>
          <w:rFonts w:ascii="Mulish" w:hAnsi="Mulish"/>
        </w:rPr>
        <w:t xml:space="preserve">entidades </w:t>
      </w:r>
      <w:r w:rsidR="0014410F" w:rsidRPr="00941553">
        <w:rPr>
          <w:rFonts w:ascii="Mulish" w:hAnsi="Mulish"/>
        </w:rPr>
        <w:t>que publican contenidos obligatorios en mayor medida. En la posición contraria se sitúan las entidades de derecho público</w:t>
      </w:r>
      <w:r w:rsidR="00DB52E9" w:rsidRPr="00941553">
        <w:rPr>
          <w:rFonts w:ascii="Mulish" w:hAnsi="Mulish"/>
        </w:rPr>
        <w:t>.</w:t>
      </w:r>
    </w:p>
    <w:p w14:paraId="050BF40B" w14:textId="77777777" w:rsidR="00DB52E9" w:rsidRPr="00941553" w:rsidRDefault="00DB52E9" w:rsidP="00DB52E9">
      <w:pPr>
        <w:pStyle w:val="Descripcin"/>
        <w:keepNext/>
        <w:rPr>
          <w:rFonts w:ascii="Mulish" w:hAnsi="Mulish"/>
          <w:bCs w:val="0"/>
          <w:color w:val="438086" w:themeColor="accent2"/>
          <w:sz w:val="22"/>
          <w:szCs w:val="22"/>
        </w:rPr>
      </w:pPr>
      <w:r w:rsidRPr="00941553">
        <w:rPr>
          <w:rFonts w:ascii="Mulish" w:hAnsi="Mulish"/>
          <w:bCs w:val="0"/>
          <w:color w:val="438086" w:themeColor="accent2"/>
          <w:sz w:val="22"/>
          <w:szCs w:val="22"/>
        </w:rPr>
        <w:lastRenderedPageBreak/>
        <w:t xml:space="preserve">Gráfico </w:t>
      </w:r>
      <w:r w:rsidRPr="00941553">
        <w:rPr>
          <w:rFonts w:ascii="Mulish" w:hAnsi="Mulish"/>
          <w:bCs w:val="0"/>
          <w:color w:val="438086" w:themeColor="accent2"/>
          <w:sz w:val="22"/>
          <w:szCs w:val="22"/>
        </w:rPr>
        <w:fldChar w:fldCharType="begin"/>
      </w:r>
      <w:r w:rsidRPr="00941553">
        <w:rPr>
          <w:rFonts w:ascii="Mulish" w:hAnsi="Mulish"/>
          <w:bCs w:val="0"/>
          <w:color w:val="438086" w:themeColor="accent2"/>
          <w:sz w:val="22"/>
          <w:szCs w:val="22"/>
        </w:rPr>
        <w:instrText xml:space="preserve"> SEQ Gráfico \* ARABIC </w:instrText>
      </w:r>
      <w:r w:rsidRPr="00941553">
        <w:rPr>
          <w:rFonts w:ascii="Mulish" w:hAnsi="Mulish"/>
          <w:bCs w:val="0"/>
          <w:color w:val="438086" w:themeColor="accent2"/>
          <w:sz w:val="22"/>
          <w:szCs w:val="22"/>
        </w:rPr>
        <w:fldChar w:fldCharType="separate"/>
      </w:r>
      <w:r w:rsidR="009A0015" w:rsidRPr="00941553">
        <w:rPr>
          <w:rFonts w:ascii="Mulish" w:hAnsi="Mulish"/>
          <w:bCs w:val="0"/>
          <w:noProof/>
          <w:color w:val="438086" w:themeColor="accent2"/>
          <w:sz w:val="22"/>
          <w:szCs w:val="22"/>
        </w:rPr>
        <w:t>2</w:t>
      </w:r>
      <w:r w:rsidRPr="00941553">
        <w:rPr>
          <w:rFonts w:ascii="Mulish" w:hAnsi="Mulish"/>
          <w:bCs w:val="0"/>
          <w:color w:val="438086" w:themeColor="accent2"/>
          <w:sz w:val="22"/>
          <w:szCs w:val="22"/>
        </w:rPr>
        <w:fldChar w:fldCharType="end"/>
      </w:r>
      <w:r w:rsidRPr="00941553">
        <w:rPr>
          <w:rFonts w:ascii="Mulish" w:hAnsi="Mulish"/>
          <w:bCs w:val="0"/>
          <w:color w:val="438086" w:themeColor="accent2"/>
          <w:sz w:val="22"/>
          <w:szCs w:val="22"/>
        </w:rPr>
        <w:t>: Porcentaje de contenidos obligatorios publicados según tipología de entidad evaluada</w:t>
      </w:r>
      <w:r w:rsidR="00757000" w:rsidRPr="00941553">
        <w:rPr>
          <w:rFonts w:ascii="Mulish" w:hAnsi="Mulish"/>
          <w:bCs w:val="0"/>
          <w:color w:val="438086" w:themeColor="accent2"/>
          <w:sz w:val="22"/>
          <w:szCs w:val="22"/>
        </w:rPr>
        <w:t xml:space="preserve"> (Información Institucional, Organizativa y de Planificación).</w:t>
      </w:r>
    </w:p>
    <w:p w14:paraId="369DF47B" w14:textId="4E234B65" w:rsidR="009A1DDA" w:rsidRPr="00941553" w:rsidRDefault="00F0704B" w:rsidP="009A1DDA">
      <w:pPr>
        <w:rPr>
          <w:rFonts w:ascii="Mulish" w:hAnsi="Mulish"/>
        </w:rPr>
      </w:pPr>
      <w:r>
        <w:rPr>
          <w:noProof/>
        </w:rPr>
        <w:drawing>
          <wp:inline distT="0" distB="0" distL="0" distR="0" wp14:anchorId="3B10414D" wp14:editId="3A917827">
            <wp:extent cx="5648325" cy="3105150"/>
            <wp:effectExtent l="0" t="0" r="9525" b="0"/>
            <wp:docPr id="2" name="Gráfico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B8EC25" w14:textId="77777777" w:rsidR="00841717" w:rsidRPr="00941553" w:rsidRDefault="00841717" w:rsidP="009A1DDA">
      <w:pPr>
        <w:rPr>
          <w:rFonts w:ascii="Mulish" w:hAnsi="Mulish"/>
        </w:rPr>
      </w:pPr>
    </w:p>
    <w:p w14:paraId="25484300" w14:textId="79895758" w:rsidR="0014410F" w:rsidRPr="00941553" w:rsidRDefault="0014410F" w:rsidP="0014410F">
      <w:pPr>
        <w:rPr>
          <w:rFonts w:ascii="Mulish" w:hAnsi="Mulish"/>
        </w:rPr>
      </w:pPr>
      <w:r w:rsidRPr="00941553">
        <w:rPr>
          <w:rFonts w:ascii="Mulish" w:hAnsi="Mulish"/>
        </w:rPr>
        <w:t>Respecto de 202</w:t>
      </w:r>
      <w:r w:rsidR="00F57644">
        <w:rPr>
          <w:rFonts w:ascii="Mulish" w:hAnsi="Mulish"/>
        </w:rPr>
        <w:t>3,</w:t>
      </w:r>
      <w:r w:rsidRPr="00941553">
        <w:rPr>
          <w:rFonts w:ascii="Mulish" w:hAnsi="Mulish"/>
        </w:rPr>
        <w:t xml:space="preserve"> </w:t>
      </w:r>
      <w:r w:rsidR="00F57644">
        <w:rPr>
          <w:rFonts w:ascii="Mulish" w:hAnsi="Mulish"/>
        </w:rPr>
        <w:t>aumenta</w:t>
      </w:r>
      <w:r w:rsidRPr="00941553">
        <w:rPr>
          <w:rFonts w:ascii="Mulish" w:hAnsi="Mulish"/>
        </w:rPr>
        <w:t xml:space="preserve"> </w:t>
      </w:r>
      <w:r w:rsidR="006A30D2">
        <w:rPr>
          <w:rFonts w:ascii="Mulish" w:hAnsi="Mulish"/>
        </w:rPr>
        <w:t xml:space="preserve">el 4,9% </w:t>
      </w:r>
      <w:r w:rsidRPr="00941553">
        <w:rPr>
          <w:rFonts w:ascii="Mulish" w:hAnsi="Mulish"/>
        </w:rPr>
        <w:t xml:space="preserve">la proporción de contenidos obligatorios publicados, lo que se explica por </w:t>
      </w:r>
      <w:r w:rsidR="00453226">
        <w:rPr>
          <w:rFonts w:ascii="Mulish" w:hAnsi="Mulish"/>
        </w:rPr>
        <w:t xml:space="preserve">el mejor desempeño de las entidades </w:t>
      </w:r>
      <w:r w:rsidR="00C57C6F">
        <w:rPr>
          <w:rFonts w:ascii="Mulish" w:hAnsi="Mulish"/>
        </w:rPr>
        <w:t>que fueron evaluadas por primera vez en ese año.</w:t>
      </w:r>
      <w:r w:rsidRPr="00941553">
        <w:rPr>
          <w:rFonts w:ascii="Mulish" w:hAnsi="Mulish"/>
        </w:rPr>
        <w:t xml:space="preserve"> De </w:t>
      </w:r>
      <w:r w:rsidR="00C57C6F" w:rsidRPr="00941553">
        <w:rPr>
          <w:rFonts w:ascii="Mulish" w:hAnsi="Mulish"/>
        </w:rPr>
        <w:t>hecho,</w:t>
      </w:r>
      <w:r w:rsidRPr="00941553">
        <w:rPr>
          <w:rFonts w:ascii="Mulish" w:hAnsi="Mulish"/>
        </w:rPr>
        <w:t xml:space="preserve"> la diferencia</w:t>
      </w:r>
      <w:r w:rsidRPr="00941553">
        <w:rPr>
          <w:rStyle w:val="Refdenotaalpie"/>
          <w:rFonts w:ascii="Mulish" w:hAnsi="Mulish"/>
        </w:rPr>
        <w:footnoteReference w:id="1"/>
      </w:r>
      <w:r w:rsidRPr="00941553">
        <w:rPr>
          <w:rFonts w:ascii="Mulish" w:hAnsi="Mulish"/>
        </w:rPr>
        <w:t xml:space="preserve"> en la proporción de contenidos publicados según se trate de entidades revisadas o evaluadas por primera vez</w:t>
      </w:r>
      <w:r w:rsidR="003E4C36" w:rsidRPr="00941553">
        <w:rPr>
          <w:rFonts w:ascii="Mulish" w:hAnsi="Mulish"/>
        </w:rPr>
        <w:t>,</w:t>
      </w:r>
      <w:r w:rsidRPr="00941553">
        <w:rPr>
          <w:rFonts w:ascii="Mulish" w:hAnsi="Mulish"/>
        </w:rPr>
        <w:t xml:space="preserve"> es de </w:t>
      </w:r>
      <w:r w:rsidR="00C57C6F">
        <w:rPr>
          <w:rFonts w:ascii="Mulish" w:hAnsi="Mulish"/>
        </w:rPr>
        <w:t>15,5</w:t>
      </w:r>
      <w:r w:rsidRPr="00941553">
        <w:rPr>
          <w:rFonts w:ascii="Mulish" w:hAnsi="Mulish"/>
        </w:rPr>
        <w:t xml:space="preserve"> p.p. a favor de las primeras. </w:t>
      </w:r>
      <w:r w:rsidR="00016E25" w:rsidRPr="00941553">
        <w:rPr>
          <w:rFonts w:ascii="Mulish" w:hAnsi="Mulish"/>
        </w:rPr>
        <w:t>Además,</w:t>
      </w:r>
      <w:r w:rsidR="003E4C36" w:rsidRPr="00941553">
        <w:rPr>
          <w:rFonts w:ascii="Mulish" w:hAnsi="Mulish"/>
        </w:rPr>
        <w:t xml:space="preserve"> las entidades revisadas en 202</w:t>
      </w:r>
      <w:r w:rsidR="00C57C6F">
        <w:rPr>
          <w:rFonts w:ascii="Mulish" w:hAnsi="Mulish"/>
        </w:rPr>
        <w:t>4</w:t>
      </w:r>
      <w:r w:rsidR="003E4C36" w:rsidRPr="00941553">
        <w:rPr>
          <w:rFonts w:ascii="Mulish" w:hAnsi="Mulish"/>
        </w:rPr>
        <w:t xml:space="preserve"> han incrementado la publicación de contenidos en un </w:t>
      </w:r>
      <w:r w:rsidR="0023218E">
        <w:rPr>
          <w:rFonts w:ascii="Mulish" w:hAnsi="Mulish"/>
        </w:rPr>
        <w:t>17,4</w:t>
      </w:r>
      <w:r w:rsidR="003E4C36" w:rsidRPr="00941553">
        <w:rPr>
          <w:rFonts w:ascii="Mulish" w:hAnsi="Mulish"/>
        </w:rPr>
        <w:t>%.</w:t>
      </w:r>
    </w:p>
    <w:p w14:paraId="603F1EA1" w14:textId="1A8E95F8" w:rsidR="00195B99" w:rsidRPr="00941553" w:rsidRDefault="008F03C4" w:rsidP="00152FBA">
      <w:pPr>
        <w:rPr>
          <w:rFonts w:ascii="Mulish" w:hAnsi="Mulish"/>
        </w:rPr>
      </w:pPr>
      <w:r w:rsidRPr="00941553">
        <w:rPr>
          <w:rFonts w:ascii="Mulish" w:hAnsi="Mulish"/>
        </w:rPr>
        <w:t>Como en 202</w:t>
      </w:r>
      <w:r w:rsidR="0023218E">
        <w:rPr>
          <w:rFonts w:ascii="Mulish" w:hAnsi="Mulish"/>
        </w:rPr>
        <w:t>3</w:t>
      </w:r>
      <w:r w:rsidR="0000702C">
        <w:rPr>
          <w:rFonts w:ascii="Mulish" w:hAnsi="Mulish"/>
        </w:rPr>
        <w:t xml:space="preserve"> y en años anteriores</w:t>
      </w:r>
      <w:r w:rsidRPr="00941553">
        <w:rPr>
          <w:rFonts w:ascii="Mulish" w:hAnsi="Mulish"/>
        </w:rPr>
        <w:t>, e</w:t>
      </w:r>
      <w:r w:rsidR="00F23B80" w:rsidRPr="00941553">
        <w:rPr>
          <w:rFonts w:ascii="Mulish" w:hAnsi="Mulish"/>
        </w:rPr>
        <w:t>l principal déficit de publicación de contenidos obligatorios se localiza en el grupo de obligaciones relativas a planificación</w:t>
      </w:r>
      <w:r w:rsidR="008176A6" w:rsidRPr="00941553">
        <w:rPr>
          <w:rFonts w:ascii="Mulish" w:hAnsi="Mulish"/>
        </w:rPr>
        <w:t xml:space="preserve"> </w:t>
      </w:r>
      <w:r w:rsidR="00195B99" w:rsidRPr="00941553">
        <w:rPr>
          <w:rFonts w:ascii="Mulish" w:hAnsi="Mulish"/>
        </w:rPr>
        <w:t xml:space="preserve">y </w:t>
      </w:r>
      <w:r w:rsidR="00247E8E" w:rsidRPr="00941553">
        <w:rPr>
          <w:rFonts w:ascii="Mulish" w:hAnsi="Mulish"/>
        </w:rPr>
        <w:t>en el</w:t>
      </w:r>
      <w:r w:rsidR="00195B99" w:rsidRPr="00941553">
        <w:rPr>
          <w:rFonts w:ascii="Mulish" w:hAnsi="Mulish"/>
        </w:rPr>
        <w:t xml:space="preserve"> Registr</w:t>
      </w:r>
      <w:r w:rsidR="008176A6" w:rsidRPr="00941553">
        <w:rPr>
          <w:rFonts w:ascii="Mulish" w:hAnsi="Mulish"/>
        </w:rPr>
        <w:t>o</w:t>
      </w:r>
      <w:r w:rsidR="00984881" w:rsidRPr="00941553">
        <w:rPr>
          <w:rFonts w:ascii="Mulish" w:hAnsi="Mulish"/>
        </w:rPr>
        <w:t xml:space="preserve"> de Actividades de Tratamiento</w:t>
      </w:r>
      <w:r w:rsidR="00F20DF6" w:rsidRPr="00941553">
        <w:rPr>
          <w:rFonts w:ascii="Mulish" w:hAnsi="Mulish"/>
        </w:rPr>
        <w:t>. En cuanto a las obligaciones relativas al grupo planificación</w:t>
      </w:r>
      <w:r w:rsidR="00F20DF6" w:rsidRPr="00941553">
        <w:rPr>
          <w:rStyle w:val="Refdenotaalpie"/>
          <w:rFonts w:ascii="Mulish" w:hAnsi="Mulish"/>
        </w:rPr>
        <w:footnoteReference w:id="2"/>
      </w:r>
      <w:r w:rsidR="006831C1" w:rsidRPr="00941553">
        <w:rPr>
          <w:rFonts w:ascii="Mulish" w:hAnsi="Mulish"/>
        </w:rPr>
        <w:t>,</w:t>
      </w:r>
      <w:r w:rsidR="00E74D60" w:rsidRPr="00941553">
        <w:rPr>
          <w:rFonts w:ascii="Mulish" w:hAnsi="Mulish"/>
        </w:rPr>
        <w:t xml:space="preserve"> </w:t>
      </w:r>
      <w:r w:rsidR="00643A29" w:rsidRPr="00941553">
        <w:rPr>
          <w:rFonts w:ascii="Mulish" w:hAnsi="Mulish"/>
        </w:rPr>
        <w:t xml:space="preserve">el </w:t>
      </w:r>
      <w:r w:rsidR="00C65FC5">
        <w:rPr>
          <w:rFonts w:ascii="Mulish" w:hAnsi="Mulish"/>
        </w:rPr>
        <w:t>69,6</w:t>
      </w:r>
      <w:r w:rsidR="00643A29" w:rsidRPr="00941553">
        <w:rPr>
          <w:rFonts w:ascii="Mulish" w:hAnsi="Mulish"/>
        </w:rPr>
        <w:t xml:space="preserve">% de las </w:t>
      </w:r>
      <w:r w:rsidR="00F20DF6" w:rsidRPr="00941553">
        <w:rPr>
          <w:rFonts w:ascii="Mulish" w:hAnsi="Mulish"/>
        </w:rPr>
        <w:t xml:space="preserve">entidades a las que </w:t>
      </w:r>
      <w:r w:rsidR="00BB55B0" w:rsidRPr="00941553">
        <w:rPr>
          <w:rFonts w:ascii="Mulish" w:hAnsi="Mulish"/>
        </w:rPr>
        <w:t>es aplicable la obligación</w:t>
      </w:r>
      <w:r w:rsidR="00F20DF6" w:rsidRPr="00941553">
        <w:rPr>
          <w:rFonts w:ascii="Mulish" w:hAnsi="Mulish"/>
        </w:rPr>
        <w:t xml:space="preserve"> </w:t>
      </w:r>
      <w:r w:rsidR="00643A29" w:rsidRPr="00941553">
        <w:rPr>
          <w:rFonts w:ascii="Mulish" w:hAnsi="Mulish"/>
        </w:rPr>
        <w:t>de publicar los resultados de planes y programas</w:t>
      </w:r>
      <w:r w:rsidR="003E5190" w:rsidRPr="00941553">
        <w:rPr>
          <w:rFonts w:ascii="Mulish" w:hAnsi="Mulish"/>
        </w:rPr>
        <w:t>,</w:t>
      </w:r>
      <w:r w:rsidR="00643A29" w:rsidRPr="00941553">
        <w:rPr>
          <w:rFonts w:ascii="Mulish" w:hAnsi="Mulish"/>
        </w:rPr>
        <w:t xml:space="preserve"> </w:t>
      </w:r>
      <w:r w:rsidR="00F20DF6" w:rsidRPr="00941553">
        <w:rPr>
          <w:rFonts w:ascii="Mulish" w:hAnsi="Mulish"/>
        </w:rPr>
        <w:t xml:space="preserve">no </w:t>
      </w:r>
      <w:r w:rsidR="00643A29" w:rsidRPr="00941553">
        <w:rPr>
          <w:rFonts w:ascii="Mulish" w:hAnsi="Mulish"/>
        </w:rPr>
        <w:t>lo hacen</w:t>
      </w:r>
      <w:r w:rsidR="00C65FC5">
        <w:rPr>
          <w:rFonts w:ascii="Mulish" w:hAnsi="Mulish"/>
        </w:rPr>
        <w:t>;</w:t>
      </w:r>
      <w:r w:rsidR="00643A29" w:rsidRPr="00941553">
        <w:rPr>
          <w:rFonts w:ascii="Mulish" w:hAnsi="Mulish"/>
        </w:rPr>
        <w:t xml:space="preserve"> </w:t>
      </w:r>
      <w:r w:rsidR="00C65FC5" w:rsidRPr="00941553">
        <w:rPr>
          <w:rFonts w:ascii="Mulish" w:hAnsi="Mulish"/>
        </w:rPr>
        <w:t>el 46</w:t>
      </w:r>
      <w:r w:rsidR="00C65FC5">
        <w:rPr>
          <w:rFonts w:ascii="Mulish" w:hAnsi="Mulish"/>
        </w:rPr>
        <w:t>,8</w:t>
      </w:r>
      <w:r w:rsidR="00C65FC5" w:rsidRPr="00941553">
        <w:rPr>
          <w:rFonts w:ascii="Mulish" w:hAnsi="Mulish"/>
        </w:rPr>
        <w:t xml:space="preserve">% no publica los indicadores de medida y valoración del grado de cumplimiento </w:t>
      </w:r>
      <w:r w:rsidR="00C65FC5">
        <w:rPr>
          <w:rFonts w:ascii="Mulish" w:hAnsi="Mulish"/>
        </w:rPr>
        <w:t xml:space="preserve">de los objetivos </w:t>
      </w:r>
      <w:r w:rsidR="00C65FC5" w:rsidRPr="00941553">
        <w:rPr>
          <w:rFonts w:ascii="Mulish" w:hAnsi="Mulish"/>
        </w:rPr>
        <w:t xml:space="preserve">de los planes y programas y </w:t>
      </w:r>
      <w:r w:rsidR="00643A29" w:rsidRPr="00941553">
        <w:rPr>
          <w:rFonts w:ascii="Mulish" w:hAnsi="Mulish"/>
        </w:rPr>
        <w:t xml:space="preserve">el </w:t>
      </w:r>
      <w:r w:rsidR="00C65FC5">
        <w:rPr>
          <w:rFonts w:ascii="Mulish" w:hAnsi="Mulish"/>
        </w:rPr>
        <w:t>21,9</w:t>
      </w:r>
      <w:r w:rsidR="00643A29" w:rsidRPr="00941553">
        <w:rPr>
          <w:rFonts w:ascii="Mulish" w:hAnsi="Mulish"/>
        </w:rPr>
        <w:t xml:space="preserve"> % no publica sus planes y programas</w:t>
      </w:r>
      <w:r w:rsidR="00F20DF6" w:rsidRPr="00941553">
        <w:rPr>
          <w:rFonts w:ascii="Mulish" w:hAnsi="Mulish"/>
        </w:rPr>
        <w:t>. En cuanto al Registro de Actividades de Tratamiento</w:t>
      </w:r>
      <w:r w:rsidR="00F20DF6" w:rsidRPr="00941553">
        <w:rPr>
          <w:rStyle w:val="Refdenotaalpie"/>
          <w:rFonts w:ascii="Mulish" w:hAnsi="Mulish"/>
        </w:rPr>
        <w:footnoteReference w:id="3"/>
      </w:r>
      <w:r w:rsidR="00F20DF6" w:rsidRPr="00941553">
        <w:rPr>
          <w:rFonts w:ascii="Mulish" w:hAnsi="Mulish"/>
        </w:rPr>
        <w:t xml:space="preserve">, </w:t>
      </w:r>
      <w:r w:rsidR="00F245CD" w:rsidRPr="00941553">
        <w:rPr>
          <w:rFonts w:ascii="Mulish" w:hAnsi="Mulish"/>
        </w:rPr>
        <w:t xml:space="preserve"> </w:t>
      </w:r>
      <w:r w:rsidR="00C65FC5">
        <w:rPr>
          <w:rFonts w:ascii="Mulish" w:hAnsi="Mulish"/>
        </w:rPr>
        <w:t>e</w:t>
      </w:r>
      <w:r w:rsidR="00643A29" w:rsidRPr="00941553">
        <w:rPr>
          <w:rFonts w:ascii="Mulish" w:hAnsi="Mulish"/>
        </w:rPr>
        <w:t xml:space="preserve">l </w:t>
      </w:r>
      <w:r w:rsidR="006C4A36">
        <w:rPr>
          <w:rFonts w:ascii="Mulish" w:hAnsi="Mulish"/>
        </w:rPr>
        <w:t>31</w:t>
      </w:r>
      <w:r w:rsidR="00643A29" w:rsidRPr="00941553">
        <w:rPr>
          <w:rFonts w:ascii="Mulish" w:hAnsi="Mulish"/>
        </w:rPr>
        <w:t>% de</w:t>
      </w:r>
      <w:r w:rsidR="00BB55B0" w:rsidRPr="00941553">
        <w:rPr>
          <w:rFonts w:ascii="Mulish" w:hAnsi="Mulish"/>
        </w:rPr>
        <w:t xml:space="preserve"> las entidades a la</w:t>
      </w:r>
      <w:r w:rsidR="00643A29" w:rsidRPr="00941553">
        <w:rPr>
          <w:rFonts w:ascii="Mulish" w:hAnsi="Mulish"/>
        </w:rPr>
        <w:t>s</w:t>
      </w:r>
      <w:r w:rsidR="00BB55B0" w:rsidRPr="00941553">
        <w:rPr>
          <w:rFonts w:ascii="Mulish" w:hAnsi="Mulish"/>
        </w:rPr>
        <w:t xml:space="preserve"> que aplica esta obligación</w:t>
      </w:r>
      <w:r w:rsidR="00656CBC" w:rsidRPr="00941553">
        <w:rPr>
          <w:rFonts w:ascii="Mulish" w:hAnsi="Mulish"/>
        </w:rPr>
        <w:t>,</w:t>
      </w:r>
      <w:r w:rsidR="00BB55B0" w:rsidRPr="00941553">
        <w:rPr>
          <w:rFonts w:ascii="Mulish" w:hAnsi="Mulish"/>
        </w:rPr>
        <w:t xml:space="preserve"> </w:t>
      </w:r>
      <w:r w:rsidR="00E74D60" w:rsidRPr="00941553">
        <w:rPr>
          <w:rFonts w:ascii="Mulish" w:hAnsi="Mulish"/>
        </w:rPr>
        <w:t xml:space="preserve">no lo publican, </w:t>
      </w:r>
      <w:r w:rsidR="00F245CD" w:rsidRPr="00941553">
        <w:rPr>
          <w:rFonts w:ascii="Mulish" w:hAnsi="Mulish"/>
        </w:rPr>
        <w:t xml:space="preserve">o </w:t>
      </w:r>
      <w:r w:rsidR="005C658E" w:rsidRPr="00941553">
        <w:rPr>
          <w:rFonts w:ascii="Mulish" w:hAnsi="Mulish"/>
        </w:rPr>
        <w:t xml:space="preserve">bien la publicación </w:t>
      </w:r>
      <w:r w:rsidR="00F245CD" w:rsidRPr="00941553">
        <w:rPr>
          <w:rFonts w:ascii="Mulish" w:hAnsi="Mulish"/>
        </w:rPr>
        <w:t xml:space="preserve">no </w:t>
      </w:r>
      <w:r w:rsidR="004856CF" w:rsidRPr="00941553">
        <w:rPr>
          <w:rFonts w:ascii="Mulish" w:hAnsi="Mulish"/>
        </w:rPr>
        <w:t>contempla la totalidad</w:t>
      </w:r>
      <w:r w:rsidR="00F245CD" w:rsidRPr="00941553">
        <w:rPr>
          <w:rFonts w:ascii="Mulish" w:hAnsi="Mulish"/>
        </w:rPr>
        <w:t xml:space="preserve"> de </w:t>
      </w:r>
      <w:r w:rsidR="004856CF" w:rsidRPr="00941553">
        <w:rPr>
          <w:rFonts w:ascii="Mulish" w:hAnsi="Mulish"/>
        </w:rPr>
        <w:t xml:space="preserve">los </w:t>
      </w:r>
      <w:r w:rsidR="00F245CD" w:rsidRPr="00941553">
        <w:rPr>
          <w:rFonts w:ascii="Mulish" w:hAnsi="Mulish"/>
        </w:rPr>
        <w:t>contenido</w:t>
      </w:r>
      <w:r w:rsidR="004856CF" w:rsidRPr="00941553">
        <w:rPr>
          <w:rFonts w:ascii="Mulish" w:hAnsi="Mulish"/>
        </w:rPr>
        <w:t>s</w:t>
      </w:r>
      <w:r w:rsidR="00F245CD" w:rsidRPr="00941553">
        <w:rPr>
          <w:rFonts w:ascii="Mulish" w:hAnsi="Mulish"/>
        </w:rPr>
        <w:t xml:space="preserve"> establecidos en el Reglamento </w:t>
      </w:r>
      <w:r w:rsidR="006C4A36">
        <w:rPr>
          <w:rFonts w:ascii="Mulish" w:hAnsi="Mulish"/>
        </w:rPr>
        <w:t>General</w:t>
      </w:r>
      <w:r w:rsidR="00F245CD" w:rsidRPr="00941553">
        <w:rPr>
          <w:rFonts w:ascii="Mulish" w:hAnsi="Mulish"/>
        </w:rPr>
        <w:t xml:space="preserve"> de Protección de Datos.</w:t>
      </w:r>
    </w:p>
    <w:p w14:paraId="7086F933" w14:textId="68C13B17" w:rsidR="00F245CD" w:rsidRPr="00941553" w:rsidRDefault="00F245CD" w:rsidP="00152FBA">
      <w:pPr>
        <w:rPr>
          <w:rFonts w:ascii="Mulish" w:hAnsi="Mulish"/>
        </w:rPr>
      </w:pPr>
      <w:r w:rsidRPr="00941553">
        <w:rPr>
          <w:rFonts w:ascii="Mulish" w:hAnsi="Mulish"/>
        </w:rPr>
        <w:t xml:space="preserve">Respecto del cumplimiento de los requisitos de calidad de la información que establece la LTAIBG, </w:t>
      </w:r>
      <w:r w:rsidR="003549D0" w:rsidRPr="00941553">
        <w:rPr>
          <w:rFonts w:ascii="Mulish" w:hAnsi="Mulish"/>
        </w:rPr>
        <w:t>el</w:t>
      </w:r>
      <w:r w:rsidRPr="00941553">
        <w:rPr>
          <w:rFonts w:ascii="Mulish" w:hAnsi="Mulish"/>
        </w:rPr>
        <w:t xml:space="preserve"> principal déficit se localiza en la </w:t>
      </w:r>
      <w:r w:rsidR="00984881" w:rsidRPr="00941553">
        <w:rPr>
          <w:rFonts w:ascii="Mulish" w:hAnsi="Mulish"/>
        </w:rPr>
        <w:t>carencia</w:t>
      </w:r>
      <w:r w:rsidRPr="00941553">
        <w:rPr>
          <w:rFonts w:ascii="Mulish" w:hAnsi="Mulish"/>
        </w:rPr>
        <w:t xml:space="preserve"> de referencias que permitan conocer </w:t>
      </w:r>
      <w:r w:rsidRPr="00941553">
        <w:rPr>
          <w:rFonts w:ascii="Mulish" w:hAnsi="Mulish"/>
        </w:rPr>
        <w:lastRenderedPageBreak/>
        <w:t>si la inform</w:t>
      </w:r>
      <w:r w:rsidR="00841A00" w:rsidRPr="00941553">
        <w:rPr>
          <w:rFonts w:ascii="Mulish" w:hAnsi="Mulish"/>
        </w:rPr>
        <w:t xml:space="preserve">ación publicada está vigente. </w:t>
      </w:r>
      <w:r w:rsidR="003E4333" w:rsidRPr="00941553">
        <w:rPr>
          <w:rFonts w:ascii="Mulish" w:hAnsi="Mulish"/>
        </w:rPr>
        <w:t xml:space="preserve">Tan sólo un </w:t>
      </w:r>
      <w:r w:rsidR="006C4A36">
        <w:rPr>
          <w:rFonts w:ascii="Mulish" w:hAnsi="Mulish"/>
        </w:rPr>
        <w:t>38</w:t>
      </w:r>
      <w:r w:rsidR="003E4333" w:rsidRPr="00941553">
        <w:rPr>
          <w:rFonts w:ascii="Mulish" w:hAnsi="Mulish"/>
        </w:rPr>
        <w:t>%</w:t>
      </w:r>
      <w:r w:rsidRPr="00941553">
        <w:rPr>
          <w:rFonts w:ascii="Mulish" w:hAnsi="Mulish"/>
        </w:rPr>
        <w:t xml:space="preserve"> de las informaciones de este bloque de obligaciones </w:t>
      </w:r>
      <w:r w:rsidR="008220D7" w:rsidRPr="00941553">
        <w:rPr>
          <w:rFonts w:ascii="Mulish" w:hAnsi="Mulish"/>
        </w:rPr>
        <w:t xml:space="preserve">contiene alguna </w:t>
      </w:r>
      <w:r w:rsidR="003E4333" w:rsidRPr="00941553">
        <w:rPr>
          <w:rFonts w:ascii="Mulish" w:hAnsi="Mulish"/>
        </w:rPr>
        <w:t>referencia</w:t>
      </w:r>
      <w:r w:rsidR="008220D7" w:rsidRPr="00941553">
        <w:rPr>
          <w:rFonts w:ascii="Mulish" w:hAnsi="Mulish"/>
        </w:rPr>
        <w:t xml:space="preserve"> </w:t>
      </w:r>
      <w:r w:rsidR="009D7EB3" w:rsidRPr="00941553">
        <w:rPr>
          <w:rFonts w:ascii="Mulish" w:hAnsi="Mulish"/>
        </w:rPr>
        <w:t>que permita conocer</w:t>
      </w:r>
      <w:r w:rsidR="008220D7" w:rsidRPr="00941553">
        <w:rPr>
          <w:rFonts w:ascii="Mulish" w:hAnsi="Mulish"/>
        </w:rPr>
        <w:t xml:space="preserve"> la última fecha en que se revisó o actualizó</w:t>
      </w:r>
      <w:r w:rsidR="009D7EB3" w:rsidRPr="00941553">
        <w:rPr>
          <w:rFonts w:ascii="Mulish" w:hAnsi="Mulish"/>
        </w:rPr>
        <w:t xml:space="preserve"> y, por lo tanto, si la información publicada está vigente</w:t>
      </w:r>
      <w:r w:rsidR="008220D7" w:rsidRPr="00941553">
        <w:rPr>
          <w:rFonts w:ascii="Mulish" w:hAnsi="Mulish"/>
        </w:rPr>
        <w:t>.</w:t>
      </w:r>
    </w:p>
    <w:p w14:paraId="05131D41" w14:textId="77777777" w:rsidR="00F23B80" w:rsidRPr="00941553" w:rsidRDefault="00F23B80" w:rsidP="005915F6">
      <w:pPr>
        <w:rPr>
          <w:rFonts w:ascii="Mulish" w:hAnsi="Mulish"/>
          <w:b/>
          <w:color w:val="438086" w:themeColor="accent2"/>
          <w:szCs w:val="22"/>
        </w:rPr>
      </w:pPr>
      <w:r w:rsidRPr="00941553">
        <w:rPr>
          <w:rFonts w:ascii="Mulish" w:hAnsi="Mulish"/>
          <w:b/>
          <w:color w:val="438086" w:themeColor="accent2"/>
          <w:szCs w:val="22"/>
        </w:rPr>
        <w:t xml:space="preserve">Gráfico </w:t>
      </w:r>
      <w:r w:rsidR="005915F6" w:rsidRPr="00941553">
        <w:rPr>
          <w:rFonts w:ascii="Mulish" w:hAnsi="Mulish"/>
          <w:b/>
          <w:color w:val="438086" w:themeColor="accent2"/>
          <w:szCs w:val="22"/>
        </w:rPr>
        <w:fldChar w:fldCharType="begin"/>
      </w:r>
      <w:r w:rsidR="005915F6" w:rsidRPr="00941553">
        <w:rPr>
          <w:rFonts w:ascii="Mulish" w:hAnsi="Mulish"/>
          <w:b/>
          <w:color w:val="438086" w:themeColor="accent2"/>
          <w:szCs w:val="22"/>
        </w:rPr>
        <w:instrText xml:space="preserve"> SEQ Gráfico \* ARABIC </w:instrText>
      </w:r>
      <w:r w:rsidR="005915F6" w:rsidRPr="00941553">
        <w:rPr>
          <w:rFonts w:ascii="Mulish" w:hAnsi="Mulish"/>
          <w:b/>
          <w:color w:val="438086" w:themeColor="accent2"/>
          <w:szCs w:val="22"/>
        </w:rPr>
        <w:fldChar w:fldCharType="separate"/>
      </w:r>
      <w:r w:rsidR="009A0015" w:rsidRPr="00941553">
        <w:rPr>
          <w:rFonts w:ascii="Mulish" w:hAnsi="Mulish"/>
          <w:b/>
          <w:noProof/>
          <w:color w:val="438086" w:themeColor="accent2"/>
          <w:szCs w:val="22"/>
        </w:rPr>
        <w:t>3</w:t>
      </w:r>
      <w:r w:rsidR="005915F6" w:rsidRPr="00941553">
        <w:rPr>
          <w:rFonts w:ascii="Mulish" w:hAnsi="Mulish"/>
          <w:b/>
          <w:color w:val="438086" w:themeColor="accent2"/>
          <w:szCs w:val="22"/>
        </w:rPr>
        <w:fldChar w:fldCharType="end"/>
      </w:r>
      <w:r w:rsidRPr="00941553">
        <w:rPr>
          <w:rFonts w:ascii="Mulish" w:hAnsi="Mulish"/>
          <w:b/>
          <w:color w:val="438086" w:themeColor="accent2"/>
          <w:szCs w:val="22"/>
        </w:rPr>
        <w:t>:</w:t>
      </w:r>
      <w:r w:rsidR="00AA2D83" w:rsidRPr="00941553">
        <w:rPr>
          <w:rFonts w:ascii="Mulish" w:hAnsi="Mulish"/>
          <w:b/>
          <w:color w:val="438086" w:themeColor="accent2"/>
          <w:szCs w:val="22"/>
        </w:rPr>
        <w:t xml:space="preserve"> Evaluación de la publicación (contenido) y de los atributos de calidad de información Institucional, </w:t>
      </w:r>
      <w:r w:rsidR="003F10D6" w:rsidRPr="00941553">
        <w:rPr>
          <w:rFonts w:ascii="Mulish" w:hAnsi="Mulish"/>
          <w:b/>
          <w:color w:val="438086" w:themeColor="accent2"/>
          <w:szCs w:val="22"/>
        </w:rPr>
        <w:t>Organizativa y de Planificación y Registro de Actividades de Tratamiento.</w:t>
      </w:r>
      <w:r w:rsidR="00550FCC" w:rsidRPr="00941553">
        <w:rPr>
          <w:rFonts w:ascii="Mulish" w:hAnsi="Mulish"/>
          <w:b/>
          <w:color w:val="438086" w:themeColor="accent2"/>
          <w:szCs w:val="22"/>
        </w:rPr>
        <w:t xml:space="preserve"> </w:t>
      </w:r>
    </w:p>
    <w:p w14:paraId="495606AD" w14:textId="15138188" w:rsidR="00F23B80" w:rsidRPr="00941553" w:rsidRDefault="006C4A36" w:rsidP="00841A00">
      <w:pPr>
        <w:rPr>
          <w:rFonts w:ascii="Mulish" w:hAnsi="Mulish"/>
        </w:rPr>
      </w:pPr>
      <w:r>
        <w:rPr>
          <w:noProof/>
        </w:rPr>
        <w:drawing>
          <wp:inline distT="0" distB="0" distL="0" distR="0" wp14:anchorId="285CF0FC" wp14:editId="34B35DB8">
            <wp:extent cx="5695950" cy="2800350"/>
            <wp:effectExtent l="0" t="0" r="0" b="0"/>
            <wp:docPr id="5" name="Gráfico 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4B004E" w14:textId="77777777" w:rsidR="00CF325D" w:rsidRPr="00941553" w:rsidRDefault="00CF325D" w:rsidP="003549D0">
      <w:pPr>
        <w:rPr>
          <w:rFonts w:ascii="Mulish" w:hAnsi="Mulish"/>
        </w:rPr>
      </w:pPr>
    </w:p>
    <w:p w14:paraId="4C576190" w14:textId="48BC8232" w:rsidR="003549D0" w:rsidRPr="00941553" w:rsidRDefault="003549D0" w:rsidP="003549D0">
      <w:pPr>
        <w:rPr>
          <w:rFonts w:ascii="Mulish" w:hAnsi="Mulish"/>
        </w:rPr>
      </w:pPr>
      <w:r w:rsidRPr="00941553">
        <w:rPr>
          <w:rFonts w:ascii="Mulish" w:hAnsi="Mulish"/>
        </w:rPr>
        <w:t xml:space="preserve">El cumplimiento medio de este bloque de obligaciones </w:t>
      </w:r>
      <w:r w:rsidR="00CC4021" w:rsidRPr="00941553">
        <w:rPr>
          <w:rFonts w:ascii="Mulish" w:hAnsi="Mulish"/>
        </w:rPr>
        <w:t>alcanza</w:t>
      </w:r>
      <w:r w:rsidRPr="00941553">
        <w:rPr>
          <w:rFonts w:ascii="Mulish" w:hAnsi="Mulish"/>
        </w:rPr>
        <w:t xml:space="preserve"> el</w:t>
      </w:r>
      <w:r w:rsidR="00643A29" w:rsidRPr="00941553">
        <w:rPr>
          <w:rFonts w:ascii="Mulish" w:hAnsi="Mulish"/>
        </w:rPr>
        <w:t xml:space="preserve"> </w:t>
      </w:r>
      <w:r w:rsidR="009C6BBC">
        <w:rPr>
          <w:rFonts w:ascii="Mulish" w:hAnsi="Mulish"/>
        </w:rPr>
        <w:t>67,3</w:t>
      </w:r>
      <w:r w:rsidR="00643A29" w:rsidRPr="00941553">
        <w:rPr>
          <w:rFonts w:ascii="Mulish" w:hAnsi="Mulish"/>
        </w:rPr>
        <w:t>%</w:t>
      </w:r>
      <w:r w:rsidRPr="00941553">
        <w:rPr>
          <w:rFonts w:ascii="Mulish" w:hAnsi="Mulish"/>
        </w:rPr>
        <w:t xml:space="preserve"> con un rango de variación que oscila entre el </w:t>
      </w:r>
      <w:r w:rsidR="009C6BBC">
        <w:rPr>
          <w:rFonts w:ascii="Mulish" w:hAnsi="Mulish"/>
        </w:rPr>
        <w:t>9</w:t>
      </w:r>
      <w:r w:rsidRPr="00941553">
        <w:rPr>
          <w:rFonts w:ascii="Mulish" w:hAnsi="Mulish"/>
        </w:rPr>
        <w:t xml:space="preserve"> y el </w:t>
      </w:r>
      <w:r w:rsidR="00BF557E" w:rsidRPr="00941553">
        <w:rPr>
          <w:rFonts w:ascii="Mulish" w:hAnsi="Mulish"/>
        </w:rPr>
        <w:t>100</w:t>
      </w:r>
      <w:r w:rsidRPr="00941553">
        <w:rPr>
          <w:rFonts w:ascii="Mulish" w:hAnsi="Mulish"/>
        </w:rPr>
        <w:t>%.</w:t>
      </w:r>
    </w:p>
    <w:p w14:paraId="4F46B81D" w14:textId="638EF69C" w:rsidR="003E4333" w:rsidRPr="00941553" w:rsidRDefault="003E4333" w:rsidP="00E719EF">
      <w:pPr>
        <w:rPr>
          <w:rFonts w:ascii="Mulish" w:hAnsi="Mulish"/>
        </w:rPr>
      </w:pPr>
      <w:r w:rsidRPr="00941553">
        <w:rPr>
          <w:rFonts w:ascii="Mulish" w:hAnsi="Mulish"/>
        </w:rPr>
        <w:t xml:space="preserve">Existen diferencias entre los distintos tipos de entidades </w:t>
      </w:r>
      <w:r w:rsidR="00A25618" w:rsidRPr="00941553">
        <w:rPr>
          <w:rFonts w:ascii="Mulish" w:hAnsi="Mulish"/>
        </w:rPr>
        <w:t>en</w:t>
      </w:r>
      <w:r w:rsidRPr="00941553">
        <w:rPr>
          <w:rFonts w:ascii="Mulish" w:hAnsi="Mulish"/>
        </w:rPr>
        <w:t xml:space="preserve"> el nivel de cumplimiento alcanzado en este grupo de obligaciones. Las</w:t>
      </w:r>
      <w:r w:rsidR="0030286C" w:rsidRPr="00941553">
        <w:rPr>
          <w:rFonts w:ascii="Mulish" w:hAnsi="Mulish"/>
        </w:rPr>
        <w:t xml:space="preserve"> </w:t>
      </w:r>
      <w:r w:rsidR="003223E2">
        <w:rPr>
          <w:rFonts w:ascii="Mulish" w:hAnsi="Mulish"/>
        </w:rPr>
        <w:t>MATEPSS</w:t>
      </w:r>
      <w:r w:rsidR="003223E2" w:rsidRPr="00941553">
        <w:rPr>
          <w:rFonts w:ascii="Mulish" w:hAnsi="Mulish"/>
        </w:rPr>
        <w:t>, las</w:t>
      </w:r>
      <w:r w:rsidR="007E1A62" w:rsidRPr="00941553">
        <w:rPr>
          <w:rFonts w:ascii="Mulish" w:hAnsi="Mulish"/>
        </w:rPr>
        <w:t xml:space="preserve"> </w:t>
      </w:r>
      <w:r w:rsidR="0030286C" w:rsidRPr="00941553">
        <w:rPr>
          <w:rFonts w:ascii="Mulish" w:hAnsi="Mulish"/>
        </w:rPr>
        <w:t xml:space="preserve">Sociedades Mercantiles y las </w:t>
      </w:r>
      <w:r w:rsidR="0060160C">
        <w:rPr>
          <w:rFonts w:ascii="Mulish" w:hAnsi="Mulish"/>
        </w:rPr>
        <w:t>Fundaciones Públicas</w:t>
      </w:r>
      <w:r w:rsidR="0030286C" w:rsidRPr="00941553">
        <w:rPr>
          <w:rFonts w:ascii="Mulish" w:hAnsi="Mulish"/>
        </w:rPr>
        <w:t xml:space="preserve"> </w:t>
      </w:r>
      <w:r w:rsidR="007E1A62" w:rsidRPr="00941553">
        <w:rPr>
          <w:rFonts w:ascii="Mulish" w:hAnsi="Mulish"/>
        </w:rPr>
        <w:t>pr</w:t>
      </w:r>
      <w:r w:rsidRPr="00941553">
        <w:rPr>
          <w:rFonts w:ascii="Mulish" w:hAnsi="Mulish"/>
        </w:rPr>
        <w:t xml:space="preserve">esentan un desempeño </w:t>
      </w:r>
      <w:r w:rsidR="0030286C" w:rsidRPr="00941553">
        <w:rPr>
          <w:rFonts w:ascii="Mulish" w:hAnsi="Mulish"/>
        </w:rPr>
        <w:t>superior a la media</w:t>
      </w:r>
      <w:r w:rsidRPr="00941553">
        <w:rPr>
          <w:rFonts w:ascii="Mulish" w:hAnsi="Mulish"/>
        </w:rPr>
        <w:t xml:space="preserve">. </w:t>
      </w:r>
      <w:r w:rsidR="00CC4021" w:rsidRPr="00941553">
        <w:rPr>
          <w:rFonts w:ascii="Mulish" w:hAnsi="Mulish"/>
        </w:rPr>
        <w:t xml:space="preserve">Estas diferencias </w:t>
      </w:r>
      <w:r w:rsidR="0030286C" w:rsidRPr="00941553">
        <w:rPr>
          <w:rFonts w:ascii="Mulish" w:hAnsi="Mulish"/>
        </w:rPr>
        <w:t xml:space="preserve">no </w:t>
      </w:r>
      <w:r w:rsidR="00CC4021" w:rsidRPr="00941553">
        <w:rPr>
          <w:rFonts w:ascii="Mulish" w:hAnsi="Mulish"/>
        </w:rPr>
        <w:t>son estadísticamente significativas</w:t>
      </w:r>
      <w:r w:rsidR="0030286C" w:rsidRPr="00941553">
        <w:rPr>
          <w:rFonts w:ascii="Mulish" w:hAnsi="Mulish"/>
        </w:rPr>
        <w:t xml:space="preserve">. </w:t>
      </w:r>
    </w:p>
    <w:p w14:paraId="67121277" w14:textId="77777777" w:rsidR="00381193" w:rsidRPr="00941553" w:rsidRDefault="00381193" w:rsidP="00381193">
      <w:pPr>
        <w:pStyle w:val="Descripcin"/>
        <w:keepNext/>
        <w:rPr>
          <w:rFonts w:ascii="Mulish" w:hAnsi="Mulish"/>
          <w:color w:val="438086" w:themeColor="accent2"/>
          <w:sz w:val="22"/>
          <w:szCs w:val="22"/>
        </w:rPr>
      </w:pPr>
      <w:r w:rsidRPr="00941553">
        <w:rPr>
          <w:rFonts w:ascii="Mulish" w:hAnsi="Mulish"/>
          <w:color w:val="438086" w:themeColor="accent2"/>
          <w:sz w:val="22"/>
          <w:szCs w:val="22"/>
        </w:rPr>
        <w:lastRenderedPageBreak/>
        <w:t xml:space="preserve">Gráfico </w:t>
      </w:r>
      <w:r w:rsidRPr="00941553">
        <w:rPr>
          <w:rFonts w:ascii="Mulish" w:hAnsi="Mulish"/>
          <w:color w:val="438086" w:themeColor="accent2"/>
          <w:sz w:val="22"/>
          <w:szCs w:val="22"/>
        </w:rPr>
        <w:fldChar w:fldCharType="begin"/>
      </w:r>
      <w:r w:rsidRPr="00941553">
        <w:rPr>
          <w:rFonts w:ascii="Mulish" w:hAnsi="Mulish"/>
          <w:color w:val="438086" w:themeColor="accent2"/>
          <w:sz w:val="22"/>
          <w:szCs w:val="22"/>
        </w:rPr>
        <w:instrText xml:space="preserve"> SEQ Gráfico \* ARABIC </w:instrText>
      </w:r>
      <w:r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4</w:t>
      </w:r>
      <w:r w:rsidRPr="00941553">
        <w:rPr>
          <w:rFonts w:ascii="Mulish" w:hAnsi="Mulish"/>
          <w:color w:val="438086" w:themeColor="accent2"/>
          <w:sz w:val="22"/>
          <w:szCs w:val="22"/>
        </w:rPr>
        <w:fldChar w:fldCharType="end"/>
      </w:r>
      <w:r w:rsidRPr="00941553">
        <w:rPr>
          <w:rFonts w:ascii="Mulish" w:hAnsi="Mulish"/>
          <w:color w:val="438086" w:themeColor="accent2"/>
          <w:sz w:val="22"/>
          <w:szCs w:val="22"/>
        </w:rPr>
        <w:t>: Cumplimiento global en el bloque de informaciones Institucional, Organizativa y de Planificación según tipología de organismo evaluado.</w:t>
      </w:r>
    </w:p>
    <w:p w14:paraId="3B5B4895" w14:textId="73805F26" w:rsidR="003E4333" w:rsidRPr="00941553" w:rsidRDefault="0060160C" w:rsidP="003E4333">
      <w:pPr>
        <w:rPr>
          <w:rFonts w:ascii="Mulish" w:hAnsi="Mulish"/>
        </w:rPr>
      </w:pPr>
      <w:r>
        <w:rPr>
          <w:noProof/>
        </w:rPr>
        <w:drawing>
          <wp:inline distT="0" distB="0" distL="0" distR="0" wp14:anchorId="1ECF36E2" wp14:editId="19EB88FA">
            <wp:extent cx="5676900" cy="2476500"/>
            <wp:effectExtent l="0" t="0" r="0" b="0"/>
            <wp:docPr id="8" name="Gráfico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FC3E71" w14:textId="303DE713" w:rsidR="0030286C" w:rsidRPr="00941553" w:rsidRDefault="0030286C" w:rsidP="0030286C">
      <w:pPr>
        <w:rPr>
          <w:rFonts w:ascii="Mulish" w:hAnsi="Mulish"/>
        </w:rPr>
      </w:pPr>
      <w:r w:rsidRPr="00941553">
        <w:rPr>
          <w:rFonts w:ascii="Mulish" w:hAnsi="Mulish"/>
        </w:rPr>
        <w:t>Si la comparación se efectúa según la entidad haya sido evaluada por primera vez en 202</w:t>
      </w:r>
      <w:r w:rsidR="0060160C">
        <w:rPr>
          <w:rFonts w:ascii="Mulish" w:hAnsi="Mulish"/>
        </w:rPr>
        <w:t>3</w:t>
      </w:r>
      <w:r w:rsidRPr="00941553">
        <w:rPr>
          <w:rFonts w:ascii="Mulish" w:hAnsi="Mulish"/>
        </w:rPr>
        <w:t xml:space="preserve"> o 202</w:t>
      </w:r>
      <w:r w:rsidR="008F5ED1">
        <w:rPr>
          <w:rFonts w:ascii="Mulish" w:hAnsi="Mulish"/>
        </w:rPr>
        <w:t>4</w:t>
      </w:r>
      <w:r w:rsidR="003E5190" w:rsidRPr="00941553">
        <w:rPr>
          <w:rFonts w:ascii="Mulish" w:hAnsi="Mulish"/>
        </w:rPr>
        <w:t>, e</w:t>
      </w:r>
      <w:r w:rsidRPr="00941553">
        <w:rPr>
          <w:rFonts w:ascii="Mulish" w:hAnsi="Mulish"/>
        </w:rPr>
        <w:t xml:space="preserve">n el segundo caso, el Índice de Cumplimiento promedio se sitúa en el </w:t>
      </w:r>
      <w:r w:rsidR="008F5ED1">
        <w:rPr>
          <w:rFonts w:ascii="Mulish" w:hAnsi="Mulish"/>
        </w:rPr>
        <w:t>61,3</w:t>
      </w:r>
      <w:r w:rsidRPr="00941553">
        <w:rPr>
          <w:rFonts w:ascii="Mulish" w:hAnsi="Mulish"/>
        </w:rPr>
        <w:t xml:space="preserve">% frente al </w:t>
      </w:r>
      <w:r w:rsidR="008F5ED1">
        <w:rPr>
          <w:rFonts w:ascii="Mulish" w:hAnsi="Mulish"/>
        </w:rPr>
        <w:t>75,9</w:t>
      </w:r>
      <w:r w:rsidRPr="00941553">
        <w:rPr>
          <w:rFonts w:ascii="Mulish" w:hAnsi="Mulish"/>
        </w:rPr>
        <w:t>% alcanzado por las entidades evaluadas por primera vez en 202</w:t>
      </w:r>
      <w:r w:rsidR="008F5ED1">
        <w:rPr>
          <w:rFonts w:ascii="Mulish" w:hAnsi="Mulish"/>
        </w:rPr>
        <w:t>3</w:t>
      </w:r>
      <w:r w:rsidRPr="00941553">
        <w:rPr>
          <w:rStyle w:val="Refdenotaalpie"/>
          <w:rFonts w:ascii="Mulish" w:hAnsi="Mulish"/>
        </w:rPr>
        <w:footnoteReference w:id="4"/>
      </w:r>
      <w:r w:rsidRPr="00941553">
        <w:rPr>
          <w:rFonts w:ascii="Mulish" w:hAnsi="Mulish"/>
        </w:rPr>
        <w:t>.</w:t>
      </w:r>
      <w:r w:rsidR="003E4C36" w:rsidRPr="00941553">
        <w:rPr>
          <w:rFonts w:ascii="Mulish" w:hAnsi="Mulish"/>
        </w:rPr>
        <w:t xml:space="preserve"> </w:t>
      </w:r>
      <w:r w:rsidR="00563483">
        <w:rPr>
          <w:rFonts w:ascii="Mulish" w:hAnsi="Mulish"/>
        </w:rPr>
        <w:t>E</w:t>
      </w:r>
      <w:r w:rsidR="00563483" w:rsidRPr="00563483">
        <w:rPr>
          <w:rFonts w:ascii="Mulish" w:hAnsi="Mulish"/>
        </w:rPr>
        <w:t>l Índice de Cumplimiento de las entidades evaluadas por primera vez en 2023</w:t>
      </w:r>
      <w:r w:rsidR="003A55CA">
        <w:rPr>
          <w:rFonts w:ascii="Mulish" w:hAnsi="Mulish"/>
        </w:rPr>
        <w:t xml:space="preserve"> </w:t>
      </w:r>
      <w:r w:rsidR="003A55CA" w:rsidRPr="00563483">
        <w:rPr>
          <w:rFonts w:ascii="Mulish" w:hAnsi="Mulish"/>
        </w:rPr>
        <w:t>en este bloque de obligaciones</w:t>
      </w:r>
      <w:r w:rsidR="00563483" w:rsidRPr="00563483">
        <w:rPr>
          <w:rFonts w:ascii="Mulish" w:hAnsi="Mulish"/>
        </w:rPr>
        <w:t>, ha aumentado el 3</w:t>
      </w:r>
      <w:r w:rsidR="000A353A">
        <w:rPr>
          <w:rFonts w:ascii="Mulish" w:hAnsi="Mulish"/>
        </w:rPr>
        <w:t>1</w:t>
      </w:r>
      <w:r w:rsidR="00563483" w:rsidRPr="00563483">
        <w:rPr>
          <w:rFonts w:ascii="Mulish" w:hAnsi="Mulish"/>
        </w:rPr>
        <w:t>,</w:t>
      </w:r>
      <w:r w:rsidR="000A353A">
        <w:rPr>
          <w:rFonts w:ascii="Mulish" w:hAnsi="Mulish"/>
        </w:rPr>
        <w:t>3</w:t>
      </w:r>
      <w:r w:rsidR="00563483" w:rsidRPr="00563483">
        <w:rPr>
          <w:rFonts w:ascii="Mulish" w:hAnsi="Mulish"/>
        </w:rPr>
        <w:t>%.</w:t>
      </w:r>
    </w:p>
    <w:p w14:paraId="62F4455F" w14:textId="562E5ED7" w:rsidR="003E4333" w:rsidRPr="00941553" w:rsidRDefault="008072B3" w:rsidP="00BF557E">
      <w:pPr>
        <w:rPr>
          <w:rFonts w:ascii="Mulish" w:hAnsi="Mulish"/>
        </w:rPr>
      </w:pPr>
      <w:r w:rsidRPr="00941553">
        <w:rPr>
          <w:rFonts w:ascii="Mulish" w:hAnsi="Mulish"/>
        </w:rPr>
        <w:t>Respecto de 202</w:t>
      </w:r>
      <w:r w:rsidR="008F5ED1">
        <w:rPr>
          <w:rFonts w:ascii="Mulish" w:hAnsi="Mulish"/>
        </w:rPr>
        <w:t>3</w:t>
      </w:r>
      <w:r w:rsidR="00E1247F" w:rsidRPr="00941553">
        <w:rPr>
          <w:rFonts w:ascii="Mulish" w:hAnsi="Mulish"/>
        </w:rPr>
        <w:t>,</w:t>
      </w:r>
      <w:r w:rsidR="009C6BBC">
        <w:rPr>
          <w:rFonts w:ascii="Mulish" w:hAnsi="Mulish"/>
        </w:rPr>
        <w:t xml:space="preserve"> </w:t>
      </w:r>
      <w:r w:rsidRPr="00941553">
        <w:rPr>
          <w:rFonts w:ascii="Mulish" w:hAnsi="Mulish"/>
        </w:rPr>
        <w:t xml:space="preserve">el Índice de Cumplimiento de este </w:t>
      </w:r>
      <w:r w:rsidR="008F5ED1" w:rsidRPr="00941553">
        <w:rPr>
          <w:rFonts w:ascii="Mulish" w:hAnsi="Mulish"/>
        </w:rPr>
        <w:t>bloque de</w:t>
      </w:r>
      <w:r w:rsidRPr="00941553">
        <w:rPr>
          <w:rFonts w:ascii="Mulish" w:hAnsi="Mulish"/>
        </w:rPr>
        <w:t xml:space="preserve"> obligaciones </w:t>
      </w:r>
      <w:r w:rsidR="001F13E7">
        <w:rPr>
          <w:rFonts w:ascii="Mulish" w:hAnsi="Mulish"/>
        </w:rPr>
        <w:t>aumenta</w:t>
      </w:r>
      <w:r w:rsidR="001712BA" w:rsidRPr="00941553">
        <w:rPr>
          <w:rFonts w:ascii="Mulish" w:hAnsi="Mulish"/>
        </w:rPr>
        <w:t xml:space="preserve"> </w:t>
      </w:r>
      <w:r w:rsidRPr="00941553">
        <w:rPr>
          <w:rFonts w:ascii="Mulish" w:hAnsi="Mulish"/>
        </w:rPr>
        <w:t xml:space="preserve">en </w:t>
      </w:r>
      <w:r w:rsidR="001F13E7">
        <w:rPr>
          <w:rFonts w:ascii="Mulish" w:hAnsi="Mulish"/>
        </w:rPr>
        <w:t>9,6</w:t>
      </w:r>
      <w:r w:rsidRPr="00941553">
        <w:rPr>
          <w:rFonts w:ascii="Mulish" w:hAnsi="Mulish"/>
        </w:rPr>
        <w:t xml:space="preserve"> p.p. </w:t>
      </w:r>
      <w:r w:rsidR="001F13E7">
        <w:rPr>
          <w:rFonts w:ascii="Mulish" w:hAnsi="Mulish"/>
        </w:rPr>
        <w:t xml:space="preserve">Aunque todas las tipologías de entidades incluidas en este grupo de sujetos obligados </w:t>
      </w:r>
      <w:r w:rsidR="00461AB0">
        <w:rPr>
          <w:rFonts w:ascii="Mulish" w:hAnsi="Mulish"/>
        </w:rPr>
        <w:t xml:space="preserve">evolucionan positivamente, es destable la evolución de las MATEPSS </w:t>
      </w:r>
      <w:r w:rsidR="00BC1DB0">
        <w:rPr>
          <w:rFonts w:ascii="Mulish" w:hAnsi="Mulish"/>
        </w:rPr>
        <w:t>(+</w:t>
      </w:r>
      <w:r w:rsidR="00461AB0">
        <w:rPr>
          <w:rFonts w:ascii="Mulish" w:hAnsi="Mulish"/>
        </w:rPr>
        <w:t xml:space="preserve"> 27,7%)</w:t>
      </w:r>
      <w:r w:rsidR="00BC1DB0">
        <w:rPr>
          <w:rFonts w:ascii="Mulish" w:hAnsi="Mulish"/>
        </w:rPr>
        <w:t>.</w:t>
      </w:r>
      <w:r w:rsidR="001F13E7">
        <w:rPr>
          <w:rFonts w:ascii="Mulish" w:hAnsi="Mulish"/>
        </w:rPr>
        <w:t xml:space="preserve"> </w:t>
      </w:r>
    </w:p>
    <w:p w14:paraId="501642EC" w14:textId="77777777" w:rsidR="003E4333" w:rsidRPr="00941553" w:rsidRDefault="003E4333" w:rsidP="00984881">
      <w:pPr>
        <w:pStyle w:val="Ttulo3"/>
        <w:rPr>
          <w:rFonts w:ascii="Mulish" w:hAnsi="Mulish"/>
        </w:rPr>
      </w:pPr>
    </w:p>
    <w:p w14:paraId="011249C8" w14:textId="77777777" w:rsidR="00513EC7" w:rsidRPr="00941553" w:rsidRDefault="00F23BD7" w:rsidP="00984881">
      <w:pPr>
        <w:pStyle w:val="Ttulo3"/>
        <w:rPr>
          <w:rFonts w:ascii="Mulish" w:hAnsi="Mulish"/>
        </w:rPr>
      </w:pPr>
      <w:bookmarkStart w:id="10" w:name="_Toc169082175"/>
      <w:r w:rsidRPr="00941553">
        <w:rPr>
          <w:rFonts w:ascii="Mulish" w:hAnsi="Mulish"/>
        </w:rPr>
        <w:t>III.</w:t>
      </w:r>
      <w:r w:rsidR="00D24B74" w:rsidRPr="00941553">
        <w:rPr>
          <w:rFonts w:ascii="Mulish" w:hAnsi="Mulish"/>
        </w:rPr>
        <w:t>3</w:t>
      </w:r>
      <w:r w:rsidRPr="00941553">
        <w:rPr>
          <w:rFonts w:ascii="Mulish" w:hAnsi="Mulish"/>
        </w:rPr>
        <w:t xml:space="preserve">.2. </w:t>
      </w:r>
      <w:r w:rsidR="00513EC7" w:rsidRPr="00941553">
        <w:rPr>
          <w:rFonts w:ascii="Mulish" w:hAnsi="Mulish"/>
        </w:rPr>
        <w:t>Información de Relevancia Jurídica</w:t>
      </w:r>
      <w:bookmarkEnd w:id="10"/>
    </w:p>
    <w:p w14:paraId="35A51C4E" w14:textId="77777777" w:rsidR="008220D7" w:rsidRPr="00941553" w:rsidRDefault="008220D7" w:rsidP="008220D7">
      <w:pPr>
        <w:rPr>
          <w:rFonts w:ascii="Mulish" w:hAnsi="Mulish"/>
        </w:rPr>
      </w:pPr>
    </w:p>
    <w:p w14:paraId="1A3B9AFB" w14:textId="59E4BD9A" w:rsidR="000C0689" w:rsidRPr="00941553" w:rsidRDefault="001712BA" w:rsidP="008220D7">
      <w:pPr>
        <w:rPr>
          <w:rFonts w:ascii="Mulish" w:hAnsi="Mulish"/>
        </w:rPr>
      </w:pPr>
      <w:r w:rsidRPr="00941553">
        <w:rPr>
          <w:rFonts w:ascii="Mulish" w:hAnsi="Mulish"/>
        </w:rPr>
        <w:t xml:space="preserve">El </w:t>
      </w:r>
      <w:r w:rsidR="0036134E">
        <w:rPr>
          <w:rFonts w:ascii="Mulish" w:hAnsi="Mulish"/>
        </w:rPr>
        <w:t>50</w:t>
      </w:r>
      <w:r w:rsidRPr="00941553">
        <w:rPr>
          <w:rFonts w:ascii="Mulish" w:hAnsi="Mulish"/>
        </w:rPr>
        <w:t>%</w:t>
      </w:r>
      <w:r w:rsidR="000C0689" w:rsidRPr="00941553">
        <w:rPr>
          <w:rFonts w:ascii="Mulish" w:hAnsi="Mulish"/>
        </w:rPr>
        <w:t xml:space="preserve"> de </w:t>
      </w:r>
      <w:r w:rsidR="0066692E">
        <w:rPr>
          <w:rFonts w:ascii="Mulish" w:hAnsi="Mulish"/>
        </w:rPr>
        <w:t xml:space="preserve">las entidades </w:t>
      </w:r>
      <w:r w:rsidR="000C0689" w:rsidRPr="00941553">
        <w:rPr>
          <w:rFonts w:ascii="Mulish" w:hAnsi="Mulish"/>
        </w:rPr>
        <w:t>evaluad</w:t>
      </w:r>
      <w:r w:rsidR="0066692E">
        <w:rPr>
          <w:rFonts w:ascii="Mulish" w:hAnsi="Mulish"/>
        </w:rPr>
        <w:t>a</w:t>
      </w:r>
      <w:r w:rsidR="000C0689" w:rsidRPr="00941553">
        <w:rPr>
          <w:rFonts w:ascii="Mulish" w:hAnsi="Mulish"/>
        </w:rPr>
        <w:t>s</w:t>
      </w:r>
      <w:r w:rsidR="008220D7" w:rsidRPr="00941553">
        <w:rPr>
          <w:rFonts w:ascii="Mulish" w:hAnsi="Mulish"/>
        </w:rPr>
        <w:t xml:space="preserve"> </w:t>
      </w:r>
      <w:r w:rsidR="000C0689" w:rsidRPr="00941553">
        <w:rPr>
          <w:rFonts w:ascii="Mulish" w:hAnsi="Mulish"/>
        </w:rPr>
        <w:t>a l</w:t>
      </w:r>
      <w:r w:rsidR="006F0AAD">
        <w:rPr>
          <w:rFonts w:ascii="Mulish" w:hAnsi="Mulish"/>
        </w:rPr>
        <w:t>a</w:t>
      </w:r>
      <w:r w:rsidR="000C0689" w:rsidRPr="00941553">
        <w:rPr>
          <w:rFonts w:ascii="Mulish" w:hAnsi="Mulish"/>
        </w:rPr>
        <w:t>s que es aplicable</w:t>
      </w:r>
      <w:r w:rsidR="0025449D" w:rsidRPr="00941553">
        <w:rPr>
          <w:rStyle w:val="Refdenotaalpie"/>
          <w:rFonts w:ascii="Mulish" w:hAnsi="Mulish"/>
        </w:rPr>
        <w:footnoteReference w:id="5"/>
      </w:r>
      <w:r w:rsidR="000C0689" w:rsidRPr="00941553">
        <w:rPr>
          <w:rFonts w:ascii="Mulish" w:hAnsi="Mulish"/>
        </w:rPr>
        <w:t xml:space="preserve"> este tipo de obligaciones</w:t>
      </w:r>
      <w:r w:rsidR="0034357D" w:rsidRPr="00941553">
        <w:rPr>
          <w:rFonts w:ascii="Mulish" w:hAnsi="Mulish"/>
        </w:rPr>
        <w:t>,</w:t>
      </w:r>
      <w:r w:rsidR="000C0689" w:rsidRPr="00941553">
        <w:rPr>
          <w:rFonts w:ascii="Mulish" w:hAnsi="Mulish"/>
        </w:rPr>
        <w:t xml:space="preserve"> </w:t>
      </w:r>
      <w:r w:rsidR="008220D7" w:rsidRPr="00941553">
        <w:rPr>
          <w:rFonts w:ascii="Mulish" w:hAnsi="Mulish"/>
        </w:rPr>
        <w:t xml:space="preserve">publica </w:t>
      </w:r>
      <w:r w:rsidR="000C0689" w:rsidRPr="00941553">
        <w:rPr>
          <w:rFonts w:ascii="Mulish" w:hAnsi="Mulish"/>
        </w:rPr>
        <w:t>información</w:t>
      </w:r>
      <w:r w:rsidR="008220D7" w:rsidRPr="00941553">
        <w:rPr>
          <w:rFonts w:ascii="Mulish" w:hAnsi="Mulish"/>
        </w:rPr>
        <w:t xml:space="preserve">. </w:t>
      </w:r>
      <w:r w:rsidRPr="00941553">
        <w:rPr>
          <w:rFonts w:ascii="Mulish" w:hAnsi="Mulish"/>
        </w:rPr>
        <w:t xml:space="preserve">El </w:t>
      </w:r>
      <w:r w:rsidR="006F0AAD">
        <w:rPr>
          <w:rFonts w:ascii="Mulish" w:hAnsi="Mulish"/>
        </w:rPr>
        <w:t xml:space="preserve">56,8% </w:t>
      </w:r>
      <w:r w:rsidR="00026A1D" w:rsidRPr="00941553">
        <w:rPr>
          <w:rFonts w:ascii="Mulish" w:hAnsi="Mulish"/>
        </w:rPr>
        <w:t xml:space="preserve">publica las directrices, instrucciones, acuerdos, circulares o respuestas a consultas en la medida en que supongan una interpretación del Derecho o tengan efectos jurídicos y </w:t>
      </w:r>
      <w:r w:rsidRPr="00941553">
        <w:rPr>
          <w:rFonts w:ascii="Mulish" w:hAnsi="Mulish"/>
        </w:rPr>
        <w:t xml:space="preserve">el </w:t>
      </w:r>
      <w:r w:rsidR="001A62CF">
        <w:rPr>
          <w:rFonts w:ascii="Mulish" w:hAnsi="Mulish"/>
        </w:rPr>
        <w:t xml:space="preserve">41,9 </w:t>
      </w:r>
      <w:r w:rsidR="00AF6549" w:rsidRPr="00941553">
        <w:rPr>
          <w:rFonts w:ascii="Mulish" w:hAnsi="Mulish"/>
        </w:rPr>
        <w:t>% de los organismos a los que</w:t>
      </w:r>
      <w:r w:rsidR="000F22B5" w:rsidRPr="00941553">
        <w:rPr>
          <w:rFonts w:ascii="Mulish" w:hAnsi="Mulish"/>
        </w:rPr>
        <w:t xml:space="preserve"> resulta de aplicación</w:t>
      </w:r>
      <w:r w:rsidR="005E6AD8" w:rsidRPr="00941553">
        <w:rPr>
          <w:rFonts w:ascii="Mulish" w:hAnsi="Mulish"/>
        </w:rPr>
        <w:t>,</w:t>
      </w:r>
      <w:r w:rsidR="00026A1D" w:rsidRPr="00941553">
        <w:rPr>
          <w:rFonts w:ascii="Mulish" w:hAnsi="Mulish"/>
        </w:rPr>
        <w:t xml:space="preserve"> publican los documentos que hayan de someterse a información pública durante su tramitación en aplicación de normativa sectorial.</w:t>
      </w:r>
    </w:p>
    <w:p w14:paraId="7BB5486D" w14:textId="55031DB1" w:rsidR="008220D7" w:rsidRPr="00941553" w:rsidRDefault="00026A1D" w:rsidP="008220D7">
      <w:pPr>
        <w:rPr>
          <w:rFonts w:ascii="Mulish" w:hAnsi="Mulish"/>
        </w:rPr>
      </w:pPr>
      <w:r w:rsidRPr="00941553">
        <w:rPr>
          <w:rFonts w:ascii="Mulish" w:hAnsi="Mulish"/>
        </w:rPr>
        <w:lastRenderedPageBreak/>
        <w:t>De nuevo</w:t>
      </w:r>
      <w:r w:rsidR="00570F7A" w:rsidRPr="00941553">
        <w:rPr>
          <w:rFonts w:ascii="Mulish" w:hAnsi="Mulish"/>
        </w:rPr>
        <w:t>,</w:t>
      </w:r>
      <w:r w:rsidRPr="00941553">
        <w:rPr>
          <w:rFonts w:ascii="Mulish" w:hAnsi="Mulish"/>
        </w:rPr>
        <w:t xml:space="preserve"> la falta de referencias a la fecha en que se revisó o actualizó la información publicada es el aspecto que presenta una menor </w:t>
      </w:r>
      <w:r w:rsidR="004A427E" w:rsidRPr="00941553">
        <w:rPr>
          <w:rFonts w:ascii="Mulish" w:hAnsi="Mulish"/>
        </w:rPr>
        <w:t>valoración desde</w:t>
      </w:r>
      <w:r w:rsidRPr="00941553">
        <w:rPr>
          <w:rFonts w:ascii="Mulish" w:hAnsi="Mulish"/>
        </w:rPr>
        <w:t xml:space="preserve"> el punto de vista de la calidad de la información. </w:t>
      </w:r>
    </w:p>
    <w:p w14:paraId="7DA18238" w14:textId="037A2DB7" w:rsidR="005E6AD8" w:rsidRPr="00941553" w:rsidRDefault="000F22B5" w:rsidP="000F22B5">
      <w:pPr>
        <w:rPr>
          <w:rFonts w:ascii="Mulish" w:hAnsi="Mulish"/>
          <w:color w:val="438086" w:themeColor="accent2"/>
          <w:szCs w:val="22"/>
        </w:rPr>
      </w:pPr>
      <w:r w:rsidRPr="00941553">
        <w:rPr>
          <w:rFonts w:ascii="Mulish" w:hAnsi="Mulish"/>
        </w:rPr>
        <w:t xml:space="preserve">El Índice de cumplimiento de este bloque de obligaciones se sitúa en el </w:t>
      </w:r>
      <w:r w:rsidR="0036134E">
        <w:rPr>
          <w:rFonts w:ascii="Mulish" w:hAnsi="Mulish"/>
        </w:rPr>
        <w:t>47,8</w:t>
      </w:r>
      <w:r w:rsidR="005E6AD8" w:rsidRPr="00941553">
        <w:rPr>
          <w:rFonts w:ascii="Mulish" w:hAnsi="Mulish"/>
        </w:rPr>
        <w:t>%</w:t>
      </w:r>
      <w:r w:rsidR="00570F7A" w:rsidRPr="00941553">
        <w:rPr>
          <w:rFonts w:ascii="Mulish" w:hAnsi="Mulish"/>
        </w:rPr>
        <w:t>,</w:t>
      </w:r>
      <w:r w:rsidRPr="00941553">
        <w:rPr>
          <w:rFonts w:ascii="Mulish" w:hAnsi="Mulish"/>
        </w:rPr>
        <w:t xml:space="preserve"> con un rango de variación que oscila entre 0 y 100%.</w:t>
      </w:r>
      <w:r w:rsidR="0036134E">
        <w:rPr>
          <w:rFonts w:ascii="Mulish" w:hAnsi="Mulish"/>
        </w:rPr>
        <w:t xml:space="preserve"> </w:t>
      </w:r>
      <w:r w:rsidR="005E6AD8" w:rsidRPr="00941553">
        <w:rPr>
          <w:rFonts w:ascii="Mulish" w:hAnsi="Mulish"/>
        </w:rPr>
        <w:t>Respecto de 202</w:t>
      </w:r>
      <w:r w:rsidR="0036134E">
        <w:rPr>
          <w:rFonts w:ascii="Mulish" w:hAnsi="Mulish"/>
        </w:rPr>
        <w:t>3</w:t>
      </w:r>
      <w:r w:rsidR="005E6AD8" w:rsidRPr="00941553">
        <w:rPr>
          <w:rFonts w:ascii="Mulish" w:hAnsi="Mulish"/>
        </w:rPr>
        <w:t xml:space="preserve">, el Índice de Cumplimiento ha </w:t>
      </w:r>
      <w:r w:rsidR="0036134E">
        <w:rPr>
          <w:rFonts w:ascii="Mulish" w:hAnsi="Mulish"/>
        </w:rPr>
        <w:t>disminuido</w:t>
      </w:r>
      <w:r w:rsidR="005E6AD8" w:rsidRPr="00941553">
        <w:rPr>
          <w:rFonts w:ascii="Mulish" w:hAnsi="Mulish"/>
        </w:rPr>
        <w:t xml:space="preserve"> en </w:t>
      </w:r>
      <w:r w:rsidR="00AF6549" w:rsidRPr="00941553">
        <w:rPr>
          <w:rFonts w:ascii="Mulish" w:hAnsi="Mulish"/>
        </w:rPr>
        <w:t>4,</w:t>
      </w:r>
      <w:r w:rsidR="0036134E">
        <w:rPr>
          <w:rFonts w:ascii="Mulish" w:hAnsi="Mulish"/>
        </w:rPr>
        <w:t>6</w:t>
      </w:r>
      <w:r w:rsidR="005E6AD8" w:rsidRPr="00941553">
        <w:rPr>
          <w:rFonts w:ascii="Mulish" w:hAnsi="Mulish"/>
        </w:rPr>
        <w:t xml:space="preserve"> p.p. </w:t>
      </w:r>
    </w:p>
    <w:p w14:paraId="380D9076" w14:textId="77777777" w:rsidR="00D631CC" w:rsidRPr="00941553" w:rsidRDefault="00D631CC" w:rsidP="00D631CC">
      <w:pPr>
        <w:pStyle w:val="Descripcin"/>
        <w:keepNext/>
        <w:rPr>
          <w:rFonts w:ascii="Mulish" w:hAnsi="Mulish"/>
          <w:color w:val="438086" w:themeColor="accent2"/>
          <w:sz w:val="22"/>
          <w:szCs w:val="22"/>
        </w:rPr>
      </w:pPr>
      <w:r w:rsidRPr="00941553">
        <w:rPr>
          <w:rFonts w:ascii="Mulish" w:hAnsi="Mulish"/>
          <w:color w:val="438086" w:themeColor="accent2"/>
          <w:sz w:val="22"/>
          <w:szCs w:val="22"/>
        </w:rPr>
        <w:t xml:space="preserve">Gráfico </w:t>
      </w:r>
      <w:r w:rsidR="005915F6" w:rsidRPr="00941553">
        <w:rPr>
          <w:rFonts w:ascii="Mulish" w:hAnsi="Mulish"/>
          <w:color w:val="438086" w:themeColor="accent2"/>
          <w:sz w:val="22"/>
          <w:szCs w:val="22"/>
        </w:rPr>
        <w:fldChar w:fldCharType="begin"/>
      </w:r>
      <w:r w:rsidR="005915F6" w:rsidRPr="00941553">
        <w:rPr>
          <w:rFonts w:ascii="Mulish" w:hAnsi="Mulish"/>
          <w:color w:val="438086" w:themeColor="accent2"/>
          <w:sz w:val="22"/>
          <w:szCs w:val="22"/>
        </w:rPr>
        <w:instrText xml:space="preserve"> SEQ Gráfico \* ARABIC </w:instrText>
      </w:r>
      <w:r w:rsidR="005915F6"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5</w:t>
      </w:r>
      <w:r w:rsidR="005915F6" w:rsidRPr="00941553">
        <w:rPr>
          <w:rFonts w:ascii="Mulish" w:hAnsi="Mulish"/>
          <w:color w:val="438086" w:themeColor="accent2"/>
          <w:sz w:val="22"/>
          <w:szCs w:val="22"/>
        </w:rPr>
        <w:fldChar w:fldCharType="end"/>
      </w:r>
      <w:r w:rsidRPr="00941553">
        <w:rPr>
          <w:rFonts w:ascii="Mulish" w:hAnsi="Mulish"/>
          <w:color w:val="438086" w:themeColor="accent2"/>
          <w:sz w:val="22"/>
          <w:szCs w:val="22"/>
        </w:rPr>
        <w:t>: Evaluación de la publicación (contenido) y de los atributos de calidad de información de Relevancia Jurídica.</w:t>
      </w:r>
      <w:r w:rsidR="00550FCC" w:rsidRPr="00941553">
        <w:rPr>
          <w:rFonts w:ascii="Mulish" w:hAnsi="Mulish"/>
          <w:color w:val="438086" w:themeColor="accent2"/>
          <w:sz w:val="22"/>
          <w:szCs w:val="22"/>
        </w:rPr>
        <w:t xml:space="preserve"> </w:t>
      </w:r>
    </w:p>
    <w:p w14:paraId="7B6BCAEB" w14:textId="560290F0" w:rsidR="008220D7" w:rsidRPr="00941553" w:rsidRDefault="0036134E" w:rsidP="0026153E">
      <w:pPr>
        <w:rPr>
          <w:rFonts w:ascii="Mulish" w:hAnsi="Mulish"/>
        </w:rPr>
      </w:pPr>
      <w:r>
        <w:rPr>
          <w:noProof/>
        </w:rPr>
        <w:drawing>
          <wp:inline distT="0" distB="0" distL="0" distR="0" wp14:anchorId="3B7F28F8" wp14:editId="243F1870">
            <wp:extent cx="5705475" cy="2790825"/>
            <wp:effectExtent l="0" t="0" r="9525" b="9525"/>
            <wp:docPr id="11" name="Gráfico 11">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548138" w14:textId="77777777" w:rsidR="00513EC7" w:rsidRPr="00941553" w:rsidRDefault="00513EC7" w:rsidP="00513EC7">
      <w:pPr>
        <w:pStyle w:val="Ttulo4"/>
        <w:rPr>
          <w:rFonts w:ascii="Mulish" w:hAnsi="Mulish"/>
        </w:rPr>
      </w:pPr>
    </w:p>
    <w:p w14:paraId="51EE3841" w14:textId="77777777" w:rsidR="00513EC7" w:rsidRPr="00941553" w:rsidRDefault="00F23BD7" w:rsidP="00AF02EB">
      <w:pPr>
        <w:pStyle w:val="Ttulo3"/>
        <w:rPr>
          <w:rFonts w:ascii="Mulish" w:hAnsi="Mulish"/>
        </w:rPr>
      </w:pPr>
      <w:bookmarkStart w:id="11" w:name="_Toc169082176"/>
      <w:r w:rsidRPr="00941553">
        <w:rPr>
          <w:rFonts w:ascii="Mulish" w:hAnsi="Mulish"/>
        </w:rPr>
        <w:t>III.</w:t>
      </w:r>
      <w:r w:rsidR="00D24B74" w:rsidRPr="00941553">
        <w:rPr>
          <w:rFonts w:ascii="Mulish" w:hAnsi="Mulish"/>
        </w:rPr>
        <w:t>3</w:t>
      </w:r>
      <w:r w:rsidRPr="00941553">
        <w:rPr>
          <w:rFonts w:ascii="Mulish" w:hAnsi="Mulish"/>
        </w:rPr>
        <w:t xml:space="preserve">.3.  </w:t>
      </w:r>
      <w:r w:rsidR="00513EC7" w:rsidRPr="00941553">
        <w:rPr>
          <w:rFonts w:ascii="Mulish" w:hAnsi="Mulish"/>
        </w:rPr>
        <w:t>Información Económica, Presupuestaria y Estadística</w:t>
      </w:r>
      <w:bookmarkEnd w:id="11"/>
    </w:p>
    <w:p w14:paraId="3AF0F9A5" w14:textId="77777777" w:rsidR="00513EC7" w:rsidRPr="00941553" w:rsidRDefault="00513EC7" w:rsidP="00513EC7">
      <w:pPr>
        <w:rPr>
          <w:rFonts w:ascii="Mulish" w:hAnsi="Mulish"/>
        </w:rPr>
      </w:pPr>
    </w:p>
    <w:p w14:paraId="49A5F539" w14:textId="028DF20D" w:rsidR="00DF7C00" w:rsidRPr="00941553" w:rsidRDefault="00DF7C00" w:rsidP="00513EC7">
      <w:pPr>
        <w:rPr>
          <w:rFonts w:ascii="Mulish" w:hAnsi="Mulish"/>
        </w:rPr>
      </w:pPr>
      <w:r w:rsidRPr="00941553">
        <w:rPr>
          <w:rFonts w:ascii="Mulish" w:hAnsi="Mulish"/>
        </w:rPr>
        <w:t>La proporción de informaciones obligatorias publicadas en este grupo disminuye respecto de</w:t>
      </w:r>
      <w:r w:rsidR="00416CC3" w:rsidRPr="00941553">
        <w:rPr>
          <w:rFonts w:ascii="Mulish" w:hAnsi="Mulish"/>
        </w:rPr>
        <w:t xml:space="preserve"> </w:t>
      </w:r>
      <w:r w:rsidR="004A427E" w:rsidRPr="00941553">
        <w:rPr>
          <w:rFonts w:ascii="Mulish" w:hAnsi="Mulish"/>
        </w:rPr>
        <w:t>los bloques</w:t>
      </w:r>
      <w:r w:rsidR="00416CC3" w:rsidRPr="00941553">
        <w:rPr>
          <w:rFonts w:ascii="Mulish" w:hAnsi="Mulish"/>
        </w:rPr>
        <w:t xml:space="preserve"> anteriores</w:t>
      </w:r>
      <w:r w:rsidR="00A25618" w:rsidRPr="00941553">
        <w:rPr>
          <w:rFonts w:ascii="Mulish" w:hAnsi="Mulish"/>
        </w:rPr>
        <w:t>,</w:t>
      </w:r>
      <w:r w:rsidR="00416CC3" w:rsidRPr="00941553">
        <w:rPr>
          <w:rFonts w:ascii="Mulish" w:hAnsi="Mulish"/>
        </w:rPr>
        <w:t xml:space="preserve"> </w:t>
      </w:r>
      <w:r w:rsidR="003E5190" w:rsidRPr="00941553">
        <w:rPr>
          <w:rFonts w:ascii="Mulish" w:hAnsi="Mulish"/>
        </w:rPr>
        <w:t xml:space="preserve">el </w:t>
      </w:r>
      <w:r w:rsidR="00AF6549" w:rsidRPr="00941553">
        <w:rPr>
          <w:rFonts w:ascii="Mulish" w:hAnsi="Mulish"/>
        </w:rPr>
        <w:t>33,1</w:t>
      </w:r>
      <w:r w:rsidR="00E1322B" w:rsidRPr="00941553">
        <w:rPr>
          <w:rFonts w:ascii="Mulish" w:hAnsi="Mulish"/>
        </w:rPr>
        <w:t>% en promedio</w:t>
      </w:r>
      <w:r w:rsidR="00463BE8" w:rsidRPr="00941553">
        <w:rPr>
          <w:rFonts w:ascii="Mulish" w:hAnsi="Mulish"/>
        </w:rPr>
        <w:t>,</w:t>
      </w:r>
      <w:r w:rsidR="00E1322B" w:rsidRPr="00941553">
        <w:rPr>
          <w:rFonts w:ascii="Mulish" w:hAnsi="Mulish"/>
        </w:rPr>
        <w:t xml:space="preserve"> con un rango de variación de entre el </w:t>
      </w:r>
      <w:r w:rsidR="00033C6B" w:rsidRPr="00941553">
        <w:rPr>
          <w:rFonts w:ascii="Mulish" w:hAnsi="Mulish"/>
        </w:rPr>
        <w:t>0</w:t>
      </w:r>
      <w:r w:rsidR="00E1322B" w:rsidRPr="00941553">
        <w:rPr>
          <w:rFonts w:ascii="Mulish" w:hAnsi="Mulish"/>
        </w:rPr>
        <w:t xml:space="preserve"> y el </w:t>
      </w:r>
      <w:r w:rsidR="00416CC3" w:rsidRPr="00941553">
        <w:rPr>
          <w:rFonts w:ascii="Mulish" w:hAnsi="Mulish"/>
        </w:rPr>
        <w:t>100</w:t>
      </w:r>
      <w:r w:rsidR="00E1322B" w:rsidRPr="00941553">
        <w:rPr>
          <w:rFonts w:ascii="Mulish" w:hAnsi="Mulish"/>
        </w:rPr>
        <w:t>%.</w:t>
      </w:r>
      <w:r w:rsidR="00416CC3" w:rsidRPr="00941553">
        <w:rPr>
          <w:rFonts w:ascii="Mulish" w:hAnsi="Mulish"/>
        </w:rPr>
        <w:t xml:space="preserve"> Cinco de las entidades evaluadas no publica</w:t>
      </w:r>
      <w:r w:rsidR="003F3298">
        <w:rPr>
          <w:rFonts w:ascii="Mulish" w:hAnsi="Mulish"/>
        </w:rPr>
        <w:t>n</w:t>
      </w:r>
      <w:r w:rsidR="00416CC3" w:rsidRPr="00941553">
        <w:rPr>
          <w:rFonts w:ascii="Mulish" w:hAnsi="Mulish"/>
        </w:rPr>
        <w:t xml:space="preserve"> ninguna de</w:t>
      </w:r>
      <w:r w:rsidR="00095E18" w:rsidRPr="00941553">
        <w:rPr>
          <w:rFonts w:ascii="Mulish" w:hAnsi="Mulish"/>
        </w:rPr>
        <w:t xml:space="preserve"> </w:t>
      </w:r>
      <w:r w:rsidR="00416CC3" w:rsidRPr="00941553">
        <w:rPr>
          <w:rFonts w:ascii="Mulish" w:hAnsi="Mulish"/>
        </w:rPr>
        <w:t>las informaciones obligatorias que les resultan de aplicación</w:t>
      </w:r>
      <w:r w:rsidR="00570F7A" w:rsidRPr="00941553">
        <w:rPr>
          <w:rFonts w:ascii="Mulish" w:hAnsi="Mulish"/>
        </w:rPr>
        <w:t>,</w:t>
      </w:r>
      <w:r w:rsidR="00416CC3" w:rsidRPr="00941553">
        <w:rPr>
          <w:rFonts w:ascii="Mulish" w:hAnsi="Mulish"/>
        </w:rPr>
        <w:t xml:space="preserve"> o bien la información publicada presenta tal desfase temporal, que no es posible considerar cumplida la obligación</w:t>
      </w:r>
      <w:r w:rsidR="00095E18" w:rsidRPr="00941553">
        <w:rPr>
          <w:rFonts w:ascii="Mulish" w:hAnsi="Mulish"/>
        </w:rPr>
        <w:t xml:space="preserve"> a la que se vincula</w:t>
      </w:r>
      <w:r w:rsidR="00416CC3" w:rsidRPr="00941553">
        <w:rPr>
          <w:rFonts w:ascii="Mulish" w:hAnsi="Mulish"/>
        </w:rPr>
        <w:t xml:space="preserve">. </w:t>
      </w:r>
    </w:p>
    <w:p w14:paraId="7EBD7414" w14:textId="5785D934" w:rsidR="00F2504E" w:rsidRPr="00941553" w:rsidRDefault="00F2504E" w:rsidP="00F2504E">
      <w:pPr>
        <w:rPr>
          <w:rFonts w:ascii="Mulish" w:hAnsi="Mulish"/>
        </w:rPr>
      </w:pPr>
      <w:r w:rsidRPr="00941553">
        <w:rPr>
          <w:rFonts w:ascii="Mulish" w:hAnsi="Mulish"/>
        </w:rPr>
        <w:t>Al analizar</w:t>
      </w:r>
      <w:r w:rsidR="00570F7A" w:rsidRPr="00941553">
        <w:rPr>
          <w:rFonts w:ascii="Mulish" w:hAnsi="Mulish"/>
        </w:rPr>
        <w:t>,</w:t>
      </w:r>
      <w:r w:rsidRPr="00941553">
        <w:rPr>
          <w:rFonts w:ascii="Mulish" w:hAnsi="Mulish"/>
        </w:rPr>
        <w:t xml:space="preserve"> según tipología de entidad evaluada, </w:t>
      </w:r>
      <w:r w:rsidR="00AE32D7" w:rsidRPr="00941553">
        <w:rPr>
          <w:rFonts w:ascii="Mulish" w:hAnsi="Mulish"/>
        </w:rPr>
        <w:t>l</w:t>
      </w:r>
      <w:r w:rsidR="004518F0" w:rsidRPr="00941553">
        <w:rPr>
          <w:rFonts w:ascii="Mulish" w:hAnsi="Mulish"/>
        </w:rPr>
        <w:t xml:space="preserve">as </w:t>
      </w:r>
      <w:r w:rsidR="003F3298">
        <w:rPr>
          <w:rFonts w:ascii="Mulish" w:hAnsi="Mulish"/>
        </w:rPr>
        <w:t>MATEPSS</w:t>
      </w:r>
      <w:r w:rsidR="004518F0" w:rsidRPr="00941553">
        <w:rPr>
          <w:rFonts w:ascii="Mulish" w:hAnsi="Mulish"/>
        </w:rPr>
        <w:t xml:space="preserve"> son las que</w:t>
      </w:r>
      <w:r w:rsidR="001274F7">
        <w:rPr>
          <w:rFonts w:ascii="Mulish" w:hAnsi="Mulish"/>
        </w:rPr>
        <w:t xml:space="preserve"> </w:t>
      </w:r>
      <w:r w:rsidR="004518F0" w:rsidRPr="00941553">
        <w:rPr>
          <w:rFonts w:ascii="Mulish" w:hAnsi="Mulish"/>
        </w:rPr>
        <w:t>presentan un mejor desempeño</w:t>
      </w:r>
      <w:r w:rsidR="001274F7">
        <w:rPr>
          <w:rFonts w:ascii="Mulish" w:hAnsi="Mulish"/>
        </w:rPr>
        <w:t>: publican el 49,2% de los contenidos</w:t>
      </w:r>
      <w:r w:rsidR="004518F0" w:rsidRPr="00941553">
        <w:rPr>
          <w:rFonts w:ascii="Mulish" w:hAnsi="Mulish"/>
        </w:rPr>
        <w:t xml:space="preserve">. La proporción de contenidos obligatorios que publican es un </w:t>
      </w:r>
      <w:r w:rsidR="001274F7">
        <w:rPr>
          <w:rFonts w:ascii="Mulish" w:hAnsi="Mulish"/>
        </w:rPr>
        <w:t>32,4</w:t>
      </w:r>
      <w:r w:rsidR="004518F0" w:rsidRPr="00941553">
        <w:rPr>
          <w:rFonts w:ascii="Mulish" w:hAnsi="Mulish"/>
        </w:rPr>
        <w:t>% más elevada que</w:t>
      </w:r>
      <w:r w:rsidR="003E5190" w:rsidRPr="00941553">
        <w:rPr>
          <w:rFonts w:ascii="Mulish" w:hAnsi="Mulish"/>
        </w:rPr>
        <w:t xml:space="preserve"> el correspondiente a</w:t>
      </w:r>
      <w:r w:rsidR="004518F0" w:rsidRPr="00941553">
        <w:rPr>
          <w:rFonts w:ascii="Mulish" w:hAnsi="Mulish"/>
        </w:rPr>
        <w:t xml:space="preserve"> </w:t>
      </w:r>
      <w:r w:rsidR="00A25618" w:rsidRPr="00941553">
        <w:rPr>
          <w:rFonts w:ascii="Mulish" w:hAnsi="Mulish"/>
        </w:rPr>
        <w:t>las sociedades m</w:t>
      </w:r>
      <w:r w:rsidRPr="00941553">
        <w:rPr>
          <w:rFonts w:ascii="Mulish" w:hAnsi="Mulish"/>
        </w:rPr>
        <w:t>ercantiles</w:t>
      </w:r>
      <w:r w:rsidR="004518F0" w:rsidRPr="00941553">
        <w:rPr>
          <w:rFonts w:ascii="Mulish" w:hAnsi="Mulish"/>
        </w:rPr>
        <w:t xml:space="preserve">, que se sitúan en segunda posición. Las Agencias Estatales, Organismos Autónomos y Entidades Públicas Empresariales son las que publican </w:t>
      </w:r>
      <w:r w:rsidR="003E5190" w:rsidRPr="00941553">
        <w:rPr>
          <w:rFonts w:ascii="Mulish" w:hAnsi="Mulish"/>
        </w:rPr>
        <w:t>e</w:t>
      </w:r>
      <w:r w:rsidR="004518F0" w:rsidRPr="00941553">
        <w:rPr>
          <w:rFonts w:ascii="Mulish" w:hAnsi="Mulish"/>
        </w:rPr>
        <w:t xml:space="preserve">n </w:t>
      </w:r>
      <w:r w:rsidR="004A427E" w:rsidRPr="00941553">
        <w:rPr>
          <w:rFonts w:ascii="Mulish" w:hAnsi="Mulish"/>
        </w:rPr>
        <w:t>menor medida</w:t>
      </w:r>
      <w:r w:rsidR="004518F0" w:rsidRPr="00941553">
        <w:rPr>
          <w:rFonts w:ascii="Mulish" w:hAnsi="Mulish"/>
        </w:rPr>
        <w:t xml:space="preserve"> </w:t>
      </w:r>
      <w:r w:rsidRPr="00941553">
        <w:rPr>
          <w:rFonts w:ascii="Mulish" w:hAnsi="Mulish"/>
        </w:rPr>
        <w:t>informaciones obligatorias</w:t>
      </w:r>
      <w:r w:rsidR="004518F0" w:rsidRPr="00941553">
        <w:rPr>
          <w:rFonts w:ascii="Mulish" w:hAnsi="Mulish"/>
        </w:rPr>
        <w:t xml:space="preserve"> en este bloque de obligaciones. </w:t>
      </w:r>
    </w:p>
    <w:p w14:paraId="451B2471" w14:textId="77777777" w:rsidR="00757000" w:rsidRPr="00941553" w:rsidRDefault="00757000" w:rsidP="00757000">
      <w:pPr>
        <w:pStyle w:val="Descripcin"/>
        <w:keepNext/>
        <w:rPr>
          <w:rFonts w:ascii="Mulish" w:hAnsi="Mulish"/>
          <w:bCs w:val="0"/>
          <w:color w:val="438086" w:themeColor="accent2"/>
          <w:sz w:val="22"/>
          <w:szCs w:val="22"/>
        </w:rPr>
      </w:pPr>
      <w:r w:rsidRPr="00941553">
        <w:rPr>
          <w:rFonts w:ascii="Mulish" w:hAnsi="Mulish"/>
          <w:bCs w:val="0"/>
          <w:color w:val="438086" w:themeColor="accent2"/>
          <w:sz w:val="22"/>
          <w:szCs w:val="22"/>
        </w:rPr>
        <w:lastRenderedPageBreak/>
        <w:t xml:space="preserve">Gráfico </w:t>
      </w:r>
      <w:r w:rsidRPr="00941553">
        <w:rPr>
          <w:rFonts w:ascii="Mulish" w:hAnsi="Mulish"/>
          <w:bCs w:val="0"/>
          <w:color w:val="438086" w:themeColor="accent2"/>
          <w:sz w:val="22"/>
          <w:szCs w:val="22"/>
        </w:rPr>
        <w:fldChar w:fldCharType="begin"/>
      </w:r>
      <w:r w:rsidRPr="00941553">
        <w:rPr>
          <w:rFonts w:ascii="Mulish" w:hAnsi="Mulish"/>
          <w:bCs w:val="0"/>
          <w:color w:val="438086" w:themeColor="accent2"/>
          <w:sz w:val="22"/>
          <w:szCs w:val="22"/>
        </w:rPr>
        <w:instrText xml:space="preserve"> SEQ Gráfico \* ARABIC </w:instrText>
      </w:r>
      <w:r w:rsidRPr="00941553">
        <w:rPr>
          <w:rFonts w:ascii="Mulish" w:hAnsi="Mulish"/>
          <w:bCs w:val="0"/>
          <w:color w:val="438086" w:themeColor="accent2"/>
          <w:sz w:val="22"/>
          <w:szCs w:val="22"/>
        </w:rPr>
        <w:fldChar w:fldCharType="separate"/>
      </w:r>
      <w:r w:rsidR="009A0015" w:rsidRPr="00941553">
        <w:rPr>
          <w:rFonts w:ascii="Mulish" w:hAnsi="Mulish"/>
          <w:bCs w:val="0"/>
          <w:noProof/>
          <w:color w:val="438086" w:themeColor="accent2"/>
          <w:sz w:val="22"/>
          <w:szCs w:val="22"/>
        </w:rPr>
        <w:t>6</w:t>
      </w:r>
      <w:r w:rsidRPr="00941553">
        <w:rPr>
          <w:rFonts w:ascii="Mulish" w:hAnsi="Mulish"/>
          <w:bCs w:val="0"/>
          <w:color w:val="438086" w:themeColor="accent2"/>
          <w:sz w:val="22"/>
          <w:szCs w:val="22"/>
        </w:rPr>
        <w:fldChar w:fldCharType="end"/>
      </w:r>
      <w:r w:rsidRPr="00941553">
        <w:rPr>
          <w:rFonts w:ascii="Mulish" w:hAnsi="Mulish"/>
          <w:bCs w:val="0"/>
          <w:color w:val="438086" w:themeColor="accent2"/>
          <w:sz w:val="22"/>
          <w:szCs w:val="22"/>
        </w:rPr>
        <w:t>: Porcentaje de contenidos obligatorios publicados según tipología de entidad evaluada (Información Económica, Presupuestaria y Estadística)</w:t>
      </w:r>
    </w:p>
    <w:p w14:paraId="3D51E296" w14:textId="79139BCB" w:rsidR="00255EC4" w:rsidRPr="00941553" w:rsidRDefault="00D1724E" w:rsidP="00513EC7">
      <w:pPr>
        <w:rPr>
          <w:rFonts w:ascii="Mulish" w:hAnsi="Mulish"/>
        </w:rPr>
      </w:pPr>
      <w:r>
        <w:rPr>
          <w:noProof/>
        </w:rPr>
        <w:drawing>
          <wp:inline distT="0" distB="0" distL="0" distR="0" wp14:anchorId="004CB9FB" wp14:editId="7AECE214">
            <wp:extent cx="5772150" cy="3181350"/>
            <wp:effectExtent l="0" t="0" r="0" b="0"/>
            <wp:docPr id="12" name="Gráfico 1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6E5EAD" w14:textId="0CC6783F" w:rsidR="00463BE8" w:rsidRPr="00941553" w:rsidRDefault="00124108" w:rsidP="00513EC7">
      <w:pPr>
        <w:rPr>
          <w:rFonts w:ascii="Mulish" w:hAnsi="Mulish"/>
        </w:rPr>
      </w:pPr>
      <w:r w:rsidRPr="00941553">
        <w:rPr>
          <w:rFonts w:ascii="Mulish" w:hAnsi="Mulish"/>
        </w:rPr>
        <w:t>Respecto de 202</w:t>
      </w:r>
      <w:r w:rsidR="00D1724E">
        <w:rPr>
          <w:rFonts w:ascii="Mulish" w:hAnsi="Mulish"/>
        </w:rPr>
        <w:t>3</w:t>
      </w:r>
      <w:r w:rsidRPr="00941553">
        <w:rPr>
          <w:rFonts w:ascii="Mulish" w:hAnsi="Mulish"/>
        </w:rPr>
        <w:t xml:space="preserve">, la proporción de informaciones obligatorias que se publican ha </w:t>
      </w:r>
      <w:r w:rsidR="004660F8">
        <w:rPr>
          <w:rFonts w:ascii="Mulish" w:hAnsi="Mulish"/>
        </w:rPr>
        <w:t>permanecido estable (-0,1%)</w:t>
      </w:r>
      <w:r w:rsidRPr="00941553">
        <w:rPr>
          <w:rFonts w:ascii="Mulish" w:hAnsi="Mulish"/>
        </w:rPr>
        <w:t xml:space="preserve">. </w:t>
      </w:r>
      <w:r w:rsidR="004660F8">
        <w:rPr>
          <w:rFonts w:ascii="Mulish" w:hAnsi="Mulish"/>
        </w:rPr>
        <w:t>Las entidades de derecho público y las agencias estatales, organismos autónomos</w:t>
      </w:r>
      <w:r w:rsidR="00D05FA5">
        <w:rPr>
          <w:rFonts w:ascii="Mulish" w:hAnsi="Mulish"/>
        </w:rPr>
        <w:t xml:space="preserve"> y entidades públicas empresariales</w:t>
      </w:r>
      <w:r w:rsidRPr="00941553">
        <w:rPr>
          <w:rFonts w:ascii="Mulish" w:hAnsi="Mulish"/>
        </w:rPr>
        <w:t>, presentan la mejor evolución</w:t>
      </w:r>
      <w:r w:rsidR="004660F8">
        <w:rPr>
          <w:rFonts w:ascii="Mulish" w:hAnsi="Mulish"/>
        </w:rPr>
        <w:t>: + 3,9% y +3,8%, respectivamente.</w:t>
      </w:r>
      <w:r w:rsidR="00CE75D5" w:rsidRPr="00941553">
        <w:rPr>
          <w:rFonts w:ascii="Mulish" w:hAnsi="Mulish"/>
        </w:rPr>
        <w:t xml:space="preserve"> </w:t>
      </w:r>
      <w:r w:rsidR="00135C13">
        <w:rPr>
          <w:rFonts w:ascii="Mulish" w:hAnsi="Mulish"/>
        </w:rPr>
        <w:t>Las MATEPSS son las entidades que presentan una peor evolución, ya que la proporción de contenidos obligatorios que publican ha disminuido el 22,8%</w:t>
      </w:r>
      <w:r w:rsidR="00CE75D5" w:rsidRPr="00941553">
        <w:rPr>
          <w:rFonts w:ascii="Mulish" w:hAnsi="Mulish"/>
        </w:rPr>
        <w:t xml:space="preserve">. Mientras la proporción de contenidos publicados alcanza el </w:t>
      </w:r>
      <w:r w:rsidR="00135C13">
        <w:rPr>
          <w:rFonts w:ascii="Mulish" w:hAnsi="Mulish"/>
        </w:rPr>
        <w:t>48</w:t>
      </w:r>
      <w:r w:rsidR="00CE75D5" w:rsidRPr="00941553">
        <w:rPr>
          <w:rFonts w:ascii="Mulish" w:hAnsi="Mulish"/>
        </w:rPr>
        <w:t>% en el caso de las entidades evaluadas por primera vez en 202</w:t>
      </w:r>
      <w:r w:rsidR="00135C13">
        <w:rPr>
          <w:rFonts w:ascii="Mulish" w:hAnsi="Mulish"/>
        </w:rPr>
        <w:t>3</w:t>
      </w:r>
      <w:r w:rsidR="00CE75D5" w:rsidRPr="00941553">
        <w:rPr>
          <w:rFonts w:ascii="Mulish" w:hAnsi="Mulish"/>
        </w:rPr>
        <w:t>, entre las evaluadas por primera vez en 202</w:t>
      </w:r>
      <w:r w:rsidR="00F45DA6">
        <w:rPr>
          <w:rFonts w:ascii="Mulish" w:hAnsi="Mulish"/>
        </w:rPr>
        <w:t>4</w:t>
      </w:r>
      <w:r w:rsidR="00CE75D5" w:rsidRPr="00941553">
        <w:rPr>
          <w:rFonts w:ascii="Mulish" w:hAnsi="Mulish"/>
        </w:rPr>
        <w:t xml:space="preserve"> desciende al </w:t>
      </w:r>
      <w:r w:rsidR="00F45DA6">
        <w:rPr>
          <w:rFonts w:ascii="Mulish" w:hAnsi="Mulish"/>
        </w:rPr>
        <w:t>26,5</w:t>
      </w:r>
      <w:r w:rsidR="00CE75D5" w:rsidRPr="00941553">
        <w:rPr>
          <w:rFonts w:ascii="Mulish" w:hAnsi="Mulish"/>
        </w:rPr>
        <w:t>%</w:t>
      </w:r>
      <w:r w:rsidR="00F45DA6">
        <w:rPr>
          <w:rStyle w:val="Refdenotaalpie"/>
          <w:rFonts w:ascii="Mulish" w:hAnsi="Mulish"/>
        </w:rPr>
        <w:footnoteReference w:id="6"/>
      </w:r>
      <w:r w:rsidR="00CE75D5" w:rsidRPr="00941553">
        <w:rPr>
          <w:rFonts w:ascii="Mulish" w:hAnsi="Mulish"/>
        </w:rPr>
        <w:t>.</w:t>
      </w:r>
      <w:r w:rsidR="002752D5" w:rsidRPr="00941553">
        <w:rPr>
          <w:rFonts w:ascii="Mulish" w:hAnsi="Mulish"/>
        </w:rPr>
        <w:t xml:space="preserve"> </w:t>
      </w:r>
    </w:p>
    <w:p w14:paraId="6A32BF94" w14:textId="77777777" w:rsidR="00EA0FD2" w:rsidRPr="00941553" w:rsidRDefault="00EA0FD2" w:rsidP="00513EC7">
      <w:pPr>
        <w:rPr>
          <w:rFonts w:ascii="Mulish" w:hAnsi="Mulish"/>
        </w:rPr>
      </w:pPr>
      <w:r w:rsidRPr="00941553">
        <w:rPr>
          <w:rFonts w:ascii="Mulish" w:hAnsi="Mulish"/>
        </w:rPr>
        <w:t xml:space="preserve">La siguiente tabla muestra las informaciones correspondientes a este bloque de obligaciones que presentan un menor cumplimiento en cuanto a su publicación. </w:t>
      </w:r>
    </w:p>
    <w:p w14:paraId="37EC7B77" w14:textId="77777777" w:rsidR="00283DCC" w:rsidRPr="00941553" w:rsidRDefault="00283DCC" w:rsidP="00BA54C2">
      <w:pPr>
        <w:pStyle w:val="Descripcin"/>
        <w:keepNext/>
        <w:rPr>
          <w:rFonts w:ascii="Mulish" w:hAnsi="Mulish"/>
          <w:color w:val="438086" w:themeColor="accent2"/>
          <w:sz w:val="22"/>
          <w:szCs w:val="22"/>
        </w:rPr>
      </w:pPr>
    </w:p>
    <w:p w14:paraId="064950E3" w14:textId="77777777" w:rsidR="00283DCC" w:rsidRPr="00941553" w:rsidRDefault="00283DCC" w:rsidP="00BA54C2">
      <w:pPr>
        <w:pStyle w:val="Descripcin"/>
        <w:keepNext/>
        <w:rPr>
          <w:rFonts w:ascii="Mulish" w:hAnsi="Mulish"/>
          <w:color w:val="438086" w:themeColor="accent2"/>
          <w:sz w:val="22"/>
          <w:szCs w:val="22"/>
        </w:rPr>
      </w:pPr>
    </w:p>
    <w:p w14:paraId="45B0C0F9" w14:textId="77777777" w:rsidR="00283DCC" w:rsidRPr="00941553" w:rsidRDefault="00283DCC" w:rsidP="00283DCC">
      <w:pPr>
        <w:rPr>
          <w:rFonts w:ascii="Mulish" w:hAnsi="Mulish"/>
        </w:rPr>
      </w:pPr>
    </w:p>
    <w:p w14:paraId="28E7E640" w14:textId="77777777" w:rsidR="00283DCC" w:rsidRPr="00941553" w:rsidRDefault="00283DCC" w:rsidP="00283DCC">
      <w:pPr>
        <w:rPr>
          <w:rFonts w:ascii="Mulish" w:hAnsi="Mulish"/>
        </w:rPr>
      </w:pPr>
    </w:p>
    <w:p w14:paraId="6378FE43" w14:textId="77777777" w:rsidR="00283DCC" w:rsidRPr="00941553" w:rsidRDefault="00283DCC" w:rsidP="00BA54C2">
      <w:pPr>
        <w:pStyle w:val="Descripcin"/>
        <w:keepNext/>
        <w:rPr>
          <w:rFonts w:ascii="Mulish" w:hAnsi="Mulish"/>
          <w:color w:val="438086" w:themeColor="accent2"/>
          <w:sz w:val="22"/>
          <w:szCs w:val="22"/>
        </w:rPr>
      </w:pPr>
    </w:p>
    <w:p w14:paraId="33BF4873" w14:textId="77777777" w:rsidR="00283DCC" w:rsidRPr="00941553" w:rsidRDefault="00283DCC" w:rsidP="00283DCC">
      <w:pPr>
        <w:rPr>
          <w:rFonts w:ascii="Mulish" w:hAnsi="Mulish"/>
        </w:rPr>
      </w:pPr>
    </w:p>
    <w:p w14:paraId="4C4B4422" w14:textId="687D5C7E" w:rsidR="00BA54C2" w:rsidRPr="00941553" w:rsidRDefault="00BA54C2" w:rsidP="00BA54C2">
      <w:pPr>
        <w:pStyle w:val="Descripcin"/>
        <w:keepNext/>
        <w:rPr>
          <w:rFonts w:ascii="Mulish" w:hAnsi="Mulish"/>
          <w:color w:val="438086" w:themeColor="accent2"/>
          <w:sz w:val="22"/>
          <w:szCs w:val="22"/>
        </w:rPr>
      </w:pPr>
      <w:r w:rsidRPr="00941553">
        <w:rPr>
          <w:rFonts w:ascii="Mulish" w:hAnsi="Mulish"/>
          <w:color w:val="438086" w:themeColor="accent2"/>
          <w:sz w:val="22"/>
          <w:szCs w:val="22"/>
        </w:rPr>
        <w:lastRenderedPageBreak/>
        <w:t xml:space="preserve">Tabla </w:t>
      </w:r>
      <w:r w:rsidRPr="003223E2">
        <w:rPr>
          <w:rFonts w:ascii="Mulish" w:hAnsi="Mulish"/>
          <w:color w:val="438086" w:themeColor="accent2"/>
          <w:sz w:val="22"/>
          <w:szCs w:val="22"/>
        </w:rPr>
        <w:fldChar w:fldCharType="begin"/>
      </w:r>
      <w:r w:rsidRPr="003223E2">
        <w:rPr>
          <w:rFonts w:ascii="Mulish" w:hAnsi="Mulish"/>
          <w:color w:val="438086" w:themeColor="accent2"/>
          <w:sz w:val="22"/>
          <w:szCs w:val="22"/>
        </w:rPr>
        <w:instrText xml:space="preserve"> SEQ Tabla \* ARABIC </w:instrText>
      </w:r>
      <w:r w:rsidRPr="003223E2">
        <w:rPr>
          <w:rFonts w:ascii="Mulish" w:hAnsi="Mulish"/>
          <w:color w:val="438086" w:themeColor="accent2"/>
          <w:sz w:val="22"/>
          <w:szCs w:val="22"/>
        </w:rPr>
        <w:fldChar w:fldCharType="separate"/>
      </w:r>
      <w:r w:rsidR="007D1395">
        <w:rPr>
          <w:rFonts w:ascii="Mulish" w:hAnsi="Mulish"/>
          <w:noProof/>
          <w:color w:val="438086" w:themeColor="accent2"/>
          <w:sz w:val="22"/>
          <w:szCs w:val="22"/>
        </w:rPr>
        <w:t>2</w:t>
      </w:r>
      <w:r w:rsidRPr="003223E2">
        <w:rPr>
          <w:rFonts w:ascii="Mulish" w:hAnsi="Mulish"/>
          <w:color w:val="438086" w:themeColor="accent2"/>
          <w:sz w:val="22"/>
          <w:szCs w:val="22"/>
        </w:rPr>
        <w:fldChar w:fldCharType="end"/>
      </w:r>
      <w:r w:rsidRPr="003223E2">
        <w:rPr>
          <w:rFonts w:ascii="Mulish" w:hAnsi="Mulish"/>
          <w:color w:val="438086" w:themeColor="accent2"/>
          <w:sz w:val="22"/>
          <w:szCs w:val="22"/>
        </w:rPr>
        <w:t>: Proporción de entidades que publican determinadas informaciones obligatorias del bloque de información Económica, Presupuestaria y Estadística</w:t>
      </w:r>
    </w:p>
    <w:tbl>
      <w:tblPr>
        <w:tblStyle w:val="Listaclara-nfasis2"/>
        <w:tblW w:w="9629" w:type="dxa"/>
        <w:tblLook w:val="04A0" w:firstRow="1" w:lastRow="0" w:firstColumn="1" w:lastColumn="0" w:noHBand="0" w:noVBand="1"/>
      </w:tblPr>
      <w:tblGrid>
        <w:gridCol w:w="6369"/>
        <w:gridCol w:w="3260"/>
      </w:tblGrid>
      <w:tr w:rsidR="00D1755C" w:rsidRPr="00D7253E" w14:paraId="6BF22153" w14:textId="77777777" w:rsidTr="00D25D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7E81BCD1" w14:textId="43FEBF2D" w:rsidR="00D1755C" w:rsidRPr="00D7253E" w:rsidRDefault="00190901" w:rsidP="00D1755C">
            <w:pPr>
              <w:jc w:val="left"/>
              <w:rPr>
                <w:rFonts w:ascii="Mulish" w:eastAsia="Times New Roman" w:hAnsi="Mulish" w:cs="Calibri"/>
                <w:color w:val="000000"/>
                <w:sz w:val="18"/>
                <w:szCs w:val="18"/>
              </w:rPr>
            </w:pPr>
            <w:r w:rsidRPr="00D7253E">
              <w:rPr>
                <w:rFonts w:ascii="Mulish" w:hAnsi="Mulish"/>
                <w:sz w:val="18"/>
                <w:szCs w:val="18"/>
              </w:rPr>
              <w:t>O</w:t>
            </w:r>
            <w:r w:rsidR="00D1755C" w:rsidRPr="00D7253E">
              <w:rPr>
                <w:rFonts w:ascii="Mulish" w:hAnsi="Mulish"/>
                <w:sz w:val="18"/>
                <w:szCs w:val="18"/>
              </w:rPr>
              <w:t>bligación</w:t>
            </w:r>
          </w:p>
        </w:tc>
        <w:tc>
          <w:tcPr>
            <w:tcW w:w="3260" w:type="dxa"/>
            <w:noWrap/>
          </w:tcPr>
          <w:p w14:paraId="5235906A" w14:textId="77777777" w:rsidR="00D1755C" w:rsidRPr="00D7253E" w:rsidRDefault="00D1755C" w:rsidP="00D1755C">
            <w:pPr>
              <w:jc w:val="right"/>
              <w:cnfStyle w:val="100000000000" w:firstRow="1"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D7253E">
              <w:rPr>
                <w:rFonts w:ascii="Mulish" w:hAnsi="Mulish"/>
                <w:sz w:val="18"/>
                <w:szCs w:val="18"/>
              </w:rPr>
              <w:t>Proporción de organismos a los que es de aplicación la obligación que publican contenidos</w:t>
            </w:r>
          </w:p>
        </w:tc>
      </w:tr>
      <w:tr w:rsidR="00D1755C" w:rsidRPr="00D7253E" w14:paraId="006579DC"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42F55FCB" w14:textId="77777777" w:rsidR="00D1755C" w:rsidRPr="00D7253E" w:rsidRDefault="00D1755C" w:rsidP="00D1755C">
            <w:pPr>
              <w:jc w:val="left"/>
              <w:rPr>
                <w:rFonts w:ascii="Mulish" w:eastAsia="Times New Roman" w:hAnsi="Mulish" w:cs="Calibri"/>
                <w:color w:val="000000"/>
                <w:sz w:val="18"/>
                <w:szCs w:val="18"/>
              </w:rPr>
            </w:pPr>
            <w:r w:rsidRPr="00D7253E">
              <w:rPr>
                <w:rFonts w:ascii="Mulish" w:hAnsi="Mulish"/>
                <w:sz w:val="18"/>
                <w:szCs w:val="18"/>
              </w:rPr>
              <w:t>Autorizaciones para actividad privada al cese de altos cargos</w:t>
            </w:r>
          </w:p>
        </w:tc>
        <w:tc>
          <w:tcPr>
            <w:tcW w:w="3260" w:type="dxa"/>
            <w:noWrap/>
            <w:hideMark/>
          </w:tcPr>
          <w:p w14:paraId="5A68C549" w14:textId="77777777" w:rsidR="00D1755C" w:rsidRPr="00D7253E" w:rsidRDefault="00D1755C" w:rsidP="00D1755C">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D7253E">
              <w:rPr>
                <w:rFonts w:ascii="Mulish" w:eastAsia="Times New Roman" w:hAnsi="Mulish" w:cs="Calibri"/>
                <w:color w:val="000000"/>
                <w:sz w:val="18"/>
                <w:szCs w:val="18"/>
              </w:rPr>
              <w:t>0,0%</w:t>
            </w:r>
          </w:p>
        </w:tc>
      </w:tr>
      <w:tr w:rsidR="00485D13" w:rsidRPr="00D7253E" w14:paraId="294B4009"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5D19E937" w14:textId="20B55D17" w:rsidR="00485D13" w:rsidRPr="00D7253E" w:rsidRDefault="00485D13" w:rsidP="00485D13">
            <w:pPr>
              <w:jc w:val="left"/>
              <w:rPr>
                <w:rFonts w:ascii="Mulish" w:eastAsia="Times New Roman" w:hAnsi="Mulish" w:cs="Calibri"/>
                <w:color w:val="000000"/>
                <w:sz w:val="18"/>
                <w:szCs w:val="18"/>
              </w:rPr>
            </w:pPr>
            <w:r w:rsidRPr="00485D13">
              <w:rPr>
                <w:rFonts w:ascii="Mulish" w:eastAsia="Times New Roman" w:hAnsi="Mulish" w:cs="Calibri"/>
                <w:color w:val="000000"/>
                <w:sz w:val="18"/>
                <w:szCs w:val="18"/>
              </w:rPr>
              <w:t>Subcontrataciones derivadas de encomiendas de gestión</w:t>
            </w:r>
          </w:p>
        </w:tc>
        <w:tc>
          <w:tcPr>
            <w:tcW w:w="3260" w:type="dxa"/>
            <w:noWrap/>
          </w:tcPr>
          <w:p w14:paraId="4614DC11" w14:textId="68C0F0DA" w:rsidR="00485D13" w:rsidRPr="00D7253E" w:rsidRDefault="00485D13" w:rsidP="00485D13">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485D13">
              <w:rPr>
                <w:rFonts w:ascii="Mulish" w:eastAsia="Times New Roman" w:hAnsi="Mulish" w:cs="Calibri"/>
                <w:color w:val="000000"/>
                <w:sz w:val="18"/>
                <w:szCs w:val="18"/>
              </w:rPr>
              <w:t>1,5%</w:t>
            </w:r>
          </w:p>
        </w:tc>
      </w:tr>
      <w:tr w:rsidR="00D1755C" w:rsidRPr="00D7253E" w14:paraId="62AF754F"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50009575" w14:textId="77777777" w:rsidR="00D1755C" w:rsidRPr="00D7253E" w:rsidRDefault="00D1755C" w:rsidP="00D1755C">
            <w:pPr>
              <w:jc w:val="left"/>
              <w:rPr>
                <w:rFonts w:ascii="Mulish" w:eastAsia="Times New Roman" w:hAnsi="Mulish" w:cs="Calibri"/>
                <w:color w:val="000000"/>
                <w:sz w:val="18"/>
                <w:szCs w:val="18"/>
              </w:rPr>
            </w:pPr>
            <w:r w:rsidRPr="00D7253E">
              <w:rPr>
                <w:rFonts w:ascii="Mulish" w:eastAsia="Times New Roman" w:hAnsi="Mulish" w:cs="Calibri"/>
                <w:color w:val="000000"/>
                <w:sz w:val="18"/>
                <w:szCs w:val="18"/>
              </w:rPr>
              <w:t>Indemnizaciones percibidas con ocasión del abandono del cargo</w:t>
            </w:r>
          </w:p>
        </w:tc>
        <w:tc>
          <w:tcPr>
            <w:tcW w:w="3260" w:type="dxa"/>
            <w:noWrap/>
            <w:hideMark/>
          </w:tcPr>
          <w:p w14:paraId="41728D9C" w14:textId="42BBF0DE" w:rsidR="00D1755C" w:rsidRPr="00D7253E" w:rsidRDefault="00D7253E" w:rsidP="00D1755C">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D7253E">
              <w:rPr>
                <w:rFonts w:ascii="Mulish" w:eastAsia="Times New Roman" w:hAnsi="Mulish" w:cs="Calibri"/>
                <w:color w:val="000000"/>
                <w:sz w:val="18"/>
                <w:szCs w:val="18"/>
              </w:rPr>
              <w:t>2,2</w:t>
            </w:r>
            <w:r w:rsidR="00D1755C" w:rsidRPr="00D7253E">
              <w:rPr>
                <w:rFonts w:ascii="Mulish" w:eastAsia="Times New Roman" w:hAnsi="Mulish" w:cs="Calibri"/>
                <w:color w:val="000000"/>
                <w:sz w:val="18"/>
                <w:szCs w:val="18"/>
              </w:rPr>
              <w:t>%</w:t>
            </w:r>
          </w:p>
        </w:tc>
      </w:tr>
      <w:tr w:rsidR="00D7253E" w:rsidRPr="00D7253E" w14:paraId="3EF675F7"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2CCC439A" w14:textId="2BEE87F7" w:rsidR="00D7253E" w:rsidRPr="007E7BDA" w:rsidRDefault="00D7253E" w:rsidP="00D7253E">
            <w:pPr>
              <w:jc w:val="left"/>
              <w:rPr>
                <w:rFonts w:ascii="Mulish" w:hAnsi="Mulish"/>
                <w:sz w:val="18"/>
                <w:szCs w:val="18"/>
              </w:rPr>
            </w:pPr>
            <w:r w:rsidRPr="007E7BDA">
              <w:rPr>
                <w:rFonts w:ascii="Mulish" w:hAnsi="Mulish"/>
                <w:sz w:val="18"/>
                <w:szCs w:val="18"/>
              </w:rPr>
              <w:t>Estadísticas contratación PYMES</w:t>
            </w:r>
          </w:p>
        </w:tc>
        <w:tc>
          <w:tcPr>
            <w:tcW w:w="3260" w:type="dxa"/>
            <w:noWrap/>
          </w:tcPr>
          <w:p w14:paraId="334A283D" w14:textId="0F43DC76" w:rsidR="00D7253E" w:rsidRPr="00D7253E" w:rsidRDefault="00D7253E" w:rsidP="00D7253E">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10,2</w:t>
            </w:r>
            <w:r w:rsidR="007E7BDA">
              <w:rPr>
                <w:rFonts w:ascii="Mulish" w:eastAsia="Times New Roman" w:hAnsi="Mulish" w:cs="Calibri"/>
                <w:color w:val="000000"/>
                <w:sz w:val="18"/>
                <w:szCs w:val="18"/>
              </w:rPr>
              <w:t>%</w:t>
            </w:r>
          </w:p>
        </w:tc>
      </w:tr>
      <w:tr w:rsidR="008D3772" w:rsidRPr="00D7253E" w14:paraId="7A43150B"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713E3ADE" w14:textId="4294A104" w:rsidR="008D3772" w:rsidRPr="007E7BDA" w:rsidRDefault="008D3772" w:rsidP="008D3772">
            <w:pPr>
              <w:jc w:val="left"/>
              <w:rPr>
                <w:rFonts w:ascii="Mulish" w:hAnsi="Mulish"/>
                <w:sz w:val="18"/>
                <w:szCs w:val="18"/>
              </w:rPr>
            </w:pPr>
            <w:r w:rsidRPr="007E7BDA">
              <w:rPr>
                <w:rFonts w:ascii="Mulish" w:hAnsi="Mulish"/>
                <w:sz w:val="18"/>
                <w:szCs w:val="18"/>
              </w:rPr>
              <w:t>Encomiendas de Gestión</w:t>
            </w:r>
          </w:p>
        </w:tc>
        <w:tc>
          <w:tcPr>
            <w:tcW w:w="3260" w:type="dxa"/>
            <w:noWrap/>
          </w:tcPr>
          <w:p w14:paraId="7B655A38" w14:textId="396D54F0" w:rsidR="008D3772" w:rsidRPr="007E7BDA" w:rsidRDefault="008D3772" w:rsidP="008D3772">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14,3</w:t>
            </w:r>
            <w:r w:rsidR="007E7BDA">
              <w:rPr>
                <w:rFonts w:ascii="Mulish" w:eastAsia="Times New Roman" w:hAnsi="Mulish" w:cs="Calibri"/>
                <w:color w:val="000000"/>
                <w:sz w:val="18"/>
                <w:szCs w:val="18"/>
              </w:rPr>
              <w:t>%</w:t>
            </w:r>
          </w:p>
        </w:tc>
      </w:tr>
      <w:tr w:rsidR="00941581" w:rsidRPr="00D7253E" w14:paraId="42C045BE"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6853BA82" w14:textId="3FBE9BDB" w:rsidR="00941581" w:rsidRPr="007E7BDA" w:rsidRDefault="00941581" w:rsidP="00941581">
            <w:pPr>
              <w:jc w:val="left"/>
              <w:rPr>
                <w:rFonts w:ascii="Mulish" w:hAnsi="Mulish"/>
                <w:sz w:val="18"/>
                <w:szCs w:val="18"/>
              </w:rPr>
            </w:pPr>
            <w:r w:rsidRPr="007E7BDA">
              <w:rPr>
                <w:rFonts w:ascii="Mulish" w:hAnsi="Mulish"/>
                <w:sz w:val="18"/>
                <w:szCs w:val="18"/>
              </w:rPr>
              <w:t>Subvenciones y ayudas públicas</w:t>
            </w:r>
          </w:p>
        </w:tc>
        <w:tc>
          <w:tcPr>
            <w:tcW w:w="3260" w:type="dxa"/>
            <w:noWrap/>
          </w:tcPr>
          <w:p w14:paraId="6F26E8DC" w14:textId="32604C43" w:rsidR="00941581" w:rsidRDefault="00941581" w:rsidP="00941581">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15,7</w:t>
            </w:r>
            <w:r w:rsidR="007E7BDA">
              <w:rPr>
                <w:rFonts w:ascii="Mulish" w:eastAsia="Times New Roman" w:hAnsi="Mulish" w:cs="Calibri"/>
                <w:color w:val="000000"/>
                <w:sz w:val="18"/>
                <w:szCs w:val="18"/>
              </w:rPr>
              <w:t>%</w:t>
            </w:r>
          </w:p>
        </w:tc>
      </w:tr>
      <w:tr w:rsidR="008D3772" w:rsidRPr="00D7253E" w14:paraId="58C5C788"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1A4285E1" w14:textId="4E3A9A47" w:rsidR="008D3772" w:rsidRPr="007E7BDA" w:rsidRDefault="008D3772" w:rsidP="008D3772">
            <w:pPr>
              <w:jc w:val="left"/>
              <w:rPr>
                <w:rFonts w:ascii="Mulish" w:hAnsi="Mulish"/>
                <w:sz w:val="18"/>
                <w:szCs w:val="18"/>
              </w:rPr>
            </w:pPr>
            <w:r w:rsidRPr="007E7BDA">
              <w:rPr>
                <w:rFonts w:ascii="Mulish" w:hAnsi="Mulish"/>
                <w:sz w:val="18"/>
                <w:szCs w:val="18"/>
              </w:rPr>
              <w:t>Informes de Auditoría y Fiscalización</w:t>
            </w:r>
          </w:p>
        </w:tc>
        <w:tc>
          <w:tcPr>
            <w:tcW w:w="3260" w:type="dxa"/>
            <w:noWrap/>
          </w:tcPr>
          <w:p w14:paraId="0516DA6A" w14:textId="6A4E2C50" w:rsidR="008D3772" w:rsidRDefault="008D3772" w:rsidP="008D3772">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16,8%</w:t>
            </w:r>
          </w:p>
        </w:tc>
      </w:tr>
      <w:tr w:rsidR="00D1755C" w:rsidRPr="00D7253E" w14:paraId="02A30EA1"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61FF90E3" w14:textId="77777777" w:rsidR="00D1755C" w:rsidRPr="007E7BDA" w:rsidRDefault="00D1755C" w:rsidP="00D1755C">
            <w:pPr>
              <w:jc w:val="left"/>
              <w:rPr>
                <w:rFonts w:ascii="Mulish" w:hAnsi="Mulish"/>
                <w:sz w:val="18"/>
                <w:szCs w:val="18"/>
              </w:rPr>
            </w:pPr>
            <w:r w:rsidRPr="007E7BDA">
              <w:rPr>
                <w:rFonts w:ascii="Mulish" w:hAnsi="Mulish"/>
                <w:sz w:val="18"/>
                <w:szCs w:val="18"/>
              </w:rPr>
              <w:t>Autorizaciones compatibilidad empleados</w:t>
            </w:r>
          </w:p>
        </w:tc>
        <w:tc>
          <w:tcPr>
            <w:tcW w:w="3260" w:type="dxa"/>
            <w:noWrap/>
            <w:hideMark/>
          </w:tcPr>
          <w:p w14:paraId="24664648" w14:textId="3F0ADBA5" w:rsidR="00D1755C" w:rsidRPr="00D7253E" w:rsidRDefault="006A6D95" w:rsidP="00D1755C">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Pr>
                <w:rFonts w:ascii="Mulish" w:eastAsia="Times New Roman" w:hAnsi="Mulish" w:cs="Calibri"/>
                <w:color w:val="000000"/>
                <w:sz w:val="18"/>
                <w:szCs w:val="18"/>
              </w:rPr>
              <w:t>17,1</w:t>
            </w:r>
            <w:r w:rsidR="00D1755C" w:rsidRPr="00D7253E">
              <w:rPr>
                <w:rFonts w:ascii="Mulish" w:eastAsia="Times New Roman" w:hAnsi="Mulish" w:cs="Calibri"/>
                <w:color w:val="000000"/>
                <w:sz w:val="18"/>
                <w:szCs w:val="18"/>
              </w:rPr>
              <w:t>%</w:t>
            </w:r>
          </w:p>
        </w:tc>
      </w:tr>
      <w:tr w:rsidR="006A6D95" w:rsidRPr="00D7253E" w14:paraId="7E2ECB75"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4474DB21" w14:textId="55EF6E48" w:rsidR="006A6D95" w:rsidRPr="007E7BDA" w:rsidRDefault="006A6D95" w:rsidP="006A6D95">
            <w:pPr>
              <w:jc w:val="left"/>
              <w:rPr>
                <w:rFonts w:ascii="Mulish" w:hAnsi="Mulish"/>
                <w:sz w:val="18"/>
                <w:szCs w:val="18"/>
              </w:rPr>
            </w:pPr>
            <w:r w:rsidRPr="007E7BDA">
              <w:rPr>
                <w:rFonts w:ascii="Mulish" w:hAnsi="Mulish"/>
                <w:sz w:val="18"/>
                <w:szCs w:val="18"/>
              </w:rPr>
              <w:t>Modificaciones de contratos</w:t>
            </w:r>
          </w:p>
        </w:tc>
        <w:tc>
          <w:tcPr>
            <w:tcW w:w="3260" w:type="dxa"/>
            <w:noWrap/>
            <w:hideMark/>
          </w:tcPr>
          <w:p w14:paraId="52075403" w14:textId="335A6E59" w:rsidR="006A6D95" w:rsidRPr="00D7253E" w:rsidRDefault="006A6D95" w:rsidP="006A6D95">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19,3</w:t>
            </w:r>
            <w:r w:rsidR="007E7BDA">
              <w:rPr>
                <w:rFonts w:ascii="Mulish" w:eastAsia="Times New Roman" w:hAnsi="Mulish" w:cs="Calibri"/>
                <w:color w:val="000000"/>
                <w:sz w:val="18"/>
                <w:szCs w:val="18"/>
              </w:rPr>
              <w:t>%</w:t>
            </w:r>
          </w:p>
        </w:tc>
      </w:tr>
      <w:tr w:rsidR="006A6D95" w:rsidRPr="00D7253E" w14:paraId="4BBB4151"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64403592" w14:textId="06388F5E" w:rsidR="006A6D95" w:rsidRPr="007E7BDA" w:rsidRDefault="006A6D95" w:rsidP="006A6D95">
            <w:pPr>
              <w:jc w:val="left"/>
              <w:rPr>
                <w:rFonts w:ascii="Mulish" w:hAnsi="Mulish"/>
                <w:sz w:val="18"/>
                <w:szCs w:val="18"/>
              </w:rPr>
            </w:pPr>
            <w:r w:rsidRPr="007E7BDA">
              <w:rPr>
                <w:rFonts w:ascii="Mulish" w:hAnsi="Mulish"/>
                <w:sz w:val="18"/>
                <w:szCs w:val="18"/>
              </w:rPr>
              <w:t>Desistimientos y renuncias a contratos adjudicados</w:t>
            </w:r>
          </w:p>
        </w:tc>
        <w:tc>
          <w:tcPr>
            <w:tcW w:w="3260" w:type="dxa"/>
            <w:noWrap/>
          </w:tcPr>
          <w:p w14:paraId="0E541BCD" w14:textId="2F48152A" w:rsidR="006A6D95" w:rsidRPr="00D7253E" w:rsidRDefault="006A6D95" w:rsidP="006A6D95">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22,8</w:t>
            </w:r>
            <w:r w:rsidR="007E7BDA">
              <w:rPr>
                <w:rFonts w:ascii="Mulish" w:eastAsia="Times New Roman" w:hAnsi="Mulish" w:cs="Calibri"/>
                <w:color w:val="000000"/>
                <w:sz w:val="18"/>
                <w:szCs w:val="18"/>
              </w:rPr>
              <w:t>%</w:t>
            </w:r>
          </w:p>
        </w:tc>
      </w:tr>
      <w:tr w:rsidR="00D4753B" w:rsidRPr="00D7253E" w14:paraId="3632451E"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4260E2B7" w14:textId="2F6D4786" w:rsidR="00D4753B" w:rsidRPr="007E7BDA" w:rsidRDefault="00D4753B" w:rsidP="00D4753B">
            <w:pPr>
              <w:jc w:val="left"/>
              <w:rPr>
                <w:rFonts w:ascii="Mulish" w:hAnsi="Mulish"/>
                <w:sz w:val="18"/>
                <w:szCs w:val="18"/>
              </w:rPr>
            </w:pPr>
            <w:r w:rsidRPr="007E7BDA">
              <w:rPr>
                <w:rFonts w:ascii="Mulish" w:hAnsi="Mulish"/>
                <w:sz w:val="18"/>
                <w:szCs w:val="18"/>
              </w:rPr>
              <w:t>Ejecución presupuestaria</w:t>
            </w:r>
          </w:p>
        </w:tc>
        <w:tc>
          <w:tcPr>
            <w:tcW w:w="3260" w:type="dxa"/>
            <w:noWrap/>
          </w:tcPr>
          <w:p w14:paraId="19E6615F" w14:textId="7B60B503" w:rsidR="00D4753B" w:rsidRDefault="00D4753B" w:rsidP="00D4753B">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23,7</w:t>
            </w:r>
            <w:r w:rsidR="007E7BDA">
              <w:rPr>
                <w:rFonts w:ascii="Mulish" w:eastAsia="Times New Roman" w:hAnsi="Mulish" w:cs="Calibri"/>
                <w:color w:val="000000"/>
                <w:sz w:val="18"/>
                <w:szCs w:val="18"/>
              </w:rPr>
              <w:t>%</w:t>
            </w:r>
          </w:p>
        </w:tc>
      </w:tr>
      <w:tr w:rsidR="00D1755C" w:rsidRPr="00D7253E" w14:paraId="2982DB95"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69C5A2F4" w14:textId="166155B5" w:rsidR="00D1755C" w:rsidRPr="007E7BDA" w:rsidRDefault="006A6D95" w:rsidP="00D1755C">
            <w:pPr>
              <w:jc w:val="left"/>
              <w:rPr>
                <w:rFonts w:ascii="Mulish" w:hAnsi="Mulish"/>
                <w:sz w:val="18"/>
                <w:szCs w:val="18"/>
              </w:rPr>
            </w:pPr>
            <w:r w:rsidRPr="007E7BDA">
              <w:rPr>
                <w:rFonts w:ascii="Mulish" w:hAnsi="Mulish"/>
                <w:sz w:val="18"/>
                <w:szCs w:val="18"/>
              </w:rPr>
              <w:t>Datos estadísticos sobre contratación</w:t>
            </w:r>
          </w:p>
        </w:tc>
        <w:tc>
          <w:tcPr>
            <w:tcW w:w="3260" w:type="dxa"/>
            <w:noWrap/>
            <w:hideMark/>
          </w:tcPr>
          <w:p w14:paraId="5E09655F" w14:textId="7E1251FB" w:rsidR="00D1755C" w:rsidRPr="00D7253E" w:rsidRDefault="006A6D95" w:rsidP="00D1755C">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Pr>
                <w:rFonts w:ascii="Mulish" w:eastAsia="Times New Roman" w:hAnsi="Mulish" w:cs="Calibri"/>
                <w:color w:val="000000"/>
                <w:sz w:val="18"/>
                <w:szCs w:val="18"/>
              </w:rPr>
              <w:t>30,5</w:t>
            </w:r>
            <w:r w:rsidR="00D1755C" w:rsidRPr="00D7253E">
              <w:rPr>
                <w:rFonts w:ascii="Mulish" w:eastAsia="Times New Roman" w:hAnsi="Mulish" w:cs="Calibri"/>
                <w:color w:val="000000"/>
                <w:sz w:val="18"/>
                <w:szCs w:val="18"/>
              </w:rPr>
              <w:t>%</w:t>
            </w:r>
          </w:p>
        </w:tc>
      </w:tr>
      <w:tr w:rsidR="00D4753B" w:rsidRPr="00D7253E" w14:paraId="5324071B"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1C2EB674" w14:textId="57A95BAA" w:rsidR="00D4753B" w:rsidRPr="007E7BDA" w:rsidRDefault="00D4753B" w:rsidP="00D4753B">
            <w:pPr>
              <w:jc w:val="left"/>
              <w:rPr>
                <w:rFonts w:ascii="Mulish" w:hAnsi="Mulish"/>
                <w:sz w:val="18"/>
                <w:szCs w:val="18"/>
              </w:rPr>
            </w:pPr>
            <w:r w:rsidRPr="007E7BDA">
              <w:rPr>
                <w:rFonts w:ascii="Mulish" w:hAnsi="Mulish"/>
                <w:sz w:val="18"/>
                <w:szCs w:val="18"/>
              </w:rPr>
              <w:t>Retribuciones altos cargos y máximos responsables</w:t>
            </w:r>
          </w:p>
        </w:tc>
        <w:tc>
          <w:tcPr>
            <w:tcW w:w="3260" w:type="dxa"/>
            <w:noWrap/>
            <w:hideMark/>
          </w:tcPr>
          <w:p w14:paraId="471A3304" w14:textId="480D1C3D" w:rsidR="00D4753B" w:rsidRPr="00D7253E" w:rsidRDefault="00D4753B" w:rsidP="00D4753B">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38,7</w:t>
            </w:r>
            <w:r w:rsidR="007E7BDA">
              <w:rPr>
                <w:rFonts w:ascii="Mulish" w:eastAsia="Times New Roman" w:hAnsi="Mulish" w:cs="Calibri"/>
                <w:color w:val="000000"/>
                <w:sz w:val="18"/>
                <w:szCs w:val="18"/>
              </w:rPr>
              <w:t>%</w:t>
            </w:r>
          </w:p>
        </w:tc>
      </w:tr>
      <w:tr w:rsidR="007E7BDA" w:rsidRPr="00D7253E" w14:paraId="562A488D"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1EFE3C36" w14:textId="11DEC806" w:rsidR="007E7BDA" w:rsidRPr="007E7BDA" w:rsidRDefault="007E7BDA" w:rsidP="007E7BDA">
            <w:pPr>
              <w:jc w:val="left"/>
              <w:rPr>
                <w:rFonts w:ascii="Mulish" w:hAnsi="Mulish"/>
                <w:sz w:val="18"/>
                <w:szCs w:val="18"/>
              </w:rPr>
            </w:pPr>
            <w:r w:rsidRPr="00D25D1E">
              <w:rPr>
                <w:rFonts w:ascii="Mulish" w:hAnsi="Mulish"/>
                <w:sz w:val="18"/>
                <w:szCs w:val="18"/>
              </w:rPr>
              <w:t>Convenios</w:t>
            </w:r>
          </w:p>
        </w:tc>
        <w:tc>
          <w:tcPr>
            <w:tcW w:w="3260" w:type="dxa"/>
            <w:noWrap/>
          </w:tcPr>
          <w:p w14:paraId="1A58A7CE" w14:textId="2BDE6D09" w:rsidR="007E7BDA" w:rsidRPr="007E7BDA" w:rsidRDefault="007E7BDA" w:rsidP="007E7BD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D25D1E">
              <w:rPr>
                <w:rFonts w:ascii="Mulish" w:eastAsia="Times New Roman" w:hAnsi="Mulish" w:cs="Calibri"/>
                <w:color w:val="000000"/>
                <w:sz w:val="18"/>
                <w:szCs w:val="18"/>
              </w:rPr>
              <w:t>44,9%</w:t>
            </w:r>
          </w:p>
        </w:tc>
      </w:tr>
      <w:tr w:rsidR="00D4753B" w:rsidRPr="00D7253E" w14:paraId="0986C3FC"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5EB7AF06" w14:textId="5DB9BE2E" w:rsidR="00D4753B" w:rsidRPr="007E7BDA" w:rsidRDefault="00D4753B" w:rsidP="00D4753B">
            <w:pPr>
              <w:jc w:val="left"/>
              <w:rPr>
                <w:rFonts w:ascii="Mulish" w:hAnsi="Mulish"/>
                <w:sz w:val="18"/>
                <w:szCs w:val="18"/>
              </w:rPr>
            </w:pPr>
            <w:r w:rsidRPr="007E7BDA">
              <w:rPr>
                <w:rFonts w:ascii="Mulish" w:hAnsi="Mulish"/>
                <w:sz w:val="18"/>
                <w:szCs w:val="18"/>
              </w:rPr>
              <w:t>Cuentas</w:t>
            </w:r>
          </w:p>
        </w:tc>
        <w:tc>
          <w:tcPr>
            <w:tcW w:w="3260" w:type="dxa"/>
            <w:noWrap/>
            <w:hideMark/>
          </w:tcPr>
          <w:p w14:paraId="47C27170" w14:textId="5C7DF399" w:rsidR="00D4753B" w:rsidRPr="00D7253E" w:rsidRDefault="00D4753B" w:rsidP="00D4753B">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46,1</w:t>
            </w:r>
            <w:r w:rsidR="007E7BDA">
              <w:rPr>
                <w:rFonts w:ascii="Mulish" w:eastAsia="Times New Roman" w:hAnsi="Mulish" w:cs="Calibri"/>
                <w:color w:val="000000"/>
                <w:sz w:val="18"/>
                <w:szCs w:val="18"/>
              </w:rPr>
              <w:t>%</w:t>
            </w:r>
          </w:p>
        </w:tc>
      </w:tr>
      <w:tr w:rsidR="007E7BDA" w:rsidRPr="00D7253E" w14:paraId="5B6973F5"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162FC569" w14:textId="17FFA174" w:rsidR="007E7BDA" w:rsidRPr="007E7BDA" w:rsidRDefault="007E7BDA" w:rsidP="007E7BDA">
            <w:pPr>
              <w:jc w:val="left"/>
              <w:rPr>
                <w:rFonts w:ascii="Mulish" w:hAnsi="Mulish"/>
                <w:sz w:val="18"/>
                <w:szCs w:val="18"/>
              </w:rPr>
            </w:pPr>
            <w:r w:rsidRPr="00D25D1E">
              <w:rPr>
                <w:rFonts w:ascii="Mulish" w:hAnsi="Mulish"/>
                <w:sz w:val="18"/>
                <w:szCs w:val="18"/>
              </w:rPr>
              <w:t>Presupuesto</w:t>
            </w:r>
          </w:p>
        </w:tc>
        <w:tc>
          <w:tcPr>
            <w:tcW w:w="3260" w:type="dxa"/>
            <w:noWrap/>
          </w:tcPr>
          <w:p w14:paraId="41B51813" w14:textId="44E18ECC" w:rsidR="007E7BDA" w:rsidRPr="007E7BDA" w:rsidRDefault="007E7BDA" w:rsidP="007E7BD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D25D1E">
              <w:rPr>
                <w:rFonts w:ascii="Mulish" w:eastAsia="Times New Roman" w:hAnsi="Mulish" w:cs="Calibri"/>
                <w:color w:val="000000"/>
                <w:sz w:val="18"/>
                <w:szCs w:val="18"/>
              </w:rPr>
              <w:t>53,8%</w:t>
            </w:r>
          </w:p>
        </w:tc>
      </w:tr>
      <w:tr w:rsidR="00D25D1E" w:rsidRPr="00D7253E" w14:paraId="7AC06345"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tcPr>
          <w:p w14:paraId="2CDD0301" w14:textId="637AD277" w:rsidR="00D25D1E" w:rsidRPr="007E7BDA" w:rsidRDefault="00D25D1E" w:rsidP="00D25D1E">
            <w:pPr>
              <w:jc w:val="left"/>
              <w:rPr>
                <w:rFonts w:ascii="Mulish" w:hAnsi="Mulish"/>
                <w:sz w:val="18"/>
                <w:szCs w:val="18"/>
              </w:rPr>
            </w:pPr>
            <w:r w:rsidRPr="00D25D1E">
              <w:rPr>
                <w:rFonts w:ascii="Mulish" w:hAnsi="Mulish"/>
                <w:sz w:val="18"/>
                <w:szCs w:val="18"/>
              </w:rPr>
              <w:t>Información estadística sobre cumplimiento y calidad de los servicios</w:t>
            </w:r>
          </w:p>
        </w:tc>
        <w:tc>
          <w:tcPr>
            <w:tcW w:w="3260" w:type="dxa"/>
            <w:noWrap/>
          </w:tcPr>
          <w:p w14:paraId="35C8FDE1" w14:textId="78E437D9" w:rsidR="00D25D1E" w:rsidRPr="007E7BDA" w:rsidRDefault="00D25D1E" w:rsidP="00D25D1E">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D25D1E">
              <w:rPr>
                <w:rFonts w:ascii="Mulish" w:eastAsia="Times New Roman" w:hAnsi="Mulish" w:cs="Calibri"/>
                <w:color w:val="000000"/>
                <w:sz w:val="18"/>
                <w:szCs w:val="18"/>
              </w:rPr>
              <w:t>77,2</w:t>
            </w:r>
            <w:r>
              <w:rPr>
                <w:rFonts w:ascii="Mulish" w:eastAsia="Times New Roman" w:hAnsi="Mulish" w:cs="Calibri"/>
                <w:color w:val="000000"/>
                <w:sz w:val="18"/>
                <w:szCs w:val="18"/>
              </w:rPr>
              <w:t>%</w:t>
            </w:r>
          </w:p>
        </w:tc>
      </w:tr>
      <w:tr w:rsidR="00D4753B" w:rsidRPr="00D7253E" w14:paraId="7D22307C" w14:textId="77777777" w:rsidTr="00D25D1E">
        <w:trPr>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05CE98BA" w14:textId="702A3BC1" w:rsidR="00D4753B" w:rsidRPr="007E7BDA" w:rsidRDefault="00D4753B" w:rsidP="00D4753B">
            <w:pPr>
              <w:jc w:val="left"/>
              <w:rPr>
                <w:rFonts w:ascii="Mulish" w:hAnsi="Mulish"/>
                <w:sz w:val="18"/>
                <w:szCs w:val="18"/>
              </w:rPr>
            </w:pPr>
            <w:r w:rsidRPr="007E7BDA">
              <w:rPr>
                <w:rFonts w:ascii="Mulish" w:hAnsi="Mulish"/>
                <w:sz w:val="18"/>
                <w:szCs w:val="18"/>
              </w:rPr>
              <w:t>Contratos</w:t>
            </w:r>
          </w:p>
        </w:tc>
        <w:tc>
          <w:tcPr>
            <w:tcW w:w="3260" w:type="dxa"/>
            <w:noWrap/>
            <w:hideMark/>
          </w:tcPr>
          <w:p w14:paraId="61C5D250" w14:textId="663F867A" w:rsidR="00D4753B" w:rsidRPr="00D7253E" w:rsidRDefault="00D4753B" w:rsidP="00D4753B">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79,4</w:t>
            </w:r>
            <w:r w:rsidR="00D25D1E">
              <w:rPr>
                <w:rFonts w:ascii="Mulish" w:eastAsia="Times New Roman" w:hAnsi="Mulish" w:cs="Calibri"/>
                <w:color w:val="000000"/>
                <w:sz w:val="18"/>
                <w:szCs w:val="18"/>
              </w:rPr>
              <w:t>%</w:t>
            </w:r>
          </w:p>
        </w:tc>
      </w:tr>
      <w:tr w:rsidR="00D4753B" w:rsidRPr="00D7253E" w14:paraId="11F84208" w14:textId="77777777" w:rsidTr="00D25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69" w:type="dxa"/>
            <w:noWrap/>
            <w:hideMark/>
          </w:tcPr>
          <w:p w14:paraId="23AAF4B1" w14:textId="0D5DD698" w:rsidR="00D4753B" w:rsidRPr="007E7BDA" w:rsidRDefault="00D4753B" w:rsidP="00D4753B">
            <w:pPr>
              <w:jc w:val="left"/>
              <w:rPr>
                <w:rFonts w:ascii="Mulish" w:hAnsi="Mulish"/>
                <w:sz w:val="18"/>
                <w:szCs w:val="18"/>
              </w:rPr>
            </w:pPr>
            <w:r w:rsidRPr="007E7BDA">
              <w:rPr>
                <w:rFonts w:ascii="Mulish" w:hAnsi="Mulish"/>
                <w:sz w:val="18"/>
                <w:szCs w:val="18"/>
              </w:rPr>
              <w:t>Contratos menores</w:t>
            </w:r>
          </w:p>
        </w:tc>
        <w:tc>
          <w:tcPr>
            <w:tcW w:w="3260" w:type="dxa"/>
            <w:noWrap/>
            <w:hideMark/>
          </w:tcPr>
          <w:p w14:paraId="7079F6A6" w14:textId="2E16DFE5" w:rsidR="00D4753B" w:rsidRPr="00D7253E" w:rsidRDefault="00D4753B" w:rsidP="00D4753B">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7E7BDA">
              <w:rPr>
                <w:rFonts w:ascii="Mulish" w:eastAsia="Times New Roman" w:hAnsi="Mulish" w:cs="Calibri"/>
                <w:color w:val="000000"/>
                <w:sz w:val="18"/>
                <w:szCs w:val="18"/>
              </w:rPr>
              <w:t>81,6</w:t>
            </w:r>
            <w:r w:rsidR="00D25D1E">
              <w:rPr>
                <w:rFonts w:ascii="Mulish" w:eastAsia="Times New Roman" w:hAnsi="Mulish" w:cs="Calibri"/>
                <w:color w:val="000000"/>
                <w:sz w:val="18"/>
                <w:szCs w:val="18"/>
              </w:rPr>
              <w:t>%</w:t>
            </w:r>
          </w:p>
        </w:tc>
      </w:tr>
    </w:tbl>
    <w:p w14:paraId="2C8B8F52" w14:textId="56A3E254" w:rsidR="00D1755C" w:rsidRDefault="00D1755C" w:rsidP="006E749A">
      <w:pPr>
        <w:rPr>
          <w:rFonts w:ascii="Mulish" w:hAnsi="Mulish"/>
        </w:rPr>
      </w:pPr>
    </w:p>
    <w:p w14:paraId="0106167B" w14:textId="77777777" w:rsidR="00CB65E7" w:rsidRPr="00941553" w:rsidRDefault="00CB65E7" w:rsidP="006E749A">
      <w:pPr>
        <w:rPr>
          <w:rFonts w:ascii="Mulish" w:hAnsi="Mulish"/>
        </w:rPr>
      </w:pPr>
      <w:r w:rsidRPr="00941553">
        <w:rPr>
          <w:rFonts w:ascii="Mulish" w:hAnsi="Mulish"/>
        </w:rPr>
        <w:t xml:space="preserve">En cuanto al cumplimiento de los requisitos de calidad de la información, además de las dificultades para conocer si la información está actualizada, en este caso el problema </w:t>
      </w:r>
      <w:r w:rsidR="00A25618" w:rsidRPr="00941553">
        <w:rPr>
          <w:rFonts w:ascii="Mulish" w:hAnsi="Mulish"/>
        </w:rPr>
        <w:t>es la accesibilidad a la información, por</w:t>
      </w:r>
      <w:r w:rsidRPr="00941553">
        <w:rPr>
          <w:rFonts w:ascii="Mulish" w:hAnsi="Mulish"/>
        </w:rPr>
        <w:t xml:space="preserve"> el uso de fuentes de datos centralizadas para publicarla. </w:t>
      </w:r>
      <w:r w:rsidR="00033C6B" w:rsidRPr="00941553">
        <w:rPr>
          <w:rFonts w:ascii="Mulish" w:hAnsi="Mulish"/>
        </w:rPr>
        <w:t>E</w:t>
      </w:r>
      <w:r w:rsidRPr="00941553">
        <w:rPr>
          <w:rFonts w:ascii="Mulish" w:hAnsi="Mulish"/>
        </w:rPr>
        <w:t xml:space="preserve">n muchos casos se deriva a la Plataforma de Contratación del Sector Público o a la Base de Datos Nacional de Subvenciones. </w:t>
      </w:r>
      <w:r w:rsidR="00D631CC" w:rsidRPr="00941553">
        <w:rPr>
          <w:rFonts w:ascii="Mulish" w:hAnsi="Mulish"/>
        </w:rPr>
        <w:t xml:space="preserve">Por otra parte, en ocasiones se redirige al Portal de Transparencia de la Administración General del Estado, lo que obliga a efectuar una nueva búsqueda para localizar la información. </w:t>
      </w:r>
      <w:r w:rsidRPr="00941553">
        <w:rPr>
          <w:rFonts w:ascii="Mulish" w:hAnsi="Mulish"/>
        </w:rPr>
        <w:t xml:space="preserve">    </w:t>
      </w:r>
    </w:p>
    <w:p w14:paraId="6199306B" w14:textId="5B4214FB" w:rsidR="00D001DB" w:rsidRPr="00941553" w:rsidRDefault="00D001DB" w:rsidP="00D001DB">
      <w:pPr>
        <w:rPr>
          <w:rFonts w:ascii="Mulish" w:hAnsi="Mulish"/>
        </w:rPr>
      </w:pPr>
      <w:r w:rsidRPr="00941553">
        <w:rPr>
          <w:rFonts w:ascii="Mulish" w:hAnsi="Mulish"/>
        </w:rPr>
        <w:t xml:space="preserve">El índice medio de cumplimiento de este bloque de obligaciones es del </w:t>
      </w:r>
      <w:r w:rsidR="006F7A35">
        <w:rPr>
          <w:rFonts w:ascii="Mulish" w:hAnsi="Mulish"/>
        </w:rPr>
        <w:t>32</w:t>
      </w:r>
      <w:r w:rsidR="00283DCC" w:rsidRPr="00941553">
        <w:rPr>
          <w:rFonts w:ascii="Mulish" w:hAnsi="Mulish"/>
        </w:rPr>
        <w:t>,8</w:t>
      </w:r>
      <w:r w:rsidRPr="00941553">
        <w:rPr>
          <w:rFonts w:ascii="Mulish" w:hAnsi="Mulish"/>
        </w:rPr>
        <w:t xml:space="preserve">%, con un rango que oscila entre el 0 y el </w:t>
      </w:r>
      <w:r w:rsidR="00C227BE" w:rsidRPr="00941553">
        <w:rPr>
          <w:rFonts w:ascii="Mulish" w:hAnsi="Mulish"/>
        </w:rPr>
        <w:t>100</w:t>
      </w:r>
      <w:r w:rsidRPr="00941553">
        <w:rPr>
          <w:rFonts w:ascii="Mulish" w:hAnsi="Mulish"/>
        </w:rPr>
        <w:t>%.</w:t>
      </w:r>
    </w:p>
    <w:p w14:paraId="4CE35A81" w14:textId="77777777" w:rsidR="00D631CC" w:rsidRPr="00941553" w:rsidRDefault="00D631CC" w:rsidP="00D631CC">
      <w:pPr>
        <w:pStyle w:val="Descripcin"/>
        <w:keepNext/>
        <w:rPr>
          <w:rFonts w:ascii="Mulish" w:hAnsi="Mulish"/>
          <w:color w:val="438086" w:themeColor="accent2"/>
          <w:sz w:val="22"/>
          <w:szCs w:val="22"/>
        </w:rPr>
      </w:pPr>
      <w:r w:rsidRPr="00941553">
        <w:rPr>
          <w:rFonts w:ascii="Mulish" w:hAnsi="Mulish"/>
          <w:color w:val="438086" w:themeColor="accent2"/>
          <w:sz w:val="22"/>
          <w:szCs w:val="22"/>
        </w:rPr>
        <w:lastRenderedPageBreak/>
        <w:t xml:space="preserve">Gráfico </w:t>
      </w:r>
      <w:r w:rsidR="005915F6" w:rsidRPr="00941553">
        <w:rPr>
          <w:rFonts w:ascii="Mulish" w:hAnsi="Mulish"/>
          <w:color w:val="438086" w:themeColor="accent2"/>
          <w:sz w:val="22"/>
          <w:szCs w:val="22"/>
        </w:rPr>
        <w:fldChar w:fldCharType="begin"/>
      </w:r>
      <w:r w:rsidR="005915F6" w:rsidRPr="00941553">
        <w:rPr>
          <w:rFonts w:ascii="Mulish" w:hAnsi="Mulish"/>
          <w:color w:val="438086" w:themeColor="accent2"/>
          <w:sz w:val="22"/>
          <w:szCs w:val="22"/>
        </w:rPr>
        <w:instrText xml:space="preserve"> SEQ Gráfico \* ARABIC </w:instrText>
      </w:r>
      <w:r w:rsidR="005915F6"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7</w:t>
      </w:r>
      <w:r w:rsidR="005915F6" w:rsidRPr="00941553">
        <w:rPr>
          <w:rFonts w:ascii="Mulish" w:hAnsi="Mulish"/>
          <w:color w:val="438086" w:themeColor="accent2"/>
          <w:sz w:val="22"/>
          <w:szCs w:val="22"/>
        </w:rPr>
        <w:fldChar w:fldCharType="end"/>
      </w:r>
      <w:r w:rsidRPr="00941553">
        <w:rPr>
          <w:rFonts w:ascii="Mulish" w:hAnsi="Mulish"/>
          <w:color w:val="438086" w:themeColor="accent2"/>
          <w:sz w:val="22"/>
          <w:szCs w:val="22"/>
        </w:rPr>
        <w:t>: Evaluación de la publicación (contenido) y de los atributos de calidad de información Económica, Presupuestaria y Estadística.</w:t>
      </w:r>
      <w:r w:rsidR="00550FCC" w:rsidRPr="00941553">
        <w:rPr>
          <w:rFonts w:ascii="Mulish" w:hAnsi="Mulish"/>
          <w:sz w:val="22"/>
          <w:szCs w:val="22"/>
        </w:rPr>
        <w:t xml:space="preserve"> </w:t>
      </w:r>
    </w:p>
    <w:p w14:paraId="4913DFCE" w14:textId="29AAE253" w:rsidR="00CB65E7" w:rsidRPr="00941553" w:rsidRDefault="00272767" w:rsidP="00841A00">
      <w:pPr>
        <w:rPr>
          <w:rFonts w:ascii="Mulish" w:hAnsi="Mulish"/>
        </w:rPr>
      </w:pPr>
      <w:r>
        <w:rPr>
          <w:noProof/>
        </w:rPr>
        <w:drawing>
          <wp:inline distT="0" distB="0" distL="0" distR="0" wp14:anchorId="1BB96618" wp14:editId="3F7F9477">
            <wp:extent cx="5772150" cy="2647950"/>
            <wp:effectExtent l="0" t="0" r="0" b="0"/>
            <wp:docPr id="1" name="Gráfico 1">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7DAC9E" w14:textId="77777777" w:rsidR="00D631CC" w:rsidRPr="00941553" w:rsidRDefault="00D631CC" w:rsidP="00D631CC">
      <w:pPr>
        <w:pStyle w:val="Ttulo4"/>
        <w:rPr>
          <w:rFonts w:ascii="Mulish" w:hAnsi="Mulish"/>
        </w:rPr>
      </w:pPr>
    </w:p>
    <w:p w14:paraId="6253E783" w14:textId="0A69B71A" w:rsidR="00D001DB" w:rsidRPr="00941553" w:rsidRDefault="00D001DB" w:rsidP="00D001DB">
      <w:pPr>
        <w:rPr>
          <w:rFonts w:ascii="Mulish" w:hAnsi="Mulish"/>
        </w:rPr>
      </w:pPr>
      <w:r w:rsidRPr="00941553">
        <w:rPr>
          <w:rFonts w:ascii="Mulish" w:hAnsi="Mulish"/>
        </w:rPr>
        <w:t xml:space="preserve">Las </w:t>
      </w:r>
      <w:r w:rsidR="004D2B7C">
        <w:rPr>
          <w:rFonts w:ascii="Mulish" w:hAnsi="Mulish"/>
        </w:rPr>
        <w:t>MATEPSS</w:t>
      </w:r>
      <w:r w:rsidRPr="00941553">
        <w:rPr>
          <w:rFonts w:ascii="Mulish" w:hAnsi="Mulish"/>
        </w:rPr>
        <w:t xml:space="preserve"> son las organizaciones que presentan un mejor desempeño en el cumplimiento global de este bloque de obligaciones</w:t>
      </w:r>
      <w:r w:rsidR="006E749A" w:rsidRPr="00941553">
        <w:rPr>
          <w:rFonts w:ascii="Mulish" w:hAnsi="Mulish"/>
        </w:rPr>
        <w:t xml:space="preserve">, </w:t>
      </w:r>
      <w:r w:rsidR="003C79BF">
        <w:rPr>
          <w:rFonts w:ascii="Mulish" w:hAnsi="Mulish"/>
        </w:rPr>
        <w:t>aunque</w:t>
      </w:r>
      <w:r w:rsidR="006E749A" w:rsidRPr="00941553">
        <w:rPr>
          <w:rFonts w:ascii="Mulish" w:hAnsi="Mulish"/>
        </w:rPr>
        <w:t xml:space="preserve"> esta diferencia </w:t>
      </w:r>
      <w:r w:rsidR="003C79BF">
        <w:rPr>
          <w:rFonts w:ascii="Mulish" w:hAnsi="Mulish"/>
        </w:rPr>
        <w:t xml:space="preserve">no es </w:t>
      </w:r>
      <w:r w:rsidR="006E749A" w:rsidRPr="00941553">
        <w:rPr>
          <w:rFonts w:ascii="Mulish" w:hAnsi="Mulish"/>
        </w:rPr>
        <w:t>estadísticamente significativa</w:t>
      </w:r>
      <w:r w:rsidRPr="00941553">
        <w:rPr>
          <w:rFonts w:ascii="Mulish" w:hAnsi="Mulish"/>
        </w:rPr>
        <w:t xml:space="preserve">. En la posición contraria se sitúan las </w:t>
      </w:r>
      <w:r w:rsidR="00EF50AC" w:rsidRPr="00941553">
        <w:rPr>
          <w:rFonts w:ascii="Mulish" w:hAnsi="Mulish"/>
        </w:rPr>
        <w:t>Agencias Estatales, Organismos Autónomos y Entidades Públicas Empresariales.</w:t>
      </w:r>
      <w:r w:rsidRPr="00941553">
        <w:rPr>
          <w:rFonts w:ascii="Mulish" w:hAnsi="Mulish"/>
        </w:rPr>
        <w:t xml:space="preserve"> </w:t>
      </w:r>
    </w:p>
    <w:p w14:paraId="47E57CAF" w14:textId="77777777" w:rsidR="00D001DB" w:rsidRPr="00941553" w:rsidRDefault="00D001DB" w:rsidP="00D001DB">
      <w:pPr>
        <w:pStyle w:val="Descripcin"/>
        <w:keepNext/>
        <w:rPr>
          <w:rFonts w:ascii="Mulish" w:hAnsi="Mulish"/>
          <w:color w:val="438086" w:themeColor="accent2"/>
          <w:sz w:val="22"/>
          <w:szCs w:val="22"/>
        </w:rPr>
      </w:pPr>
      <w:r w:rsidRPr="00941553">
        <w:rPr>
          <w:rFonts w:ascii="Mulish" w:hAnsi="Mulish"/>
          <w:color w:val="438086" w:themeColor="accent2"/>
          <w:sz w:val="22"/>
          <w:szCs w:val="22"/>
        </w:rPr>
        <w:t xml:space="preserve">Gráfico </w:t>
      </w:r>
      <w:r w:rsidRPr="00941553">
        <w:rPr>
          <w:rFonts w:ascii="Mulish" w:hAnsi="Mulish"/>
          <w:color w:val="438086" w:themeColor="accent2"/>
          <w:sz w:val="22"/>
          <w:szCs w:val="22"/>
        </w:rPr>
        <w:fldChar w:fldCharType="begin"/>
      </w:r>
      <w:r w:rsidRPr="00941553">
        <w:rPr>
          <w:rFonts w:ascii="Mulish" w:hAnsi="Mulish"/>
          <w:color w:val="438086" w:themeColor="accent2"/>
          <w:sz w:val="22"/>
          <w:szCs w:val="22"/>
        </w:rPr>
        <w:instrText xml:space="preserve"> SEQ Gráfico \* ARABIC </w:instrText>
      </w:r>
      <w:r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8</w:t>
      </w:r>
      <w:r w:rsidRPr="00941553">
        <w:rPr>
          <w:rFonts w:ascii="Mulish" w:hAnsi="Mulish"/>
          <w:color w:val="438086" w:themeColor="accent2"/>
          <w:sz w:val="22"/>
          <w:szCs w:val="22"/>
        </w:rPr>
        <w:fldChar w:fldCharType="end"/>
      </w:r>
      <w:r w:rsidRPr="00941553">
        <w:rPr>
          <w:rFonts w:ascii="Mulish" w:hAnsi="Mulish"/>
          <w:color w:val="438086" w:themeColor="accent2"/>
          <w:sz w:val="22"/>
          <w:szCs w:val="22"/>
        </w:rPr>
        <w:t>: Cumplimiento global en el bloque de informaciones Económica, Presupuestaria y Estadística según tipología de organismo evaluado.</w:t>
      </w:r>
    </w:p>
    <w:p w14:paraId="49ED1539" w14:textId="3E937F07" w:rsidR="00D001DB" w:rsidRPr="00941553" w:rsidRDefault="003C79BF" w:rsidP="00AF02EB">
      <w:pPr>
        <w:pStyle w:val="Ttulo3"/>
        <w:rPr>
          <w:rFonts w:ascii="Mulish" w:hAnsi="Mulish"/>
        </w:rPr>
      </w:pPr>
      <w:bookmarkStart w:id="12" w:name="_Toc169082177"/>
      <w:r>
        <w:rPr>
          <w:noProof/>
        </w:rPr>
        <w:drawing>
          <wp:inline distT="0" distB="0" distL="0" distR="0" wp14:anchorId="3B7D1320" wp14:editId="126649D9">
            <wp:extent cx="5838825" cy="2867025"/>
            <wp:effectExtent l="0" t="0" r="9525" b="9525"/>
            <wp:docPr id="3" name="Gráfico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2"/>
    </w:p>
    <w:p w14:paraId="275408C5" w14:textId="77777777" w:rsidR="00D001DB" w:rsidRPr="00941553" w:rsidRDefault="00D001DB" w:rsidP="00AF02EB">
      <w:pPr>
        <w:pStyle w:val="Ttulo3"/>
        <w:rPr>
          <w:rFonts w:ascii="Mulish" w:hAnsi="Mulish"/>
        </w:rPr>
      </w:pPr>
    </w:p>
    <w:p w14:paraId="48884E00" w14:textId="3B743F53" w:rsidR="00065A52" w:rsidRDefault="006E749A" w:rsidP="002752D5">
      <w:pPr>
        <w:rPr>
          <w:rFonts w:ascii="Mulish" w:hAnsi="Mulish"/>
        </w:rPr>
      </w:pPr>
      <w:r w:rsidRPr="00941553">
        <w:rPr>
          <w:rFonts w:ascii="Mulish" w:hAnsi="Mulish"/>
        </w:rPr>
        <w:t>Respecto de 202</w:t>
      </w:r>
      <w:r w:rsidR="00412D99">
        <w:rPr>
          <w:rFonts w:ascii="Mulish" w:hAnsi="Mulish"/>
        </w:rPr>
        <w:t>3</w:t>
      </w:r>
      <w:r w:rsidR="00570F7A" w:rsidRPr="00941553">
        <w:rPr>
          <w:rFonts w:ascii="Mulish" w:hAnsi="Mulish"/>
        </w:rPr>
        <w:t>,</w:t>
      </w:r>
      <w:r w:rsidRPr="00941553">
        <w:rPr>
          <w:rFonts w:ascii="Mulish" w:hAnsi="Mulish"/>
        </w:rPr>
        <w:t xml:space="preserve"> el Índice de Cumplimiento en este bloque de obligaciones, ha </w:t>
      </w:r>
      <w:r w:rsidR="00412D99">
        <w:rPr>
          <w:rFonts w:ascii="Mulish" w:hAnsi="Mulish"/>
        </w:rPr>
        <w:t>aumentado</w:t>
      </w:r>
      <w:r w:rsidRPr="00941553">
        <w:rPr>
          <w:rFonts w:ascii="Mulish" w:hAnsi="Mulish"/>
        </w:rPr>
        <w:t xml:space="preserve"> e</w:t>
      </w:r>
      <w:r w:rsidR="00412D99">
        <w:rPr>
          <w:rFonts w:ascii="Mulish" w:hAnsi="Mulish"/>
        </w:rPr>
        <w:t>l</w:t>
      </w:r>
      <w:r w:rsidRPr="00941553">
        <w:rPr>
          <w:rFonts w:ascii="Mulish" w:hAnsi="Mulish"/>
        </w:rPr>
        <w:t xml:space="preserve"> </w:t>
      </w:r>
      <w:r w:rsidR="00412D99">
        <w:rPr>
          <w:rFonts w:ascii="Mulish" w:hAnsi="Mulish"/>
        </w:rPr>
        <w:t>3,2%</w:t>
      </w:r>
      <w:r w:rsidR="00A25618" w:rsidRPr="00941553">
        <w:rPr>
          <w:rFonts w:ascii="Mulish" w:hAnsi="Mulish"/>
        </w:rPr>
        <w:t xml:space="preserve">. Las </w:t>
      </w:r>
      <w:r w:rsidR="00412D99">
        <w:rPr>
          <w:rFonts w:ascii="Mulish" w:hAnsi="Mulish"/>
        </w:rPr>
        <w:t xml:space="preserve">entidades de derecho público </w:t>
      </w:r>
      <w:r w:rsidR="00BA7223" w:rsidRPr="00941553">
        <w:rPr>
          <w:rFonts w:ascii="Mulish" w:hAnsi="Mulish"/>
        </w:rPr>
        <w:t>seguidas de</w:t>
      </w:r>
      <w:r w:rsidR="00A25618" w:rsidRPr="00941553">
        <w:rPr>
          <w:rFonts w:ascii="Mulish" w:hAnsi="Mulish"/>
        </w:rPr>
        <w:t xml:space="preserve"> </w:t>
      </w:r>
      <w:r w:rsidR="00412D99">
        <w:rPr>
          <w:rFonts w:ascii="Mulish" w:hAnsi="Mulish"/>
        </w:rPr>
        <w:t>las agencias estatales, organismos autónomos y entidades públicas empresariales</w:t>
      </w:r>
      <w:r w:rsidRPr="00941553">
        <w:rPr>
          <w:rFonts w:ascii="Mulish" w:hAnsi="Mulish"/>
        </w:rPr>
        <w:t xml:space="preserve">, presentan la mejor evolución: </w:t>
      </w:r>
      <w:r w:rsidRPr="00941553">
        <w:rPr>
          <w:rFonts w:ascii="Mulish" w:hAnsi="Mulish"/>
        </w:rPr>
        <w:lastRenderedPageBreak/>
        <w:t xml:space="preserve">+ </w:t>
      </w:r>
      <w:r w:rsidR="00065A52">
        <w:rPr>
          <w:rFonts w:ascii="Mulish" w:hAnsi="Mulish"/>
        </w:rPr>
        <w:t>9,3%</w:t>
      </w:r>
      <w:r w:rsidRPr="00941553">
        <w:rPr>
          <w:rFonts w:ascii="Mulish" w:hAnsi="Mulish"/>
        </w:rPr>
        <w:t xml:space="preserve"> y +</w:t>
      </w:r>
      <w:r w:rsidR="003E5190" w:rsidRPr="00941553">
        <w:rPr>
          <w:rFonts w:ascii="Mulish" w:hAnsi="Mulish"/>
        </w:rPr>
        <w:t xml:space="preserve"> </w:t>
      </w:r>
      <w:r w:rsidR="00065A52">
        <w:rPr>
          <w:rFonts w:ascii="Mulish" w:hAnsi="Mulish"/>
        </w:rPr>
        <w:t>7</w:t>
      </w:r>
      <w:r w:rsidR="00EF50AC" w:rsidRPr="00941553">
        <w:rPr>
          <w:rFonts w:ascii="Mulish" w:hAnsi="Mulish"/>
        </w:rPr>
        <w:t>,1</w:t>
      </w:r>
      <w:r w:rsidRPr="00941553">
        <w:rPr>
          <w:rFonts w:ascii="Mulish" w:hAnsi="Mulish"/>
        </w:rPr>
        <w:t xml:space="preserve"> </w:t>
      </w:r>
      <w:r w:rsidR="00065A52">
        <w:rPr>
          <w:rFonts w:ascii="Mulish" w:hAnsi="Mulish"/>
        </w:rPr>
        <w:t>%</w:t>
      </w:r>
      <w:r w:rsidRPr="00941553">
        <w:rPr>
          <w:rFonts w:ascii="Mulish" w:hAnsi="Mulish"/>
        </w:rPr>
        <w:t xml:space="preserve">, respectivamente. </w:t>
      </w:r>
      <w:r w:rsidR="00065A52">
        <w:rPr>
          <w:rFonts w:ascii="Mulish" w:hAnsi="Mulish"/>
        </w:rPr>
        <w:t xml:space="preserve">Las MATEPSS, por el contrario, </w:t>
      </w:r>
      <w:r w:rsidR="00D05FA5">
        <w:rPr>
          <w:rFonts w:ascii="Mulish" w:hAnsi="Mulish"/>
        </w:rPr>
        <w:t>evolucionan negativamente</w:t>
      </w:r>
      <w:r w:rsidR="003D5617">
        <w:rPr>
          <w:rFonts w:ascii="Mulish" w:hAnsi="Mulish"/>
        </w:rPr>
        <w:t>: -</w:t>
      </w:r>
      <w:r w:rsidR="00065A52">
        <w:rPr>
          <w:rFonts w:ascii="Mulish" w:hAnsi="Mulish"/>
        </w:rPr>
        <w:t xml:space="preserve"> 25,3% </w:t>
      </w:r>
    </w:p>
    <w:p w14:paraId="5DE137F8" w14:textId="35766D18" w:rsidR="002752D5" w:rsidRPr="00941553" w:rsidRDefault="003D5617" w:rsidP="002752D5">
      <w:pPr>
        <w:rPr>
          <w:rFonts w:ascii="Mulish" w:hAnsi="Mulish"/>
        </w:rPr>
      </w:pPr>
      <w:r>
        <w:rPr>
          <w:rFonts w:ascii="Mulish" w:hAnsi="Mulish"/>
        </w:rPr>
        <w:t xml:space="preserve">Finalmente, </w:t>
      </w:r>
      <w:r w:rsidRPr="00941553">
        <w:rPr>
          <w:rFonts w:ascii="Mulish" w:hAnsi="Mulish"/>
        </w:rPr>
        <w:t>el</w:t>
      </w:r>
      <w:r w:rsidR="00EF50AC" w:rsidRPr="00941553">
        <w:rPr>
          <w:rFonts w:ascii="Mulish" w:hAnsi="Mulish"/>
        </w:rPr>
        <w:t xml:space="preserve"> Índice de Cumplimiento de las entidades evaluad</w:t>
      </w:r>
      <w:r w:rsidR="00EC677C" w:rsidRPr="00941553">
        <w:rPr>
          <w:rFonts w:ascii="Mulish" w:hAnsi="Mulish"/>
        </w:rPr>
        <w:t xml:space="preserve">as </w:t>
      </w:r>
      <w:r w:rsidR="003E5190" w:rsidRPr="00941553">
        <w:rPr>
          <w:rFonts w:ascii="Mulish" w:hAnsi="Mulish"/>
        </w:rPr>
        <w:t xml:space="preserve">por primera vez </w:t>
      </w:r>
      <w:r w:rsidR="00EC677C" w:rsidRPr="00941553">
        <w:rPr>
          <w:rFonts w:ascii="Mulish" w:hAnsi="Mulish"/>
        </w:rPr>
        <w:t>en 202</w:t>
      </w:r>
      <w:r>
        <w:rPr>
          <w:rFonts w:ascii="Mulish" w:hAnsi="Mulish"/>
        </w:rPr>
        <w:t>3</w:t>
      </w:r>
      <w:r w:rsidR="00EC677C" w:rsidRPr="00941553">
        <w:rPr>
          <w:rFonts w:ascii="Mulish" w:hAnsi="Mulish"/>
        </w:rPr>
        <w:t xml:space="preserve"> se sitúa en el</w:t>
      </w:r>
      <w:r w:rsidR="00EF50AC" w:rsidRPr="00941553">
        <w:rPr>
          <w:rFonts w:ascii="Mulish" w:hAnsi="Mulish"/>
        </w:rPr>
        <w:t xml:space="preserve"> </w:t>
      </w:r>
      <w:r>
        <w:rPr>
          <w:rFonts w:ascii="Mulish" w:hAnsi="Mulish"/>
        </w:rPr>
        <w:t>49,9</w:t>
      </w:r>
      <w:r w:rsidR="00EF50AC" w:rsidRPr="00941553">
        <w:rPr>
          <w:rFonts w:ascii="Mulish" w:hAnsi="Mulish"/>
        </w:rPr>
        <w:t xml:space="preserve">% frente al </w:t>
      </w:r>
      <w:r>
        <w:rPr>
          <w:rFonts w:ascii="Mulish" w:hAnsi="Mulish"/>
        </w:rPr>
        <w:t>28,1</w:t>
      </w:r>
      <w:r w:rsidR="00EF50AC" w:rsidRPr="00941553">
        <w:rPr>
          <w:rFonts w:ascii="Mulish" w:hAnsi="Mulish"/>
        </w:rPr>
        <w:t>% de las e</w:t>
      </w:r>
      <w:r w:rsidR="00EC677C" w:rsidRPr="00941553">
        <w:rPr>
          <w:rFonts w:ascii="Mulish" w:hAnsi="Mulish"/>
        </w:rPr>
        <w:t>valuadas por primera vez en 202</w:t>
      </w:r>
      <w:r w:rsidR="0075739E">
        <w:rPr>
          <w:rFonts w:ascii="Mulish" w:hAnsi="Mulish"/>
        </w:rPr>
        <w:t>4</w:t>
      </w:r>
      <w:r w:rsidR="0075739E">
        <w:rPr>
          <w:rStyle w:val="Refdenotaalpie"/>
          <w:rFonts w:ascii="Mulish" w:hAnsi="Mulish"/>
        </w:rPr>
        <w:footnoteReference w:id="7"/>
      </w:r>
      <w:r w:rsidR="00EC677C" w:rsidRPr="00941553">
        <w:rPr>
          <w:rFonts w:ascii="Mulish" w:hAnsi="Mulish"/>
        </w:rPr>
        <w:t>.</w:t>
      </w:r>
      <w:r w:rsidR="002752D5" w:rsidRPr="00941553">
        <w:rPr>
          <w:rFonts w:ascii="Mulish" w:hAnsi="Mulish"/>
        </w:rPr>
        <w:t xml:space="preserve"> Las entidades evaluadas por primera vez en 202</w:t>
      </w:r>
      <w:r w:rsidR="00FD0975">
        <w:rPr>
          <w:rFonts w:ascii="Mulish" w:hAnsi="Mulish"/>
        </w:rPr>
        <w:t>3</w:t>
      </w:r>
      <w:r w:rsidR="002752D5" w:rsidRPr="00941553">
        <w:rPr>
          <w:rFonts w:ascii="Mulish" w:hAnsi="Mulish"/>
        </w:rPr>
        <w:t xml:space="preserve"> han incrementado su Índice de Cumplimiento el </w:t>
      </w:r>
      <w:r w:rsidR="0075739E">
        <w:rPr>
          <w:rFonts w:ascii="Mulish" w:hAnsi="Mulish"/>
        </w:rPr>
        <w:t>6,2</w:t>
      </w:r>
      <w:r w:rsidR="002752D5" w:rsidRPr="00941553">
        <w:rPr>
          <w:rFonts w:ascii="Mulish" w:hAnsi="Mulish"/>
        </w:rPr>
        <w:t>%.</w:t>
      </w:r>
    </w:p>
    <w:p w14:paraId="242D0D19" w14:textId="77777777" w:rsidR="00095E18" w:rsidRPr="00941553" w:rsidRDefault="00095E18" w:rsidP="00AF02EB">
      <w:pPr>
        <w:pStyle w:val="Ttulo3"/>
        <w:rPr>
          <w:rFonts w:ascii="Mulish" w:hAnsi="Mulish"/>
        </w:rPr>
      </w:pPr>
    </w:p>
    <w:p w14:paraId="6F5C300D" w14:textId="77777777" w:rsidR="00D631CC" w:rsidRPr="00941553" w:rsidRDefault="00F23BD7" w:rsidP="00AF02EB">
      <w:pPr>
        <w:pStyle w:val="Ttulo3"/>
        <w:rPr>
          <w:rFonts w:ascii="Mulish" w:hAnsi="Mulish"/>
        </w:rPr>
      </w:pPr>
      <w:bookmarkStart w:id="13" w:name="_Toc169082178"/>
      <w:r w:rsidRPr="00941553">
        <w:rPr>
          <w:rFonts w:ascii="Mulish" w:hAnsi="Mulish"/>
        </w:rPr>
        <w:t>III.</w:t>
      </w:r>
      <w:r w:rsidR="00D24B74" w:rsidRPr="00941553">
        <w:rPr>
          <w:rFonts w:ascii="Mulish" w:hAnsi="Mulish"/>
        </w:rPr>
        <w:t>3</w:t>
      </w:r>
      <w:r w:rsidRPr="00941553">
        <w:rPr>
          <w:rFonts w:ascii="Mulish" w:hAnsi="Mulish"/>
        </w:rPr>
        <w:t xml:space="preserve">.4.  </w:t>
      </w:r>
      <w:r w:rsidR="00D631CC" w:rsidRPr="00941553">
        <w:rPr>
          <w:rFonts w:ascii="Mulish" w:hAnsi="Mulish"/>
        </w:rPr>
        <w:t>Información Patrimonial</w:t>
      </w:r>
      <w:bookmarkEnd w:id="13"/>
    </w:p>
    <w:p w14:paraId="3EAC56DD" w14:textId="77777777" w:rsidR="00D631CC" w:rsidRPr="00941553" w:rsidRDefault="00D631CC" w:rsidP="00513EC7">
      <w:pPr>
        <w:rPr>
          <w:rFonts w:ascii="Mulish" w:hAnsi="Mulish"/>
        </w:rPr>
      </w:pPr>
    </w:p>
    <w:p w14:paraId="748D24BD" w14:textId="18602DF5" w:rsidR="00D631CC" w:rsidRPr="00941553" w:rsidRDefault="008234D9" w:rsidP="00513EC7">
      <w:pPr>
        <w:rPr>
          <w:rFonts w:ascii="Mulish" w:hAnsi="Mulish"/>
        </w:rPr>
      </w:pPr>
      <w:r w:rsidRPr="00941553">
        <w:rPr>
          <w:rFonts w:ascii="Mulish" w:hAnsi="Mulish"/>
        </w:rPr>
        <w:t xml:space="preserve">El </w:t>
      </w:r>
      <w:r w:rsidR="009D61D8">
        <w:rPr>
          <w:rFonts w:ascii="Mulish" w:hAnsi="Mulish"/>
        </w:rPr>
        <w:t>42,9</w:t>
      </w:r>
      <w:r w:rsidRPr="00941553">
        <w:rPr>
          <w:rFonts w:ascii="Mulish" w:hAnsi="Mulish"/>
        </w:rPr>
        <w:t xml:space="preserve">% de las organizaciones a las que es aplicable esta </w:t>
      </w:r>
      <w:r w:rsidR="00702E60" w:rsidRPr="00941553">
        <w:rPr>
          <w:rFonts w:ascii="Mulish" w:hAnsi="Mulish"/>
        </w:rPr>
        <w:t>obligación</w:t>
      </w:r>
      <w:r w:rsidRPr="00941553">
        <w:rPr>
          <w:rStyle w:val="Refdenotaalpie"/>
          <w:rFonts w:ascii="Mulish" w:hAnsi="Mulish"/>
        </w:rPr>
        <w:footnoteReference w:id="8"/>
      </w:r>
      <w:r w:rsidR="00702E60" w:rsidRPr="00941553">
        <w:rPr>
          <w:rFonts w:ascii="Mulish" w:hAnsi="Mulish"/>
        </w:rPr>
        <w:t xml:space="preserve">, </w:t>
      </w:r>
      <w:r w:rsidR="00D631CC" w:rsidRPr="00941553">
        <w:rPr>
          <w:rFonts w:ascii="Mulish" w:hAnsi="Mulish"/>
        </w:rPr>
        <w:t xml:space="preserve">publica información sobre sus bienes patrimoniales. </w:t>
      </w:r>
      <w:r w:rsidR="00BA54C2" w:rsidRPr="00941553">
        <w:rPr>
          <w:rFonts w:ascii="Mulish" w:hAnsi="Mulish"/>
        </w:rPr>
        <w:t>De nuevo,</w:t>
      </w:r>
      <w:r w:rsidR="00D631CC" w:rsidRPr="00941553">
        <w:rPr>
          <w:rFonts w:ascii="Mulish" w:hAnsi="Mulish"/>
        </w:rPr>
        <w:t xml:space="preserve"> la falta de referencias </w:t>
      </w:r>
      <w:r w:rsidR="00FD0975" w:rsidRPr="00941553">
        <w:rPr>
          <w:rFonts w:ascii="Mulish" w:hAnsi="Mulish"/>
        </w:rPr>
        <w:t>a la</w:t>
      </w:r>
      <w:r w:rsidR="00D631CC" w:rsidRPr="00941553">
        <w:rPr>
          <w:rFonts w:ascii="Mulish" w:hAnsi="Mulish"/>
        </w:rPr>
        <w:t xml:space="preserve"> última fecha en que se revisó o actualizó la información es el principal déficit que presenta este bloque de obligaciones. El índice de cumplimiento global se sitúa </w:t>
      </w:r>
      <w:r w:rsidR="005915F6" w:rsidRPr="00941553">
        <w:rPr>
          <w:rFonts w:ascii="Mulish" w:hAnsi="Mulish"/>
        </w:rPr>
        <w:t xml:space="preserve">en </w:t>
      </w:r>
      <w:r w:rsidR="009D61D8" w:rsidRPr="00941553">
        <w:rPr>
          <w:rFonts w:ascii="Mulish" w:hAnsi="Mulish"/>
        </w:rPr>
        <w:t>el 40</w:t>
      </w:r>
      <w:r w:rsidR="009D61D8">
        <w:rPr>
          <w:rFonts w:ascii="Mulish" w:hAnsi="Mulish"/>
        </w:rPr>
        <w:t>,2</w:t>
      </w:r>
      <w:r w:rsidR="005915F6" w:rsidRPr="00941553">
        <w:rPr>
          <w:rFonts w:ascii="Mulish" w:hAnsi="Mulish"/>
        </w:rPr>
        <w:t xml:space="preserve">%, con una variabilidad </w:t>
      </w:r>
      <w:r w:rsidR="003F10D6" w:rsidRPr="00941553">
        <w:rPr>
          <w:rFonts w:ascii="Mulish" w:hAnsi="Mulish"/>
        </w:rPr>
        <w:t>de</w:t>
      </w:r>
      <w:r w:rsidR="005915F6" w:rsidRPr="00941553">
        <w:rPr>
          <w:rFonts w:ascii="Mulish" w:hAnsi="Mulish"/>
        </w:rPr>
        <w:t xml:space="preserve"> entre el </w:t>
      </w:r>
      <w:r w:rsidRPr="00941553">
        <w:rPr>
          <w:rFonts w:ascii="Mulish" w:hAnsi="Mulish"/>
        </w:rPr>
        <w:t>0</w:t>
      </w:r>
      <w:r w:rsidR="005915F6" w:rsidRPr="00941553">
        <w:rPr>
          <w:rFonts w:ascii="Mulish" w:hAnsi="Mulish"/>
        </w:rPr>
        <w:t xml:space="preserve"> y el </w:t>
      </w:r>
      <w:r w:rsidRPr="00941553">
        <w:rPr>
          <w:rFonts w:ascii="Mulish" w:hAnsi="Mulish"/>
        </w:rPr>
        <w:t>100</w:t>
      </w:r>
      <w:r w:rsidR="005915F6" w:rsidRPr="00941553">
        <w:rPr>
          <w:rFonts w:ascii="Mulish" w:hAnsi="Mulish"/>
        </w:rPr>
        <w:t>%.</w:t>
      </w:r>
      <w:r w:rsidR="00095E18" w:rsidRPr="00941553">
        <w:rPr>
          <w:rFonts w:ascii="Mulish" w:hAnsi="Mulish"/>
        </w:rPr>
        <w:t xml:space="preserve"> Respecto de 202</w:t>
      </w:r>
      <w:r w:rsidR="00811019">
        <w:rPr>
          <w:rFonts w:ascii="Mulish" w:hAnsi="Mulish"/>
        </w:rPr>
        <w:t>3</w:t>
      </w:r>
      <w:r w:rsidR="00095E18" w:rsidRPr="00941553">
        <w:rPr>
          <w:rFonts w:ascii="Mulish" w:hAnsi="Mulish"/>
        </w:rPr>
        <w:t xml:space="preserve">, el Índice de Cumplimiento ha </w:t>
      </w:r>
      <w:r w:rsidR="009D61D8">
        <w:rPr>
          <w:rFonts w:ascii="Mulish" w:hAnsi="Mulish"/>
        </w:rPr>
        <w:t>aumentado</w:t>
      </w:r>
      <w:r w:rsidR="00095E18" w:rsidRPr="00941553">
        <w:rPr>
          <w:rFonts w:ascii="Mulish" w:hAnsi="Mulish"/>
        </w:rPr>
        <w:t xml:space="preserve"> </w:t>
      </w:r>
      <w:r w:rsidR="00811019">
        <w:rPr>
          <w:rFonts w:ascii="Mulish" w:hAnsi="Mulish"/>
        </w:rPr>
        <w:t>el 2%</w:t>
      </w:r>
      <w:r w:rsidR="00095E18" w:rsidRPr="00941553">
        <w:rPr>
          <w:rFonts w:ascii="Mulish" w:hAnsi="Mulish"/>
        </w:rPr>
        <w:t>.</w:t>
      </w:r>
      <w:r w:rsidR="002752D5" w:rsidRPr="00941553">
        <w:rPr>
          <w:rFonts w:ascii="Mulish" w:hAnsi="Mulish"/>
        </w:rPr>
        <w:t xml:space="preserve"> </w:t>
      </w:r>
    </w:p>
    <w:p w14:paraId="65C7594C" w14:textId="77777777" w:rsidR="005915F6" w:rsidRPr="00941553" w:rsidRDefault="005915F6" w:rsidP="005915F6">
      <w:pPr>
        <w:pStyle w:val="Descripcin"/>
        <w:keepNext/>
        <w:rPr>
          <w:rFonts w:ascii="Mulish" w:hAnsi="Mulish"/>
        </w:rPr>
      </w:pPr>
      <w:r w:rsidRPr="00941553">
        <w:rPr>
          <w:rFonts w:ascii="Mulish" w:hAnsi="Mulish"/>
          <w:color w:val="438086" w:themeColor="accent2"/>
          <w:sz w:val="22"/>
          <w:szCs w:val="22"/>
        </w:rPr>
        <w:t xml:space="preserve">Gráfico </w:t>
      </w:r>
      <w:r w:rsidRPr="00941553">
        <w:rPr>
          <w:rFonts w:ascii="Mulish" w:hAnsi="Mulish"/>
          <w:color w:val="438086" w:themeColor="accent2"/>
          <w:sz w:val="22"/>
          <w:szCs w:val="22"/>
        </w:rPr>
        <w:fldChar w:fldCharType="begin"/>
      </w:r>
      <w:r w:rsidRPr="00941553">
        <w:rPr>
          <w:rFonts w:ascii="Mulish" w:hAnsi="Mulish"/>
          <w:color w:val="438086" w:themeColor="accent2"/>
          <w:sz w:val="22"/>
          <w:szCs w:val="22"/>
        </w:rPr>
        <w:instrText xml:space="preserve"> SEQ Gráfico \* ARABIC </w:instrText>
      </w:r>
      <w:r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9</w:t>
      </w:r>
      <w:r w:rsidRPr="00941553">
        <w:rPr>
          <w:rFonts w:ascii="Mulish" w:hAnsi="Mulish"/>
          <w:color w:val="438086" w:themeColor="accent2"/>
          <w:sz w:val="22"/>
          <w:szCs w:val="22"/>
        </w:rPr>
        <w:fldChar w:fldCharType="end"/>
      </w:r>
      <w:r w:rsidRPr="00941553">
        <w:rPr>
          <w:rFonts w:ascii="Mulish" w:hAnsi="Mulish"/>
          <w:color w:val="438086" w:themeColor="accent2"/>
          <w:sz w:val="22"/>
          <w:szCs w:val="22"/>
        </w:rPr>
        <w:t>: Evaluación de la publicación (contenido) y de los atributos de calidad de información Patrimonial.</w:t>
      </w:r>
      <w:r w:rsidR="00550FCC" w:rsidRPr="00941553">
        <w:rPr>
          <w:rFonts w:ascii="Mulish" w:hAnsi="Mulish"/>
        </w:rPr>
        <w:t xml:space="preserve"> </w:t>
      </w:r>
    </w:p>
    <w:p w14:paraId="2BB9B584" w14:textId="3D226710" w:rsidR="00D631CC" w:rsidRPr="00941553" w:rsidRDefault="00BA7223" w:rsidP="00D23563">
      <w:pPr>
        <w:rPr>
          <w:rFonts w:ascii="Mulish" w:hAnsi="Mulish"/>
        </w:rPr>
      </w:pPr>
      <w:r>
        <w:rPr>
          <w:noProof/>
        </w:rPr>
        <w:drawing>
          <wp:inline distT="0" distB="0" distL="0" distR="0" wp14:anchorId="6BD8A0FC" wp14:editId="7752E5F2">
            <wp:extent cx="5743575" cy="2638425"/>
            <wp:effectExtent l="0" t="0" r="9525" b="9525"/>
            <wp:docPr id="6" name="Gráfico 6">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755AEE" w14:textId="424C6F92" w:rsidR="009F5AAA" w:rsidRDefault="009F5AAA" w:rsidP="00513EC7">
      <w:pPr>
        <w:pStyle w:val="Ttulo3"/>
        <w:rPr>
          <w:rFonts w:ascii="Mulish" w:hAnsi="Mulish"/>
        </w:rPr>
      </w:pPr>
    </w:p>
    <w:p w14:paraId="09611B38" w14:textId="77777777" w:rsidR="00BA7223" w:rsidRPr="00BA7223" w:rsidRDefault="00BA7223" w:rsidP="00BA7223"/>
    <w:p w14:paraId="250422EE" w14:textId="2ABCCA12" w:rsidR="0075739E" w:rsidRDefault="0075739E" w:rsidP="0075739E"/>
    <w:p w14:paraId="27A0E490" w14:textId="77777777" w:rsidR="0075739E" w:rsidRPr="0075739E" w:rsidRDefault="0075739E" w:rsidP="0075739E"/>
    <w:p w14:paraId="472E04FF" w14:textId="77777777" w:rsidR="00513EC7" w:rsidRPr="00941553" w:rsidRDefault="00F23BD7" w:rsidP="00513EC7">
      <w:pPr>
        <w:pStyle w:val="Ttulo3"/>
        <w:rPr>
          <w:rFonts w:ascii="Mulish" w:hAnsi="Mulish"/>
        </w:rPr>
      </w:pPr>
      <w:bookmarkStart w:id="14" w:name="_Toc169082179"/>
      <w:r w:rsidRPr="00941553">
        <w:rPr>
          <w:rFonts w:ascii="Mulish" w:hAnsi="Mulish"/>
        </w:rPr>
        <w:lastRenderedPageBreak/>
        <w:t>III.</w:t>
      </w:r>
      <w:r w:rsidR="00D24B74" w:rsidRPr="00941553">
        <w:rPr>
          <w:rFonts w:ascii="Mulish" w:hAnsi="Mulish"/>
        </w:rPr>
        <w:t>3</w:t>
      </w:r>
      <w:r w:rsidRPr="00941553">
        <w:rPr>
          <w:rFonts w:ascii="Mulish" w:hAnsi="Mulish"/>
        </w:rPr>
        <w:t>.</w:t>
      </w:r>
      <w:r w:rsidR="00E719EF" w:rsidRPr="00941553">
        <w:rPr>
          <w:rFonts w:ascii="Mulish" w:hAnsi="Mulish"/>
        </w:rPr>
        <w:t>5</w:t>
      </w:r>
      <w:r w:rsidRPr="00941553">
        <w:rPr>
          <w:rFonts w:ascii="Mulish" w:hAnsi="Mulish"/>
        </w:rPr>
        <w:t xml:space="preserve">. </w:t>
      </w:r>
      <w:r w:rsidR="00513EC7" w:rsidRPr="00941553">
        <w:rPr>
          <w:rFonts w:ascii="Mulish" w:hAnsi="Mulish"/>
        </w:rPr>
        <w:t>Índice de Cumplimiento de la Información Obligatoria</w:t>
      </w:r>
      <w:r w:rsidR="00520912" w:rsidRPr="00941553">
        <w:rPr>
          <w:rFonts w:ascii="Mulish" w:hAnsi="Mulish"/>
        </w:rPr>
        <w:t xml:space="preserve"> (ICIO)</w:t>
      </w:r>
      <w:bookmarkEnd w:id="14"/>
    </w:p>
    <w:p w14:paraId="4B828EBE" w14:textId="77777777" w:rsidR="00513EC7" w:rsidRPr="00941553" w:rsidRDefault="00513EC7" w:rsidP="00513EC7">
      <w:pPr>
        <w:rPr>
          <w:rFonts w:ascii="Mulish" w:hAnsi="Mulish"/>
        </w:rPr>
      </w:pPr>
    </w:p>
    <w:p w14:paraId="6AAADC46" w14:textId="3BD604A2" w:rsidR="00520912" w:rsidRPr="00941553" w:rsidRDefault="00520912" w:rsidP="00513EC7">
      <w:pPr>
        <w:rPr>
          <w:rFonts w:ascii="Mulish" w:hAnsi="Mulish"/>
        </w:rPr>
      </w:pPr>
      <w:r w:rsidRPr="00941553">
        <w:rPr>
          <w:rFonts w:ascii="Mulish" w:hAnsi="Mulish"/>
        </w:rPr>
        <w:t xml:space="preserve">El ICIO </w:t>
      </w:r>
      <w:r w:rsidR="0052794A" w:rsidRPr="00941553">
        <w:rPr>
          <w:rFonts w:ascii="Mulish" w:hAnsi="Mulish"/>
        </w:rPr>
        <w:t>de</w:t>
      </w:r>
      <w:r w:rsidRPr="00941553">
        <w:rPr>
          <w:rFonts w:ascii="Mulish" w:hAnsi="Mulish"/>
        </w:rPr>
        <w:t xml:space="preserve"> este grupo de sujetos obligados </w:t>
      </w:r>
      <w:r w:rsidR="0052794A" w:rsidRPr="00941553">
        <w:rPr>
          <w:rFonts w:ascii="Mulish" w:hAnsi="Mulish"/>
        </w:rPr>
        <w:t xml:space="preserve">alcanza </w:t>
      </w:r>
      <w:r w:rsidR="00BA7223">
        <w:rPr>
          <w:rFonts w:ascii="Mulish" w:hAnsi="Mulish"/>
        </w:rPr>
        <w:t>el</w:t>
      </w:r>
      <w:r w:rsidR="00FF5F43" w:rsidRPr="00941553">
        <w:rPr>
          <w:rFonts w:ascii="Mulish" w:hAnsi="Mulish"/>
        </w:rPr>
        <w:t xml:space="preserve"> </w:t>
      </w:r>
      <w:r w:rsidR="00BA7223">
        <w:rPr>
          <w:rFonts w:ascii="Mulish" w:hAnsi="Mulish"/>
        </w:rPr>
        <w:t>45,1</w:t>
      </w:r>
      <w:r w:rsidR="009E5841" w:rsidRPr="00941553">
        <w:rPr>
          <w:rFonts w:ascii="Mulish" w:hAnsi="Mulish"/>
        </w:rPr>
        <w:t>%</w:t>
      </w:r>
      <w:r w:rsidR="00FF5F43" w:rsidRPr="00941553">
        <w:rPr>
          <w:rFonts w:ascii="Mulish" w:hAnsi="Mulish"/>
        </w:rPr>
        <w:t>.</w:t>
      </w:r>
      <w:r w:rsidR="007009D5" w:rsidRPr="00941553">
        <w:rPr>
          <w:rFonts w:ascii="Mulish" w:hAnsi="Mulish"/>
        </w:rPr>
        <w:t xml:space="preserve"> El rango de variación oscila entre el </w:t>
      </w:r>
      <w:r w:rsidR="00FD0975">
        <w:rPr>
          <w:rFonts w:ascii="Mulish" w:hAnsi="Mulish"/>
        </w:rPr>
        <w:t>3,2</w:t>
      </w:r>
      <w:r w:rsidR="007009D5" w:rsidRPr="00941553">
        <w:rPr>
          <w:rFonts w:ascii="Mulish" w:hAnsi="Mulish"/>
        </w:rPr>
        <w:t xml:space="preserve"> y el </w:t>
      </w:r>
      <w:r w:rsidR="00095E18" w:rsidRPr="00941553">
        <w:rPr>
          <w:rFonts w:ascii="Mulish" w:hAnsi="Mulish"/>
        </w:rPr>
        <w:t>100</w:t>
      </w:r>
      <w:r w:rsidR="007009D5" w:rsidRPr="00941553">
        <w:rPr>
          <w:rFonts w:ascii="Mulish" w:hAnsi="Mulish"/>
        </w:rPr>
        <w:t>%.</w:t>
      </w:r>
      <w:r w:rsidR="0054337E" w:rsidRPr="00941553">
        <w:rPr>
          <w:rFonts w:ascii="Mulish" w:hAnsi="Mulish"/>
        </w:rPr>
        <w:t xml:space="preserve"> Respecto de 202</w:t>
      </w:r>
      <w:r w:rsidR="007E5B71">
        <w:rPr>
          <w:rFonts w:ascii="Mulish" w:hAnsi="Mulish"/>
        </w:rPr>
        <w:t>3</w:t>
      </w:r>
      <w:r w:rsidR="0054337E" w:rsidRPr="00941553">
        <w:rPr>
          <w:rFonts w:ascii="Mulish" w:hAnsi="Mulish"/>
        </w:rPr>
        <w:t xml:space="preserve"> se produce un </w:t>
      </w:r>
      <w:r w:rsidR="00B80784">
        <w:rPr>
          <w:rFonts w:ascii="Mulish" w:hAnsi="Mulish"/>
        </w:rPr>
        <w:t>incremento del 4,2%.</w:t>
      </w:r>
    </w:p>
    <w:p w14:paraId="37D14DAF" w14:textId="7FCFAA49" w:rsidR="00FF5F43" w:rsidRDefault="00FF5F43" w:rsidP="00513EC7">
      <w:pPr>
        <w:rPr>
          <w:rFonts w:ascii="Mulish" w:hAnsi="Mulish"/>
        </w:rPr>
      </w:pPr>
      <w:r w:rsidRPr="00941553">
        <w:rPr>
          <w:rFonts w:ascii="Mulish" w:hAnsi="Mulish"/>
        </w:rPr>
        <w:t xml:space="preserve">La falta de publicación de informaciones obligatorias – no se publica </w:t>
      </w:r>
      <w:r w:rsidR="007009D5" w:rsidRPr="00941553">
        <w:rPr>
          <w:rFonts w:ascii="Mulish" w:hAnsi="Mulish"/>
        </w:rPr>
        <w:t xml:space="preserve">el </w:t>
      </w:r>
      <w:r w:rsidR="003B1BAB">
        <w:rPr>
          <w:rFonts w:ascii="Mulish" w:hAnsi="Mulish"/>
        </w:rPr>
        <w:t>53,8</w:t>
      </w:r>
      <w:r w:rsidRPr="00941553">
        <w:rPr>
          <w:rFonts w:ascii="Mulish" w:hAnsi="Mulish"/>
        </w:rPr>
        <w:t>%</w:t>
      </w:r>
      <w:r w:rsidR="003F10D6" w:rsidRPr="00941553">
        <w:rPr>
          <w:rFonts w:ascii="Mulish" w:hAnsi="Mulish"/>
        </w:rPr>
        <w:t xml:space="preserve"> de ellas</w:t>
      </w:r>
      <w:r w:rsidRPr="00941553">
        <w:rPr>
          <w:rFonts w:ascii="Mulish" w:hAnsi="Mulish"/>
        </w:rPr>
        <w:t xml:space="preserve"> - el recurso a fuentes centralizadas o la derivación al Portal de Transparencia de la AGE, </w:t>
      </w:r>
      <w:r w:rsidR="00374F71" w:rsidRPr="00941553">
        <w:rPr>
          <w:rFonts w:ascii="Mulish" w:hAnsi="Mulish"/>
        </w:rPr>
        <w:t>y,</w:t>
      </w:r>
      <w:r w:rsidRPr="00941553">
        <w:rPr>
          <w:rFonts w:ascii="Mulish" w:hAnsi="Mulish"/>
        </w:rPr>
        <w:t xml:space="preserve"> sobre todo, la carencia de referencias que permitan conocer a los usuarios el grado de actualización de la información publicada, son los factores que explican el</w:t>
      </w:r>
      <w:r w:rsidR="005F0168" w:rsidRPr="00941553">
        <w:rPr>
          <w:rFonts w:ascii="Mulish" w:hAnsi="Mulish"/>
        </w:rPr>
        <w:t xml:space="preserve"> </w:t>
      </w:r>
      <w:r w:rsidRPr="00941553">
        <w:rPr>
          <w:rFonts w:ascii="Mulish" w:hAnsi="Mulish"/>
        </w:rPr>
        <w:t>nivel de cumplimiento global alcanzado.</w:t>
      </w:r>
    </w:p>
    <w:p w14:paraId="471C3012" w14:textId="77777777" w:rsidR="00BA7223" w:rsidRPr="00941553" w:rsidRDefault="00BA7223" w:rsidP="00513EC7">
      <w:pPr>
        <w:rPr>
          <w:rFonts w:ascii="Mulish" w:hAnsi="Mulish"/>
        </w:rPr>
      </w:pPr>
    </w:p>
    <w:p w14:paraId="739E0DC2" w14:textId="77777777" w:rsidR="00513EC7" w:rsidRPr="00941553" w:rsidRDefault="005915F6" w:rsidP="0052794A">
      <w:pPr>
        <w:pStyle w:val="Descripcin"/>
        <w:keepNext/>
        <w:rPr>
          <w:rFonts w:ascii="Mulish" w:hAnsi="Mulish"/>
        </w:rPr>
      </w:pPr>
      <w:r w:rsidRPr="00941553">
        <w:rPr>
          <w:rFonts w:ascii="Mulish" w:hAnsi="Mulish"/>
          <w:color w:val="438086" w:themeColor="accent2"/>
          <w:sz w:val="22"/>
          <w:szCs w:val="22"/>
        </w:rPr>
        <w:t xml:space="preserve">Gráfico </w:t>
      </w:r>
      <w:r w:rsidRPr="00941553">
        <w:rPr>
          <w:rFonts w:ascii="Mulish" w:hAnsi="Mulish"/>
          <w:color w:val="438086" w:themeColor="accent2"/>
          <w:sz w:val="22"/>
          <w:szCs w:val="22"/>
        </w:rPr>
        <w:fldChar w:fldCharType="begin"/>
      </w:r>
      <w:r w:rsidRPr="00941553">
        <w:rPr>
          <w:rFonts w:ascii="Mulish" w:hAnsi="Mulish"/>
          <w:color w:val="438086" w:themeColor="accent2"/>
          <w:sz w:val="22"/>
          <w:szCs w:val="22"/>
        </w:rPr>
        <w:instrText xml:space="preserve"> SEQ Gráfico \* ARABIC </w:instrText>
      </w:r>
      <w:r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10</w:t>
      </w:r>
      <w:r w:rsidRPr="00941553">
        <w:rPr>
          <w:rFonts w:ascii="Mulish" w:hAnsi="Mulish"/>
          <w:color w:val="438086" w:themeColor="accent2"/>
          <w:sz w:val="22"/>
          <w:szCs w:val="22"/>
        </w:rPr>
        <w:fldChar w:fldCharType="end"/>
      </w:r>
      <w:r w:rsidRPr="00941553">
        <w:rPr>
          <w:rFonts w:ascii="Mulish" w:hAnsi="Mulish"/>
          <w:color w:val="438086" w:themeColor="accent2"/>
          <w:sz w:val="22"/>
          <w:szCs w:val="22"/>
        </w:rPr>
        <w:t>: Índice de Cumplimiento de la</w:t>
      </w:r>
      <w:r w:rsidR="0052794A" w:rsidRPr="00941553">
        <w:rPr>
          <w:rFonts w:ascii="Mulish" w:hAnsi="Mulish"/>
          <w:color w:val="438086" w:themeColor="accent2"/>
          <w:sz w:val="22"/>
          <w:szCs w:val="22"/>
        </w:rPr>
        <w:t xml:space="preserve"> Información Obligatoria (ICIO). </w:t>
      </w:r>
    </w:p>
    <w:p w14:paraId="1182CDDB" w14:textId="6E5E847F" w:rsidR="002136D7" w:rsidRPr="00941553" w:rsidRDefault="00374F71" w:rsidP="00513EC7">
      <w:pPr>
        <w:pStyle w:val="Ttulo3"/>
        <w:rPr>
          <w:rFonts w:ascii="Mulish" w:hAnsi="Mulish"/>
        </w:rPr>
      </w:pPr>
      <w:bookmarkStart w:id="15" w:name="_Toc169082180"/>
      <w:r>
        <w:rPr>
          <w:noProof/>
        </w:rPr>
        <w:drawing>
          <wp:inline distT="0" distB="0" distL="0" distR="0" wp14:anchorId="3B0DFA9E" wp14:editId="4F45F12A">
            <wp:extent cx="5848350" cy="2714625"/>
            <wp:effectExtent l="0" t="0" r="0" b="9525"/>
            <wp:docPr id="13" name="Gráfico 13">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15"/>
    </w:p>
    <w:p w14:paraId="62200021" w14:textId="77777777" w:rsidR="00702E60" w:rsidRPr="00941553" w:rsidRDefault="00702E60" w:rsidP="006219DA">
      <w:pPr>
        <w:rPr>
          <w:rFonts w:ascii="Mulish" w:hAnsi="Mulish"/>
        </w:rPr>
      </w:pPr>
    </w:p>
    <w:p w14:paraId="00B1ED53" w14:textId="01E21E5B" w:rsidR="00BF3F82" w:rsidRPr="00941553" w:rsidRDefault="00BF3F82" w:rsidP="006219DA">
      <w:pPr>
        <w:rPr>
          <w:rFonts w:ascii="Mulish" w:hAnsi="Mulish"/>
        </w:rPr>
      </w:pPr>
      <w:r w:rsidRPr="00941553">
        <w:rPr>
          <w:rFonts w:ascii="Mulish" w:hAnsi="Mulish"/>
        </w:rPr>
        <w:t xml:space="preserve">Al igual que lo sucedido en los distintos bloques de información obligatoria, el índice de cumplimiento global más elevado se observa en las </w:t>
      </w:r>
      <w:r w:rsidR="008F0FDF">
        <w:rPr>
          <w:rFonts w:ascii="Mulish" w:hAnsi="Mulish"/>
        </w:rPr>
        <w:t>MATEPSS</w:t>
      </w:r>
      <w:r w:rsidR="00651737" w:rsidRPr="00941553">
        <w:rPr>
          <w:rFonts w:ascii="Mulish" w:hAnsi="Mulish"/>
        </w:rPr>
        <w:t>,</w:t>
      </w:r>
      <w:r w:rsidRPr="00941553">
        <w:rPr>
          <w:rFonts w:ascii="Mulish" w:hAnsi="Mulish"/>
        </w:rPr>
        <w:t xml:space="preserve"> con un </w:t>
      </w:r>
      <w:r w:rsidR="003836A1">
        <w:rPr>
          <w:rFonts w:ascii="Mulish" w:hAnsi="Mulish"/>
        </w:rPr>
        <w:t>62,9</w:t>
      </w:r>
      <w:r w:rsidRPr="00941553">
        <w:rPr>
          <w:rFonts w:ascii="Mulish" w:hAnsi="Mulish"/>
        </w:rPr>
        <w:t>%.</w:t>
      </w:r>
      <w:r w:rsidR="003836A1">
        <w:rPr>
          <w:rFonts w:ascii="Mulish" w:hAnsi="Mulish"/>
        </w:rPr>
        <w:t xml:space="preserve"> No obstante, el índice de cumplimiento de las MATEPSS evoluciona negativamente </w:t>
      </w:r>
      <w:r w:rsidR="007E5B71">
        <w:rPr>
          <w:rFonts w:ascii="Mulish" w:hAnsi="Mulish"/>
        </w:rPr>
        <w:t>respecto de 2023 (- 3,4%). Las restantes entidades evolucionan positivamente</w:t>
      </w:r>
      <w:r w:rsidR="00A50607">
        <w:rPr>
          <w:rFonts w:ascii="Mulish" w:hAnsi="Mulish"/>
        </w:rPr>
        <w:t>, con incrementos que oscilan entre el 5,6% de las agencias estatales, organismos autónomos y entidades públicas empresariales y el 2,7% de las fundaciones públicas.</w:t>
      </w:r>
    </w:p>
    <w:p w14:paraId="44EA3BE1" w14:textId="77777777" w:rsidR="00BF3F82" w:rsidRPr="00941553" w:rsidRDefault="00BF3F82" w:rsidP="00BF3F82">
      <w:pPr>
        <w:pStyle w:val="Descripcin"/>
        <w:keepNext/>
        <w:rPr>
          <w:rFonts w:ascii="Mulish" w:hAnsi="Mulish"/>
          <w:color w:val="438086" w:themeColor="accent2"/>
          <w:sz w:val="22"/>
          <w:szCs w:val="22"/>
        </w:rPr>
      </w:pPr>
      <w:r w:rsidRPr="00941553">
        <w:rPr>
          <w:rFonts w:ascii="Mulish" w:hAnsi="Mulish"/>
          <w:color w:val="438086" w:themeColor="accent2"/>
          <w:sz w:val="22"/>
          <w:szCs w:val="22"/>
        </w:rPr>
        <w:lastRenderedPageBreak/>
        <w:t xml:space="preserve">Gráfico </w:t>
      </w:r>
      <w:r w:rsidRPr="00941553">
        <w:rPr>
          <w:rFonts w:ascii="Mulish" w:hAnsi="Mulish"/>
          <w:color w:val="438086" w:themeColor="accent2"/>
          <w:sz w:val="22"/>
          <w:szCs w:val="22"/>
        </w:rPr>
        <w:fldChar w:fldCharType="begin"/>
      </w:r>
      <w:r w:rsidRPr="00941553">
        <w:rPr>
          <w:rFonts w:ascii="Mulish" w:hAnsi="Mulish"/>
          <w:color w:val="438086" w:themeColor="accent2"/>
          <w:sz w:val="22"/>
          <w:szCs w:val="22"/>
        </w:rPr>
        <w:instrText xml:space="preserve"> SEQ Gráfico \* ARABIC </w:instrText>
      </w:r>
      <w:r w:rsidRPr="00941553">
        <w:rPr>
          <w:rFonts w:ascii="Mulish" w:hAnsi="Mulish"/>
          <w:color w:val="438086" w:themeColor="accent2"/>
          <w:sz w:val="22"/>
          <w:szCs w:val="22"/>
        </w:rPr>
        <w:fldChar w:fldCharType="separate"/>
      </w:r>
      <w:r w:rsidR="009A0015" w:rsidRPr="00941553">
        <w:rPr>
          <w:rFonts w:ascii="Mulish" w:hAnsi="Mulish"/>
          <w:noProof/>
          <w:color w:val="438086" w:themeColor="accent2"/>
          <w:sz w:val="22"/>
          <w:szCs w:val="22"/>
        </w:rPr>
        <w:t>11</w:t>
      </w:r>
      <w:r w:rsidRPr="00941553">
        <w:rPr>
          <w:rFonts w:ascii="Mulish" w:hAnsi="Mulish"/>
          <w:color w:val="438086" w:themeColor="accent2"/>
          <w:sz w:val="22"/>
          <w:szCs w:val="22"/>
        </w:rPr>
        <w:fldChar w:fldCharType="end"/>
      </w:r>
      <w:r w:rsidRPr="00941553">
        <w:rPr>
          <w:rFonts w:ascii="Mulish" w:hAnsi="Mulish"/>
          <w:color w:val="438086" w:themeColor="accent2"/>
          <w:sz w:val="22"/>
          <w:szCs w:val="22"/>
        </w:rPr>
        <w:t>: Índice de Cumplimiento de la Información Obligatoria (ICIO) según tipología de organismo evaluado</w:t>
      </w:r>
    </w:p>
    <w:p w14:paraId="6907FF74" w14:textId="03307454" w:rsidR="00BF3F82" w:rsidRPr="00941553" w:rsidRDefault="00A4246A" w:rsidP="006219DA">
      <w:pPr>
        <w:rPr>
          <w:rFonts w:ascii="Mulish" w:hAnsi="Mulish"/>
        </w:rPr>
      </w:pPr>
      <w:r>
        <w:rPr>
          <w:noProof/>
        </w:rPr>
        <w:drawing>
          <wp:inline distT="0" distB="0" distL="0" distR="0" wp14:anchorId="74EB78A1" wp14:editId="77CA8462">
            <wp:extent cx="5848350" cy="2647950"/>
            <wp:effectExtent l="0" t="0" r="0" b="0"/>
            <wp:docPr id="14" name="Gráfico 1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DFECD7" w14:textId="3AD1B232" w:rsidR="008A7D3B" w:rsidRPr="00941553" w:rsidRDefault="006C216F" w:rsidP="006C216F">
      <w:pPr>
        <w:rPr>
          <w:rFonts w:ascii="Mulish" w:hAnsi="Mulish"/>
        </w:rPr>
      </w:pPr>
      <w:r w:rsidRPr="00941553">
        <w:rPr>
          <w:rFonts w:ascii="Mulish" w:hAnsi="Mulish"/>
        </w:rPr>
        <w:t xml:space="preserve">También el </w:t>
      </w:r>
      <w:r w:rsidR="008B6B8D">
        <w:rPr>
          <w:rFonts w:ascii="Mulish" w:hAnsi="Mulish"/>
        </w:rPr>
        <w:t>I</w:t>
      </w:r>
      <w:r w:rsidRPr="00941553">
        <w:rPr>
          <w:rFonts w:ascii="Mulish" w:hAnsi="Mulish"/>
        </w:rPr>
        <w:t>CIO varía significativamente</w:t>
      </w:r>
      <w:r w:rsidR="004F0703">
        <w:rPr>
          <w:rStyle w:val="Refdenotaalpie"/>
          <w:rFonts w:ascii="Mulish" w:hAnsi="Mulish"/>
        </w:rPr>
        <w:footnoteReference w:id="9"/>
      </w:r>
      <w:r w:rsidRPr="00941553">
        <w:rPr>
          <w:rFonts w:ascii="Mulish" w:hAnsi="Mulish"/>
        </w:rPr>
        <w:t xml:space="preserve"> en función del año en que se realizó la primera evaluación: las entidades evaluadas por primera vez en 202</w:t>
      </w:r>
      <w:r w:rsidR="004F0703">
        <w:rPr>
          <w:rFonts w:ascii="Mulish" w:hAnsi="Mulish"/>
        </w:rPr>
        <w:t>3</w:t>
      </w:r>
      <w:r w:rsidRPr="00941553">
        <w:rPr>
          <w:rFonts w:ascii="Mulish" w:hAnsi="Mulish"/>
        </w:rPr>
        <w:t xml:space="preserve"> alcanzan el </w:t>
      </w:r>
      <w:r w:rsidR="004F0703">
        <w:rPr>
          <w:rFonts w:ascii="Mulish" w:hAnsi="Mulish"/>
        </w:rPr>
        <w:t>60</w:t>
      </w:r>
      <w:r w:rsidRPr="00941553">
        <w:rPr>
          <w:rFonts w:ascii="Mulish" w:hAnsi="Mulish"/>
        </w:rPr>
        <w:t xml:space="preserve">% frente al </w:t>
      </w:r>
      <w:r w:rsidR="00F243B1">
        <w:rPr>
          <w:rFonts w:ascii="Mulish" w:hAnsi="Mulish"/>
        </w:rPr>
        <w:t>37,6</w:t>
      </w:r>
      <w:r w:rsidR="00A4246A" w:rsidRPr="00941553">
        <w:rPr>
          <w:rFonts w:ascii="Mulish" w:hAnsi="Mulish"/>
        </w:rPr>
        <w:t>% obtenido</w:t>
      </w:r>
      <w:r w:rsidRPr="00941553">
        <w:rPr>
          <w:rFonts w:ascii="Mulish" w:hAnsi="Mulish"/>
        </w:rPr>
        <w:t xml:space="preserve"> por las entidades evaluadas por primera vez en 202</w:t>
      </w:r>
      <w:r w:rsidR="00F243B1">
        <w:rPr>
          <w:rFonts w:ascii="Mulish" w:hAnsi="Mulish"/>
        </w:rPr>
        <w:t>4</w:t>
      </w:r>
      <w:r w:rsidR="00241544" w:rsidRPr="00941553">
        <w:rPr>
          <w:rFonts w:ascii="Mulish" w:hAnsi="Mulish"/>
        </w:rPr>
        <w:t xml:space="preserve">. Las entidades evaluadas por primera vez </w:t>
      </w:r>
      <w:r w:rsidR="001E62B5" w:rsidRPr="00941553">
        <w:rPr>
          <w:rFonts w:ascii="Mulish" w:hAnsi="Mulish"/>
        </w:rPr>
        <w:t>el año pasado,</w:t>
      </w:r>
      <w:r w:rsidR="00241544" w:rsidRPr="00941553">
        <w:rPr>
          <w:rFonts w:ascii="Mulish" w:hAnsi="Mulish"/>
        </w:rPr>
        <w:t xml:space="preserve"> han incrementado s</w:t>
      </w:r>
      <w:r w:rsidR="003E5190" w:rsidRPr="00941553">
        <w:rPr>
          <w:rFonts w:ascii="Mulish" w:hAnsi="Mulish"/>
        </w:rPr>
        <w:t>u</w:t>
      </w:r>
      <w:r w:rsidR="00241544" w:rsidRPr="00941553">
        <w:rPr>
          <w:rFonts w:ascii="Mulish" w:hAnsi="Mulish"/>
        </w:rPr>
        <w:t xml:space="preserve"> Índice de Cumplimiento de la Información Obligatoria en </w:t>
      </w:r>
      <w:r w:rsidR="00990AB6">
        <w:rPr>
          <w:rFonts w:ascii="Mulish" w:hAnsi="Mulish"/>
        </w:rPr>
        <w:t>el</w:t>
      </w:r>
      <w:r w:rsidR="00241544" w:rsidRPr="00941553">
        <w:rPr>
          <w:rFonts w:ascii="Mulish" w:hAnsi="Mulish"/>
        </w:rPr>
        <w:t xml:space="preserve"> </w:t>
      </w:r>
      <w:r w:rsidR="00990AB6">
        <w:rPr>
          <w:rFonts w:ascii="Mulish" w:hAnsi="Mulish"/>
        </w:rPr>
        <w:t>47,6</w:t>
      </w:r>
      <w:r w:rsidR="00241544" w:rsidRPr="00941553">
        <w:rPr>
          <w:rFonts w:ascii="Mulish" w:hAnsi="Mulish"/>
        </w:rPr>
        <w:t xml:space="preserve">% </w:t>
      </w:r>
      <w:r w:rsidR="00990AB6">
        <w:rPr>
          <w:rFonts w:ascii="Mulish" w:hAnsi="Mulish"/>
        </w:rPr>
        <w:t>respecto de 2023</w:t>
      </w:r>
      <w:r w:rsidR="00241544" w:rsidRPr="00941553">
        <w:rPr>
          <w:rFonts w:ascii="Mulish" w:hAnsi="Mulish"/>
        </w:rPr>
        <w:t>.</w:t>
      </w:r>
    </w:p>
    <w:p w14:paraId="31338B34" w14:textId="77777777" w:rsidR="00D70FFA" w:rsidRDefault="00561567" w:rsidP="006C216F">
      <w:pPr>
        <w:rPr>
          <w:rFonts w:ascii="Mulish" w:hAnsi="Mulish"/>
        </w:rPr>
      </w:pPr>
      <w:r w:rsidRPr="00941553">
        <w:rPr>
          <w:rFonts w:ascii="Mulish" w:hAnsi="Mulish"/>
        </w:rPr>
        <w:t xml:space="preserve">Con un 100% de cumplimiento se sitúan la Autoridad Portuario de Valencia – </w:t>
      </w:r>
      <w:r w:rsidR="00E5462D">
        <w:rPr>
          <w:rFonts w:ascii="Mulish" w:hAnsi="Mulish"/>
        </w:rPr>
        <w:t>que ya obtuvo este mismo índice de cumplimiento en 2023</w:t>
      </w:r>
      <w:r w:rsidRPr="00941553">
        <w:rPr>
          <w:rFonts w:ascii="Mulish" w:hAnsi="Mulish"/>
        </w:rPr>
        <w:t xml:space="preserve"> – y </w:t>
      </w:r>
      <w:r w:rsidR="00E5462D">
        <w:rPr>
          <w:rFonts w:ascii="Mulish" w:hAnsi="Mulish"/>
        </w:rPr>
        <w:t>la SME ISDEFE</w:t>
      </w:r>
      <w:r w:rsidRPr="00941553">
        <w:rPr>
          <w:rFonts w:ascii="Mulish" w:hAnsi="Mulish"/>
        </w:rPr>
        <w:t xml:space="preserve">. </w:t>
      </w:r>
      <w:r w:rsidR="00D70FFA">
        <w:rPr>
          <w:rFonts w:ascii="Mulish" w:hAnsi="Mulish"/>
        </w:rPr>
        <w:t>En l</w:t>
      </w:r>
      <w:r w:rsidR="00E5462D">
        <w:rPr>
          <w:rFonts w:ascii="Mulish" w:hAnsi="Mulish"/>
        </w:rPr>
        <w:t xml:space="preserve">a siguiente tabla </w:t>
      </w:r>
      <w:r w:rsidR="00D70FFA">
        <w:rPr>
          <w:rFonts w:ascii="Mulish" w:hAnsi="Mulish"/>
        </w:rPr>
        <w:t>se muestran las entidades que han alcanzado un Índice de Cumplimiento igual o superior al 80%.</w:t>
      </w:r>
    </w:p>
    <w:p w14:paraId="6D806E00" w14:textId="578A3C62" w:rsidR="00D70FFA" w:rsidRDefault="00D70FFA" w:rsidP="006C216F">
      <w:pPr>
        <w:rPr>
          <w:rFonts w:ascii="Mulish" w:hAnsi="Mulish"/>
        </w:rPr>
      </w:pPr>
      <w:r>
        <w:rPr>
          <w:rFonts w:ascii="Mulish" w:hAnsi="Mulish"/>
        </w:rPr>
        <w:t xml:space="preserve">  </w:t>
      </w:r>
    </w:p>
    <w:p w14:paraId="6D3B6BFE" w14:textId="1BAADACC" w:rsidR="00153111" w:rsidRDefault="00153111" w:rsidP="006C216F">
      <w:pPr>
        <w:rPr>
          <w:rFonts w:ascii="Mulish" w:hAnsi="Mulish"/>
        </w:rPr>
      </w:pPr>
    </w:p>
    <w:p w14:paraId="049890C4" w14:textId="6BF65BB5" w:rsidR="00153111" w:rsidRDefault="00153111" w:rsidP="006C216F">
      <w:pPr>
        <w:rPr>
          <w:rFonts w:ascii="Mulish" w:hAnsi="Mulish"/>
        </w:rPr>
      </w:pPr>
    </w:p>
    <w:p w14:paraId="65292AE8" w14:textId="776005BB" w:rsidR="00153111" w:rsidRDefault="00153111" w:rsidP="006C216F">
      <w:pPr>
        <w:rPr>
          <w:rFonts w:ascii="Mulish" w:hAnsi="Mulish"/>
        </w:rPr>
      </w:pPr>
    </w:p>
    <w:p w14:paraId="39C8D603" w14:textId="68C70D53" w:rsidR="00153111" w:rsidRDefault="00153111" w:rsidP="006C216F">
      <w:pPr>
        <w:rPr>
          <w:rFonts w:ascii="Mulish" w:hAnsi="Mulish"/>
        </w:rPr>
      </w:pPr>
    </w:p>
    <w:p w14:paraId="375719FF" w14:textId="238D143F" w:rsidR="00153111" w:rsidRDefault="00153111" w:rsidP="006C216F">
      <w:pPr>
        <w:rPr>
          <w:rFonts w:ascii="Mulish" w:hAnsi="Mulish"/>
        </w:rPr>
      </w:pPr>
    </w:p>
    <w:p w14:paraId="764E68BC" w14:textId="3914E8D0" w:rsidR="00153111" w:rsidRDefault="00153111" w:rsidP="006C216F">
      <w:pPr>
        <w:rPr>
          <w:rFonts w:ascii="Mulish" w:hAnsi="Mulish"/>
        </w:rPr>
      </w:pPr>
    </w:p>
    <w:p w14:paraId="7234386B" w14:textId="77777777" w:rsidR="00153111" w:rsidRPr="00941553" w:rsidRDefault="00153111" w:rsidP="006C216F">
      <w:pPr>
        <w:rPr>
          <w:rFonts w:ascii="Mulish" w:hAnsi="Mulish"/>
        </w:rPr>
      </w:pPr>
    </w:p>
    <w:p w14:paraId="1863F530" w14:textId="6F068610" w:rsidR="007D1395" w:rsidRPr="007D1395" w:rsidRDefault="007D1395" w:rsidP="007D1395">
      <w:pPr>
        <w:pStyle w:val="Descripcin"/>
        <w:keepNext/>
        <w:rPr>
          <w:rFonts w:ascii="Mulish" w:hAnsi="Mulish"/>
          <w:color w:val="438086" w:themeColor="accent2"/>
          <w:sz w:val="22"/>
          <w:szCs w:val="22"/>
        </w:rPr>
      </w:pPr>
      <w:r w:rsidRPr="007D1395">
        <w:rPr>
          <w:rFonts w:ascii="Mulish" w:hAnsi="Mulish"/>
          <w:color w:val="438086" w:themeColor="accent2"/>
          <w:sz w:val="22"/>
          <w:szCs w:val="22"/>
        </w:rPr>
        <w:lastRenderedPageBreak/>
        <w:t xml:space="preserve">Tabla </w:t>
      </w:r>
      <w:r w:rsidRPr="007D1395">
        <w:rPr>
          <w:rFonts w:ascii="Mulish" w:hAnsi="Mulish"/>
          <w:color w:val="438086" w:themeColor="accent2"/>
          <w:sz w:val="22"/>
          <w:szCs w:val="22"/>
        </w:rPr>
        <w:fldChar w:fldCharType="begin"/>
      </w:r>
      <w:r w:rsidRPr="007D1395">
        <w:rPr>
          <w:rFonts w:ascii="Mulish" w:hAnsi="Mulish"/>
          <w:color w:val="438086" w:themeColor="accent2"/>
          <w:sz w:val="22"/>
          <w:szCs w:val="22"/>
        </w:rPr>
        <w:instrText xml:space="preserve"> SEQ Tabla \* ARABIC </w:instrText>
      </w:r>
      <w:r w:rsidRPr="007D1395">
        <w:rPr>
          <w:rFonts w:ascii="Mulish" w:hAnsi="Mulish"/>
          <w:color w:val="438086" w:themeColor="accent2"/>
          <w:sz w:val="22"/>
          <w:szCs w:val="22"/>
        </w:rPr>
        <w:fldChar w:fldCharType="separate"/>
      </w:r>
      <w:r w:rsidRPr="007D1395">
        <w:rPr>
          <w:rFonts w:ascii="Mulish" w:hAnsi="Mulish"/>
          <w:color w:val="438086" w:themeColor="accent2"/>
          <w:sz w:val="22"/>
          <w:szCs w:val="22"/>
        </w:rPr>
        <w:t>3</w:t>
      </w:r>
      <w:r w:rsidRPr="007D1395">
        <w:rPr>
          <w:rFonts w:ascii="Mulish" w:hAnsi="Mulish"/>
          <w:color w:val="438086" w:themeColor="accent2"/>
          <w:sz w:val="22"/>
          <w:szCs w:val="22"/>
        </w:rPr>
        <w:fldChar w:fldCharType="end"/>
      </w:r>
      <w:r w:rsidRPr="007D1395">
        <w:rPr>
          <w:rFonts w:ascii="Mulish" w:hAnsi="Mulish"/>
          <w:color w:val="438086" w:themeColor="accent2"/>
          <w:sz w:val="22"/>
          <w:szCs w:val="22"/>
        </w:rPr>
        <w:t xml:space="preserve">: Índices de Cumplimiento y evolución respecto de 2023, de las entidades que han </w:t>
      </w:r>
      <w:r w:rsidR="00AD2FF6">
        <w:rPr>
          <w:rFonts w:ascii="Mulish" w:hAnsi="Mulish"/>
          <w:color w:val="438086" w:themeColor="accent2"/>
          <w:sz w:val="22"/>
          <w:szCs w:val="22"/>
        </w:rPr>
        <w:t>alcanzado</w:t>
      </w:r>
      <w:r w:rsidRPr="007D1395">
        <w:rPr>
          <w:rFonts w:ascii="Mulish" w:hAnsi="Mulish"/>
          <w:color w:val="438086" w:themeColor="accent2"/>
          <w:sz w:val="22"/>
          <w:szCs w:val="22"/>
        </w:rPr>
        <w:t xml:space="preserve"> un ICIO igual o superior al 80%</w:t>
      </w:r>
    </w:p>
    <w:tbl>
      <w:tblPr>
        <w:tblStyle w:val="Tabladelista3-nfasis2"/>
        <w:tblW w:w="0" w:type="auto"/>
        <w:tblLook w:val="04A0" w:firstRow="1" w:lastRow="0" w:firstColumn="1" w:lastColumn="0" w:noHBand="0" w:noVBand="1"/>
      </w:tblPr>
      <w:tblGrid>
        <w:gridCol w:w="5098"/>
        <w:gridCol w:w="742"/>
        <w:gridCol w:w="3118"/>
      </w:tblGrid>
      <w:tr w:rsidR="00793758" w:rsidRPr="00D70FFA" w14:paraId="189F813F" w14:textId="77777777" w:rsidTr="007D139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98" w:type="dxa"/>
            <w:noWrap/>
            <w:hideMark/>
          </w:tcPr>
          <w:p w14:paraId="7308D77B" w14:textId="77777777" w:rsidR="00D70FFA" w:rsidRPr="00D70FFA" w:rsidRDefault="00D70FFA" w:rsidP="00D70FFA">
            <w:pPr>
              <w:rPr>
                <w:rFonts w:ascii="Mulish" w:hAnsi="Mulish"/>
                <w:sz w:val="20"/>
              </w:rPr>
            </w:pPr>
          </w:p>
        </w:tc>
        <w:tc>
          <w:tcPr>
            <w:tcW w:w="742" w:type="dxa"/>
            <w:noWrap/>
            <w:hideMark/>
          </w:tcPr>
          <w:p w14:paraId="353F6FA9" w14:textId="2276BFC3" w:rsidR="00D70FFA" w:rsidRPr="00D70FFA" w:rsidRDefault="00153111">
            <w:pPr>
              <w:cnfStyle w:val="100000000000" w:firstRow="1" w:lastRow="0" w:firstColumn="0" w:lastColumn="0" w:oddVBand="0" w:evenVBand="0" w:oddHBand="0" w:evenHBand="0" w:firstRowFirstColumn="0" w:firstRowLastColumn="0" w:lastRowFirstColumn="0" w:lastRowLastColumn="0"/>
              <w:rPr>
                <w:rFonts w:ascii="Mulish" w:hAnsi="Mulish"/>
                <w:sz w:val="20"/>
              </w:rPr>
            </w:pPr>
            <w:r>
              <w:rPr>
                <w:rFonts w:ascii="Mulish" w:hAnsi="Mulish"/>
                <w:sz w:val="20"/>
              </w:rPr>
              <w:t>ICIO</w:t>
            </w:r>
          </w:p>
        </w:tc>
        <w:tc>
          <w:tcPr>
            <w:tcW w:w="3118" w:type="dxa"/>
            <w:noWrap/>
            <w:hideMark/>
          </w:tcPr>
          <w:p w14:paraId="5DAB8879" w14:textId="20682CC5" w:rsidR="00D70FFA" w:rsidRPr="00D70FFA" w:rsidRDefault="00153111" w:rsidP="00153111">
            <w:pPr>
              <w:jc w:val="center"/>
              <w:cnfStyle w:val="100000000000" w:firstRow="1" w:lastRow="0" w:firstColumn="0" w:lastColumn="0" w:oddVBand="0" w:evenVBand="0" w:oddHBand="0" w:evenHBand="0" w:firstRowFirstColumn="0" w:firstRowLastColumn="0" w:lastRowFirstColumn="0" w:lastRowLastColumn="0"/>
              <w:rPr>
                <w:rFonts w:ascii="Mulish" w:hAnsi="Mulish"/>
                <w:sz w:val="20"/>
              </w:rPr>
            </w:pPr>
            <w:r>
              <w:rPr>
                <w:rFonts w:ascii="Mulish" w:hAnsi="Mulish"/>
                <w:sz w:val="20"/>
              </w:rPr>
              <w:t>Incremento respecto 2023  (puntos porcentuales)</w:t>
            </w:r>
          </w:p>
        </w:tc>
      </w:tr>
      <w:tr w:rsidR="00D70FFA" w:rsidRPr="00D70FFA" w14:paraId="330B2E16"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BD9DF18" w14:textId="77777777" w:rsidR="00D70FFA" w:rsidRPr="00D70FFA" w:rsidRDefault="00D70FFA" w:rsidP="00D70FFA">
            <w:pPr>
              <w:rPr>
                <w:rFonts w:ascii="Mulish" w:hAnsi="Mulish"/>
                <w:sz w:val="20"/>
              </w:rPr>
            </w:pPr>
            <w:r w:rsidRPr="00D70FFA">
              <w:rPr>
                <w:rFonts w:ascii="Mulish" w:hAnsi="Mulish"/>
                <w:sz w:val="20"/>
              </w:rPr>
              <w:t>AP Valencia</w:t>
            </w:r>
          </w:p>
        </w:tc>
        <w:tc>
          <w:tcPr>
            <w:tcW w:w="742" w:type="dxa"/>
            <w:noWrap/>
            <w:hideMark/>
          </w:tcPr>
          <w:p w14:paraId="705083DE"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100,0</w:t>
            </w:r>
          </w:p>
        </w:tc>
        <w:tc>
          <w:tcPr>
            <w:tcW w:w="3118" w:type="dxa"/>
            <w:noWrap/>
            <w:hideMark/>
          </w:tcPr>
          <w:p w14:paraId="5BDFC811"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0</w:t>
            </w:r>
          </w:p>
        </w:tc>
      </w:tr>
      <w:tr w:rsidR="007D1395" w:rsidRPr="00D70FFA" w14:paraId="636BD491"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tcPr>
          <w:p w14:paraId="74E2E30B" w14:textId="3894B3BF" w:rsidR="007D1395" w:rsidRPr="00D70FFA" w:rsidRDefault="007D1395" w:rsidP="007D1395">
            <w:pPr>
              <w:rPr>
                <w:rFonts w:ascii="Mulish" w:hAnsi="Mulish"/>
                <w:sz w:val="20"/>
              </w:rPr>
            </w:pPr>
            <w:r w:rsidRPr="007D1395">
              <w:rPr>
                <w:rFonts w:ascii="Mulish" w:hAnsi="Mulish"/>
                <w:sz w:val="20"/>
              </w:rPr>
              <w:t>ISDEFE</w:t>
            </w:r>
          </w:p>
        </w:tc>
        <w:tc>
          <w:tcPr>
            <w:tcW w:w="742" w:type="dxa"/>
            <w:noWrap/>
          </w:tcPr>
          <w:p w14:paraId="3F2D1D59" w14:textId="3BC07330" w:rsidR="007D1395" w:rsidRPr="00D70FFA" w:rsidRDefault="007D1395"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7D1395">
              <w:rPr>
                <w:rFonts w:ascii="Mulish" w:hAnsi="Mulish"/>
                <w:sz w:val="20"/>
              </w:rPr>
              <w:t>100,0</w:t>
            </w:r>
          </w:p>
        </w:tc>
        <w:tc>
          <w:tcPr>
            <w:tcW w:w="3118" w:type="dxa"/>
            <w:noWrap/>
          </w:tcPr>
          <w:p w14:paraId="40CBBF04" w14:textId="610FD93E" w:rsidR="007D1395" w:rsidRPr="00D70FFA" w:rsidRDefault="007D1395" w:rsidP="007D1395">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7D1395">
              <w:rPr>
                <w:rFonts w:ascii="Mulish" w:hAnsi="Mulish"/>
                <w:sz w:val="20"/>
              </w:rPr>
              <w:t>32,5</w:t>
            </w:r>
          </w:p>
        </w:tc>
      </w:tr>
      <w:tr w:rsidR="00D70FFA" w:rsidRPr="00D70FFA" w14:paraId="76666DE4"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EF3C9C6" w14:textId="77777777" w:rsidR="00D70FFA" w:rsidRPr="00D70FFA" w:rsidRDefault="00D70FFA" w:rsidP="00D70FFA">
            <w:pPr>
              <w:rPr>
                <w:rFonts w:ascii="Mulish" w:hAnsi="Mulish"/>
                <w:sz w:val="20"/>
              </w:rPr>
            </w:pPr>
            <w:r w:rsidRPr="00D70FFA">
              <w:rPr>
                <w:rFonts w:ascii="Mulish" w:hAnsi="Mulish"/>
                <w:sz w:val="20"/>
              </w:rPr>
              <w:t>ENSA</w:t>
            </w:r>
          </w:p>
        </w:tc>
        <w:tc>
          <w:tcPr>
            <w:tcW w:w="742" w:type="dxa"/>
            <w:noWrap/>
            <w:hideMark/>
          </w:tcPr>
          <w:p w14:paraId="79908B37"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96,6</w:t>
            </w:r>
          </w:p>
        </w:tc>
        <w:tc>
          <w:tcPr>
            <w:tcW w:w="3118" w:type="dxa"/>
            <w:noWrap/>
            <w:hideMark/>
          </w:tcPr>
          <w:p w14:paraId="3939B877"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58,7</w:t>
            </w:r>
          </w:p>
        </w:tc>
      </w:tr>
      <w:tr w:rsidR="00D70FFA" w:rsidRPr="00D70FFA" w14:paraId="4F12FA31"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292BAAA" w14:textId="77777777" w:rsidR="00D70FFA" w:rsidRPr="00D70FFA" w:rsidRDefault="00D70FFA" w:rsidP="00D70FFA">
            <w:pPr>
              <w:rPr>
                <w:rFonts w:ascii="Mulish" w:hAnsi="Mulish"/>
                <w:sz w:val="20"/>
              </w:rPr>
            </w:pPr>
            <w:r w:rsidRPr="00D70FFA">
              <w:rPr>
                <w:rFonts w:ascii="Mulish" w:hAnsi="Mulish"/>
                <w:sz w:val="20"/>
              </w:rPr>
              <w:t>COFIVACASA</w:t>
            </w:r>
          </w:p>
        </w:tc>
        <w:tc>
          <w:tcPr>
            <w:tcW w:w="742" w:type="dxa"/>
            <w:noWrap/>
            <w:hideMark/>
          </w:tcPr>
          <w:p w14:paraId="620FE8E4"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92,7</w:t>
            </w:r>
          </w:p>
        </w:tc>
        <w:tc>
          <w:tcPr>
            <w:tcW w:w="3118" w:type="dxa"/>
            <w:noWrap/>
            <w:hideMark/>
          </w:tcPr>
          <w:p w14:paraId="17666A91"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39,7</w:t>
            </w:r>
          </w:p>
        </w:tc>
      </w:tr>
      <w:tr w:rsidR="00D70FFA" w:rsidRPr="00D70FFA" w14:paraId="05FACAFD"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6150883" w14:textId="77777777" w:rsidR="00D70FFA" w:rsidRPr="00D70FFA" w:rsidRDefault="00D70FFA" w:rsidP="00D70FFA">
            <w:pPr>
              <w:rPr>
                <w:rFonts w:ascii="Mulish" w:hAnsi="Mulish"/>
                <w:sz w:val="20"/>
              </w:rPr>
            </w:pPr>
            <w:r w:rsidRPr="00D70FFA">
              <w:rPr>
                <w:rFonts w:ascii="Mulish" w:hAnsi="Mulish"/>
                <w:sz w:val="20"/>
              </w:rPr>
              <w:t>ICEX</w:t>
            </w:r>
          </w:p>
        </w:tc>
        <w:tc>
          <w:tcPr>
            <w:tcW w:w="742" w:type="dxa"/>
            <w:noWrap/>
            <w:hideMark/>
          </w:tcPr>
          <w:p w14:paraId="0FF453D9"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92,6</w:t>
            </w:r>
          </w:p>
        </w:tc>
        <w:tc>
          <w:tcPr>
            <w:tcW w:w="3118" w:type="dxa"/>
            <w:noWrap/>
            <w:hideMark/>
          </w:tcPr>
          <w:p w14:paraId="2B415F89"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19,6</w:t>
            </w:r>
          </w:p>
        </w:tc>
      </w:tr>
      <w:tr w:rsidR="00D70FFA" w:rsidRPr="00D70FFA" w14:paraId="1AC4095D"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149F294" w14:textId="3C82CBEE" w:rsidR="00D70FFA" w:rsidRPr="00D70FFA" w:rsidRDefault="00D70FFA" w:rsidP="00D70FFA">
            <w:pPr>
              <w:rPr>
                <w:rFonts w:ascii="Mulish" w:hAnsi="Mulish"/>
                <w:sz w:val="20"/>
              </w:rPr>
            </w:pPr>
            <w:r w:rsidRPr="00D70FFA">
              <w:rPr>
                <w:rFonts w:ascii="Mulish" w:hAnsi="Mulish"/>
                <w:sz w:val="20"/>
              </w:rPr>
              <w:t>F. Instituto Iberoamericano de</w:t>
            </w:r>
            <w:r w:rsidR="00793758">
              <w:rPr>
                <w:rFonts w:ascii="Mulish" w:hAnsi="Mulish"/>
                <w:sz w:val="20"/>
              </w:rPr>
              <w:t xml:space="preserve"> Mercados de</w:t>
            </w:r>
            <w:r w:rsidRPr="00D70FFA">
              <w:rPr>
                <w:rFonts w:ascii="Mulish" w:hAnsi="Mulish"/>
                <w:sz w:val="20"/>
              </w:rPr>
              <w:t xml:space="preserve"> Valores</w:t>
            </w:r>
          </w:p>
        </w:tc>
        <w:tc>
          <w:tcPr>
            <w:tcW w:w="742" w:type="dxa"/>
            <w:noWrap/>
            <w:hideMark/>
          </w:tcPr>
          <w:p w14:paraId="0CEBC0C1"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92,0</w:t>
            </w:r>
          </w:p>
        </w:tc>
        <w:tc>
          <w:tcPr>
            <w:tcW w:w="3118" w:type="dxa"/>
            <w:noWrap/>
            <w:hideMark/>
          </w:tcPr>
          <w:p w14:paraId="4B4E6D4D"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27,3</w:t>
            </w:r>
          </w:p>
        </w:tc>
      </w:tr>
      <w:tr w:rsidR="00D70FFA" w:rsidRPr="00D70FFA" w14:paraId="6EF356C9"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DA8039B" w14:textId="77777777" w:rsidR="00D70FFA" w:rsidRPr="00D70FFA" w:rsidRDefault="00D70FFA" w:rsidP="00D70FFA">
            <w:pPr>
              <w:rPr>
                <w:rFonts w:ascii="Mulish" w:hAnsi="Mulish"/>
                <w:sz w:val="20"/>
              </w:rPr>
            </w:pPr>
            <w:r w:rsidRPr="00D70FFA">
              <w:rPr>
                <w:rFonts w:ascii="Mulish" w:hAnsi="Mulish"/>
                <w:sz w:val="20"/>
              </w:rPr>
              <w:t>Almería AV</w:t>
            </w:r>
          </w:p>
        </w:tc>
        <w:tc>
          <w:tcPr>
            <w:tcW w:w="742" w:type="dxa"/>
            <w:noWrap/>
            <w:hideMark/>
          </w:tcPr>
          <w:p w14:paraId="619F54CE"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91,9</w:t>
            </w:r>
          </w:p>
        </w:tc>
        <w:tc>
          <w:tcPr>
            <w:tcW w:w="3118" w:type="dxa"/>
            <w:noWrap/>
            <w:hideMark/>
          </w:tcPr>
          <w:p w14:paraId="38855AA6"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47,9</w:t>
            </w:r>
          </w:p>
        </w:tc>
      </w:tr>
      <w:tr w:rsidR="00D70FFA" w:rsidRPr="00D70FFA" w14:paraId="41E921A2"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8555DFA" w14:textId="43DF8C82" w:rsidR="00D70FFA" w:rsidRPr="00D70FFA" w:rsidRDefault="00153111" w:rsidP="00D70FFA">
            <w:pPr>
              <w:rPr>
                <w:rFonts w:ascii="Mulish" w:hAnsi="Mulish"/>
                <w:sz w:val="20"/>
              </w:rPr>
            </w:pPr>
            <w:r w:rsidRPr="00D70FFA">
              <w:rPr>
                <w:rFonts w:ascii="Mulish" w:hAnsi="Mulish"/>
                <w:sz w:val="20"/>
              </w:rPr>
              <w:t>LOGIRAIL</w:t>
            </w:r>
          </w:p>
        </w:tc>
        <w:tc>
          <w:tcPr>
            <w:tcW w:w="742" w:type="dxa"/>
            <w:noWrap/>
            <w:hideMark/>
          </w:tcPr>
          <w:p w14:paraId="4E02E429"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89,7</w:t>
            </w:r>
          </w:p>
        </w:tc>
        <w:tc>
          <w:tcPr>
            <w:tcW w:w="3118" w:type="dxa"/>
            <w:noWrap/>
            <w:hideMark/>
          </w:tcPr>
          <w:p w14:paraId="5FF7D667"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78,6</w:t>
            </w:r>
          </w:p>
        </w:tc>
      </w:tr>
      <w:tr w:rsidR="00D70FFA" w:rsidRPr="00D70FFA" w14:paraId="07E6EB79"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7BC1321" w14:textId="77777777" w:rsidR="00D70FFA" w:rsidRPr="00D70FFA" w:rsidRDefault="00D70FFA" w:rsidP="00D70FFA">
            <w:pPr>
              <w:rPr>
                <w:rFonts w:ascii="Mulish" w:hAnsi="Mulish"/>
                <w:sz w:val="20"/>
              </w:rPr>
            </w:pPr>
            <w:r w:rsidRPr="00D70FFA">
              <w:rPr>
                <w:rFonts w:ascii="Mulish" w:hAnsi="Mulish"/>
                <w:sz w:val="20"/>
              </w:rPr>
              <w:t>SEGITTUR</w:t>
            </w:r>
          </w:p>
        </w:tc>
        <w:tc>
          <w:tcPr>
            <w:tcW w:w="742" w:type="dxa"/>
            <w:noWrap/>
            <w:hideMark/>
          </w:tcPr>
          <w:p w14:paraId="75369334"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89,5</w:t>
            </w:r>
          </w:p>
        </w:tc>
        <w:tc>
          <w:tcPr>
            <w:tcW w:w="3118" w:type="dxa"/>
            <w:noWrap/>
            <w:hideMark/>
          </w:tcPr>
          <w:p w14:paraId="49BA3743"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29,9</w:t>
            </w:r>
          </w:p>
        </w:tc>
      </w:tr>
      <w:tr w:rsidR="00D70FFA" w:rsidRPr="00D70FFA" w14:paraId="0365FDC6"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0E4242C" w14:textId="5A5B46E6" w:rsidR="00D70FFA" w:rsidRPr="00D70FFA" w:rsidRDefault="00793758" w:rsidP="00D70FFA">
            <w:pPr>
              <w:rPr>
                <w:rFonts w:ascii="Mulish" w:hAnsi="Mulish"/>
                <w:sz w:val="20"/>
              </w:rPr>
            </w:pPr>
            <w:r>
              <w:rPr>
                <w:rFonts w:ascii="Mulish" w:hAnsi="Mulish"/>
                <w:sz w:val="20"/>
              </w:rPr>
              <w:t>Centro Nacional de Investigaciones Cardiovasculares</w:t>
            </w:r>
          </w:p>
        </w:tc>
        <w:tc>
          <w:tcPr>
            <w:tcW w:w="742" w:type="dxa"/>
            <w:noWrap/>
            <w:hideMark/>
          </w:tcPr>
          <w:p w14:paraId="0B4C9410"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88,7</w:t>
            </w:r>
          </w:p>
        </w:tc>
        <w:tc>
          <w:tcPr>
            <w:tcW w:w="3118" w:type="dxa"/>
            <w:noWrap/>
            <w:hideMark/>
          </w:tcPr>
          <w:p w14:paraId="13D8E8C1"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22,9</w:t>
            </w:r>
          </w:p>
        </w:tc>
      </w:tr>
      <w:tr w:rsidR="00D70FFA" w:rsidRPr="00D70FFA" w14:paraId="77100724"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AC5373E" w14:textId="77777777" w:rsidR="00D70FFA" w:rsidRPr="00D70FFA" w:rsidRDefault="00D70FFA" w:rsidP="00D70FFA">
            <w:pPr>
              <w:rPr>
                <w:rFonts w:ascii="Mulish" w:hAnsi="Mulish"/>
                <w:sz w:val="20"/>
              </w:rPr>
            </w:pPr>
            <w:r w:rsidRPr="00D70FFA">
              <w:rPr>
                <w:rFonts w:ascii="Mulish" w:hAnsi="Mulish"/>
                <w:sz w:val="20"/>
              </w:rPr>
              <w:t>Fundación UNED</w:t>
            </w:r>
          </w:p>
        </w:tc>
        <w:tc>
          <w:tcPr>
            <w:tcW w:w="742" w:type="dxa"/>
            <w:noWrap/>
            <w:hideMark/>
          </w:tcPr>
          <w:p w14:paraId="7AE54D11"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85,1</w:t>
            </w:r>
          </w:p>
        </w:tc>
        <w:tc>
          <w:tcPr>
            <w:tcW w:w="3118" w:type="dxa"/>
            <w:noWrap/>
            <w:hideMark/>
          </w:tcPr>
          <w:p w14:paraId="49CA75A5"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30,8</w:t>
            </w:r>
          </w:p>
        </w:tc>
      </w:tr>
      <w:tr w:rsidR="00D70FFA" w:rsidRPr="00D70FFA" w14:paraId="5378A0D2"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CEEE5DE" w14:textId="6B8A52CC" w:rsidR="00D70FFA" w:rsidRPr="00D70FFA" w:rsidRDefault="00D70FFA" w:rsidP="00D70FFA">
            <w:pPr>
              <w:rPr>
                <w:rFonts w:ascii="Mulish" w:hAnsi="Mulish"/>
                <w:sz w:val="20"/>
              </w:rPr>
            </w:pPr>
            <w:r w:rsidRPr="00D70FFA">
              <w:rPr>
                <w:rFonts w:ascii="Mulish" w:hAnsi="Mulish"/>
                <w:sz w:val="20"/>
              </w:rPr>
              <w:t>CUD-</w:t>
            </w:r>
            <w:r w:rsidR="00793758">
              <w:rPr>
                <w:rFonts w:ascii="Mulish" w:hAnsi="Mulish"/>
                <w:sz w:val="20"/>
              </w:rPr>
              <w:t>Academia General Militar</w:t>
            </w:r>
          </w:p>
        </w:tc>
        <w:tc>
          <w:tcPr>
            <w:tcW w:w="742" w:type="dxa"/>
            <w:noWrap/>
            <w:hideMark/>
          </w:tcPr>
          <w:p w14:paraId="33F53DCE"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84,7</w:t>
            </w:r>
          </w:p>
        </w:tc>
        <w:tc>
          <w:tcPr>
            <w:tcW w:w="3118" w:type="dxa"/>
            <w:noWrap/>
            <w:hideMark/>
          </w:tcPr>
          <w:p w14:paraId="6250DE9A"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35,4</w:t>
            </w:r>
          </w:p>
        </w:tc>
      </w:tr>
      <w:tr w:rsidR="00D70FFA" w:rsidRPr="00D70FFA" w14:paraId="002D3701"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5BE8130" w14:textId="77777777" w:rsidR="00D70FFA" w:rsidRPr="00D70FFA" w:rsidRDefault="00D70FFA" w:rsidP="00D70FFA">
            <w:pPr>
              <w:rPr>
                <w:rFonts w:ascii="Mulish" w:hAnsi="Mulish"/>
                <w:sz w:val="20"/>
              </w:rPr>
            </w:pPr>
            <w:r w:rsidRPr="00D70FFA">
              <w:rPr>
                <w:rFonts w:ascii="Mulish" w:hAnsi="Mulish"/>
                <w:sz w:val="20"/>
              </w:rPr>
              <w:t>INECO</w:t>
            </w:r>
          </w:p>
        </w:tc>
        <w:tc>
          <w:tcPr>
            <w:tcW w:w="742" w:type="dxa"/>
            <w:noWrap/>
            <w:hideMark/>
          </w:tcPr>
          <w:p w14:paraId="086EF3AB"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84,5</w:t>
            </w:r>
          </w:p>
        </w:tc>
        <w:tc>
          <w:tcPr>
            <w:tcW w:w="3118" w:type="dxa"/>
            <w:noWrap/>
            <w:hideMark/>
          </w:tcPr>
          <w:p w14:paraId="2386A9CF"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27,8</w:t>
            </w:r>
          </w:p>
        </w:tc>
      </w:tr>
      <w:tr w:rsidR="00D70FFA" w:rsidRPr="00D70FFA" w14:paraId="72BE65D3"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1A3DBCE" w14:textId="77777777" w:rsidR="00D70FFA" w:rsidRPr="00D70FFA" w:rsidRDefault="00D70FFA" w:rsidP="00D70FFA">
            <w:pPr>
              <w:rPr>
                <w:rFonts w:ascii="Mulish" w:hAnsi="Mulish"/>
                <w:sz w:val="20"/>
              </w:rPr>
            </w:pPr>
            <w:r w:rsidRPr="00D70FFA">
              <w:rPr>
                <w:rFonts w:ascii="Mulish" w:hAnsi="Mulish"/>
                <w:sz w:val="20"/>
              </w:rPr>
              <w:t>Consorcio de la Zona Franca de Cádiz</w:t>
            </w:r>
          </w:p>
        </w:tc>
        <w:tc>
          <w:tcPr>
            <w:tcW w:w="742" w:type="dxa"/>
            <w:noWrap/>
            <w:hideMark/>
          </w:tcPr>
          <w:p w14:paraId="663461C0"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84,4</w:t>
            </w:r>
          </w:p>
        </w:tc>
        <w:tc>
          <w:tcPr>
            <w:tcW w:w="3118" w:type="dxa"/>
            <w:noWrap/>
            <w:hideMark/>
          </w:tcPr>
          <w:p w14:paraId="0296EAE8"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5,2</w:t>
            </w:r>
          </w:p>
        </w:tc>
      </w:tr>
      <w:tr w:rsidR="00D70FFA" w:rsidRPr="00D70FFA" w14:paraId="03AA6242"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D553B8E" w14:textId="77777777" w:rsidR="00D70FFA" w:rsidRPr="00D70FFA" w:rsidRDefault="00D70FFA" w:rsidP="00D70FFA">
            <w:pPr>
              <w:rPr>
                <w:rFonts w:ascii="Mulish" w:hAnsi="Mulish"/>
                <w:sz w:val="20"/>
              </w:rPr>
            </w:pPr>
            <w:r w:rsidRPr="00D70FFA">
              <w:rPr>
                <w:rFonts w:ascii="Mulish" w:hAnsi="Mulish"/>
                <w:sz w:val="20"/>
              </w:rPr>
              <w:t>Mutua Montañesa</w:t>
            </w:r>
          </w:p>
        </w:tc>
        <w:tc>
          <w:tcPr>
            <w:tcW w:w="742" w:type="dxa"/>
            <w:noWrap/>
            <w:hideMark/>
          </w:tcPr>
          <w:p w14:paraId="19DA705C"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83,3</w:t>
            </w:r>
          </w:p>
        </w:tc>
        <w:tc>
          <w:tcPr>
            <w:tcW w:w="3118" w:type="dxa"/>
            <w:noWrap/>
            <w:hideMark/>
          </w:tcPr>
          <w:p w14:paraId="6C152E9E"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4,7</w:t>
            </w:r>
          </w:p>
        </w:tc>
      </w:tr>
      <w:tr w:rsidR="00D70FFA" w:rsidRPr="00D70FFA" w14:paraId="68BFC0FC"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A881F05" w14:textId="724E2B5B" w:rsidR="00D70FFA" w:rsidRPr="00D70FFA" w:rsidRDefault="00793758" w:rsidP="00D70FFA">
            <w:pPr>
              <w:rPr>
                <w:rFonts w:ascii="Mulish" w:hAnsi="Mulish"/>
                <w:sz w:val="20"/>
              </w:rPr>
            </w:pPr>
            <w:r>
              <w:rPr>
                <w:rFonts w:ascii="Mulish" w:hAnsi="Mulish"/>
                <w:sz w:val="20"/>
              </w:rPr>
              <w:t xml:space="preserve">F. Centro de Estudios Monetarios y </w:t>
            </w:r>
            <w:r w:rsidR="00F109A0">
              <w:rPr>
                <w:rFonts w:ascii="Mulish" w:hAnsi="Mulish"/>
                <w:sz w:val="20"/>
              </w:rPr>
              <w:t>F</w:t>
            </w:r>
            <w:r>
              <w:rPr>
                <w:rFonts w:ascii="Mulish" w:hAnsi="Mulish"/>
                <w:sz w:val="20"/>
              </w:rPr>
              <w:t>inancieros</w:t>
            </w:r>
          </w:p>
        </w:tc>
        <w:tc>
          <w:tcPr>
            <w:tcW w:w="742" w:type="dxa"/>
            <w:noWrap/>
            <w:hideMark/>
          </w:tcPr>
          <w:p w14:paraId="131AE0A1"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82,7</w:t>
            </w:r>
          </w:p>
        </w:tc>
        <w:tc>
          <w:tcPr>
            <w:tcW w:w="3118" w:type="dxa"/>
            <w:noWrap/>
            <w:hideMark/>
          </w:tcPr>
          <w:p w14:paraId="092843DA"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26</w:t>
            </w:r>
          </w:p>
        </w:tc>
      </w:tr>
      <w:tr w:rsidR="00D70FFA" w:rsidRPr="00D70FFA" w14:paraId="5B4EDCD6"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5B65A1" w14:textId="77777777" w:rsidR="00D70FFA" w:rsidRPr="00D70FFA" w:rsidRDefault="00D70FFA" w:rsidP="00D70FFA">
            <w:pPr>
              <w:rPr>
                <w:rFonts w:ascii="Mulish" w:hAnsi="Mulish"/>
                <w:sz w:val="20"/>
              </w:rPr>
            </w:pPr>
            <w:r w:rsidRPr="00D70FFA">
              <w:rPr>
                <w:rFonts w:ascii="Mulish" w:hAnsi="Mulish"/>
                <w:sz w:val="20"/>
              </w:rPr>
              <w:t>Valencia Parque Central</w:t>
            </w:r>
          </w:p>
        </w:tc>
        <w:tc>
          <w:tcPr>
            <w:tcW w:w="742" w:type="dxa"/>
            <w:noWrap/>
            <w:hideMark/>
          </w:tcPr>
          <w:p w14:paraId="1056A26A"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81,5</w:t>
            </w:r>
          </w:p>
        </w:tc>
        <w:tc>
          <w:tcPr>
            <w:tcW w:w="3118" w:type="dxa"/>
            <w:noWrap/>
            <w:hideMark/>
          </w:tcPr>
          <w:p w14:paraId="66A17693"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45,5</w:t>
            </w:r>
          </w:p>
        </w:tc>
      </w:tr>
      <w:tr w:rsidR="00D70FFA" w:rsidRPr="00D70FFA" w14:paraId="6B7CB111"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B7AEC1C" w14:textId="77777777" w:rsidR="00D70FFA" w:rsidRPr="00D70FFA" w:rsidRDefault="00D70FFA" w:rsidP="00D70FFA">
            <w:pPr>
              <w:rPr>
                <w:rFonts w:ascii="Mulish" w:hAnsi="Mulish"/>
                <w:sz w:val="20"/>
              </w:rPr>
            </w:pPr>
            <w:r w:rsidRPr="00D70FFA">
              <w:rPr>
                <w:rFonts w:ascii="Mulish" w:hAnsi="Mulish"/>
                <w:sz w:val="20"/>
              </w:rPr>
              <w:t>AP Bilbao</w:t>
            </w:r>
          </w:p>
        </w:tc>
        <w:tc>
          <w:tcPr>
            <w:tcW w:w="742" w:type="dxa"/>
            <w:noWrap/>
            <w:hideMark/>
          </w:tcPr>
          <w:p w14:paraId="35C0DD5E"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81,3</w:t>
            </w:r>
          </w:p>
        </w:tc>
        <w:tc>
          <w:tcPr>
            <w:tcW w:w="3118" w:type="dxa"/>
            <w:noWrap/>
            <w:hideMark/>
          </w:tcPr>
          <w:p w14:paraId="42F927E7" w14:textId="017C1A38"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Primera Evaluación</w:t>
            </w:r>
            <w:r w:rsidR="00153111">
              <w:rPr>
                <w:rFonts w:ascii="Mulish" w:hAnsi="Mulish"/>
                <w:sz w:val="20"/>
              </w:rPr>
              <w:t xml:space="preserve"> en 2024</w:t>
            </w:r>
          </w:p>
        </w:tc>
      </w:tr>
      <w:tr w:rsidR="00D70FFA" w:rsidRPr="00D70FFA" w14:paraId="50185673" w14:textId="77777777" w:rsidTr="007D1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9A1C573" w14:textId="77777777" w:rsidR="00D70FFA" w:rsidRPr="00D70FFA" w:rsidRDefault="00D70FFA">
            <w:pPr>
              <w:rPr>
                <w:rFonts w:ascii="Mulish" w:hAnsi="Mulish"/>
                <w:sz w:val="20"/>
              </w:rPr>
            </w:pPr>
            <w:r w:rsidRPr="00D70FFA">
              <w:rPr>
                <w:rFonts w:ascii="Mulish" w:hAnsi="Mulish"/>
                <w:sz w:val="20"/>
              </w:rPr>
              <w:t>Agencia EFE</w:t>
            </w:r>
          </w:p>
        </w:tc>
        <w:tc>
          <w:tcPr>
            <w:tcW w:w="742" w:type="dxa"/>
            <w:noWrap/>
            <w:hideMark/>
          </w:tcPr>
          <w:p w14:paraId="3E209263" w14:textId="77777777" w:rsidR="00D70FFA" w:rsidRPr="00D70FFA" w:rsidRDefault="00D70FFA" w:rsidP="00C36A3A">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81,1</w:t>
            </w:r>
          </w:p>
        </w:tc>
        <w:tc>
          <w:tcPr>
            <w:tcW w:w="3118" w:type="dxa"/>
            <w:noWrap/>
            <w:hideMark/>
          </w:tcPr>
          <w:p w14:paraId="029CAFFE" w14:textId="77777777" w:rsidR="00D70FFA" w:rsidRPr="00D70FFA" w:rsidRDefault="00D70FFA" w:rsidP="00153111">
            <w:pPr>
              <w:jc w:val="right"/>
              <w:cnfStyle w:val="000000100000" w:firstRow="0" w:lastRow="0" w:firstColumn="0" w:lastColumn="0" w:oddVBand="0" w:evenVBand="0" w:oddHBand="1" w:evenHBand="0" w:firstRowFirstColumn="0" w:firstRowLastColumn="0" w:lastRowFirstColumn="0" w:lastRowLastColumn="0"/>
              <w:rPr>
                <w:rFonts w:ascii="Mulish" w:hAnsi="Mulish"/>
                <w:sz w:val="20"/>
              </w:rPr>
            </w:pPr>
            <w:r w:rsidRPr="00D70FFA">
              <w:rPr>
                <w:rFonts w:ascii="Mulish" w:hAnsi="Mulish"/>
                <w:sz w:val="20"/>
              </w:rPr>
              <w:t>43,6</w:t>
            </w:r>
          </w:p>
        </w:tc>
      </w:tr>
      <w:tr w:rsidR="00D70FFA" w:rsidRPr="00D70FFA" w14:paraId="2B08007B" w14:textId="77777777" w:rsidTr="007D1395">
        <w:trPr>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0B955F1" w14:textId="77777777" w:rsidR="00D70FFA" w:rsidRPr="00D70FFA" w:rsidRDefault="00D70FFA" w:rsidP="00D70FFA">
            <w:pPr>
              <w:rPr>
                <w:rFonts w:ascii="Mulish" w:hAnsi="Mulish"/>
                <w:sz w:val="20"/>
              </w:rPr>
            </w:pPr>
            <w:r w:rsidRPr="00D70FFA">
              <w:rPr>
                <w:rFonts w:ascii="Mulish" w:hAnsi="Mulish"/>
                <w:sz w:val="20"/>
              </w:rPr>
              <w:t>AP Las Palmas</w:t>
            </w:r>
          </w:p>
        </w:tc>
        <w:tc>
          <w:tcPr>
            <w:tcW w:w="742" w:type="dxa"/>
            <w:noWrap/>
            <w:hideMark/>
          </w:tcPr>
          <w:p w14:paraId="7122D910" w14:textId="77777777" w:rsidR="00D70FFA" w:rsidRPr="00D70FFA" w:rsidRDefault="00D70FFA" w:rsidP="00C36A3A">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81,0</w:t>
            </w:r>
          </w:p>
        </w:tc>
        <w:tc>
          <w:tcPr>
            <w:tcW w:w="3118" w:type="dxa"/>
            <w:noWrap/>
            <w:hideMark/>
          </w:tcPr>
          <w:p w14:paraId="60EE24D6" w14:textId="77777777" w:rsidR="00D70FFA" w:rsidRPr="00D70FFA" w:rsidRDefault="00D70FFA" w:rsidP="00153111">
            <w:pPr>
              <w:jc w:val="right"/>
              <w:cnfStyle w:val="000000000000" w:firstRow="0" w:lastRow="0" w:firstColumn="0" w:lastColumn="0" w:oddVBand="0" w:evenVBand="0" w:oddHBand="0" w:evenHBand="0" w:firstRowFirstColumn="0" w:firstRowLastColumn="0" w:lastRowFirstColumn="0" w:lastRowLastColumn="0"/>
              <w:rPr>
                <w:rFonts w:ascii="Mulish" w:hAnsi="Mulish"/>
                <w:sz w:val="20"/>
              </w:rPr>
            </w:pPr>
            <w:r w:rsidRPr="00D70FFA">
              <w:rPr>
                <w:rFonts w:ascii="Mulish" w:hAnsi="Mulish"/>
                <w:sz w:val="20"/>
              </w:rPr>
              <w:t>38</w:t>
            </w:r>
          </w:p>
        </w:tc>
      </w:tr>
    </w:tbl>
    <w:p w14:paraId="138DDCEF" w14:textId="2E1EC536" w:rsidR="00561567" w:rsidRPr="00941553" w:rsidRDefault="00561567" w:rsidP="006C216F">
      <w:pPr>
        <w:rPr>
          <w:rFonts w:ascii="Mulish" w:hAnsi="Mulish"/>
        </w:rPr>
      </w:pPr>
    </w:p>
    <w:p w14:paraId="446174CC" w14:textId="73A890AB" w:rsidR="00AB5A48" w:rsidRPr="00941553" w:rsidRDefault="00D70FFA" w:rsidP="00AB5A48">
      <w:pPr>
        <w:pStyle w:val="Ttulo3"/>
        <w:rPr>
          <w:rFonts w:ascii="Mulish" w:hAnsi="Mulish"/>
          <w:b w:val="0"/>
          <w:color w:val="auto"/>
          <w:szCs w:val="20"/>
        </w:rPr>
      </w:pPr>
      <w:bookmarkStart w:id="16" w:name="_Toc98321561"/>
      <w:bookmarkStart w:id="17" w:name="_Toc113366621"/>
      <w:bookmarkStart w:id="18" w:name="_Toc140476275"/>
      <w:bookmarkStart w:id="19" w:name="_Toc169082181"/>
      <w:r>
        <w:rPr>
          <w:rFonts w:ascii="Mulish" w:hAnsi="Mulish"/>
          <w:b w:val="0"/>
          <w:color w:val="auto"/>
          <w:szCs w:val="20"/>
        </w:rPr>
        <w:t>Por otra parte, en el Anexo II, se incluye una</w:t>
      </w:r>
      <w:r w:rsidR="00702E60" w:rsidRPr="00941553">
        <w:rPr>
          <w:rFonts w:ascii="Mulish" w:hAnsi="Mulish"/>
          <w:b w:val="0"/>
          <w:color w:val="auto"/>
          <w:szCs w:val="20"/>
        </w:rPr>
        <w:t xml:space="preserve"> tabla</w:t>
      </w:r>
      <w:r w:rsidR="00AB5A48" w:rsidRPr="00941553">
        <w:rPr>
          <w:rFonts w:ascii="Mulish" w:hAnsi="Mulish"/>
          <w:b w:val="0"/>
          <w:color w:val="auto"/>
          <w:szCs w:val="20"/>
        </w:rPr>
        <w:t xml:space="preserve"> </w:t>
      </w:r>
      <w:r>
        <w:rPr>
          <w:rFonts w:ascii="Mulish" w:hAnsi="Mulish"/>
          <w:b w:val="0"/>
          <w:color w:val="auto"/>
          <w:szCs w:val="20"/>
        </w:rPr>
        <w:t xml:space="preserve">que </w:t>
      </w:r>
      <w:r w:rsidR="00AB5A48" w:rsidRPr="00941553">
        <w:rPr>
          <w:rFonts w:ascii="Mulish" w:hAnsi="Mulish"/>
          <w:b w:val="0"/>
          <w:color w:val="auto"/>
          <w:szCs w:val="20"/>
        </w:rPr>
        <w:t xml:space="preserve">muestra los Índices de Cumplimiento individuales alcanzados por las entidades </w:t>
      </w:r>
      <w:r w:rsidR="00702E60" w:rsidRPr="00941553">
        <w:rPr>
          <w:rFonts w:ascii="Mulish" w:hAnsi="Mulish"/>
          <w:b w:val="0"/>
          <w:color w:val="auto"/>
          <w:szCs w:val="20"/>
        </w:rPr>
        <w:t>evaluadas</w:t>
      </w:r>
      <w:r w:rsidR="00AB5A48" w:rsidRPr="00941553">
        <w:rPr>
          <w:rFonts w:ascii="Mulish" w:hAnsi="Mulish"/>
          <w:b w:val="0"/>
          <w:color w:val="auto"/>
          <w:szCs w:val="20"/>
        </w:rPr>
        <w:t>, junto a la evolución de estos índices respecto de 202</w:t>
      </w:r>
      <w:r>
        <w:rPr>
          <w:rFonts w:ascii="Mulish" w:hAnsi="Mulish"/>
          <w:b w:val="0"/>
          <w:color w:val="auto"/>
          <w:szCs w:val="20"/>
        </w:rPr>
        <w:t>3</w:t>
      </w:r>
      <w:r w:rsidR="00AB5A48" w:rsidRPr="00941553">
        <w:rPr>
          <w:rFonts w:ascii="Mulish" w:hAnsi="Mulish"/>
          <w:b w:val="0"/>
          <w:color w:val="auto"/>
          <w:szCs w:val="20"/>
        </w:rPr>
        <w:t>, las recomendaciones</w:t>
      </w:r>
      <w:r w:rsidR="00702E60" w:rsidRPr="00941553">
        <w:rPr>
          <w:rFonts w:ascii="Mulish" w:hAnsi="Mulish"/>
          <w:b w:val="0"/>
          <w:color w:val="auto"/>
          <w:szCs w:val="20"/>
        </w:rPr>
        <w:t xml:space="preserve"> derivadas de la evaluación 202</w:t>
      </w:r>
      <w:r>
        <w:rPr>
          <w:rFonts w:ascii="Mulish" w:hAnsi="Mulish"/>
          <w:b w:val="0"/>
          <w:color w:val="auto"/>
          <w:szCs w:val="20"/>
        </w:rPr>
        <w:t>3</w:t>
      </w:r>
      <w:r w:rsidR="00AB5A48" w:rsidRPr="00941553">
        <w:rPr>
          <w:rFonts w:ascii="Mulish" w:hAnsi="Mulish"/>
          <w:b w:val="0"/>
          <w:color w:val="auto"/>
          <w:szCs w:val="20"/>
        </w:rPr>
        <w:t xml:space="preserve"> implantadas</w:t>
      </w:r>
      <w:r w:rsidR="00651737" w:rsidRPr="00941553">
        <w:rPr>
          <w:rFonts w:ascii="Mulish" w:hAnsi="Mulish"/>
          <w:b w:val="0"/>
          <w:color w:val="auto"/>
          <w:szCs w:val="20"/>
        </w:rPr>
        <w:t>,</w:t>
      </w:r>
      <w:r w:rsidR="00AB5A48" w:rsidRPr="00941553">
        <w:rPr>
          <w:rFonts w:ascii="Mulish" w:hAnsi="Mulish"/>
          <w:b w:val="0"/>
          <w:color w:val="auto"/>
          <w:szCs w:val="20"/>
        </w:rPr>
        <w:t xml:space="preserve"> así como las recomendaciones y mejoras que se han aplicado durante el periodo de observaciones.</w:t>
      </w:r>
      <w:bookmarkEnd w:id="16"/>
      <w:bookmarkEnd w:id="17"/>
      <w:bookmarkEnd w:id="18"/>
      <w:bookmarkEnd w:id="19"/>
    </w:p>
    <w:p w14:paraId="69CA83E2" w14:textId="77777777" w:rsidR="003E5190" w:rsidRPr="00941553" w:rsidRDefault="003E5190" w:rsidP="003E5190">
      <w:pPr>
        <w:rPr>
          <w:rFonts w:ascii="Mulish" w:hAnsi="Mulish"/>
        </w:rPr>
      </w:pPr>
    </w:p>
    <w:p w14:paraId="6CE3AB81" w14:textId="31ED5D2F" w:rsidR="00513EC7" w:rsidRPr="00941553" w:rsidRDefault="00F23BD7" w:rsidP="00E719EF">
      <w:pPr>
        <w:pStyle w:val="Ttulo2"/>
        <w:rPr>
          <w:rFonts w:ascii="Mulish" w:hAnsi="Mulish"/>
        </w:rPr>
      </w:pPr>
      <w:bookmarkStart w:id="20" w:name="_Toc169082182"/>
      <w:r w:rsidRPr="00941553">
        <w:rPr>
          <w:rFonts w:ascii="Mulish" w:hAnsi="Mulish"/>
        </w:rPr>
        <w:t>III.</w:t>
      </w:r>
      <w:r w:rsidR="00D24B74" w:rsidRPr="00941553">
        <w:rPr>
          <w:rFonts w:ascii="Mulish" w:hAnsi="Mulish"/>
        </w:rPr>
        <w:t>4</w:t>
      </w:r>
      <w:r w:rsidRPr="00941553">
        <w:rPr>
          <w:rFonts w:ascii="Mulish" w:hAnsi="Mulish"/>
        </w:rPr>
        <w:t xml:space="preserve">. </w:t>
      </w:r>
      <w:r w:rsidR="00513EC7" w:rsidRPr="00941553">
        <w:rPr>
          <w:rFonts w:ascii="Mulish" w:hAnsi="Mulish"/>
        </w:rPr>
        <w:t xml:space="preserve">Transparencia </w:t>
      </w:r>
      <w:r w:rsidR="00790D71" w:rsidRPr="00941553">
        <w:rPr>
          <w:rFonts w:ascii="Mulish" w:hAnsi="Mulish"/>
        </w:rPr>
        <w:t>Voluntaria y</w:t>
      </w:r>
      <w:r w:rsidR="00513EC7" w:rsidRPr="00941553">
        <w:rPr>
          <w:rFonts w:ascii="Mulish" w:hAnsi="Mulish"/>
        </w:rPr>
        <w:t xml:space="preserve"> </w:t>
      </w:r>
      <w:bookmarkEnd w:id="20"/>
      <w:r w:rsidR="00883BE5" w:rsidRPr="00941553">
        <w:rPr>
          <w:rFonts w:ascii="Mulish" w:hAnsi="Mulish"/>
        </w:rPr>
        <w:t>Buenas Prácticas</w:t>
      </w:r>
    </w:p>
    <w:p w14:paraId="75376048" w14:textId="77777777" w:rsidR="005F0168" w:rsidRPr="00941553" w:rsidRDefault="005F0168" w:rsidP="005F0168">
      <w:pPr>
        <w:rPr>
          <w:rFonts w:ascii="Mulish" w:hAnsi="Mulish"/>
        </w:rPr>
      </w:pPr>
    </w:p>
    <w:p w14:paraId="6875A410" w14:textId="77777777" w:rsidR="005F0168" w:rsidRPr="00941553" w:rsidRDefault="0008061C" w:rsidP="005F0168">
      <w:pPr>
        <w:rPr>
          <w:rFonts w:ascii="Mulish" w:hAnsi="Mulish"/>
        </w:rPr>
      </w:pPr>
      <w:r w:rsidRPr="00941553">
        <w:rPr>
          <w:rFonts w:ascii="Mulish" w:hAnsi="Mulish"/>
        </w:rPr>
        <w:t>Además de la información sujeta a obligaciones de publicidad activa</w:t>
      </w:r>
      <w:r w:rsidR="00337289" w:rsidRPr="00941553">
        <w:rPr>
          <w:rFonts w:ascii="Mulish" w:hAnsi="Mulish"/>
        </w:rPr>
        <w:t>,</w:t>
      </w:r>
      <w:r w:rsidRPr="00941553">
        <w:rPr>
          <w:rFonts w:ascii="Mulish" w:hAnsi="Mulish"/>
        </w:rPr>
        <w:t xml:space="preserve"> </w:t>
      </w:r>
      <w:r w:rsidR="008A7D3B" w:rsidRPr="00941553">
        <w:rPr>
          <w:rFonts w:ascii="Mulish" w:hAnsi="Mulish"/>
        </w:rPr>
        <w:t>muchos de</w:t>
      </w:r>
      <w:r w:rsidRPr="00941553">
        <w:rPr>
          <w:rFonts w:ascii="Mulish" w:hAnsi="Mulish"/>
        </w:rPr>
        <w:t xml:space="preserve"> los organismos</w:t>
      </w:r>
      <w:r w:rsidR="006C216F" w:rsidRPr="00941553">
        <w:rPr>
          <w:rFonts w:ascii="Mulish" w:hAnsi="Mulish"/>
        </w:rPr>
        <w:t xml:space="preserve"> y entidades</w:t>
      </w:r>
      <w:r w:rsidRPr="00941553">
        <w:rPr>
          <w:rFonts w:ascii="Mulish" w:hAnsi="Mulish"/>
        </w:rPr>
        <w:t xml:space="preserve"> </w:t>
      </w:r>
      <w:r w:rsidR="006C216F" w:rsidRPr="00941553">
        <w:rPr>
          <w:rFonts w:ascii="Mulish" w:hAnsi="Mulish"/>
        </w:rPr>
        <w:t>evaluadas</w:t>
      </w:r>
      <w:r w:rsidRPr="00941553">
        <w:rPr>
          <w:rFonts w:ascii="Mulish" w:hAnsi="Mulish"/>
        </w:rPr>
        <w:t xml:space="preserve"> publican información </w:t>
      </w:r>
      <w:r w:rsidR="00384774" w:rsidRPr="00941553">
        <w:rPr>
          <w:rFonts w:ascii="Mulish" w:hAnsi="Mulish"/>
        </w:rPr>
        <w:t>voluntaria</w:t>
      </w:r>
      <w:r w:rsidRPr="00941553">
        <w:rPr>
          <w:rFonts w:ascii="Mulish" w:hAnsi="Mulish"/>
        </w:rPr>
        <w:t xml:space="preserve">, relevante desde el punto de vista de la </w:t>
      </w:r>
      <w:r w:rsidR="00247E8E" w:rsidRPr="00941553">
        <w:rPr>
          <w:rFonts w:ascii="Mulish" w:hAnsi="Mulish"/>
        </w:rPr>
        <w:t>rendición de cuentas</w:t>
      </w:r>
      <w:r w:rsidRPr="00941553">
        <w:rPr>
          <w:rFonts w:ascii="Mulish" w:hAnsi="Mulish"/>
        </w:rPr>
        <w:t>, lo que constituye una muestra de su interés por hacer más transparente su gestión.</w:t>
      </w:r>
      <w:r w:rsidR="001963A1" w:rsidRPr="00941553">
        <w:rPr>
          <w:rFonts w:ascii="Mulish" w:hAnsi="Mulish"/>
        </w:rPr>
        <w:t xml:space="preserve"> Algunas de estas informaciones son obligaciones de publicidad activa recogidas en la LTAIBG</w:t>
      </w:r>
      <w:r w:rsidR="00337289" w:rsidRPr="00941553">
        <w:rPr>
          <w:rFonts w:ascii="Mulish" w:hAnsi="Mulish"/>
        </w:rPr>
        <w:t>,</w:t>
      </w:r>
      <w:r w:rsidR="001963A1" w:rsidRPr="00941553">
        <w:rPr>
          <w:rFonts w:ascii="Mulish" w:hAnsi="Mulish"/>
        </w:rPr>
        <w:t xml:space="preserve"> pero que no son aplicables a las organizaciones que las publican, por ejemplo, la publicación de información sobre planificación por sociedades mercantiles o fundaciones.</w:t>
      </w:r>
    </w:p>
    <w:p w14:paraId="0423E809" w14:textId="5A3666B3" w:rsidR="0008061C" w:rsidRPr="00941553" w:rsidRDefault="00724D28" w:rsidP="005F0168">
      <w:pPr>
        <w:rPr>
          <w:rFonts w:ascii="Mulish" w:hAnsi="Mulish"/>
        </w:rPr>
      </w:pPr>
      <w:r>
        <w:rPr>
          <w:rFonts w:ascii="Mulish" w:hAnsi="Mulish"/>
        </w:rPr>
        <w:lastRenderedPageBreak/>
        <w:t xml:space="preserve">En el Anexo III se </w:t>
      </w:r>
      <w:r w:rsidR="00DB1A75">
        <w:rPr>
          <w:rFonts w:ascii="Mulish" w:hAnsi="Mulish"/>
        </w:rPr>
        <w:t xml:space="preserve">incluye </w:t>
      </w:r>
      <w:r w:rsidR="00DB1A75" w:rsidRPr="00941553">
        <w:rPr>
          <w:rFonts w:ascii="Mulish" w:hAnsi="Mulish"/>
        </w:rPr>
        <w:t>un</w:t>
      </w:r>
      <w:r>
        <w:rPr>
          <w:rFonts w:ascii="Mulish" w:hAnsi="Mulish"/>
        </w:rPr>
        <w:t xml:space="preserve"> </w:t>
      </w:r>
      <w:r w:rsidR="00702E60" w:rsidRPr="00941553">
        <w:rPr>
          <w:rFonts w:ascii="Mulish" w:hAnsi="Mulish"/>
        </w:rPr>
        <w:t>cuadro</w:t>
      </w:r>
      <w:r w:rsidR="0008061C" w:rsidRPr="00941553">
        <w:rPr>
          <w:rFonts w:ascii="Mulish" w:hAnsi="Mulish"/>
        </w:rPr>
        <w:t xml:space="preserve"> recoge, las informaciones de transparencia </w:t>
      </w:r>
      <w:r w:rsidR="00AF02EB" w:rsidRPr="00941553">
        <w:rPr>
          <w:rFonts w:ascii="Mulish" w:hAnsi="Mulish"/>
        </w:rPr>
        <w:t>voluntaria</w:t>
      </w:r>
      <w:r w:rsidR="0008061C" w:rsidRPr="00941553">
        <w:rPr>
          <w:rFonts w:ascii="Mulish" w:hAnsi="Mulish"/>
        </w:rPr>
        <w:t xml:space="preserve"> que se publican, ordenadas en función de la frecuencia de publicación. También se recogen otras informaciones </w:t>
      </w:r>
      <w:r w:rsidR="00702E60" w:rsidRPr="00941553">
        <w:rPr>
          <w:rFonts w:ascii="Mulish" w:hAnsi="Mulish"/>
        </w:rPr>
        <w:t>voluntarias</w:t>
      </w:r>
      <w:r w:rsidR="0008061C" w:rsidRPr="00941553">
        <w:rPr>
          <w:rFonts w:ascii="Mulish" w:hAnsi="Mulish"/>
        </w:rPr>
        <w:t xml:space="preserve"> menos frecuentes, pero significativas respecto de la rendición de cuentas. </w:t>
      </w:r>
    </w:p>
    <w:p w14:paraId="12F203D2" w14:textId="28CB28FD" w:rsidR="006A2316" w:rsidRPr="00941553" w:rsidRDefault="006D0307" w:rsidP="006A2316">
      <w:pPr>
        <w:rPr>
          <w:rFonts w:ascii="Mulish" w:hAnsi="Mulish"/>
        </w:rPr>
      </w:pPr>
      <w:r w:rsidRPr="00941553">
        <w:rPr>
          <w:rFonts w:ascii="Mulish" w:hAnsi="Mulish"/>
        </w:rPr>
        <w:t>L</w:t>
      </w:r>
      <w:r w:rsidR="006A2316" w:rsidRPr="00941553">
        <w:rPr>
          <w:rFonts w:ascii="Mulish" w:hAnsi="Mulish"/>
        </w:rPr>
        <w:t xml:space="preserve">as organizaciones evaluadas </w:t>
      </w:r>
      <w:r w:rsidRPr="00941553">
        <w:rPr>
          <w:rFonts w:ascii="Mulish" w:hAnsi="Mulish"/>
        </w:rPr>
        <w:t xml:space="preserve">también </w:t>
      </w:r>
      <w:r w:rsidR="006219DA" w:rsidRPr="00941553">
        <w:rPr>
          <w:rFonts w:ascii="Mulish" w:hAnsi="Mulish"/>
        </w:rPr>
        <w:t xml:space="preserve">acreditan buenas prácticas en relación con el cumplimiento de las obligaciones de publicidad activa </w:t>
      </w:r>
      <w:r w:rsidR="00596EDD" w:rsidRPr="00941553">
        <w:rPr>
          <w:rFonts w:ascii="Mulish" w:hAnsi="Mulish"/>
        </w:rPr>
        <w:t xml:space="preserve">que podrían ser aplicadas por otros sujetos obligados. </w:t>
      </w:r>
      <w:r w:rsidR="00DB1A75">
        <w:rPr>
          <w:rFonts w:ascii="Mulish" w:hAnsi="Mulish"/>
        </w:rPr>
        <w:t>En el Anexo IV se incluye un cuadro que</w:t>
      </w:r>
      <w:r w:rsidR="00596EDD" w:rsidRPr="00941553">
        <w:rPr>
          <w:rFonts w:ascii="Mulish" w:hAnsi="Mulish"/>
        </w:rPr>
        <w:t xml:space="preserve"> resume las buenas prácticas localizadas en el transcurso de la evaluación de</w:t>
      </w:r>
      <w:r w:rsidRPr="00941553">
        <w:rPr>
          <w:rFonts w:ascii="Mulish" w:hAnsi="Mulish"/>
        </w:rPr>
        <w:t xml:space="preserve"> </w:t>
      </w:r>
      <w:r w:rsidR="00596EDD" w:rsidRPr="00941553">
        <w:rPr>
          <w:rFonts w:ascii="Mulish" w:hAnsi="Mulish"/>
        </w:rPr>
        <w:t>los Portales de Transparencia</w:t>
      </w:r>
      <w:r w:rsidRPr="00941553">
        <w:rPr>
          <w:rFonts w:ascii="Mulish" w:hAnsi="Mulish"/>
        </w:rPr>
        <w:t>.</w:t>
      </w:r>
    </w:p>
    <w:p w14:paraId="69895100" w14:textId="14F03C51" w:rsidR="00801472" w:rsidRPr="00941553" w:rsidRDefault="00801472" w:rsidP="00801472">
      <w:pPr>
        <w:pStyle w:val="Descripcin"/>
        <w:keepNext/>
        <w:rPr>
          <w:rFonts w:ascii="Mulish" w:hAnsi="Mulish"/>
          <w:color w:val="438086" w:themeColor="accent2"/>
          <w:sz w:val="22"/>
          <w:szCs w:val="22"/>
        </w:rPr>
      </w:pPr>
    </w:p>
    <w:p w14:paraId="0E0B6C42" w14:textId="77777777" w:rsidR="00513EC7" w:rsidRPr="00941553" w:rsidRDefault="0065420F" w:rsidP="00022692">
      <w:pPr>
        <w:pStyle w:val="Ttulo1"/>
        <w:numPr>
          <w:ilvl w:val="0"/>
          <w:numId w:val="8"/>
        </w:numPr>
        <w:rPr>
          <w:rFonts w:ascii="Mulish" w:hAnsi="Mulish"/>
        </w:rPr>
      </w:pPr>
      <w:bookmarkStart w:id="21" w:name="_Toc169082183"/>
      <w:r w:rsidRPr="00941553">
        <w:rPr>
          <w:rFonts w:ascii="Mulish" w:hAnsi="Mulish"/>
        </w:rPr>
        <w:t>Conclusiones y Recomendaciones</w:t>
      </w:r>
      <w:bookmarkEnd w:id="21"/>
    </w:p>
    <w:p w14:paraId="6744D7F2" w14:textId="77777777" w:rsidR="00596EDD" w:rsidRPr="00941553" w:rsidRDefault="00596EDD" w:rsidP="00596EDD">
      <w:pPr>
        <w:rPr>
          <w:rFonts w:ascii="Mulish" w:hAnsi="Mulish"/>
        </w:rPr>
      </w:pPr>
    </w:p>
    <w:p w14:paraId="1E36C909" w14:textId="37A50E90" w:rsidR="00D67951" w:rsidRPr="00941553" w:rsidRDefault="007320EA" w:rsidP="00D67951">
      <w:pPr>
        <w:rPr>
          <w:rFonts w:ascii="Mulish" w:hAnsi="Mulish"/>
          <w:b/>
          <w:color w:val="325F64" w:themeColor="accent2" w:themeShade="BF"/>
        </w:rPr>
      </w:pPr>
      <w:r w:rsidRPr="00941553">
        <w:rPr>
          <w:rFonts w:ascii="Mulish" w:hAnsi="Mulish"/>
          <w:b/>
          <w:color w:val="325F64" w:themeColor="accent2" w:themeShade="BF"/>
        </w:rPr>
        <w:t xml:space="preserve">El </w:t>
      </w:r>
      <w:r w:rsidR="00F307A7">
        <w:rPr>
          <w:rFonts w:ascii="Mulish" w:hAnsi="Mulish"/>
          <w:b/>
          <w:color w:val="325F64" w:themeColor="accent2" w:themeShade="BF"/>
        </w:rPr>
        <w:t>77,3</w:t>
      </w:r>
      <w:r w:rsidRPr="00941553">
        <w:rPr>
          <w:rFonts w:ascii="Mulish" w:hAnsi="Mulish"/>
          <w:b/>
          <w:color w:val="325F64" w:themeColor="accent2" w:themeShade="BF"/>
        </w:rPr>
        <w:t>%</w:t>
      </w:r>
      <w:r w:rsidR="00D46714" w:rsidRPr="00941553">
        <w:rPr>
          <w:rFonts w:ascii="Mulish" w:hAnsi="Mulish"/>
          <w:b/>
          <w:color w:val="325F64" w:themeColor="accent2" w:themeShade="BF"/>
        </w:rPr>
        <w:t xml:space="preserve"> </w:t>
      </w:r>
      <w:r w:rsidR="006D7EE4" w:rsidRPr="00941553">
        <w:rPr>
          <w:rFonts w:ascii="Mulish" w:hAnsi="Mulish"/>
          <w:b/>
          <w:color w:val="325F64" w:themeColor="accent2" w:themeShade="BF"/>
        </w:rPr>
        <w:t xml:space="preserve">de </w:t>
      </w:r>
      <w:r w:rsidR="00F307A7">
        <w:rPr>
          <w:rFonts w:ascii="Mulish" w:hAnsi="Mulish"/>
          <w:b/>
          <w:color w:val="325F64" w:themeColor="accent2" w:themeShade="BF"/>
        </w:rPr>
        <w:t>las entidades evaluadas</w:t>
      </w:r>
      <w:r w:rsidR="006D7EE4" w:rsidRPr="00941553">
        <w:rPr>
          <w:rFonts w:ascii="Mulish" w:hAnsi="Mulish"/>
          <w:b/>
          <w:color w:val="325F64" w:themeColor="accent2" w:themeShade="BF"/>
        </w:rPr>
        <w:t xml:space="preserve"> cuenta con un portal de transparencia que</w:t>
      </w:r>
      <w:r w:rsidR="00F307A7">
        <w:rPr>
          <w:rFonts w:ascii="Mulish" w:hAnsi="Mulish"/>
          <w:b/>
          <w:color w:val="325F64" w:themeColor="accent2" w:themeShade="BF"/>
        </w:rPr>
        <w:t xml:space="preserve">, </w:t>
      </w:r>
      <w:r w:rsidR="00883BE5">
        <w:rPr>
          <w:rFonts w:ascii="Mulish" w:hAnsi="Mulish"/>
          <w:b/>
          <w:color w:val="325F64" w:themeColor="accent2" w:themeShade="BF"/>
        </w:rPr>
        <w:t>casi en</w:t>
      </w:r>
      <w:r w:rsidR="00F307A7">
        <w:rPr>
          <w:rFonts w:ascii="Mulish" w:hAnsi="Mulish"/>
          <w:b/>
          <w:color w:val="325F64" w:themeColor="accent2" w:themeShade="BF"/>
        </w:rPr>
        <w:t xml:space="preserve"> el 67% de los casos</w:t>
      </w:r>
      <w:r w:rsidR="00E664A9" w:rsidRPr="00941553">
        <w:rPr>
          <w:rFonts w:ascii="Mulish" w:hAnsi="Mulish"/>
          <w:b/>
          <w:color w:val="325F64" w:themeColor="accent2" w:themeShade="BF"/>
        </w:rPr>
        <w:t>,</w:t>
      </w:r>
      <w:r w:rsidR="006D7EE4" w:rsidRPr="00941553">
        <w:rPr>
          <w:rFonts w:ascii="Mulish" w:hAnsi="Mulish"/>
          <w:b/>
          <w:color w:val="325F64" w:themeColor="accent2" w:themeShade="BF"/>
        </w:rPr>
        <w:t xml:space="preserve"> se encuentra ubicado en un lugar visible de su web institucional.</w:t>
      </w:r>
    </w:p>
    <w:p w14:paraId="36CB168B" w14:textId="755BC74C" w:rsidR="00D67951" w:rsidRPr="00941553" w:rsidRDefault="007B3E8B" w:rsidP="00D67951">
      <w:pPr>
        <w:rPr>
          <w:rFonts w:ascii="Mulish" w:hAnsi="Mulish"/>
        </w:rPr>
      </w:pPr>
      <w:r>
        <w:rPr>
          <w:rFonts w:ascii="Mulish" w:hAnsi="Mulish"/>
        </w:rPr>
        <w:t>Casi el 23</w:t>
      </w:r>
      <w:r w:rsidR="00E664A9" w:rsidRPr="00941553">
        <w:rPr>
          <w:rFonts w:ascii="Mulish" w:hAnsi="Mulish"/>
        </w:rPr>
        <w:t>%</w:t>
      </w:r>
      <w:r w:rsidR="006D7EE4" w:rsidRPr="00941553">
        <w:rPr>
          <w:rFonts w:ascii="Mulish" w:hAnsi="Mulish"/>
        </w:rPr>
        <w:t xml:space="preserve"> de los organismos </w:t>
      </w:r>
      <w:r w:rsidR="00E664A9" w:rsidRPr="00941553">
        <w:rPr>
          <w:rFonts w:ascii="Mulish" w:hAnsi="Mulish"/>
        </w:rPr>
        <w:t xml:space="preserve">y entidades </w:t>
      </w:r>
      <w:r w:rsidR="006D7EE4" w:rsidRPr="00941553">
        <w:rPr>
          <w:rFonts w:ascii="Mulish" w:hAnsi="Mulish"/>
        </w:rPr>
        <w:t>carece de un espacio específico en el que ubicar la información sujeta a obligaciones de publicidad activa, lo que, a su vez, implica q</w:t>
      </w:r>
      <w:r w:rsidR="00D46714" w:rsidRPr="00941553">
        <w:rPr>
          <w:rFonts w:ascii="Mulish" w:hAnsi="Mulish"/>
        </w:rPr>
        <w:t>ue esta información se encuentre</w:t>
      </w:r>
      <w:r w:rsidR="006D7EE4" w:rsidRPr="00941553">
        <w:rPr>
          <w:rFonts w:ascii="Mulish" w:hAnsi="Mulish"/>
        </w:rPr>
        <w:t xml:space="preserve"> dispersa en los distintos accesos de sus webs institucionales. Entre los organismos y entidades que </w:t>
      </w:r>
      <w:r w:rsidR="00D67951" w:rsidRPr="00941553">
        <w:rPr>
          <w:rFonts w:ascii="Mulish" w:hAnsi="Mulish"/>
        </w:rPr>
        <w:t>disponen de un portal de transparencia</w:t>
      </w:r>
      <w:r w:rsidR="001C07E7" w:rsidRPr="00941553">
        <w:rPr>
          <w:rFonts w:ascii="Mulish" w:hAnsi="Mulish"/>
        </w:rPr>
        <w:t>,</w:t>
      </w:r>
      <w:r w:rsidR="00D67951" w:rsidRPr="00941553">
        <w:rPr>
          <w:rFonts w:ascii="Mulish" w:hAnsi="Mulish"/>
        </w:rPr>
        <w:t xml:space="preserve"> </w:t>
      </w:r>
      <w:r>
        <w:rPr>
          <w:rFonts w:ascii="Mulish" w:hAnsi="Mulish"/>
        </w:rPr>
        <w:t>el 34,4% organiza</w:t>
      </w:r>
      <w:r w:rsidRPr="00941553">
        <w:rPr>
          <w:rFonts w:ascii="Mulish" w:hAnsi="Mulish"/>
        </w:rPr>
        <w:t xml:space="preserve"> la</w:t>
      </w:r>
      <w:r w:rsidR="00D67951" w:rsidRPr="00941553">
        <w:rPr>
          <w:rFonts w:ascii="Mulish" w:hAnsi="Mulish"/>
        </w:rPr>
        <w:t xml:space="preserve"> información siguiendo la estructura de la LTAIBG. </w:t>
      </w:r>
      <w:r w:rsidR="00D46714" w:rsidRPr="00941553">
        <w:rPr>
          <w:rFonts w:ascii="Mulish" w:hAnsi="Mulish"/>
        </w:rPr>
        <w:t>Más de</w:t>
      </w:r>
      <w:r w:rsidR="00E664A9" w:rsidRPr="00941553">
        <w:rPr>
          <w:rFonts w:ascii="Mulish" w:hAnsi="Mulish"/>
        </w:rPr>
        <w:t xml:space="preserve">l </w:t>
      </w:r>
      <w:r>
        <w:rPr>
          <w:rFonts w:ascii="Mulish" w:hAnsi="Mulish"/>
        </w:rPr>
        <w:t>59</w:t>
      </w:r>
      <w:r w:rsidR="00E664A9" w:rsidRPr="00941553">
        <w:rPr>
          <w:rFonts w:ascii="Mulish" w:hAnsi="Mulish"/>
        </w:rPr>
        <w:t>%</w:t>
      </w:r>
      <w:r w:rsidR="006D7EE4" w:rsidRPr="00941553">
        <w:rPr>
          <w:rFonts w:ascii="Mulish" w:hAnsi="Mulish"/>
        </w:rPr>
        <w:t xml:space="preserve"> de las entidades </w:t>
      </w:r>
      <w:r w:rsidR="00D67951" w:rsidRPr="00941553">
        <w:rPr>
          <w:rFonts w:ascii="Mulish" w:hAnsi="Mulish"/>
        </w:rPr>
        <w:t>publican información obligatoria al margen de su Portal de Transparencia, lo que dificulta su localización.</w:t>
      </w:r>
    </w:p>
    <w:p w14:paraId="282C95C9" w14:textId="24E7E88B" w:rsidR="00D46714" w:rsidRPr="00941553" w:rsidRDefault="00D46714" w:rsidP="001C07E7">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rPr>
      </w:pPr>
      <w:r w:rsidRPr="00941553">
        <w:rPr>
          <w:rFonts w:ascii="Mulish" w:hAnsi="Mulish"/>
        </w:rPr>
        <w:t>Para facilitar la localización y la accesibilidad a la información, sería deseable que todas las entidades contasen con un espacio diferenciado para la publicación de la información sujeta a obligaciones de publicidad activa. La información obligatoria podría incorporarse directamente a este espacio o bien mediante enlace, en el supuesto de que se encuentre publicada en otros apartados de la web institucional</w:t>
      </w:r>
      <w:r w:rsidR="0002330D">
        <w:rPr>
          <w:rFonts w:ascii="Mulish" w:hAnsi="Mulish"/>
        </w:rPr>
        <w:t xml:space="preserve">, </w:t>
      </w:r>
      <w:r w:rsidR="0002330D" w:rsidRPr="00941553">
        <w:rPr>
          <w:rFonts w:ascii="Mulish" w:hAnsi="Mulish"/>
        </w:rPr>
        <w:t>ubicando dicho enlace en el bloque de información al que pertenezca.</w:t>
      </w:r>
    </w:p>
    <w:p w14:paraId="517AF7D7" w14:textId="3AB68914" w:rsidR="00D67951" w:rsidRPr="00941553" w:rsidRDefault="00D67951" w:rsidP="001C07E7">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rPr>
      </w:pPr>
      <w:r w:rsidRPr="00941553">
        <w:rPr>
          <w:rFonts w:ascii="Mulish" w:hAnsi="Mulish"/>
        </w:rPr>
        <w:t>En la medida de lo posible</w:t>
      </w:r>
      <w:r w:rsidR="001C07E7" w:rsidRPr="00941553">
        <w:rPr>
          <w:rFonts w:ascii="Mulish" w:hAnsi="Mulish"/>
        </w:rPr>
        <w:t>,</w:t>
      </w:r>
      <w:r w:rsidRPr="00941553">
        <w:rPr>
          <w:rFonts w:ascii="Mulish" w:hAnsi="Mulish"/>
        </w:rPr>
        <w:t xml:space="preserve"> la</w:t>
      </w:r>
      <w:r w:rsidR="00E664A9" w:rsidRPr="00941553">
        <w:rPr>
          <w:rFonts w:ascii="Mulish" w:hAnsi="Mulish"/>
        </w:rPr>
        <w:t xml:space="preserve"> organización de la </w:t>
      </w:r>
      <w:r w:rsidRPr="00941553">
        <w:rPr>
          <w:rFonts w:ascii="Mulish" w:hAnsi="Mulish"/>
        </w:rPr>
        <w:t>información debe ajustarse al patrón establecido por la LTAIBG: Información Institucional</w:t>
      </w:r>
      <w:r w:rsidR="006D7EE4" w:rsidRPr="00941553">
        <w:rPr>
          <w:rFonts w:ascii="Mulish" w:hAnsi="Mulish"/>
        </w:rPr>
        <w:t>,</w:t>
      </w:r>
      <w:r w:rsidRPr="00941553">
        <w:rPr>
          <w:rFonts w:ascii="Mulish" w:hAnsi="Mulish"/>
        </w:rPr>
        <w:t xml:space="preserve"> Organizativa</w:t>
      </w:r>
      <w:r w:rsidR="006D7EE4" w:rsidRPr="00941553">
        <w:rPr>
          <w:rFonts w:ascii="Mulish" w:hAnsi="Mulish"/>
        </w:rPr>
        <w:t xml:space="preserve"> y de Planificación</w:t>
      </w:r>
      <w:r w:rsidR="0002330D">
        <w:rPr>
          <w:rFonts w:ascii="Mulish" w:hAnsi="Mulish"/>
        </w:rPr>
        <w:t xml:space="preserve"> (artículo 6 y 6 bis)</w:t>
      </w:r>
      <w:r w:rsidR="006D7EE4" w:rsidRPr="00941553">
        <w:rPr>
          <w:rFonts w:ascii="Mulish" w:hAnsi="Mulish"/>
        </w:rPr>
        <w:t>, Información de Relevancia Jurídica</w:t>
      </w:r>
      <w:r w:rsidR="0002330D">
        <w:rPr>
          <w:rFonts w:ascii="Mulish" w:hAnsi="Mulish"/>
        </w:rPr>
        <w:t xml:space="preserve"> (artículo 7)</w:t>
      </w:r>
      <w:r w:rsidR="006D7EE4" w:rsidRPr="00941553">
        <w:rPr>
          <w:rFonts w:ascii="Mulish" w:hAnsi="Mulish"/>
        </w:rPr>
        <w:t>,</w:t>
      </w:r>
      <w:r w:rsidRPr="00941553">
        <w:rPr>
          <w:rFonts w:ascii="Mulish" w:hAnsi="Mulish"/>
        </w:rPr>
        <w:t xml:space="preserve"> Información Económica</w:t>
      </w:r>
      <w:r w:rsidR="006D7EE4" w:rsidRPr="00941553">
        <w:rPr>
          <w:rFonts w:ascii="Mulish" w:hAnsi="Mulish"/>
        </w:rPr>
        <w:t>, P</w:t>
      </w:r>
      <w:r w:rsidRPr="00941553">
        <w:rPr>
          <w:rFonts w:ascii="Mulish" w:hAnsi="Mulish"/>
        </w:rPr>
        <w:t>resupuestaria</w:t>
      </w:r>
      <w:r w:rsidR="006D7EE4" w:rsidRPr="00941553">
        <w:rPr>
          <w:rFonts w:ascii="Mulish" w:hAnsi="Mulish"/>
        </w:rPr>
        <w:t xml:space="preserve"> y Estadística e Información Patrimonial</w:t>
      </w:r>
      <w:r w:rsidR="0002330D">
        <w:rPr>
          <w:rFonts w:ascii="Mulish" w:hAnsi="Mulish"/>
        </w:rPr>
        <w:t xml:space="preserve"> (artículo 8)</w:t>
      </w:r>
      <w:r w:rsidRPr="00941553">
        <w:rPr>
          <w:rFonts w:ascii="Mulish" w:hAnsi="Mulish"/>
        </w:rPr>
        <w:t>, dado que es esperable que los ciudadanos utilicen la Ley como referencia para localizar la información.</w:t>
      </w:r>
    </w:p>
    <w:p w14:paraId="612D04AF" w14:textId="77777777" w:rsidR="00222E00" w:rsidRDefault="00222E00" w:rsidP="00D67951">
      <w:pPr>
        <w:rPr>
          <w:rFonts w:ascii="Mulish" w:hAnsi="Mulish"/>
          <w:b/>
          <w:color w:val="325F64" w:themeColor="accent2" w:themeShade="BF"/>
        </w:rPr>
      </w:pPr>
    </w:p>
    <w:p w14:paraId="37D77C3F" w14:textId="4D6C1124" w:rsidR="00D67951" w:rsidRPr="00941553" w:rsidRDefault="00D67951" w:rsidP="00D67951">
      <w:pPr>
        <w:rPr>
          <w:rFonts w:ascii="Mulish" w:hAnsi="Mulish"/>
          <w:b/>
          <w:color w:val="325F64" w:themeColor="accent2" w:themeShade="BF"/>
        </w:rPr>
      </w:pPr>
      <w:r w:rsidRPr="00941553">
        <w:rPr>
          <w:rFonts w:ascii="Mulish" w:hAnsi="Mulish"/>
          <w:b/>
          <w:color w:val="325F64" w:themeColor="accent2" w:themeShade="BF"/>
        </w:rPr>
        <w:lastRenderedPageBreak/>
        <w:t>En promedio</w:t>
      </w:r>
      <w:r w:rsidR="00591E4A" w:rsidRPr="00941553">
        <w:rPr>
          <w:rFonts w:ascii="Mulish" w:hAnsi="Mulish"/>
          <w:b/>
          <w:color w:val="325F64" w:themeColor="accent2" w:themeShade="BF"/>
        </w:rPr>
        <w:t>,</w:t>
      </w:r>
      <w:r w:rsidRPr="00941553">
        <w:rPr>
          <w:rFonts w:ascii="Mulish" w:hAnsi="Mulish"/>
          <w:b/>
          <w:color w:val="325F64" w:themeColor="accent2" w:themeShade="BF"/>
        </w:rPr>
        <w:t xml:space="preserve"> </w:t>
      </w:r>
      <w:r w:rsidR="00DA7486" w:rsidRPr="00941553">
        <w:rPr>
          <w:rFonts w:ascii="Mulish" w:hAnsi="Mulish"/>
          <w:b/>
          <w:color w:val="325F64" w:themeColor="accent2" w:themeShade="BF"/>
        </w:rPr>
        <w:t>la proporción</w:t>
      </w:r>
      <w:r w:rsidRPr="00941553">
        <w:rPr>
          <w:rFonts w:ascii="Mulish" w:hAnsi="Mulish"/>
          <w:b/>
          <w:color w:val="325F64" w:themeColor="accent2" w:themeShade="BF"/>
        </w:rPr>
        <w:t xml:space="preserve"> de informaciones obligatorias </w:t>
      </w:r>
      <w:r w:rsidR="00DA7486" w:rsidRPr="00941553">
        <w:rPr>
          <w:rFonts w:ascii="Mulish" w:hAnsi="Mulish"/>
          <w:b/>
          <w:color w:val="325F64" w:themeColor="accent2" w:themeShade="BF"/>
        </w:rPr>
        <w:t xml:space="preserve">que se publican </w:t>
      </w:r>
      <w:r w:rsidR="00E664A9" w:rsidRPr="00941553">
        <w:rPr>
          <w:rFonts w:ascii="Mulish" w:hAnsi="Mulish"/>
          <w:b/>
          <w:color w:val="325F64" w:themeColor="accent2" w:themeShade="BF"/>
        </w:rPr>
        <w:t xml:space="preserve">se sitúa en el </w:t>
      </w:r>
      <w:r w:rsidR="0002330D">
        <w:rPr>
          <w:rFonts w:ascii="Mulish" w:hAnsi="Mulish"/>
          <w:b/>
          <w:color w:val="325F64" w:themeColor="accent2" w:themeShade="BF"/>
        </w:rPr>
        <w:t>46,2</w:t>
      </w:r>
      <w:r w:rsidR="00E664A9" w:rsidRPr="00941553">
        <w:rPr>
          <w:rFonts w:ascii="Mulish" w:hAnsi="Mulish"/>
          <w:b/>
          <w:color w:val="325F64" w:themeColor="accent2" w:themeShade="BF"/>
        </w:rPr>
        <w:t>%,</w:t>
      </w:r>
      <w:r w:rsidR="00DA7486" w:rsidRPr="00941553">
        <w:rPr>
          <w:rFonts w:ascii="Mulish" w:hAnsi="Mulish"/>
          <w:b/>
          <w:color w:val="325F64" w:themeColor="accent2" w:themeShade="BF"/>
        </w:rPr>
        <w:t xml:space="preserve"> </w:t>
      </w:r>
      <w:r w:rsidRPr="00941553">
        <w:rPr>
          <w:rFonts w:ascii="Mulish" w:hAnsi="Mulish"/>
          <w:b/>
          <w:color w:val="325F64" w:themeColor="accent2" w:themeShade="BF"/>
        </w:rPr>
        <w:t xml:space="preserve">aunque existen diferencias entre bloques de información y una gran variabilidad entre las </w:t>
      </w:r>
      <w:r w:rsidR="003A6B5E" w:rsidRPr="00941553">
        <w:rPr>
          <w:rFonts w:ascii="Mulish" w:hAnsi="Mulish"/>
          <w:b/>
          <w:color w:val="325F64" w:themeColor="accent2" w:themeShade="BF"/>
        </w:rPr>
        <w:t>entidades</w:t>
      </w:r>
      <w:r w:rsidRPr="00941553">
        <w:rPr>
          <w:rFonts w:ascii="Mulish" w:hAnsi="Mulish"/>
          <w:b/>
          <w:color w:val="325F64" w:themeColor="accent2" w:themeShade="BF"/>
        </w:rPr>
        <w:t xml:space="preserve"> evaluadas. </w:t>
      </w:r>
    </w:p>
    <w:p w14:paraId="60C660EA" w14:textId="3EFE4F9F" w:rsidR="00DA7486" w:rsidRPr="00941553" w:rsidRDefault="00D67951" w:rsidP="00D67951">
      <w:pPr>
        <w:rPr>
          <w:rFonts w:ascii="Mulish" w:hAnsi="Mulish"/>
        </w:rPr>
      </w:pPr>
      <w:r w:rsidRPr="00941553">
        <w:rPr>
          <w:rFonts w:ascii="Mulish" w:hAnsi="Mulish"/>
        </w:rPr>
        <w:t>Mientras en el bloque de</w:t>
      </w:r>
      <w:r w:rsidR="006C3C82" w:rsidRPr="00941553">
        <w:rPr>
          <w:rFonts w:ascii="Mulish" w:hAnsi="Mulish"/>
        </w:rPr>
        <w:t xml:space="preserve"> </w:t>
      </w:r>
      <w:r w:rsidR="001D5FAD" w:rsidRPr="00941553">
        <w:rPr>
          <w:rFonts w:ascii="Mulish" w:hAnsi="Mulish"/>
        </w:rPr>
        <w:t>Información Institucional,</w:t>
      </w:r>
      <w:r w:rsidRPr="00941553">
        <w:rPr>
          <w:rFonts w:ascii="Mulish" w:hAnsi="Mulish"/>
        </w:rPr>
        <w:t xml:space="preserve"> Organizativa</w:t>
      </w:r>
      <w:r w:rsidR="001D5FAD" w:rsidRPr="00941553">
        <w:rPr>
          <w:rFonts w:ascii="Mulish" w:hAnsi="Mulish"/>
        </w:rPr>
        <w:t xml:space="preserve"> y de Planificación</w:t>
      </w:r>
      <w:r w:rsidRPr="00941553">
        <w:rPr>
          <w:rFonts w:ascii="Mulish" w:hAnsi="Mulish"/>
        </w:rPr>
        <w:t xml:space="preserve"> </w:t>
      </w:r>
      <w:r w:rsidR="00DA7486" w:rsidRPr="00941553">
        <w:rPr>
          <w:rFonts w:ascii="Mulish" w:hAnsi="Mulish"/>
        </w:rPr>
        <w:t xml:space="preserve">la proporción de contenidos obligatorios publicados alcanza el </w:t>
      </w:r>
      <w:r w:rsidR="00A2528F">
        <w:rPr>
          <w:rFonts w:ascii="Mulish" w:hAnsi="Mulish"/>
        </w:rPr>
        <w:t>69,7</w:t>
      </w:r>
      <w:r w:rsidR="00DA7486" w:rsidRPr="00941553">
        <w:rPr>
          <w:rFonts w:ascii="Mulish" w:hAnsi="Mulish"/>
        </w:rPr>
        <w:t xml:space="preserve">%, </w:t>
      </w:r>
      <w:r w:rsidR="006C3C82" w:rsidRPr="00941553">
        <w:rPr>
          <w:rFonts w:ascii="Mulish" w:hAnsi="Mulish"/>
        </w:rPr>
        <w:t>disminuye hasta el</w:t>
      </w:r>
      <w:r w:rsidRPr="00941553">
        <w:rPr>
          <w:rFonts w:ascii="Mulish" w:hAnsi="Mulish"/>
        </w:rPr>
        <w:t xml:space="preserve"> </w:t>
      </w:r>
      <w:r w:rsidR="00E664A9" w:rsidRPr="00941553">
        <w:rPr>
          <w:rFonts w:ascii="Mulish" w:hAnsi="Mulish"/>
        </w:rPr>
        <w:t>33,1</w:t>
      </w:r>
      <w:r w:rsidR="00DA7486" w:rsidRPr="00941553">
        <w:rPr>
          <w:rFonts w:ascii="Mulish" w:hAnsi="Mulish"/>
        </w:rPr>
        <w:t xml:space="preserve">% en el caso de la información Económica, Presupuestaria </w:t>
      </w:r>
      <w:r w:rsidR="001B45B7" w:rsidRPr="00941553">
        <w:rPr>
          <w:rFonts w:ascii="Mulish" w:hAnsi="Mulish"/>
        </w:rPr>
        <w:t>y Estadística</w:t>
      </w:r>
      <w:r w:rsidR="00DA7486" w:rsidRPr="00941553">
        <w:rPr>
          <w:rFonts w:ascii="Mulish" w:hAnsi="Mulish"/>
        </w:rPr>
        <w:t xml:space="preserve">. </w:t>
      </w:r>
    </w:p>
    <w:p w14:paraId="3580DDA8" w14:textId="2021A0C6" w:rsidR="00BF08C1" w:rsidRPr="00941553" w:rsidRDefault="001C07E7" w:rsidP="00D67951">
      <w:pPr>
        <w:rPr>
          <w:rFonts w:ascii="Mulish" w:hAnsi="Mulish"/>
        </w:rPr>
      </w:pPr>
      <w:r w:rsidRPr="00941553">
        <w:rPr>
          <w:rFonts w:ascii="Mulish" w:hAnsi="Mulish"/>
        </w:rPr>
        <w:t>Respecto de 202</w:t>
      </w:r>
      <w:r w:rsidR="00A2528F">
        <w:rPr>
          <w:rFonts w:ascii="Mulish" w:hAnsi="Mulish"/>
        </w:rPr>
        <w:t>3</w:t>
      </w:r>
      <w:r w:rsidRPr="00941553">
        <w:rPr>
          <w:rFonts w:ascii="Mulish" w:hAnsi="Mulish"/>
        </w:rPr>
        <w:t xml:space="preserve">, </w:t>
      </w:r>
      <w:r w:rsidR="001F3962" w:rsidRPr="00941553">
        <w:rPr>
          <w:rFonts w:ascii="Mulish" w:hAnsi="Mulish"/>
        </w:rPr>
        <w:t xml:space="preserve">la proporción de informaciones obligatorias publicadas, </w:t>
      </w:r>
      <w:r w:rsidRPr="00941553">
        <w:rPr>
          <w:rFonts w:ascii="Mulish" w:hAnsi="Mulish"/>
        </w:rPr>
        <w:t xml:space="preserve">ha </w:t>
      </w:r>
      <w:r w:rsidR="00A2528F">
        <w:rPr>
          <w:rFonts w:ascii="Mulish" w:hAnsi="Mulish"/>
        </w:rPr>
        <w:t>permanecido prácticamente estable</w:t>
      </w:r>
      <w:r w:rsidRPr="00941553">
        <w:rPr>
          <w:rFonts w:ascii="Mulish" w:hAnsi="Mulish"/>
        </w:rPr>
        <w:t xml:space="preserve"> </w:t>
      </w:r>
      <w:r w:rsidR="00A2528F">
        <w:rPr>
          <w:rFonts w:ascii="Mulish" w:hAnsi="Mulish"/>
        </w:rPr>
        <w:t>(+</w:t>
      </w:r>
      <w:r w:rsidR="00FB31C5">
        <w:rPr>
          <w:rFonts w:ascii="Mulish" w:hAnsi="Mulish"/>
        </w:rPr>
        <w:t xml:space="preserve"> </w:t>
      </w:r>
      <w:r w:rsidR="00A2528F">
        <w:rPr>
          <w:rFonts w:ascii="Mulish" w:hAnsi="Mulish"/>
        </w:rPr>
        <w:t>0,</w:t>
      </w:r>
      <w:r w:rsidR="00FB31C5">
        <w:rPr>
          <w:rFonts w:ascii="Mulish" w:hAnsi="Mulish"/>
        </w:rPr>
        <w:t>8 p.p.)</w:t>
      </w:r>
      <w:r w:rsidR="00BF08C1" w:rsidRPr="00941553">
        <w:rPr>
          <w:rFonts w:ascii="Mulish" w:hAnsi="Mulish"/>
        </w:rPr>
        <w:t xml:space="preserve">. Esta evolución se explica </w:t>
      </w:r>
      <w:r w:rsidR="00FB31C5">
        <w:rPr>
          <w:rFonts w:ascii="Mulish" w:hAnsi="Mulish"/>
        </w:rPr>
        <w:t>en</w:t>
      </w:r>
      <w:r w:rsidR="009D2DD9">
        <w:rPr>
          <w:rFonts w:ascii="Mulish" w:hAnsi="Mulish"/>
        </w:rPr>
        <w:t xml:space="preserve"> primer lugar, </w:t>
      </w:r>
      <w:r w:rsidR="009D2DD9" w:rsidRPr="00941553">
        <w:rPr>
          <w:rFonts w:ascii="Mulish" w:hAnsi="Mulish"/>
        </w:rPr>
        <w:t>por</w:t>
      </w:r>
      <w:r w:rsidR="00BF08C1" w:rsidRPr="00941553">
        <w:rPr>
          <w:rFonts w:ascii="Mulish" w:hAnsi="Mulish"/>
        </w:rPr>
        <w:t xml:space="preserve"> el peso de las entidades sometidas a una primera evaluación – </w:t>
      </w:r>
      <w:r w:rsidR="009D2DD9">
        <w:rPr>
          <w:rFonts w:ascii="Mulish" w:hAnsi="Mulish"/>
        </w:rPr>
        <w:t>el 57%</w:t>
      </w:r>
      <w:r w:rsidR="00BF08C1" w:rsidRPr="00941553">
        <w:rPr>
          <w:rFonts w:ascii="Mulish" w:hAnsi="Mulish"/>
        </w:rPr>
        <w:t xml:space="preserve"> del to</w:t>
      </w:r>
      <w:r w:rsidR="009D2DD9">
        <w:rPr>
          <w:rFonts w:ascii="Mulish" w:hAnsi="Mulish"/>
        </w:rPr>
        <w:t>t</w:t>
      </w:r>
      <w:r w:rsidR="00BF08C1" w:rsidRPr="00941553">
        <w:rPr>
          <w:rFonts w:ascii="Mulish" w:hAnsi="Mulish"/>
        </w:rPr>
        <w:t xml:space="preserve">al de </w:t>
      </w:r>
      <w:r w:rsidR="009D2DD9" w:rsidRPr="00941553">
        <w:rPr>
          <w:rFonts w:ascii="Mulish" w:hAnsi="Mulish"/>
        </w:rPr>
        <w:t>entidades evaluadas</w:t>
      </w:r>
      <w:r w:rsidR="00BF08C1" w:rsidRPr="00941553">
        <w:rPr>
          <w:rFonts w:ascii="Mulish" w:hAnsi="Mulish"/>
        </w:rPr>
        <w:t xml:space="preserve"> en 202</w:t>
      </w:r>
      <w:r w:rsidR="009D2DD9">
        <w:rPr>
          <w:rFonts w:ascii="Mulish" w:hAnsi="Mulish"/>
        </w:rPr>
        <w:t>4</w:t>
      </w:r>
      <w:r w:rsidR="00BF08C1" w:rsidRPr="00941553">
        <w:rPr>
          <w:rFonts w:ascii="Mulish" w:hAnsi="Mulish"/>
        </w:rPr>
        <w:t xml:space="preserve"> – que en general</w:t>
      </w:r>
      <w:r w:rsidR="004076A8" w:rsidRPr="00941553">
        <w:rPr>
          <w:rFonts w:ascii="Mulish" w:hAnsi="Mulish"/>
        </w:rPr>
        <w:t>,</w:t>
      </w:r>
      <w:r w:rsidR="00BF08C1" w:rsidRPr="00941553">
        <w:rPr>
          <w:rFonts w:ascii="Mulish" w:hAnsi="Mulish"/>
        </w:rPr>
        <w:t xml:space="preserve"> presentan un mayor déficit de cumplimiento respecto de aquellas otras evaluadas con anterioridad. </w:t>
      </w:r>
      <w:r w:rsidR="00693529">
        <w:rPr>
          <w:rFonts w:ascii="Mulish" w:hAnsi="Mulish"/>
        </w:rPr>
        <w:t>De hecho, la proporción de contenidos obligatorios que publican las entidades evaluadas por primera vez en 2023, alcanza el 59,6% frente al 39,8% obtenido por las entidades evaluadas por primera vez en 2024</w:t>
      </w:r>
      <w:r w:rsidR="00771C12">
        <w:rPr>
          <w:rFonts w:ascii="Mulish" w:hAnsi="Mulish"/>
        </w:rPr>
        <w:t>.</w:t>
      </w:r>
    </w:p>
    <w:p w14:paraId="2BC4380B" w14:textId="21B134D5" w:rsidR="00554AE4" w:rsidRPr="00941553" w:rsidRDefault="00E12B1A" w:rsidP="00D67951">
      <w:pPr>
        <w:rPr>
          <w:rFonts w:ascii="Mulish" w:hAnsi="Mulish"/>
        </w:rPr>
      </w:pPr>
      <w:r w:rsidRPr="00941553">
        <w:rPr>
          <w:rFonts w:ascii="Mulish" w:hAnsi="Mulish"/>
        </w:rPr>
        <w:t xml:space="preserve">Si se analiza por tipología de entidad, </w:t>
      </w:r>
      <w:r w:rsidR="00BF08C1" w:rsidRPr="00941553">
        <w:rPr>
          <w:rFonts w:ascii="Mulish" w:hAnsi="Mulish"/>
        </w:rPr>
        <w:t xml:space="preserve">las </w:t>
      </w:r>
      <w:r w:rsidR="00771C12">
        <w:rPr>
          <w:rFonts w:ascii="Mulish" w:hAnsi="Mulish"/>
        </w:rPr>
        <w:t>MATEPSSS</w:t>
      </w:r>
      <w:r w:rsidR="00BF08C1" w:rsidRPr="00941553">
        <w:rPr>
          <w:rFonts w:ascii="Mulish" w:hAnsi="Mulish"/>
        </w:rPr>
        <w:t xml:space="preserve"> y</w:t>
      </w:r>
      <w:r w:rsidR="00A718A4">
        <w:rPr>
          <w:rFonts w:ascii="Mulish" w:hAnsi="Mulish"/>
        </w:rPr>
        <w:t>,</w:t>
      </w:r>
      <w:r w:rsidR="00BF08C1" w:rsidRPr="00941553">
        <w:rPr>
          <w:rFonts w:ascii="Mulish" w:hAnsi="Mulish"/>
        </w:rPr>
        <w:t xml:space="preserve"> </w:t>
      </w:r>
      <w:r w:rsidR="00A718A4">
        <w:rPr>
          <w:rFonts w:ascii="Mulish" w:hAnsi="Mulish"/>
        </w:rPr>
        <w:t xml:space="preserve">a distancia, </w:t>
      </w:r>
      <w:r w:rsidR="00DA7486" w:rsidRPr="00941553">
        <w:rPr>
          <w:rFonts w:ascii="Mulish" w:hAnsi="Mulish"/>
        </w:rPr>
        <w:t xml:space="preserve">las sociedades mercantiles </w:t>
      </w:r>
      <w:r w:rsidR="00BF08C1" w:rsidRPr="00941553">
        <w:rPr>
          <w:rFonts w:ascii="Mulish" w:hAnsi="Mulish"/>
        </w:rPr>
        <w:t xml:space="preserve">y las </w:t>
      </w:r>
      <w:r w:rsidR="00222E00">
        <w:rPr>
          <w:rFonts w:ascii="Mulish" w:hAnsi="Mulish"/>
        </w:rPr>
        <w:t>f</w:t>
      </w:r>
      <w:r w:rsidR="00BF08C1" w:rsidRPr="00941553">
        <w:rPr>
          <w:rFonts w:ascii="Mulish" w:hAnsi="Mulish"/>
        </w:rPr>
        <w:t xml:space="preserve">undaciones </w:t>
      </w:r>
      <w:r w:rsidR="00222E00">
        <w:rPr>
          <w:rFonts w:ascii="Mulish" w:hAnsi="Mulish"/>
        </w:rPr>
        <w:t>p</w:t>
      </w:r>
      <w:r w:rsidR="00BF08C1" w:rsidRPr="00941553">
        <w:rPr>
          <w:rFonts w:ascii="Mulish" w:hAnsi="Mulish"/>
        </w:rPr>
        <w:t xml:space="preserve">úblicas, </w:t>
      </w:r>
      <w:r w:rsidR="00DA7486" w:rsidRPr="00941553">
        <w:rPr>
          <w:rFonts w:ascii="Mulish" w:hAnsi="Mulish"/>
        </w:rPr>
        <w:t xml:space="preserve">son las entidades que presentan un mejor desempeño </w:t>
      </w:r>
      <w:r w:rsidR="001B45B7" w:rsidRPr="00941553">
        <w:rPr>
          <w:rFonts w:ascii="Mulish" w:hAnsi="Mulish"/>
        </w:rPr>
        <w:t>en la publicación de contenidos obligatorios</w:t>
      </w:r>
      <w:r w:rsidRPr="00941553">
        <w:rPr>
          <w:rFonts w:ascii="Mulish" w:hAnsi="Mulish"/>
        </w:rPr>
        <w:t>.</w:t>
      </w:r>
      <w:r w:rsidR="001B45B7" w:rsidRPr="00941553">
        <w:rPr>
          <w:rFonts w:ascii="Mulish" w:hAnsi="Mulish"/>
        </w:rPr>
        <w:t xml:space="preserve"> </w:t>
      </w:r>
    </w:p>
    <w:p w14:paraId="21A6D8D0" w14:textId="3526ED08" w:rsidR="00554AE4" w:rsidRPr="00941553" w:rsidRDefault="00554AE4" w:rsidP="00D67951">
      <w:pPr>
        <w:rPr>
          <w:rFonts w:ascii="Mulish" w:hAnsi="Mulish"/>
        </w:rPr>
      </w:pPr>
      <w:r w:rsidRPr="00941553">
        <w:rPr>
          <w:rFonts w:ascii="Mulish" w:hAnsi="Mulish"/>
        </w:rPr>
        <w:t xml:space="preserve">Las informaciones que </w:t>
      </w:r>
      <w:r w:rsidR="00956AEB" w:rsidRPr="00941553">
        <w:rPr>
          <w:rFonts w:ascii="Mulish" w:hAnsi="Mulish"/>
        </w:rPr>
        <w:t>muestran</w:t>
      </w:r>
      <w:r w:rsidRPr="00941553">
        <w:rPr>
          <w:rFonts w:ascii="Mulish" w:hAnsi="Mulish"/>
        </w:rPr>
        <w:t xml:space="preserve"> una menor frecuencia de publicación son </w:t>
      </w:r>
      <w:r w:rsidR="00D67951" w:rsidRPr="00941553">
        <w:rPr>
          <w:rFonts w:ascii="Mulish" w:hAnsi="Mulish"/>
        </w:rPr>
        <w:t>el Registro de Actividades de Tratamiento</w:t>
      </w:r>
      <w:r w:rsidR="006C3C82" w:rsidRPr="00941553">
        <w:rPr>
          <w:rFonts w:ascii="Mulish" w:hAnsi="Mulish"/>
        </w:rPr>
        <w:t xml:space="preserve"> junto a la información relativa </w:t>
      </w:r>
      <w:r w:rsidRPr="00941553">
        <w:rPr>
          <w:rFonts w:ascii="Mulish" w:hAnsi="Mulish"/>
        </w:rPr>
        <w:t>a planificación</w:t>
      </w:r>
      <w:r w:rsidR="001F3962" w:rsidRPr="00941553">
        <w:rPr>
          <w:rFonts w:ascii="Mulish" w:hAnsi="Mulish"/>
        </w:rPr>
        <w:t xml:space="preserve">, la información patrimonial, </w:t>
      </w:r>
      <w:r w:rsidR="001D5FAD" w:rsidRPr="00941553">
        <w:rPr>
          <w:rFonts w:ascii="Mulish" w:hAnsi="Mulish"/>
        </w:rPr>
        <w:t>y</w:t>
      </w:r>
      <w:r w:rsidR="001F3962" w:rsidRPr="00941553">
        <w:rPr>
          <w:rFonts w:ascii="Mulish" w:hAnsi="Mulish"/>
        </w:rPr>
        <w:t>,</w:t>
      </w:r>
      <w:r w:rsidR="00591E4A" w:rsidRPr="00941553">
        <w:rPr>
          <w:rFonts w:ascii="Mulish" w:hAnsi="Mulish"/>
        </w:rPr>
        <w:t xml:space="preserve"> </w:t>
      </w:r>
      <w:r w:rsidR="00D67951" w:rsidRPr="00941553">
        <w:rPr>
          <w:rFonts w:ascii="Mulish" w:hAnsi="Mulish"/>
        </w:rPr>
        <w:t>en el bloque de Información Económica y Presupuestaria</w:t>
      </w:r>
      <w:r w:rsidR="001F3962" w:rsidRPr="00941553">
        <w:rPr>
          <w:rFonts w:ascii="Mulish" w:hAnsi="Mulish"/>
        </w:rPr>
        <w:t>,</w:t>
      </w:r>
      <w:r w:rsidR="00D67951" w:rsidRPr="00941553">
        <w:rPr>
          <w:rFonts w:ascii="Mulish" w:hAnsi="Mulish"/>
        </w:rPr>
        <w:t xml:space="preserve"> </w:t>
      </w:r>
      <w:r w:rsidRPr="00941553">
        <w:rPr>
          <w:rFonts w:ascii="Mulish" w:hAnsi="Mulish"/>
        </w:rPr>
        <w:t>l</w:t>
      </w:r>
      <w:r w:rsidR="00D67951" w:rsidRPr="00941553">
        <w:rPr>
          <w:rFonts w:ascii="Mulish" w:hAnsi="Mulish"/>
        </w:rPr>
        <w:t>os contenidos que en menor medida se publican son l</w:t>
      </w:r>
      <w:r w:rsidRPr="00941553">
        <w:rPr>
          <w:rFonts w:ascii="Mulish" w:hAnsi="Mulish"/>
        </w:rPr>
        <w:t>a</w:t>
      </w:r>
      <w:r w:rsidR="00D67951" w:rsidRPr="00941553">
        <w:rPr>
          <w:rFonts w:ascii="Mulish" w:hAnsi="Mulish"/>
        </w:rPr>
        <w:t xml:space="preserve">s </w:t>
      </w:r>
      <w:r w:rsidRPr="00941553">
        <w:rPr>
          <w:rFonts w:ascii="Mulish" w:hAnsi="Mulish"/>
        </w:rPr>
        <w:t xml:space="preserve">informaciones relativas </w:t>
      </w:r>
      <w:r w:rsidR="001F3962" w:rsidRPr="00941553">
        <w:rPr>
          <w:rFonts w:ascii="Mulish" w:hAnsi="Mulish"/>
        </w:rPr>
        <w:t>a</w:t>
      </w:r>
      <w:r w:rsidRPr="00941553">
        <w:rPr>
          <w:rFonts w:ascii="Mulish" w:hAnsi="Mulish"/>
        </w:rPr>
        <w:t xml:space="preserve"> autorizaciones para el ejercicio de actividades</w:t>
      </w:r>
      <w:r w:rsidR="003A6B5E" w:rsidRPr="00941553">
        <w:rPr>
          <w:rFonts w:ascii="Mulish" w:hAnsi="Mulish"/>
        </w:rPr>
        <w:t xml:space="preserve"> privadas concedidas a</w:t>
      </w:r>
      <w:r w:rsidRPr="00941553">
        <w:rPr>
          <w:rFonts w:ascii="Mulish" w:hAnsi="Mulish"/>
        </w:rPr>
        <w:t xml:space="preserve"> altos cargos, </w:t>
      </w:r>
      <w:r w:rsidR="00E12B1A" w:rsidRPr="00941553">
        <w:rPr>
          <w:rFonts w:ascii="Mulish" w:hAnsi="Mulish"/>
        </w:rPr>
        <w:t xml:space="preserve">indemnizaciones percibidas, </w:t>
      </w:r>
      <w:r w:rsidRPr="00941553">
        <w:rPr>
          <w:rFonts w:ascii="Mulish" w:hAnsi="Mulish"/>
        </w:rPr>
        <w:t>autorizaciones de compatibilidad de empleados,</w:t>
      </w:r>
      <w:r w:rsidR="00E12B1A" w:rsidRPr="00941553">
        <w:rPr>
          <w:rFonts w:ascii="Mulish" w:hAnsi="Mulish"/>
        </w:rPr>
        <w:t xml:space="preserve"> </w:t>
      </w:r>
      <w:r w:rsidR="00BF08C1" w:rsidRPr="00941553">
        <w:rPr>
          <w:rFonts w:ascii="Mulish" w:hAnsi="Mulish"/>
        </w:rPr>
        <w:t>encomiendas de gestión, informes de auditoría y fiscalización elaborados por órganos del control externo, subvenciones</w:t>
      </w:r>
      <w:r w:rsidR="00574F00">
        <w:rPr>
          <w:rFonts w:ascii="Mulish" w:hAnsi="Mulish"/>
        </w:rPr>
        <w:t xml:space="preserve"> y ayudas públicas</w:t>
      </w:r>
      <w:r w:rsidR="0034378B">
        <w:rPr>
          <w:rFonts w:ascii="Mulish" w:hAnsi="Mulish"/>
        </w:rPr>
        <w:t xml:space="preserve"> concedidas</w:t>
      </w:r>
      <w:r w:rsidR="00BF08C1" w:rsidRPr="00941553">
        <w:rPr>
          <w:rFonts w:ascii="Mulish" w:hAnsi="Mulish"/>
        </w:rPr>
        <w:t>, modificaciones</w:t>
      </w:r>
      <w:r w:rsidR="00E12B1A" w:rsidRPr="00941553">
        <w:rPr>
          <w:rFonts w:ascii="Mulish" w:hAnsi="Mulish"/>
        </w:rPr>
        <w:t xml:space="preserve"> de los contratos adjudicados, desistimientos y renuncias a contratos adjudicados</w:t>
      </w:r>
      <w:r w:rsidR="00574F00">
        <w:rPr>
          <w:rFonts w:ascii="Mulish" w:hAnsi="Mulish"/>
        </w:rPr>
        <w:t xml:space="preserve"> y, finalmente,</w:t>
      </w:r>
      <w:r w:rsidRPr="00941553">
        <w:rPr>
          <w:rFonts w:ascii="Mulish" w:hAnsi="Mulish"/>
        </w:rPr>
        <w:t xml:space="preserve"> </w:t>
      </w:r>
      <w:r w:rsidR="00D67951" w:rsidRPr="00941553">
        <w:rPr>
          <w:rFonts w:ascii="Mulish" w:hAnsi="Mulish"/>
        </w:rPr>
        <w:t xml:space="preserve">datos estadísticos sobre los contratos adjudicados </w:t>
      </w:r>
      <w:r w:rsidR="00574F00">
        <w:rPr>
          <w:rFonts w:ascii="Mulish" w:hAnsi="Mulish"/>
        </w:rPr>
        <w:t>a PYMES</w:t>
      </w:r>
      <w:r w:rsidRPr="00941553">
        <w:rPr>
          <w:rFonts w:ascii="Mulish" w:hAnsi="Mulish"/>
        </w:rPr>
        <w:t xml:space="preserve">. </w:t>
      </w:r>
      <w:r w:rsidR="006C3C82" w:rsidRPr="00941553">
        <w:rPr>
          <w:rFonts w:ascii="Mulish" w:hAnsi="Mulish"/>
        </w:rPr>
        <w:t xml:space="preserve"> </w:t>
      </w:r>
    </w:p>
    <w:p w14:paraId="18D85CBC" w14:textId="77777777" w:rsidR="00D67951" w:rsidRPr="00941553" w:rsidRDefault="00EB5F00" w:rsidP="00D67951">
      <w:pPr>
        <w:rPr>
          <w:rFonts w:ascii="Mulish" w:hAnsi="Mulish"/>
        </w:rPr>
      </w:pPr>
      <w:r w:rsidRPr="00941553">
        <w:rPr>
          <w:rFonts w:ascii="Mulish" w:hAnsi="Mulish"/>
        </w:rPr>
        <w:t>Como en años anteriores, a</w:t>
      </w:r>
      <w:r w:rsidR="00D67951" w:rsidRPr="00941553">
        <w:rPr>
          <w:rFonts w:ascii="Mulish" w:hAnsi="Mulish"/>
        </w:rPr>
        <w:t xml:space="preserve">lgunas de las </w:t>
      </w:r>
      <w:r w:rsidR="00554AE4" w:rsidRPr="00941553">
        <w:rPr>
          <w:rFonts w:ascii="Mulish" w:hAnsi="Mulish"/>
        </w:rPr>
        <w:t>entidades</w:t>
      </w:r>
      <w:r w:rsidR="00591E4A" w:rsidRPr="00941553">
        <w:rPr>
          <w:rFonts w:ascii="Mulish" w:hAnsi="Mulish"/>
        </w:rPr>
        <w:t>,</w:t>
      </w:r>
      <w:r w:rsidR="00D67951" w:rsidRPr="00941553">
        <w:rPr>
          <w:rFonts w:ascii="Mulish" w:hAnsi="Mulish"/>
        </w:rPr>
        <w:t xml:space="preserve"> en sus informes de observaciones, han indicado como causa de la falta de publicación de algunas informaciones </w:t>
      </w:r>
      <w:r w:rsidR="003A6B5E" w:rsidRPr="00941553">
        <w:rPr>
          <w:rFonts w:ascii="Mulish" w:hAnsi="Mulish"/>
        </w:rPr>
        <w:t>la inexistencia</w:t>
      </w:r>
      <w:r w:rsidR="00D67951" w:rsidRPr="00941553">
        <w:rPr>
          <w:rFonts w:ascii="Mulish" w:hAnsi="Mulish"/>
        </w:rPr>
        <w:t xml:space="preserve"> información que publicar por no haber habido actividad en ese ámbito concreto.</w:t>
      </w:r>
    </w:p>
    <w:p w14:paraId="3F6A627A" w14:textId="1B1E87E7" w:rsidR="00D67951" w:rsidRPr="00941553" w:rsidRDefault="00554AE4" w:rsidP="00554AE4">
      <w:pPr>
        <w:rPr>
          <w:rFonts w:ascii="Mulish" w:hAnsi="Mulish"/>
        </w:rPr>
      </w:pPr>
      <w:r w:rsidRPr="00941553">
        <w:rPr>
          <w:rFonts w:ascii="Mulish" w:hAnsi="Mulish"/>
        </w:rPr>
        <w:t>En otros</w:t>
      </w:r>
      <w:r w:rsidR="00D67951" w:rsidRPr="00941553">
        <w:rPr>
          <w:rFonts w:ascii="Mulish" w:hAnsi="Mulish"/>
        </w:rPr>
        <w:t xml:space="preserve"> casos se indica</w:t>
      </w:r>
      <w:r w:rsidR="00591E4A" w:rsidRPr="00941553">
        <w:rPr>
          <w:rFonts w:ascii="Mulish" w:hAnsi="Mulish"/>
        </w:rPr>
        <w:t>,</w:t>
      </w:r>
      <w:r w:rsidR="00D67951" w:rsidRPr="00941553">
        <w:rPr>
          <w:rFonts w:ascii="Mulish" w:hAnsi="Mulish"/>
        </w:rPr>
        <w:t xml:space="preserve"> en las observaciones, que una información no localizada durante la evaluación está publicada conjuntamente con </w:t>
      </w:r>
      <w:r w:rsidR="006C3C82" w:rsidRPr="00941553">
        <w:rPr>
          <w:rFonts w:ascii="Mulish" w:hAnsi="Mulish"/>
        </w:rPr>
        <w:t>otra</w:t>
      </w:r>
      <w:r w:rsidR="00D67951" w:rsidRPr="00941553">
        <w:rPr>
          <w:rFonts w:ascii="Mulish" w:hAnsi="Mulish"/>
        </w:rPr>
        <w:t xml:space="preserve"> información</w:t>
      </w:r>
      <w:r w:rsidR="003A6B5E" w:rsidRPr="00941553">
        <w:rPr>
          <w:rFonts w:ascii="Mulish" w:hAnsi="Mulish"/>
        </w:rPr>
        <w:t xml:space="preserve"> obligatoria</w:t>
      </w:r>
      <w:r w:rsidR="003A5C81" w:rsidRPr="00941553">
        <w:rPr>
          <w:rFonts w:ascii="Mulish" w:hAnsi="Mulish"/>
        </w:rPr>
        <w:t xml:space="preserve"> o en otros documentos mediante los que se publica información no sujeta a obligaciones de publicidad activa</w:t>
      </w:r>
      <w:r w:rsidR="0034378B">
        <w:rPr>
          <w:rFonts w:ascii="Mulish" w:hAnsi="Mulish"/>
        </w:rPr>
        <w:t>.</w:t>
      </w:r>
      <w:r w:rsidR="004B39EF" w:rsidRPr="00941553">
        <w:rPr>
          <w:rFonts w:ascii="Mulish" w:hAnsi="Mulish"/>
        </w:rPr>
        <w:t xml:space="preserve"> </w:t>
      </w:r>
      <w:r w:rsidR="0034378B">
        <w:rPr>
          <w:rFonts w:ascii="Mulish" w:hAnsi="Mulish"/>
        </w:rPr>
        <w:t>E</w:t>
      </w:r>
      <w:r w:rsidR="004B39EF" w:rsidRPr="00941553">
        <w:rPr>
          <w:rFonts w:ascii="Mulish" w:hAnsi="Mulish"/>
        </w:rPr>
        <w:t xml:space="preserve">n algún caso se ha argumentado que la información obligatoria no localizada estaba publicada en el BOE o en la web del Ministerio de Hacienda y Función </w:t>
      </w:r>
      <w:r w:rsidR="0034378B" w:rsidRPr="00941553">
        <w:rPr>
          <w:rFonts w:ascii="Mulish" w:hAnsi="Mulish"/>
        </w:rPr>
        <w:t>Pública y</w:t>
      </w:r>
      <w:r w:rsidR="003A5C81" w:rsidRPr="00941553">
        <w:rPr>
          <w:rFonts w:ascii="Mulish" w:hAnsi="Mulish"/>
        </w:rPr>
        <w:t>,</w:t>
      </w:r>
      <w:r w:rsidRPr="00941553">
        <w:rPr>
          <w:rFonts w:ascii="Mulish" w:hAnsi="Mulish"/>
        </w:rPr>
        <w:t xml:space="preserve"> finalmente</w:t>
      </w:r>
      <w:r w:rsidR="003A5C81" w:rsidRPr="00941553">
        <w:rPr>
          <w:rFonts w:ascii="Mulish" w:hAnsi="Mulish"/>
        </w:rPr>
        <w:t>,</w:t>
      </w:r>
      <w:r w:rsidRPr="00941553">
        <w:rPr>
          <w:rFonts w:ascii="Mulish" w:hAnsi="Mulish"/>
        </w:rPr>
        <w:t xml:space="preserve"> también se ha </w:t>
      </w:r>
      <w:r w:rsidR="00C02ADF" w:rsidRPr="00941553">
        <w:rPr>
          <w:rFonts w:ascii="Mulish" w:hAnsi="Mulish"/>
        </w:rPr>
        <w:t>argumentado que la información se publicaba en el Portal de Transparencia de la AGE.</w:t>
      </w:r>
      <w:r w:rsidR="001C49CB">
        <w:rPr>
          <w:rFonts w:ascii="Mulish" w:hAnsi="Mulish"/>
        </w:rPr>
        <w:t xml:space="preserve"> </w:t>
      </w:r>
      <w:r w:rsidR="00D61324">
        <w:rPr>
          <w:rFonts w:ascii="Mulish" w:hAnsi="Mulish"/>
        </w:rPr>
        <w:t xml:space="preserve">En todos estos casos, se hace referencia a la ineficiencia que supondría publicar la misma información en dos fuentes diferentes y, además, que la LTAIBG – en el caso concreto de los contratos - </w:t>
      </w:r>
      <w:r w:rsidR="00C05F20" w:rsidRPr="00C05F20">
        <w:rPr>
          <w:rFonts w:ascii="Mulish" w:hAnsi="Mulish"/>
        </w:rPr>
        <w:t xml:space="preserve">no hace alusión a la forma </w:t>
      </w:r>
      <w:r w:rsidR="00C05F20" w:rsidRPr="00C05F20">
        <w:rPr>
          <w:rFonts w:ascii="Mulish" w:hAnsi="Mulish"/>
        </w:rPr>
        <w:lastRenderedPageBreak/>
        <w:t xml:space="preserve">de publicación de </w:t>
      </w:r>
      <w:r w:rsidR="00C05F20">
        <w:rPr>
          <w:rFonts w:ascii="Mulish" w:hAnsi="Mulish"/>
        </w:rPr>
        <w:t>esta</w:t>
      </w:r>
      <w:r w:rsidR="00C05F20" w:rsidRPr="00C05F20">
        <w:rPr>
          <w:rFonts w:ascii="Mulish" w:hAnsi="Mulish"/>
        </w:rPr>
        <w:t xml:space="preserve"> información, ni el lugar que la misma deba ocupar dentro del correspondiente Portal de Transparencia</w:t>
      </w:r>
      <w:r w:rsidR="00C05F20">
        <w:rPr>
          <w:rFonts w:ascii="Mulish" w:hAnsi="Mulish"/>
        </w:rPr>
        <w:t>.</w:t>
      </w:r>
    </w:p>
    <w:p w14:paraId="6F50B56A" w14:textId="77777777" w:rsidR="00D67951" w:rsidRPr="00941553"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rPr>
      </w:pPr>
      <w:r w:rsidRPr="00941553">
        <w:rPr>
          <w:rFonts w:ascii="Mulish" w:hAnsi="Mulish"/>
        </w:rPr>
        <w:t>La primera recomendación</w:t>
      </w:r>
      <w:r w:rsidR="00D85775" w:rsidRPr="00941553">
        <w:rPr>
          <w:rFonts w:ascii="Mulish" w:hAnsi="Mulish"/>
        </w:rPr>
        <w:t>,</w:t>
      </w:r>
      <w:r w:rsidRPr="00941553">
        <w:rPr>
          <w:rFonts w:ascii="Mulish" w:hAnsi="Mulish"/>
        </w:rPr>
        <w:t xml:space="preserve"> obviamente, es la publicación de todas las informaciones obligatorias. </w:t>
      </w:r>
    </w:p>
    <w:p w14:paraId="064C8E36" w14:textId="34BF8816" w:rsidR="00D67951" w:rsidRPr="00941553"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rPr>
      </w:pPr>
      <w:r w:rsidRPr="00941553">
        <w:rPr>
          <w:rFonts w:ascii="Mulish" w:hAnsi="Mulish"/>
        </w:rPr>
        <w:t xml:space="preserve">En </w:t>
      </w:r>
      <w:r w:rsidR="00D85775" w:rsidRPr="00941553">
        <w:rPr>
          <w:rFonts w:ascii="Mulish" w:hAnsi="Mulish"/>
        </w:rPr>
        <w:t>lo que respecta</w:t>
      </w:r>
      <w:r w:rsidRPr="00941553">
        <w:rPr>
          <w:rFonts w:ascii="Mulish" w:hAnsi="Mulish"/>
        </w:rPr>
        <w:t xml:space="preserve"> a la falta de publicación de algunas informaciones por no haber existido actividad en ese ámbito concreto, desde este Consejo viene señalándose</w:t>
      </w:r>
      <w:r w:rsidR="004B39EF" w:rsidRPr="00941553">
        <w:rPr>
          <w:rFonts w:ascii="Mulish" w:hAnsi="Mulish"/>
        </w:rPr>
        <w:t xml:space="preserve"> en </w:t>
      </w:r>
      <w:r w:rsidR="00C0265F">
        <w:rPr>
          <w:rFonts w:ascii="Mulish" w:hAnsi="Mulish"/>
        </w:rPr>
        <w:t>l</w:t>
      </w:r>
      <w:r w:rsidR="004B39EF" w:rsidRPr="00941553">
        <w:rPr>
          <w:rFonts w:ascii="Mulish" w:hAnsi="Mulish"/>
        </w:rPr>
        <w:t xml:space="preserve">os informes individuales de evaluación, </w:t>
      </w:r>
      <w:r w:rsidRPr="00941553">
        <w:rPr>
          <w:rFonts w:ascii="Mulish" w:hAnsi="Mulish"/>
        </w:rPr>
        <w:t>que la única manera de distinguir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tal circunstancia. Por esta razón, este Consejo, recomienda que en el apartado correspondiente a la obligación de publicidad activa para la que no ha existido actividad o cuando no sea posible su publicación porque existan restricciones legales, se haga constar expresamente</w:t>
      </w:r>
      <w:r w:rsidR="00EB5F00" w:rsidRPr="00941553">
        <w:rPr>
          <w:rFonts w:ascii="Mulish" w:hAnsi="Mulish"/>
        </w:rPr>
        <w:t xml:space="preserve"> esta situación</w:t>
      </w:r>
      <w:r w:rsidRPr="00941553">
        <w:rPr>
          <w:rFonts w:ascii="Mulish" w:hAnsi="Mulish"/>
        </w:rPr>
        <w:t>.</w:t>
      </w:r>
    </w:p>
    <w:p w14:paraId="41F853E8" w14:textId="78658D63" w:rsidR="00C02ADF" w:rsidRPr="00941553" w:rsidRDefault="00D67951" w:rsidP="00C02ADF">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rPr>
      </w:pPr>
      <w:r w:rsidRPr="00941553">
        <w:rPr>
          <w:rFonts w:ascii="Mulish" w:hAnsi="Mulish"/>
        </w:rPr>
        <w:t xml:space="preserve">En cuanto a la publicación de información de una obligación a través de otra, este CTBG recuerda que la publicación de las informaciones obligatorias debe realizarse manera individualizada. </w:t>
      </w:r>
      <w:r w:rsidR="00D85775" w:rsidRPr="00941553">
        <w:rPr>
          <w:rFonts w:ascii="Mulish" w:hAnsi="Mulish"/>
        </w:rPr>
        <w:t>Una cuestión adicional</w:t>
      </w:r>
      <w:r w:rsidR="001F3962" w:rsidRPr="00941553">
        <w:rPr>
          <w:rFonts w:ascii="Mulish" w:hAnsi="Mulish"/>
        </w:rPr>
        <w:t xml:space="preserve"> es que</w:t>
      </w:r>
      <w:r w:rsidR="00D85775" w:rsidRPr="00941553">
        <w:rPr>
          <w:rFonts w:ascii="Mulish" w:hAnsi="Mulish"/>
        </w:rPr>
        <w:t>,</w:t>
      </w:r>
      <w:r w:rsidR="001F3962" w:rsidRPr="00941553">
        <w:rPr>
          <w:rFonts w:ascii="Mulish" w:hAnsi="Mulish"/>
        </w:rPr>
        <w:t xml:space="preserve"> en muchas ocasiones, se redirige, para la publicación de informaciones como</w:t>
      </w:r>
      <w:r w:rsidR="00047ECA" w:rsidRPr="00941553">
        <w:rPr>
          <w:rFonts w:ascii="Mulish" w:hAnsi="Mulish"/>
        </w:rPr>
        <w:t xml:space="preserve">, por </w:t>
      </w:r>
      <w:r w:rsidR="0034378B" w:rsidRPr="00941553">
        <w:rPr>
          <w:rFonts w:ascii="Mulish" w:hAnsi="Mulish"/>
        </w:rPr>
        <w:t>ejemplo, las</w:t>
      </w:r>
      <w:r w:rsidR="001F3962" w:rsidRPr="00941553">
        <w:rPr>
          <w:rFonts w:ascii="Mulish" w:hAnsi="Mulish"/>
        </w:rPr>
        <w:t xml:space="preserve"> retribuciones o las subvenciones, a las cuentas anuales. </w:t>
      </w:r>
      <w:r w:rsidR="004B39EF" w:rsidRPr="00941553">
        <w:rPr>
          <w:rFonts w:ascii="Mulish" w:hAnsi="Mulish"/>
        </w:rPr>
        <w:t>El primer problema que plantea esta forma de publicar la información, es la dificultad de comprensión que documentos como las cuentas anuales, pueden presentar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w:t>
      </w:r>
      <w:r w:rsidR="00591E4A" w:rsidRPr="00941553">
        <w:rPr>
          <w:rFonts w:ascii="Mulish" w:hAnsi="Mulish"/>
        </w:rPr>
        <w:t>.</w:t>
      </w:r>
    </w:p>
    <w:p w14:paraId="6EB7BE26" w14:textId="027450B8" w:rsidR="00C02ADF" w:rsidRPr="00941553" w:rsidRDefault="00D67951" w:rsidP="00C02ADF">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cstheme="minorHAnsi"/>
          <w:szCs w:val="24"/>
        </w:rPr>
      </w:pPr>
      <w:r w:rsidRPr="00941553">
        <w:rPr>
          <w:rFonts w:ascii="Mulish" w:hAnsi="Mulish"/>
        </w:rPr>
        <w:t>Finalmente</w:t>
      </w:r>
      <w:r w:rsidR="003A5C81" w:rsidRPr="00941553">
        <w:rPr>
          <w:rFonts w:ascii="Mulish" w:hAnsi="Mulish"/>
        </w:rPr>
        <w:t>,</w:t>
      </w:r>
      <w:r w:rsidRPr="00941553">
        <w:rPr>
          <w:rFonts w:ascii="Mulish" w:hAnsi="Mulish"/>
        </w:rPr>
        <w:t xml:space="preserve"> en relación con el tercer supuesto, no publicación porque la información </w:t>
      </w:r>
      <w:r w:rsidR="00C02ADF" w:rsidRPr="00941553">
        <w:rPr>
          <w:rFonts w:ascii="Mulish" w:hAnsi="Mulish"/>
        </w:rPr>
        <w:t>se encuentra publicada en el Portal de Transparencia de la AGE,</w:t>
      </w:r>
      <w:r w:rsidR="00F513D9" w:rsidRPr="00F513D9">
        <w:rPr>
          <w:rFonts w:ascii="Mulish" w:hAnsi="Mulish" w:cstheme="minorHAnsi"/>
          <w:szCs w:val="24"/>
        </w:rPr>
        <w:t xml:space="preserve"> se ha de recordar que el artículo 10 de la LTAIBG dispone que “La Administración General del Estado desarrollará un Portal de la Transparencia, dependiente del Ministerio de la Presidencia, que facilitará el acceso de los ciudadanos a toda la información a la que se refieren los artículos anteriores relativa a su ámbito de actuación”. Y el artículo 55.2 de la Ley 40/2015, de Régimen Jurídico del Sector Público (LRJSP), establece que la Administración General del Estado comprende la organización central (Ministerios y servicios comunes), la organización territorial (Delegaciones y Subdelegaciones del Gobierno) y finalmente, la Administración General del Estado en el exterior. Los organismos públicos vinculados o dependientes no figuran en la relación del artículo 55.2 de la LRJSP y tienen personalidad jurídica propia, por lo que no están incluidos en el ámbito del artículo 10 de la LTAIBG y, en consecuencia, no deberían publicar en el Portal de la Transparencia de la AGE las </w:t>
      </w:r>
      <w:r w:rsidR="00F513D9" w:rsidRPr="00F513D9">
        <w:rPr>
          <w:rFonts w:ascii="Mulish" w:hAnsi="Mulish" w:cstheme="minorHAnsi"/>
          <w:szCs w:val="24"/>
        </w:rPr>
        <w:lastRenderedPageBreak/>
        <w:t>informaciones de publicidad activa. De la interpretación conjunta del artículo 10 de la LTAIBG y el artículo 55.2 de la LRJSP se deriva que al conjunto de entidades que integran Sector Público Institucional Estatal les aplica directamente la obligación establecida en el artículo 5.4 de la LTAIBG de publicar la información sujeta a las obligaciones de transparencia en sus webs institucionales o en sus sedes electrónicas.</w:t>
      </w:r>
    </w:p>
    <w:p w14:paraId="1A06B3F7" w14:textId="317ED1B8" w:rsidR="003A5C81" w:rsidRPr="00941553" w:rsidRDefault="00C02ADF" w:rsidP="00C02ADF">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cstheme="minorHAnsi"/>
          <w:szCs w:val="24"/>
        </w:rPr>
      </w:pPr>
      <w:r w:rsidRPr="00941553">
        <w:rPr>
          <w:rFonts w:ascii="Mulish" w:hAnsi="Mulish" w:cstheme="minorHAnsi"/>
          <w:szCs w:val="24"/>
        </w:rPr>
        <w:t>Por otra parte,</w:t>
      </w:r>
      <w:r w:rsidR="003A5C81" w:rsidRPr="00941553">
        <w:rPr>
          <w:rFonts w:ascii="Mulish" w:hAnsi="Mulish" w:cstheme="minorHAnsi"/>
          <w:szCs w:val="24"/>
        </w:rPr>
        <w:t xml:space="preserve"> y como se ha </w:t>
      </w:r>
      <w:r w:rsidR="00F513D9">
        <w:rPr>
          <w:rFonts w:ascii="Mulish" w:hAnsi="Mulish" w:cstheme="minorHAnsi"/>
          <w:szCs w:val="24"/>
        </w:rPr>
        <w:t>venido señalando en años anteriores, el</w:t>
      </w:r>
      <w:r w:rsidR="00591E4A" w:rsidRPr="00941553">
        <w:rPr>
          <w:rFonts w:ascii="Mulish" w:hAnsi="Mulish" w:cstheme="minorHAnsi"/>
          <w:szCs w:val="24"/>
        </w:rPr>
        <w:t xml:space="preserve"> Portal de Transparencia</w:t>
      </w:r>
      <w:r w:rsidRPr="00941553">
        <w:rPr>
          <w:rFonts w:ascii="Mulish" w:hAnsi="Mulish" w:cstheme="minorHAnsi"/>
          <w:szCs w:val="24"/>
        </w:rPr>
        <w:t xml:space="preserve"> </w:t>
      </w:r>
      <w:r w:rsidR="00364FCA">
        <w:rPr>
          <w:rFonts w:ascii="Mulish" w:hAnsi="Mulish" w:cstheme="minorHAnsi"/>
          <w:szCs w:val="24"/>
        </w:rPr>
        <w:t xml:space="preserve">de la Administración General del Estado </w:t>
      </w:r>
      <w:r w:rsidRPr="00941553">
        <w:rPr>
          <w:rFonts w:ascii="Mulish" w:hAnsi="Mulish" w:cstheme="minorHAnsi"/>
          <w:szCs w:val="24"/>
        </w:rPr>
        <w:t>no publica todas las informaciones obligatorias correspondientes a un organismo vinculado o dependiente</w:t>
      </w:r>
      <w:r w:rsidR="00364FCA">
        <w:rPr>
          <w:rFonts w:ascii="Mulish" w:hAnsi="Mulish" w:cstheme="minorHAnsi"/>
          <w:szCs w:val="24"/>
        </w:rPr>
        <w:t>, ni tampoco incluye a todos los organismos y entidades vinculadas o dependientes de un Ministerio</w:t>
      </w:r>
      <w:r w:rsidRPr="00941553">
        <w:rPr>
          <w:rFonts w:ascii="Mulish" w:hAnsi="Mulish" w:cstheme="minorHAnsi"/>
          <w:szCs w:val="24"/>
        </w:rPr>
        <w:t xml:space="preserve">. </w:t>
      </w:r>
      <w:r w:rsidR="003A5C81" w:rsidRPr="00941553">
        <w:rPr>
          <w:rFonts w:ascii="Mulish" w:hAnsi="Mulish" w:cstheme="minorHAnsi"/>
          <w:szCs w:val="24"/>
        </w:rPr>
        <w:t xml:space="preserve">En algunos de los informes </w:t>
      </w:r>
      <w:r w:rsidR="00364FCA">
        <w:rPr>
          <w:rFonts w:ascii="Mulish" w:hAnsi="Mulish" w:cstheme="minorHAnsi"/>
          <w:szCs w:val="24"/>
        </w:rPr>
        <w:t xml:space="preserve">de valoración de las observaciones a los informes </w:t>
      </w:r>
      <w:r w:rsidR="00967CE0">
        <w:rPr>
          <w:rFonts w:ascii="Mulish" w:hAnsi="Mulish" w:cstheme="minorHAnsi"/>
          <w:szCs w:val="24"/>
        </w:rPr>
        <w:t>d</w:t>
      </w:r>
      <w:r w:rsidR="00364FCA">
        <w:rPr>
          <w:rFonts w:ascii="Mulish" w:hAnsi="Mulish" w:cstheme="minorHAnsi"/>
          <w:szCs w:val="24"/>
        </w:rPr>
        <w:t xml:space="preserve">e </w:t>
      </w:r>
      <w:r w:rsidR="006A64EB">
        <w:rPr>
          <w:rFonts w:ascii="Mulish" w:hAnsi="Mulish" w:cstheme="minorHAnsi"/>
          <w:szCs w:val="24"/>
        </w:rPr>
        <w:t xml:space="preserve">evaluación </w:t>
      </w:r>
      <w:r w:rsidR="006A64EB" w:rsidRPr="00941553">
        <w:rPr>
          <w:rFonts w:ascii="Mulish" w:hAnsi="Mulish" w:cstheme="minorHAnsi"/>
          <w:szCs w:val="24"/>
        </w:rPr>
        <w:t>elaborados</w:t>
      </w:r>
      <w:r w:rsidR="003A5C81" w:rsidRPr="00941553">
        <w:rPr>
          <w:rFonts w:ascii="Mulish" w:hAnsi="Mulish" w:cstheme="minorHAnsi"/>
          <w:szCs w:val="24"/>
        </w:rPr>
        <w:t xml:space="preserve"> por este Consejo, se aportan evidencias </w:t>
      </w:r>
      <w:r w:rsidR="00047ECA" w:rsidRPr="00941553">
        <w:rPr>
          <w:rFonts w:ascii="Mulish" w:hAnsi="Mulish" w:cstheme="minorHAnsi"/>
          <w:szCs w:val="24"/>
        </w:rPr>
        <w:t>para algunos</w:t>
      </w:r>
      <w:r w:rsidR="003A5C81" w:rsidRPr="00941553">
        <w:rPr>
          <w:rFonts w:ascii="Mulish" w:hAnsi="Mulish" w:cstheme="minorHAnsi"/>
          <w:szCs w:val="24"/>
        </w:rPr>
        <w:t xml:space="preserve"> organismos concretos a este respecto. </w:t>
      </w:r>
      <w:r w:rsidRPr="00941553">
        <w:rPr>
          <w:rFonts w:ascii="Mulish" w:hAnsi="Mulish" w:cstheme="minorHAnsi"/>
          <w:szCs w:val="24"/>
        </w:rPr>
        <w:t xml:space="preserve"> </w:t>
      </w:r>
    </w:p>
    <w:p w14:paraId="0E32BD76" w14:textId="08FEB57B" w:rsidR="00C02ADF" w:rsidRPr="00941553" w:rsidRDefault="00C02ADF" w:rsidP="00C02ADF">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cstheme="minorHAnsi"/>
          <w:szCs w:val="24"/>
        </w:rPr>
      </w:pPr>
      <w:r w:rsidRPr="00941553">
        <w:rPr>
          <w:rFonts w:ascii="Mulish" w:hAnsi="Mulish" w:cstheme="minorHAnsi"/>
          <w:szCs w:val="24"/>
        </w:rPr>
        <w:t xml:space="preserve">Finalmente, una dificultad adicional es que localizar información en el Portal de Transparencia de la AGE implica la realización de nuevas búsquedas, siempre que ello sea posible, y en no pocas ocasiones obliga a revisar un número muy elevado de páginas hasta localizar la información concreta correspondiente a un organismo. Por ejemplo, la información patrimonial se ofrece para el conjunto de la AGE </w:t>
      </w:r>
      <w:r w:rsidR="007601C2" w:rsidRPr="00941553">
        <w:rPr>
          <w:rFonts w:ascii="Mulish" w:hAnsi="Mulish" w:cstheme="minorHAnsi"/>
          <w:szCs w:val="24"/>
        </w:rPr>
        <w:t xml:space="preserve">mediante un fichero </w:t>
      </w:r>
      <w:r w:rsidR="006A64EB" w:rsidRPr="00941553">
        <w:rPr>
          <w:rFonts w:ascii="Mulish" w:hAnsi="Mulish" w:cstheme="minorHAnsi"/>
          <w:szCs w:val="24"/>
        </w:rPr>
        <w:t>Excel</w:t>
      </w:r>
      <w:r w:rsidR="007601C2" w:rsidRPr="00941553">
        <w:rPr>
          <w:rFonts w:ascii="Mulish" w:hAnsi="Mulish" w:cstheme="minorHAnsi"/>
          <w:szCs w:val="24"/>
        </w:rPr>
        <w:t xml:space="preserve"> que no identifica ni el organismo ni el Ministerio al que está adscrito el inmueble. </w:t>
      </w:r>
    </w:p>
    <w:p w14:paraId="4B9B0A38" w14:textId="2DB5278F" w:rsidR="00D67951" w:rsidRPr="00941553" w:rsidRDefault="007601C2" w:rsidP="00D67951">
      <w:pPr>
        <w:rPr>
          <w:rFonts w:ascii="Mulish" w:hAnsi="Mulish"/>
          <w:b/>
          <w:color w:val="325F64" w:themeColor="accent2" w:themeShade="BF"/>
        </w:rPr>
      </w:pPr>
      <w:r w:rsidRPr="00941553">
        <w:rPr>
          <w:rFonts w:ascii="Mulish" w:hAnsi="Mulish"/>
          <w:b/>
          <w:color w:val="325F64" w:themeColor="accent2" w:themeShade="BF"/>
        </w:rPr>
        <w:t>L</w:t>
      </w:r>
      <w:r w:rsidR="00D67951" w:rsidRPr="00941553">
        <w:rPr>
          <w:rFonts w:ascii="Mulish" w:hAnsi="Mulish"/>
          <w:b/>
          <w:color w:val="325F64" w:themeColor="accent2" w:themeShade="BF"/>
        </w:rPr>
        <w:t>os criterios de calidad de la información publicada obtienen una valoración</w:t>
      </w:r>
      <w:r w:rsidR="000449CB" w:rsidRPr="00941553">
        <w:rPr>
          <w:rFonts w:ascii="Mulish" w:hAnsi="Mulish"/>
          <w:b/>
          <w:color w:val="325F64" w:themeColor="accent2" w:themeShade="BF"/>
        </w:rPr>
        <w:t xml:space="preserve"> media</w:t>
      </w:r>
      <w:r w:rsidR="00D67951" w:rsidRPr="00941553">
        <w:rPr>
          <w:rFonts w:ascii="Mulish" w:hAnsi="Mulish"/>
          <w:b/>
          <w:color w:val="325F64" w:themeColor="accent2" w:themeShade="BF"/>
        </w:rPr>
        <w:t xml:space="preserve"> </w:t>
      </w:r>
      <w:r w:rsidR="00FF5B42" w:rsidRPr="00941553">
        <w:rPr>
          <w:rFonts w:ascii="Mulish" w:hAnsi="Mulish"/>
          <w:b/>
          <w:color w:val="325F64" w:themeColor="accent2" w:themeShade="BF"/>
        </w:rPr>
        <w:t>en torno al</w:t>
      </w:r>
      <w:r w:rsidRPr="00941553">
        <w:rPr>
          <w:rFonts w:ascii="Mulish" w:hAnsi="Mulish"/>
          <w:b/>
          <w:color w:val="325F64" w:themeColor="accent2" w:themeShade="BF"/>
        </w:rPr>
        <w:t xml:space="preserve"> </w:t>
      </w:r>
      <w:r w:rsidR="004B39EF" w:rsidRPr="00941553">
        <w:rPr>
          <w:rFonts w:ascii="Mulish" w:hAnsi="Mulish"/>
          <w:b/>
          <w:color w:val="325F64" w:themeColor="accent2" w:themeShade="BF"/>
        </w:rPr>
        <w:t>4</w:t>
      </w:r>
      <w:r w:rsidR="006A64EB">
        <w:rPr>
          <w:rFonts w:ascii="Mulish" w:hAnsi="Mulish"/>
          <w:b/>
          <w:color w:val="325F64" w:themeColor="accent2" w:themeShade="BF"/>
        </w:rPr>
        <w:t>5</w:t>
      </w:r>
      <w:r w:rsidRPr="00941553">
        <w:rPr>
          <w:rFonts w:ascii="Mulish" w:hAnsi="Mulish"/>
          <w:b/>
          <w:color w:val="325F64" w:themeColor="accent2" w:themeShade="BF"/>
        </w:rPr>
        <w:t>%. Esta valoración se explica por los problemas de</w:t>
      </w:r>
      <w:r w:rsidR="00D67951" w:rsidRPr="00941553">
        <w:rPr>
          <w:rFonts w:ascii="Mulish" w:hAnsi="Mulish"/>
          <w:b/>
          <w:color w:val="325F64" w:themeColor="accent2" w:themeShade="BF"/>
        </w:rPr>
        <w:t xml:space="preserve"> accesibilidad a la información como consecuencia de la forma de publicar las informaciones y, sobre todo, se observa la falta generalizada de referencias que permitan saber si la información </w:t>
      </w:r>
      <w:r w:rsidR="007A29CF" w:rsidRPr="00941553">
        <w:rPr>
          <w:rFonts w:ascii="Mulish" w:hAnsi="Mulish"/>
          <w:b/>
          <w:color w:val="325F64" w:themeColor="accent2" w:themeShade="BF"/>
        </w:rPr>
        <w:t>publicada está</w:t>
      </w:r>
      <w:r w:rsidR="00D67951" w:rsidRPr="00941553">
        <w:rPr>
          <w:rFonts w:ascii="Mulish" w:hAnsi="Mulish"/>
          <w:b/>
          <w:color w:val="325F64" w:themeColor="accent2" w:themeShade="BF"/>
        </w:rPr>
        <w:t xml:space="preserve"> vigente.</w:t>
      </w:r>
    </w:p>
    <w:p w14:paraId="15E3E295" w14:textId="273579BF" w:rsidR="00D67951" w:rsidRPr="00941553" w:rsidRDefault="00D67951" w:rsidP="00D67951">
      <w:pPr>
        <w:tabs>
          <w:tab w:val="left" w:pos="284"/>
        </w:tabs>
        <w:spacing w:before="120" w:after="120" w:line="312" w:lineRule="auto"/>
        <w:rPr>
          <w:rFonts w:ascii="Mulish" w:hAnsi="Mulish" w:cstheme="minorHAnsi"/>
          <w:szCs w:val="24"/>
        </w:rPr>
      </w:pPr>
      <w:r w:rsidRPr="00941553">
        <w:rPr>
          <w:rFonts w:ascii="Mulish" w:hAnsi="Mulish" w:cstheme="minorHAnsi"/>
          <w:szCs w:val="24"/>
        </w:rPr>
        <w:t>Un ejemplo claro del primer supuesto</w:t>
      </w:r>
      <w:r w:rsidR="007601C2" w:rsidRPr="00941553">
        <w:rPr>
          <w:rFonts w:ascii="Mulish" w:hAnsi="Mulish" w:cstheme="minorHAnsi"/>
          <w:szCs w:val="24"/>
        </w:rPr>
        <w:t xml:space="preserve">, como </w:t>
      </w:r>
      <w:r w:rsidR="00FF5B42" w:rsidRPr="00941553">
        <w:rPr>
          <w:rFonts w:ascii="Mulish" w:hAnsi="Mulish" w:cstheme="minorHAnsi"/>
          <w:szCs w:val="24"/>
        </w:rPr>
        <w:t>se ha reseñado</w:t>
      </w:r>
      <w:r w:rsidR="004E1A4F">
        <w:rPr>
          <w:rFonts w:ascii="Mulish" w:hAnsi="Mulish" w:cstheme="minorHAnsi"/>
          <w:szCs w:val="24"/>
        </w:rPr>
        <w:t xml:space="preserve"> en años anteriores</w:t>
      </w:r>
      <w:r w:rsidR="007601C2" w:rsidRPr="00941553">
        <w:rPr>
          <w:rFonts w:ascii="Mulish" w:hAnsi="Mulish" w:cstheme="minorHAnsi"/>
          <w:szCs w:val="24"/>
        </w:rPr>
        <w:t xml:space="preserve"> en los informes de evaluación </w:t>
      </w:r>
      <w:r w:rsidR="00FF5B42" w:rsidRPr="00941553">
        <w:rPr>
          <w:rFonts w:ascii="Mulish" w:hAnsi="Mulish" w:cstheme="minorHAnsi"/>
          <w:szCs w:val="24"/>
        </w:rPr>
        <w:t xml:space="preserve">de los distintos grupos de sujetos </w:t>
      </w:r>
      <w:r w:rsidR="004E1A4F" w:rsidRPr="00941553">
        <w:rPr>
          <w:rFonts w:ascii="Mulish" w:hAnsi="Mulish" w:cstheme="minorHAnsi"/>
          <w:szCs w:val="24"/>
        </w:rPr>
        <w:t>obligados, es</w:t>
      </w:r>
      <w:r w:rsidRPr="00941553">
        <w:rPr>
          <w:rFonts w:ascii="Mulish" w:hAnsi="Mulish" w:cstheme="minorHAnsi"/>
          <w:szCs w:val="24"/>
        </w:rPr>
        <w:t xml:space="preserve"> la publicación de la información del grupo de contratación a través de los Perfiles del Contratante en la Plataforma de Contratación del Sector Público. </w:t>
      </w:r>
      <w:r w:rsidR="00FF5B42" w:rsidRPr="00941553">
        <w:rPr>
          <w:rFonts w:ascii="Mulish" w:hAnsi="Mulish" w:cstheme="minorHAnsi"/>
          <w:szCs w:val="24"/>
        </w:rPr>
        <w:t>Como</w:t>
      </w:r>
      <w:r w:rsidR="000449CB" w:rsidRPr="00941553">
        <w:rPr>
          <w:rFonts w:ascii="Mulish" w:hAnsi="Mulish" w:cstheme="minorHAnsi"/>
          <w:szCs w:val="24"/>
        </w:rPr>
        <w:t xml:space="preserve"> reiteradamente</w:t>
      </w:r>
      <w:r w:rsidR="00FF5B42" w:rsidRPr="00941553">
        <w:rPr>
          <w:rFonts w:ascii="Mulish" w:hAnsi="Mulish" w:cstheme="minorHAnsi"/>
          <w:szCs w:val="24"/>
        </w:rPr>
        <w:t xml:space="preserve"> ha venido </w:t>
      </w:r>
      <w:r w:rsidR="000449CB" w:rsidRPr="00941553">
        <w:rPr>
          <w:rFonts w:ascii="Mulish" w:hAnsi="Mulish" w:cstheme="minorHAnsi"/>
          <w:szCs w:val="24"/>
        </w:rPr>
        <w:t>indicando</w:t>
      </w:r>
      <w:r w:rsidR="00FF5B42" w:rsidRPr="00941553">
        <w:rPr>
          <w:rFonts w:ascii="Mulish" w:hAnsi="Mulish" w:cstheme="minorHAnsi"/>
          <w:szCs w:val="24"/>
        </w:rPr>
        <w:t xml:space="preserve"> este Consejo, e</w:t>
      </w:r>
      <w:r w:rsidRPr="00941553">
        <w:rPr>
          <w:rFonts w:ascii="Mulish" w:hAnsi="Mulish" w:cstheme="minorHAnsi"/>
          <w:szCs w:val="24"/>
        </w:rPr>
        <w:t>l recurso a fuentes centralizadas para la publicación de informaciones obligatorias presenta diferentes problemas:</w:t>
      </w:r>
    </w:p>
    <w:p w14:paraId="6278389B" w14:textId="51DE2C94" w:rsidR="00D67951" w:rsidRPr="00941553" w:rsidRDefault="004E1A4F" w:rsidP="007A29CF">
      <w:pPr>
        <w:pStyle w:val="Prrafodelista"/>
        <w:numPr>
          <w:ilvl w:val="0"/>
          <w:numId w:val="13"/>
        </w:numPr>
        <w:tabs>
          <w:tab w:val="left" w:pos="284"/>
        </w:tabs>
        <w:spacing w:before="120" w:after="120" w:line="312" w:lineRule="auto"/>
        <w:rPr>
          <w:rFonts w:ascii="Mulish" w:hAnsi="Mulish" w:cstheme="minorHAnsi"/>
          <w:szCs w:val="24"/>
        </w:rPr>
      </w:pPr>
      <w:r w:rsidRPr="00172512">
        <w:rPr>
          <w:rFonts w:ascii="Mulish" w:eastAsia="Calibri" w:hAnsi="Mulish" w:cs="Calibri"/>
          <w:szCs w:val="24"/>
        </w:rPr>
        <w:t xml:space="preserve">En primer lugar, se trata de fuentes de información de difícil acceso para la ciudadanía por las dificultades de manejo que presentan </w:t>
      </w:r>
      <w:r w:rsidRPr="00172512">
        <w:rPr>
          <w:rFonts w:ascii="Mulish" w:hAnsi="Mulish" w:cstheme="minorHAnsi"/>
          <w:szCs w:val="24"/>
        </w:rPr>
        <w:t>y porque requieren unos conocimientos sobre la gestión interna de las organizaciones públicas y de los procedimientos administrativos, que no tienen por qué tener los ciudadanos</w:t>
      </w:r>
      <w:r w:rsidR="00D67951" w:rsidRPr="00941553">
        <w:rPr>
          <w:rFonts w:ascii="Mulish" w:hAnsi="Mulish" w:cstheme="minorHAnsi"/>
          <w:szCs w:val="24"/>
        </w:rPr>
        <w:t>.</w:t>
      </w:r>
    </w:p>
    <w:p w14:paraId="39208147" w14:textId="77777777" w:rsidR="00D67951" w:rsidRPr="00941553" w:rsidRDefault="00D67951" w:rsidP="007A29CF">
      <w:pPr>
        <w:pStyle w:val="Prrafodelista"/>
        <w:numPr>
          <w:ilvl w:val="0"/>
          <w:numId w:val="13"/>
        </w:numPr>
        <w:tabs>
          <w:tab w:val="left" w:pos="284"/>
        </w:tabs>
        <w:spacing w:before="120" w:after="120" w:line="312" w:lineRule="auto"/>
        <w:rPr>
          <w:rFonts w:ascii="Mulish" w:hAnsi="Mulish" w:cstheme="minorHAnsi"/>
          <w:szCs w:val="24"/>
        </w:rPr>
      </w:pPr>
      <w:r w:rsidRPr="00941553">
        <w:rPr>
          <w:rFonts w:ascii="Mulish" w:hAnsi="Mulish" w:cstheme="minorHAnsi"/>
          <w:szCs w:val="24"/>
        </w:rPr>
        <w:t>En segundo lugar, al estar diseñadas para otros usos, incluyen mucha información no relacionada con las obligaciones de publicidad activa y</w:t>
      </w:r>
      <w:r w:rsidR="00FF5B42" w:rsidRPr="00941553">
        <w:rPr>
          <w:rFonts w:ascii="Mulish" w:hAnsi="Mulish" w:cstheme="minorHAnsi"/>
          <w:szCs w:val="24"/>
        </w:rPr>
        <w:t>,</w:t>
      </w:r>
      <w:r w:rsidRPr="00941553">
        <w:rPr>
          <w:rFonts w:ascii="Mulish" w:hAnsi="Mulish" w:cstheme="minorHAnsi"/>
          <w:szCs w:val="24"/>
        </w:rPr>
        <w:t xml:space="preserve"> por el contrario</w:t>
      </w:r>
      <w:r w:rsidR="00FF5B42" w:rsidRPr="00941553">
        <w:rPr>
          <w:rFonts w:ascii="Mulish" w:hAnsi="Mulish" w:cstheme="minorHAnsi"/>
          <w:szCs w:val="24"/>
        </w:rPr>
        <w:t>,</w:t>
      </w:r>
      <w:r w:rsidRPr="00941553">
        <w:rPr>
          <w:rFonts w:ascii="Mulish" w:hAnsi="Mulish" w:cstheme="minorHAnsi"/>
          <w:szCs w:val="24"/>
        </w:rPr>
        <w:t xml:space="preserve"> no incluyen otros contenidos que son obligatorios en aplicación de la LTAIBG.  Siguiendo con el ejemplo de la Plataforma de Contratación del Sector Público, ésta no incluye entre los criterios de búsqueda de licitaciones las modificaciones de los </w:t>
      </w:r>
      <w:r w:rsidRPr="00941553">
        <w:rPr>
          <w:rFonts w:ascii="Mulish" w:hAnsi="Mulish" w:cstheme="minorHAnsi"/>
          <w:szCs w:val="24"/>
        </w:rPr>
        <w:lastRenderedPageBreak/>
        <w:t>contratos, que constituye</w:t>
      </w:r>
      <w:r w:rsidR="00475A84" w:rsidRPr="00941553">
        <w:rPr>
          <w:rFonts w:ascii="Mulish" w:hAnsi="Mulish" w:cstheme="minorHAnsi"/>
          <w:szCs w:val="24"/>
        </w:rPr>
        <w:t>n</w:t>
      </w:r>
      <w:r w:rsidRPr="00941553">
        <w:rPr>
          <w:rFonts w:ascii="Mulish" w:hAnsi="Mulish" w:cstheme="minorHAnsi"/>
          <w:szCs w:val="24"/>
        </w:rPr>
        <w:t xml:space="preserve">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w:t>
      </w:r>
      <w:r w:rsidR="00FF5B42" w:rsidRPr="00941553">
        <w:rPr>
          <w:rFonts w:ascii="Mulish" w:hAnsi="Mulish" w:cstheme="minorHAnsi"/>
          <w:szCs w:val="24"/>
        </w:rPr>
        <w:t>añadida</w:t>
      </w:r>
      <w:r w:rsidRPr="00941553">
        <w:rPr>
          <w:rFonts w:ascii="Mulish" w:hAnsi="Mulish" w:cstheme="minorHAnsi"/>
          <w:szCs w:val="24"/>
        </w:rPr>
        <w:t xml:space="preserve">. </w:t>
      </w:r>
    </w:p>
    <w:p w14:paraId="2F0C5B02" w14:textId="615F9749" w:rsidR="00D67951" w:rsidRPr="00941553" w:rsidRDefault="00D67951" w:rsidP="00022692">
      <w:pPr>
        <w:pStyle w:val="Prrafodelista"/>
        <w:numPr>
          <w:ilvl w:val="0"/>
          <w:numId w:val="7"/>
        </w:numPr>
        <w:tabs>
          <w:tab w:val="left" w:pos="284"/>
        </w:tabs>
        <w:spacing w:before="120" w:after="120" w:line="312" w:lineRule="auto"/>
        <w:rPr>
          <w:rFonts w:ascii="Mulish" w:hAnsi="Mulish" w:cstheme="minorHAnsi"/>
          <w:szCs w:val="24"/>
        </w:rPr>
      </w:pPr>
      <w:r w:rsidRPr="00941553">
        <w:rPr>
          <w:rFonts w:ascii="Mulish" w:hAnsi="Mulish" w:cstheme="minorHAnsi"/>
          <w:szCs w:val="24"/>
        </w:rPr>
        <w:t xml:space="preserve">En tercer lugar, un problema </w:t>
      </w:r>
      <w:r w:rsidR="00FF5B42" w:rsidRPr="00941553">
        <w:rPr>
          <w:rFonts w:ascii="Mulish" w:hAnsi="Mulish" w:cstheme="minorHAnsi"/>
          <w:szCs w:val="24"/>
        </w:rPr>
        <w:t>sumado</w:t>
      </w:r>
      <w:r w:rsidRPr="00941553">
        <w:rPr>
          <w:rFonts w:ascii="Mulish" w:hAnsi="Mulish" w:cstheme="minorHAnsi"/>
          <w:szCs w:val="24"/>
        </w:rPr>
        <w:t xml:space="preserve"> a los ya señalados, es la imposibilidad de que la entidad que adopta la decisión de publicar información enlazando a fuentes centralizadas, pueda controlar tanto los contenidos como el mantenimiento de los enlaces a su información en la fuente centralizada. De </w:t>
      </w:r>
      <w:r w:rsidR="00A07909" w:rsidRPr="00941553">
        <w:rPr>
          <w:rFonts w:ascii="Mulish" w:hAnsi="Mulish" w:cstheme="minorHAnsi"/>
          <w:szCs w:val="24"/>
        </w:rPr>
        <w:t>hecho, se</w:t>
      </w:r>
      <w:r w:rsidRPr="00941553">
        <w:rPr>
          <w:rFonts w:ascii="Mulish" w:hAnsi="Mulish" w:cstheme="minorHAnsi"/>
          <w:szCs w:val="24"/>
        </w:rPr>
        <w:t xml:space="preserve"> observa </w:t>
      </w:r>
      <w:r w:rsidR="000449CB" w:rsidRPr="00941553">
        <w:rPr>
          <w:rFonts w:ascii="Mulish" w:hAnsi="Mulish" w:cstheme="minorHAnsi"/>
          <w:szCs w:val="24"/>
        </w:rPr>
        <w:t xml:space="preserve">por este Consejo </w:t>
      </w:r>
      <w:r w:rsidRPr="00941553">
        <w:rPr>
          <w:rFonts w:ascii="Mulish" w:hAnsi="Mulish" w:cstheme="minorHAnsi"/>
          <w:szCs w:val="24"/>
        </w:rPr>
        <w:t xml:space="preserve">en el transcurso de </w:t>
      </w:r>
      <w:r w:rsidR="000449CB" w:rsidRPr="00941553">
        <w:rPr>
          <w:rFonts w:ascii="Mulish" w:hAnsi="Mulish" w:cstheme="minorHAnsi"/>
          <w:szCs w:val="24"/>
        </w:rPr>
        <w:t xml:space="preserve">las </w:t>
      </w:r>
      <w:r w:rsidRPr="00941553">
        <w:rPr>
          <w:rFonts w:ascii="Mulish" w:hAnsi="Mulish" w:cstheme="minorHAnsi"/>
          <w:szCs w:val="24"/>
        </w:rPr>
        <w:t>evaluaci</w:t>
      </w:r>
      <w:r w:rsidR="000449CB" w:rsidRPr="00941553">
        <w:rPr>
          <w:rFonts w:ascii="Mulish" w:hAnsi="Mulish" w:cstheme="minorHAnsi"/>
          <w:szCs w:val="24"/>
        </w:rPr>
        <w:t>ones</w:t>
      </w:r>
      <w:r w:rsidRPr="00941553">
        <w:rPr>
          <w:rFonts w:ascii="Mulish" w:hAnsi="Mulish" w:cstheme="minorHAnsi"/>
          <w:szCs w:val="24"/>
        </w:rPr>
        <w:t xml:space="preserve"> que</w:t>
      </w:r>
      <w:r w:rsidR="001E62B5" w:rsidRPr="00941553">
        <w:rPr>
          <w:rFonts w:ascii="Mulish" w:hAnsi="Mulish" w:cstheme="minorHAnsi"/>
          <w:szCs w:val="24"/>
        </w:rPr>
        <w:t>,</w:t>
      </w:r>
      <w:r w:rsidRPr="00941553">
        <w:rPr>
          <w:rFonts w:ascii="Mulish" w:hAnsi="Mulish" w:cstheme="minorHAnsi"/>
          <w:szCs w:val="24"/>
        </w:rPr>
        <w:t xml:space="preserve"> en ocasiones</w:t>
      </w:r>
      <w:r w:rsidR="001E62B5" w:rsidRPr="00941553">
        <w:rPr>
          <w:rFonts w:ascii="Mulish" w:hAnsi="Mulish" w:cstheme="minorHAnsi"/>
          <w:szCs w:val="24"/>
        </w:rPr>
        <w:t>,</w:t>
      </w:r>
      <w:r w:rsidRPr="00941553">
        <w:rPr>
          <w:rFonts w:ascii="Mulish" w:hAnsi="Mulish" w:cstheme="minorHAnsi"/>
          <w:szCs w:val="24"/>
        </w:rPr>
        <w:t xml:space="preserve"> el enlace a la información de la </w:t>
      </w:r>
      <w:r w:rsidR="003A6B5E" w:rsidRPr="00941553">
        <w:rPr>
          <w:rFonts w:ascii="Mulish" w:hAnsi="Mulish" w:cstheme="minorHAnsi"/>
          <w:szCs w:val="24"/>
        </w:rPr>
        <w:t>entidad</w:t>
      </w:r>
      <w:r w:rsidRPr="00941553">
        <w:rPr>
          <w:rFonts w:ascii="Mulish" w:hAnsi="Mulish" w:cstheme="minorHAnsi"/>
          <w:szCs w:val="24"/>
        </w:rPr>
        <w:t xml:space="preserve"> en la fuente centralizada daba error.  </w:t>
      </w:r>
    </w:p>
    <w:p w14:paraId="080C29E1" w14:textId="2CD39F90" w:rsidR="00D67951" w:rsidRPr="00941553" w:rsidRDefault="00D67951" w:rsidP="00475A84">
      <w:pPr>
        <w:pBdr>
          <w:top w:val="single" w:sz="8" w:space="1" w:color="226860"/>
          <w:left w:val="single" w:sz="8" w:space="4" w:color="226860"/>
          <w:bottom w:val="single" w:sz="8" w:space="1" w:color="226860"/>
          <w:right w:val="single" w:sz="8" w:space="4" w:color="226860"/>
        </w:pBdr>
        <w:tabs>
          <w:tab w:val="left" w:pos="284"/>
        </w:tabs>
        <w:spacing w:before="120" w:after="120"/>
        <w:rPr>
          <w:rFonts w:ascii="Mulish" w:hAnsi="Mulish" w:cstheme="minorHAnsi"/>
          <w:szCs w:val="24"/>
        </w:rPr>
      </w:pPr>
      <w:r w:rsidRPr="00941553">
        <w:rPr>
          <w:rFonts w:ascii="Mulish" w:hAnsi="Mulish" w:cstheme="minorHAnsi"/>
          <w:szCs w:val="24"/>
        </w:rPr>
        <w:t>Por estas razones</w:t>
      </w:r>
      <w:r w:rsidR="00FF5B42" w:rsidRPr="00941553">
        <w:rPr>
          <w:rFonts w:ascii="Mulish" w:hAnsi="Mulish" w:cstheme="minorHAnsi"/>
          <w:szCs w:val="24"/>
        </w:rPr>
        <w:t>,</w:t>
      </w:r>
      <w:r w:rsidRPr="00941553">
        <w:rPr>
          <w:rFonts w:ascii="Mulish" w:hAnsi="Mulish" w:cstheme="minorHAnsi"/>
          <w:szCs w:val="24"/>
        </w:rPr>
        <w:t xml:space="preserve"> desde este Consejo se insiste en recomendar </w:t>
      </w:r>
      <w:r w:rsidR="007A29CF" w:rsidRPr="00941553">
        <w:rPr>
          <w:rFonts w:ascii="Mulish" w:hAnsi="Mulish" w:cstheme="minorHAnsi"/>
          <w:szCs w:val="24"/>
        </w:rPr>
        <w:t>que,</w:t>
      </w:r>
      <w:r w:rsidRPr="00941553">
        <w:rPr>
          <w:rFonts w:ascii="Mulish" w:hAnsi="Mulish" w:cstheme="minorHAnsi"/>
          <w:szCs w:val="24"/>
        </w:rPr>
        <w:t xml:space="preserve"> para facilitar la accesibilidad y la comprensión de esta información</w:t>
      </w:r>
      <w:r w:rsidR="00FF5B42" w:rsidRPr="00941553">
        <w:rPr>
          <w:rFonts w:ascii="Mulish" w:hAnsi="Mulish" w:cstheme="minorHAnsi"/>
          <w:szCs w:val="24"/>
        </w:rPr>
        <w:t>,</w:t>
      </w:r>
      <w:r w:rsidRPr="00941553">
        <w:rPr>
          <w:rFonts w:ascii="Mulish" w:hAnsi="Mulish" w:cstheme="minorHAnsi"/>
          <w:szCs w:val="24"/>
        </w:rPr>
        <w:t xml:space="preserve"> además de enlazar a la fuente centralizada se publiquen cuadros-resumen con todos los contenidos que para cada obligación establece la LTAIBG. </w:t>
      </w:r>
    </w:p>
    <w:p w14:paraId="55AF6185" w14:textId="77777777" w:rsidR="00D67951" w:rsidRPr="00941553" w:rsidRDefault="00D67951" w:rsidP="00D67951">
      <w:pPr>
        <w:tabs>
          <w:tab w:val="left" w:pos="284"/>
        </w:tabs>
        <w:spacing w:before="120" w:after="120" w:line="312" w:lineRule="auto"/>
        <w:rPr>
          <w:rFonts w:ascii="Mulish" w:hAnsi="Mulish" w:cstheme="minorHAnsi"/>
          <w:szCs w:val="24"/>
        </w:rPr>
      </w:pPr>
    </w:p>
    <w:p w14:paraId="443D21C7" w14:textId="77777777" w:rsidR="00D67951" w:rsidRPr="00941553" w:rsidRDefault="00D67951" w:rsidP="00D67951">
      <w:pPr>
        <w:tabs>
          <w:tab w:val="left" w:pos="284"/>
        </w:tabs>
        <w:spacing w:before="120" w:after="120" w:line="312" w:lineRule="auto"/>
        <w:rPr>
          <w:rFonts w:ascii="Mulish" w:hAnsi="Mulish" w:cstheme="minorHAnsi"/>
          <w:szCs w:val="24"/>
        </w:rPr>
      </w:pPr>
      <w:r w:rsidRPr="00941553">
        <w:rPr>
          <w:rFonts w:ascii="Mulish" w:hAnsi="Mulish" w:cstheme="minorHAnsi"/>
          <w:szCs w:val="24"/>
        </w:rPr>
        <w:t>Respecto de la actualización de la información, la situación más frecuente es que no se publique en los Portales de Transparencia la fecha en que se revisó o actualizó por última vez la información publicada. También</w:t>
      </w:r>
      <w:r w:rsidR="00FF5B42" w:rsidRPr="00941553">
        <w:rPr>
          <w:rFonts w:ascii="Mulish" w:hAnsi="Mulish" w:cstheme="minorHAnsi"/>
          <w:szCs w:val="24"/>
        </w:rPr>
        <w:t>,</w:t>
      </w:r>
      <w:r w:rsidRPr="00941553">
        <w:rPr>
          <w:rFonts w:ascii="Mulish" w:hAnsi="Mulish" w:cstheme="minorHAnsi"/>
          <w:szCs w:val="24"/>
        </w:rPr>
        <w:t xml:space="preserve"> en ocasiones, los documentos que contienen la información no están datados.   </w:t>
      </w:r>
    </w:p>
    <w:p w14:paraId="7845AFCC" w14:textId="77FF3CE9" w:rsidR="00D67951" w:rsidRPr="00941553" w:rsidRDefault="007601C2" w:rsidP="00D67951">
      <w:pPr>
        <w:tabs>
          <w:tab w:val="left" w:pos="284"/>
        </w:tabs>
        <w:spacing w:before="120" w:after="120" w:line="312" w:lineRule="auto"/>
        <w:rPr>
          <w:rFonts w:ascii="Mulish" w:hAnsi="Mulish" w:cstheme="minorHAnsi"/>
          <w:szCs w:val="24"/>
        </w:rPr>
      </w:pPr>
      <w:r w:rsidRPr="00941553">
        <w:rPr>
          <w:rFonts w:ascii="Mulish" w:hAnsi="Mulish" w:cstheme="minorHAnsi"/>
          <w:szCs w:val="24"/>
        </w:rPr>
        <w:t xml:space="preserve">Al igual que en </w:t>
      </w:r>
      <w:r w:rsidR="00A07909">
        <w:rPr>
          <w:rFonts w:ascii="Mulish" w:hAnsi="Mulish" w:cstheme="minorHAnsi"/>
          <w:szCs w:val="24"/>
        </w:rPr>
        <w:t>años anteriores</w:t>
      </w:r>
      <w:r w:rsidR="00CB2499" w:rsidRPr="00941553">
        <w:rPr>
          <w:rFonts w:ascii="Mulish" w:hAnsi="Mulish" w:cstheme="minorHAnsi"/>
          <w:szCs w:val="24"/>
        </w:rPr>
        <w:t xml:space="preserve">, </w:t>
      </w:r>
      <w:r w:rsidR="00CA1FF0" w:rsidRPr="00941553">
        <w:rPr>
          <w:rFonts w:ascii="Mulish" w:hAnsi="Mulish" w:cstheme="minorHAnsi"/>
          <w:szCs w:val="24"/>
        </w:rPr>
        <w:t xml:space="preserve">algunas entidades han señalado en sus observaciones, que la información contenida en </w:t>
      </w:r>
      <w:r w:rsidR="003A6B5E" w:rsidRPr="00941553">
        <w:rPr>
          <w:rFonts w:ascii="Mulish" w:hAnsi="Mulish" w:cstheme="minorHAnsi"/>
          <w:szCs w:val="24"/>
        </w:rPr>
        <w:t>su</w:t>
      </w:r>
      <w:r w:rsidR="00CA1FF0" w:rsidRPr="00941553">
        <w:rPr>
          <w:rFonts w:ascii="Mulish" w:hAnsi="Mulish" w:cstheme="minorHAnsi"/>
          <w:szCs w:val="24"/>
        </w:rPr>
        <w:t xml:space="preserve"> Portal </w:t>
      </w:r>
      <w:r w:rsidR="003A6B5E" w:rsidRPr="00941553">
        <w:rPr>
          <w:rFonts w:ascii="Mulish" w:hAnsi="Mulish" w:cstheme="minorHAnsi"/>
          <w:szCs w:val="24"/>
        </w:rPr>
        <w:t xml:space="preserve">de Transparencia </w:t>
      </w:r>
      <w:r w:rsidR="00475A84" w:rsidRPr="00941553">
        <w:rPr>
          <w:rFonts w:ascii="Mulish" w:hAnsi="Mulish" w:cstheme="minorHAnsi"/>
          <w:szCs w:val="24"/>
        </w:rPr>
        <w:t>se actualiza constantemente</w:t>
      </w:r>
      <w:r w:rsidR="00CA1FF0" w:rsidRPr="00941553">
        <w:rPr>
          <w:rFonts w:ascii="Mulish" w:hAnsi="Mulish" w:cstheme="minorHAnsi"/>
          <w:szCs w:val="24"/>
        </w:rPr>
        <w:t xml:space="preserve">. En otros casos se </w:t>
      </w:r>
      <w:r w:rsidR="00D67951" w:rsidRPr="00941553">
        <w:rPr>
          <w:rFonts w:ascii="Mulish" w:hAnsi="Mulish" w:cstheme="minorHAnsi"/>
          <w:szCs w:val="24"/>
        </w:rPr>
        <w:t xml:space="preserve">ha señalado </w:t>
      </w:r>
      <w:r w:rsidR="00CA1FF0" w:rsidRPr="00941553">
        <w:rPr>
          <w:rFonts w:ascii="Mulish" w:hAnsi="Mulish" w:cstheme="minorHAnsi"/>
          <w:szCs w:val="24"/>
        </w:rPr>
        <w:t xml:space="preserve">que </w:t>
      </w:r>
      <w:r w:rsidR="003A6B5E" w:rsidRPr="00941553">
        <w:rPr>
          <w:rFonts w:ascii="Mulish" w:hAnsi="Mulish" w:cstheme="minorHAnsi"/>
          <w:szCs w:val="24"/>
        </w:rPr>
        <w:t xml:space="preserve">se </w:t>
      </w:r>
      <w:r w:rsidR="00D67951" w:rsidRPr="00941553">
        <w:rPr>
          <w:rFonts w:ascii="Mulish" w:hAnsi="Mulish" w:cstheme="minorHAnsi"/>
          <w:szCs w:val="24"/>
        </w:rPr>
        <w:t xml:space="preserve">mantiene el criterio respecto de varias obligaciones </w:t>
      </w:r>
      <w:r w:rsidR="00CB2499" w:rsidRPr="00941553">
        <w:rPr>
          <w:rFonts w:ascii="Mulish" w:hAnsi="Mulish" w:cstheme="minorHAnsi"/>
          <w:szCs w:val="24"/>
        </w:rPr>
        <w:t>de carácter económico,</w:t>
      </w:r>
      <w:r w:rsidR="00D67951" w:rsidRPr="00941553">
        <w:rPr>
          <w:rFonts w:ascii="Mulish" w:hAnsi="Mulish" w:cstheme="minorHAnsi"/>
          <w:szCs w:val="24"/>
        </w:rPr>
        <w:t xml:space="preserve"> de no actualizar la información hasta que se produce la liquidación del presupuesto o se presentan las cuentas anuales.</w:t>
      </w:r>
    </w:p>
    <w:p w14:paraId="24762384" w14:textId="77777777" w:rsidR="00CA1FF0" w:rsidRPr="00941553" w:rsidRDefault="00CA1FF0" w:rsidP="00CA1FF0">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ascii="Mulish" w:hAnsi="Mulish" w:cstheme="minorHAnsi"/>
          <w:szCs w:val="24"/>
        </w:rPr>
      </w:pPr>
      <w:r w:rsidRPr="00941553">
        <w:rPr>
          <w:rFonts w:ascii="Mulish" w:hAnsi="Mulish" w:cstheme="minorHAnsi"/>
          <w:szCs w:val="24"/>
        </w:rPr>
        <w:t xml:space="preserve">Respecto de la primera </w:t>
      </w:r>
      <w:r w:rsidR="00FF5B42" w:rsidRPr="00941553">
        <w:rPr>
          <w:rFonts w:ascii="Mulish" w:hAnsi="Mulish" w:cstheme="minorHAnsi"/>
          <w:szCs w:val="24"/>
        </w:rPr>
        <w:t xml:space="preserve">cuestión, </w:t>
      </w:r>
      <w:r w:rsidRPr="00941553">
        <w:rPr>
          <w:rFonts w:ascii="Mulish" w:hAnsi="Mulish" w:cstheme="minorHAnsi"/>
          <w:szCs w:val="24"/>
        </w:rPr>
        <w:t>es preciso señalar que la única posibilidad que tienen los ciudadanos – también los evaluadores - de saber si la información publicada está vigente o no, es que en el Portal de Transparencia se indique expresamente. En este sentido</w:t>
      </w:r>
      <w:r w:rsidR="00FF5B42" w:rsidRPr="00941553">
        <w:rPr>
          <w:rFonts w:ascii="Mulish" w:hAnsi="Mulish" w:cstheme="minorHAnsi"/>
          <w:szCs w:val="24"/>
        </w:rPr>
        <w:t>,</w:t>
      </w:r>
      <w:r w:rsidRPr="00941553">
        <w:rPr>
          <w:rFonts w:ascii="Mulish" w:hAnsi="Mulish" w:cstheme="minorHAnsi"/>
          <w:szCs w:val="24"/>
        </w:rPr>
        <w:t xml:space="preserve"> bastaría con que en la página inicial se mostrase la fecha de la última revisión o actualización de la información contenida en el Portal.</w:t>
      </w:r>
    </w:p>
    <w:p w14:paraId="633D42E9" w14:textId="77777777" w:rsidR="00D67951" w:rsidRPr="00941553" w:rsidRDefault="005C4D90" w:rsidP="00D67951">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ascii="Mulish" w:hAnsi="Mulish" w:cstheme="minorHAnsi"/>
          <w:szCs w:val="24"/>
        </w:rPr>
      </w:pPr>
      <w:r w:rsidRPr="00941553">
        <w:rPr>
          <w:rFonts w:ascii="Mulish" w:hAnsi="Mulish" w:cstheme="minorHAnsi"/>
          <w:szCs w:val="24"/>
        </w:rPr>
        <w:t>R</w:t>
      </w:r>
      <w:r w:rsidR="00D67951" w:rsidRPr="00941553">
        <w:rPr>
          <w:rFonts w:ascii="Mulish" w:hAnsi="Mulish" w:cstheme="minorHAnsi"/>
          <w:szCs w:val="24"/>
        </w:rPr>
        <w:t>especto de la publicación de información económica a ejercicio vencido, el problema es que este criterio de publicación implica que la información se encuentre desactualizada. Por esta razón</w:t>
      </w:r>
      <w:r w:rsidR="00CB2499" w:rsidRPr="00941553">
        <w:rPr>
          <w:rFonts w:ascii="Mulish" w:hAnsi="Mulish" w:cstheme="minorHAnsi"/>
          <w:szCs w:val="24"/>
        </w:rPr>
        <w:t>,</w:t>
      </w:r>
      <w:r w:rsidR="00D67951" w:rsidRPr="00941553">
        <w:rPr>
          <w:rFonts w:ascii="Mulish" w:hAnsi="Mulish" w:cstheme="minorHAnsi"/>
          <w:szCs w:val="24"/>
        </w:rPr>
        <w:t xml:space="preserve"> este Consejo </w:t>
      </w:r>
      <w:r w:rsidR="00FF5B42" w:rsidRPr="00941553">
        <w:rPr>
          <w:rFonts w:ascii="Mulish" w:hAnsi="Mulish" w:cstheme="minorHAnsi"/>
          <w:szCs w:val="24"/>
        </w:rPr>
        <w:t>sigue recomendando</w:t>
      </w:r>
      <w:r w:rsidR="00D67951" w:rsidRPr="00941553">
        <w:rPr>
          <w:rFonts w:ascii="Mulish" w:hAnsi="Mulish" w:cstheme="minorHAnsi"/>
          <w:szCs w:val="24"/>
        </w:rPr>
        <w:t xml:space="preserve"> que aquellas informaciones que son </w:t>
      </w:r>
      <w:r w:rsidR="00D67951" w:rsidRPr="00941553">
        <w:rPr>
          <w:rFonts w:ascii="Mulish" w:hAnsi="Mulish" w:cstheme="minorHAnsi"/>
          <w:szCs w:val="24"/>
        </w:rPr>
        <w:lastRenderedPageBreak/>
        <w:t>conocidas a inicio del año – por ejemplo</w:t>
      </w:r>
      <w:r w:rsidR="0054337E" w:rsidRPr="00941553">
        <w:rPr>
          <w:rFonts w:ascii="Mulish" w:hAnsi="Mulish" w:cstheme="minorHAnsi"/>
          <w:szCs w:val="24"/>
        </w:rPr>
        <w:t>,</w:t>
      </w:r>
      <w:r w:rsidR="00D67951" w:rsidRPr="00941553">
        <w:rPr>
          <w:rFonts w:ascii="Mulish" w:hAnsi="Mulish" w:cstheme="minorHAnsi"/>
          <w:szCs w:val="24"/>
        </w:rPr>
        <w:t xml:space="preserve"> las retribuciones de altos cargos y máximos responsables – o que se refieren a actividades que pueden producirse en cualquier momento del año – por ejemplo, las indemnizaciones al cese de altos cargos – o que se desarrollan de manera continua – por ejemplo, la información estadística sobre contratación o la ejecución presupuestaria – se publiquen con una periodicidad inferior a la anual, dado que además, se refieren a obligaciones individuales y diferentes de la publicación del presupuesto o de las cuentas anuales. </w:t>
      </w:r>
    </w:p>
    <w:p w14:paraId="403CDB2E" w14:textId="77777777" w:rsidR="00D67951" w:rsidRPr="00941553" w:rsidRDefault="00D67951" w:rsidP="00D67951">
      <w:pPr>
        <w:jc w:val="left"/>
        <w:rPr>
          <w:rFonts w:ascii="Mulish" w:hAnsi="Mulish"/>
        </w:rPr>
      </w:pPr>
    </w:p>
    <w:p w14:paraId="79B15B2F" w14:textId="130ADBEB" w:rsidR="0054337E" w:rsidRPr="00941553" w:rsidRDefault="00D67951" w:rsidP="00D67951">
      <w:pPr>
        <w:rPr>
          <w:rFonts w:ascii="Mulish" w:hAnsi="Mulish"/>
          <w:b/>
          <w:color w:val="325F64" w:themeColor="accent2" w:themeShade="BF"/>
        </w:rPr>
      </w:pPr>
      <w:r w:rsidRPr="00941553">
        <w:rPr>
          <w:rFonts w:ascii="Mulish" w:hAnsi="Mulish"/>
          <w:b/>
          <w:color w:val="325F64" w:themeColor="accent2" w:themeShade="BF"/>
        </w:rPr>
        <w:t>En promedio</w:t>
      </w:r>
      <w:r w:rsidR="0054337E" w:rsidRPr="00941553">
        <w:rPr>
          <w:rFonts w:ascii="Mulish" w:hAnsi="Mulish"/>
          <w:b/>
          <w:color w:val="325F64" w:themeColor="accent2" w:themeShade="BF"/>
        </w:rPr>
        <w:t>,</w:t>
      </w:r>
      <w:r w:rsidRPr="00941553">
        <w:rPr>
          <w:rFonts w:ascii="Mulish" w:hAnsi="Mulish"/>
          <w:b/>
          <w:color w:val="325F64" w:themeColor="accent2" w:themeShade="BF"/>
        </w:rPr>
        <w:t xml:space="preserve"> el índice de Cumplimiento de la Información Obligatoria (ICIO) alcanza un</w:t>
      </w:r>
      <w:r w:rsidR="00CA1FF0" w:rsidRPr="00941553">
        <w:rPr>
          <w:rFonts w:ascii="Mulish" w:hAnsi="Mulish"/>
          <w:b/>
          <w:color w:val="325F64" w:themeColor="accent2" w:themeShade="BF"/>
        </w:rPr>
        <w:t xml:space="preserve"> </w:t>
      </w:r>
      <w:r w:rsidR="00CB2785">
        <w:rPr>
          <w:rFonts w:ascii="Mulish" w:hAnsi="Mulish"/>
          <w:b/>
          <w:color w:val="325F64" w:themeColor="accent2" w:themeShade="BF"/>
        </w:rPr>
        <w:t>45,1</w:t>
      </w:r>
      <w:r w:rsidR="00CA1FF0" w:rsidRPr="00941553">
        <w:rPr>
          <w:rFonts w:ascii="Mulish" w:hAnsi="Mulish"/>
          <w:b/>
          <w:color w:val="325F64" w:themeColor="accent2" w:themeShade="BF"/>
        </w:rPr>
        <w:t xml:space="preserve">%, </w:t>
      </w:r>
    </w:p>
    <w:p w14:paraId="2404145C" w14:textId="67C1CD4E" w:rsidR="00D67951" w:rsidRPr="00941553" w:rsidRDefault="001E62B5" w:rsidP="00D67951">
      <w:pPr>
        <w:rPr>
          <w:rFonts w:ascii="Mulish" w:hAnsi="Mulish" w:cstheme="minorHAnsi"/>
          <w:szCs w:val="24"/>
        </w:rPr>
      </w:pPr>
      <w:r w:rsidRPr="00941553">
        <w:rPr>
          <w:rFonts w:ascii="Mulish" w:hAnsi="Mulish" w:cstheme="minorHAnsi"/>
          <w:szCs w:val="24"/>
        </w:rPr>
        <w:t>R</w:t>
      </w:r>
      <w:r w:rsidR="0054337E" w:rsidRPr="00941553">
        <w:rPr>
          <w:rFonts w:ascii="Mulish" w:hAnsi="Mulish" w:cstheme="minorHAnsi"/>
          <w:szCs w:val="24"/>
        </w:rPr>
        <w:t xml:space="preserve">especto de </w:t>
      </w:r>
      <w:r w:rsidR="00F5684C" w:rsidRPr="00941553">
        <w:rPr>
          <w:rFonts w:ascii="Mulish" w:hAnsi="Mulish" w:cstheme="minorHAnsi"/>
          <w:szCs w:val="24"/>
        </w:rPr>
        <w:t>202</w:t>
      </w:r>
      <w:r w:rsidR="00F5684C">
        <w:rPr>
          <w:rFonts w:ascii="Mulish" w:hAnsi="Mulish" w:cstheme="minorHAnsi"/>
          <w:szCs w:val="24"/>
        </w:rPr>
        <w:t>3</w:t>
      </w:r>
      <w:r w:rsidR="00F5684C" w:rsidRPr="00941553">
        <w:rPr>
          <w:rFonts w:ascii="Mulish" w:hAnsi="Mulish" w:cstheme="minorHAnsi"/>
          <w:szCs w:val="24"/>
        </w:rPr>
        <w:t>, el</w:t>
      </w:r>
      <w:r w:rsidR="0054337E" w:rsidRPr="00941553">
        <w:rPr>
          <w:rFonts w:ascii="Mulish" w:hAnsi="Mulish" w:cstheme="minorHAnsi"/>
          <w:szCs w:val="24"/>
        </w:rPr>
        <w:t xml:space="preserve"> ICIO ha </w:t>
      </w:r>
      <w:r w:rsidR="00CB2785">
        <w:rPr>
          <w:rFonts w:ascii="Mulish" w:hAnsi="Mulish" w:cstheme="minorHAnsi"/>
          <w:szCs w:val="24"/>
        </w:rPr>
        <w:t>aumentado</w:t>
      </w:r>
      <w:r w:rsidR="0054337E" w:rsidRPr="00941553">
        <w:rPr>
          <w:rFonts w:ascii="Mulish" w:hAnsi="Mulish" w:cstheme="minorHAnsi"/>
          <w:szCs w:val="24"/>
        </w:rPr>
        <w:t xml:space="preserve"> </w:t>
      </w:r>
      <w:r w:rsidR="00CB2785">
        <w:rPr>
          <w:rFonts w:ascii="Mulish" w:hAnsi="Mulish" w:cstheme="minorHAnsi"/>
          <w:szCs w:val="24"/>
        </w:rPr>
        <w:t>ligeramente, el 4,2%.</w:t>
      </w:r>
      <w:r w:rsidR="006256A9" w:rsidRPr="00941553">
        <w:rPr>
          <w:rFonts w:ascii="Mulish" w:hAnsi="Mulish" w:cstheme="minorHAnsi"/>
          <w:szCs w:val="24"/>
        </w:rPr>
        <w:t xml:space="preserve"> </w:t>
      </w:r>
      <w:r w:rsidR="00CA1FF0" w:rsidRPr="00941553">
        <w:rPr>
          <w:rFonts w:ascii="Mulish" w:hAnsi="Mulish" w:cstheme="minorHAnsi"/>
          <w:szCs w:val="24"/>
        </w:rPr>
        <w:t xml:space="preserve">Las </w:t>
      </w:r>
      <w:r w:rsidR="006256A9" w:rsidRPr="00941553">
        <w:rPr>
          <w:rFonts w:ascii="Mulish" w:hAnsi="Mulish" w:cstheme="minorHAnsi"/>
          <w:szCs w:val="24"/>
        </w:rPr>
        <w:t xml:space="preserve">MATEPSS son las entidades que presentan un mayor </w:t>
      </w:r>
      <w:r w:rsidR="00F5684C">
        <w:rPr>
          <w:rFonts w:ascii="Mulish" w:hAnsi="Mulish" w:cstheme="minorHAnsi"/>
          <w:szCs w:val="24"/>
        </w:rPr>
        <w:t>I</w:t>
      </w:r>
      <w:r w:rsidR="006256A9" w:rsidRPr="00941553">
        <w:rPr>
          <w:rFonts w:ascii="Mulish" w:hAnsi="Mulish" w:cstheme="minorHAnsi"/>
          <w:szCs w:val="24"/>
        </w:rPr>
        <w:t xml:space="preserve">CIO – el </w:t>
      </w:r>
      <w:r w:rsidR="00F5684C">
        <w:rPr>
          <w:rFonts w:ascii="Mulish" w:hAnsi="Mulish" w:cstheme="minorHAnsi"/>
          <w:szCs w:val="24"/>
        </w:rPr>
        <w:t>62,9</w:t>
      </w:r>
      <w:r w:rsidR="006256A9" w:rsidRPr="00941553">
        <w:rPr>
          <w:rFonts w:ascii="Mulish" w:hAnsi="Mulish" w:cstheme="minorHAnsi"/>
          <w:szCs w:val="24"/>
        </w:rPr>
        <w:t xml:space="preserve">% - seguidas a distancia </w:t>
      </w:r>
      <w:r w:rsidR="00F5684C">
        <w:rPr>
          <w:rFonts w:ascii="Mulish" w:hAnsi="Mulish" w:cstheme="minorHAnsi"/>
          <w:szCs w:val="24"/>
        </w:rPr>
        <w:t>por</w:t>
      </w:r>
      <w:r w:rsidR="006256A9" w:rsidRPr="00941553">
        <w:rPr>
          <w:rFonts w:ascii="Mulish" w:hAnsi="Mulish" w:cstheme="minorHAnsi"/>
          <w:szCs w:val="24"/>
        </w:rPr>
        <w:t xml:space="preserve"> las </w:t>
      </w:r>
      <w:r w:rsidR="00CA1FF0" w:rsidRPr="00941553">
        <w:rPr>
          <w:rFonts w:ascii="Mulish" w:hAnsi="Mulish" w:cstheme="minorHAnsi"/>
          <w:szCs w:val="24"/>
        </w:rPr>
        <w:t>sociedades mercantiles</w:t>
      </w:r>
      <w:r w:rsidR="003A5E4A">
        <w:rPr>
          <w:rFonts w:ascii="Mulish" w:hAnsi="Mulish" w:cstheme="minorHAnsi"/>
          <w:szCs w:val="24"/>
        </w:rPr>
        <w:t>,</w:t>
      </w:r>
      <w:r w:rsidR="006256A9" w:rsidRPr="00941553">
        <w:rPr>
          <w:rFonts w:ascii="Mulish" w:hAnsi="Mulish" w:cstheme="minorHAnsi"/>
          <w:szCs w:val="24"/>
        </w:rPr>
        <w:t xml:space="preserve"> las fundaciones públicas</w:t>
      </w:r>
      <w:r w:rsidR="003A5E4A">
        <w:rPr>
          <w:rFonts w:ascii="Mulish" w:hAnsi="Mulish" w:cstheme="minorHAnsi"/>
          <w:szCs w:val="24"/>
        </w:rPr>
        <w:t xml:space="preserve"> y las entidades de derecho público</w:t>
      </w:r>
      <w:r w:rsidR="006256A9" w:rsidRPr="00941553">
        <w:rPr>
          <w:rFonts w:ascii="Mulish" w:hAnsi="Mulish" w:cstheme="minorHAnsi"/>
          <w:szCs w:val="24"/>
        </w:rPr>
        <w:t xml:space="preserve">, </w:t>
      </w:r>
      <w:r w:rsidR="00990C33" w:rsidRPr="00941553">
        <w:rPr>
          <w:rFonts w:ascii="Mulish" w:hAnsi="Mulish" w:cstheme="minorHAnsi"/>
          <w:szCs w:val="24"/>
        </w:rPr>
        <w:t>que alcanzan índices de cumplimiento</w:t>
      </w:r>
      <w:r w:rsidR="00CA1FF0" w:rsidRPr="00941553">
        <w:rPr>
          <w:rFonts w:ascii="Mulish" w:hAnsi="Mulish" w:cstheme="minorHAnsi"/>
          <w:szCs w:val="24"/>
        </w:rPr>
        <w:t xml:space="preserve"> </w:t>
      </w:r>
      <w:r w:rsidR="006256A9" w:rsidRPr="00941553">
        <w:rPr>
          <w:rFonts w:ascii="Mulish" w:hAnsi="Mulish" w:cstheme="minorHAnsi"/>
          <w:szCs w:val="24"/>
        </w:rPr>
        <w:t>ligeramente más elevado</w:t>
      </w:r>
      <w:r w:rsidR="00990C33" w:rsidRPr="00941553">
        <w:rPr>
          <w:rFonts w:ascii="Mulish" w:hAnsi="Mulish" w:cstheme="minorHAnsi"/>
          <w:szCs w:val="24"/>
        </w:rPr>
        <w:t>s</w:t>
      </w:r>
      <w:r w:rsidR="006256A9" w:rsidRPr="00941553">
        <w:rPr>
          <w:rFonts w:ascii="Mulish" w:hAnsi="Mulish" w:cstheme="minorHAnsi"/>
          <w:szCs w:val="24"/>
        </w:rPr>
        <w:t xml:space="preserve"> que el conjunto de entidades de este grupo de sujetos obligados</w:t>
      </w:r>
      <w:r w:rsidR="003A5E4A">
        <w:rPr>
          <w:rFonts w:ascii="Mulish" w:hAnsi="Mulish" w:cstheme="minorHAnsi"/>
          <w:szCs w:val="24"/>
        </w:rPr>
        <w:t>. A</w:t>
      </w:r>
      <w:r w:rsidR="00CA1FF0" w:rsidRPr="00941553">
        <w:rPr>
          <w:rFonts w:ascii="Mulish" w:hAnsi="Mulish" w:cstheme="minorHAnsi"/>
          <w:szCs w:val="24"/>
        </w:rPr>
        <w:t xml:space="preserve"> </w:t>
      </w:r>
      <w:r w:rsidR="003A5E4A">
        <w:rPr>
          <w:rFonts w:ascii="Mulish" w:hAnsi="Mulish" w:cstheme="minorHAnsi"/>
          <w:szCs w:val="24"/>
        </w:rPr>
        <w:t>la vista de los niveles de cumplimiento obtenidos,</w:t>
      </w:r>
      <w:r w:rsidR="00CA1FF0" w:rsidRPr="00941553">
        <w:rPr>
          <w:rFonts w:ascii="Mulish" w:hAnsi="Mulish" w:cstheme="minorHAnsi"/>
          <w:szCs w:val="24"/>
        </w:rPr>
        <w:t xml:space="preserve"> </w:t>
      </w:r>
      <w:r w:rsidR="003A5E4A">
        <w:rPr>
          <w:rFonts w:ascii="Mulish" w:hAnsi="Mulish" w:cstheme="minorHAnsi"/>
          <w:szCs w:val="24"/>
        </w:rPr>
        <w:t>e</w:t>
      </w:r>
      <w:r w:rsidR="00CA1FF0" w:rsidRPr="00941553">
        <w:rPr>
          <w:rFonts w:ascii="Mulish" w:hAnsi="Mulish" w:cstheme="minorHAnsi"/>
          <w:szCs w:val="24"/>
        </w:rPr>
        <w:t xml:space="preserve">l margen de mejora es evidente </w:t>
      </w:r>
      <w:r w:rsidR="00F920A1" w:rsidRPr="00941553">
        <w:rPr>
          <w:rFonts w:ascii="Mulish" w:hAnsi="Mulish" w:cstheme="minorHAnsi"/>
          <w:szCs w:val="24"/>
        </w:rPr>
        <w:t>para este grupo de sujetos obligados.</w:t>
      </w:r>
      <w:r w:rsidR="00D67951" w:rsidRPr="00941553">
        <w:rPr>
          <w:rFonts w:ascii="Mulish" w:hAnsi="Mulish" w:cstheme="minorHAnsi"/>
          <w:szCs w:val="24"/>
        </w:rPr>
        <w:t xml:space="preserve"> </w:t>
      </w:r>
    </w:p>
    <w:p w14:paraId="4B8DD1AE" w14:textId="77777777" w:rsidR="0054337E" w:rsidRPr="00941553" w:rsidRDefault="0054337E" w:rsidP="00D67951">
      <w:pPr>
        <w:rPr>
          <w:rFonts w:ascii="Mulish" w:hAnsi="Mulish"/>
          <w:b/>
          <w:color w:val="325F64" w:themeColor="accent2" w:themeShade="BF"/>
        </w:rPr>
      </w:pPr>
      <w:r w:rsidRPr="00941553">
        <w:rPr>
          <w:rFonts w:ascii="Mulish" w:hAnsi="Mulish"/>
          <w:b/>
          <w:color w:val="325F64" w:themeColor="accent2" w:themeShade="BF"/>
        </w:rPr>
        <w:t xml:space="preserve">Estos Índices de cumplimiento mejorarían notablemente, si las entidades evaluadas </w:t>
      </w:r>
      <w:r w:rsidR="00990C33" w:rsidRPr="00941553">
        <w:rPr>
          <w:rFonts w:ascii="Mulish" w:hAnsi="Mulish"/>
          <w:b/>
          <w:color w:val="325F64" w:themeColor="accent2" w:themeShade="BF"/>
        </w:rPr>
        <w:t>aplicasen</w:t>
      </w:r>
      <w:r w:rsidR="00C46EF1" w:rsidRPr="00941553">
        <w:rPr>
          <w:rFonts w:ascii="Mulish" w:hAnsi="Mulish"/>
          <w:b/>
          <w:color w:val="325F64" w:themeColor="accent2" w:themeShade="BF"/>
        </w:rPr>
        <w:t xml:space="preserve"> </w:t>
      </w:r>
      <w:r w:rsidRPr="00941553">
        <w:rPr>
          <w:rFonts w:ascii="Mulish" w:hAnsi="Mulish"/>
          <w:b/>
          <w:color w:val="325F64" w:themeColor="accent2" w:themeShade="BF"/>
        </w:rPr>
        <w:t xml:space="preserve">las recomendaciones derivadas de las evaluaciones realizadas por el Consejo. </w:t>
      </w:r>
    </w:p>
    <w:p w14:paraId="1AB1EC43" w14:textId="60DBCD95" w:rsidR="0054337E" w:rsidRPr="00941553" w:rsidRDefault="0054337E" w:rsidP="00D67951">
      <w:pPr>
        <w:rPr>
          <w:rFonts w:ascii="Mulish" w:hAnsi="Mulish" w:cstheme="minorHAnsi"/>
          <w:szCs w:val="24"/>
        </w:rPr>
      </w:pPr>
      <w:r w:rsidRPr="00941553">
        <w:rPr>
          <w:rFonts w:ascii="Mulish" w:hAnsi="Mulish" w:cstheme="minorHAnsi"/>
          <w:szCs w:val="24"/>
        </w:rPr>
        <w:t xml:space="preserve">Como se ha señalado, </w:t>
      </w:r>
      <w:r w:rsidR="00C46EF1" w:rsidRPr="00941553">
        <w:rPr>
          <w:rFonts w:ascii="Mulish" w:hAnsi="Mulish" w:cstheme="minorHAnsi"/>
          <w:szCs w:val="24"/>
        </w:rPr>
        <w:t xml:space="preserve">de las </w:t>
      </w:r>
      <w:r w:rsidR="00A91A9B">
        <w:rPr>
          <w:rFonts w:ascii="Mulish" w:hAnsi="Mulish" w:cstheme="minorHAnsi"/>
          <w:szCs w:val="24"/>
        </w:rPr>
        <w:t>995</w:t>
      </w:r>
      <w:r w:rsidR="00C46EF1" w:rsidRPr="00941553">
        <w:rPr>
          <w:rFonts w:ascii="Mulish" w:hAnsi="Mulish" w:cstheme="minorHAnsi"/>
          <w:szCs w:val="24"/>
        </w:rPr>
        <w:t xml:space="preserve"> recomendaciones efectuadas en 202</w:t>
      </w:r>
      <w:r w:rsidR="00A91A9B">
        <w:rPr>
          <w:rFonts w:ascii="Mulish" w:hAnsi="Mulish" w:cstheme="minorHAnsi"/>
          <w:szCs w:val="24"/>
        </w:rPr>
        <w:t>3</w:t>
      </w:r>
      <w:r w:rsidR="00C46EF1" w:rsidRPr="00941553">
        <w:rPr>
          <w:rFonts w:ascii="Mulish" w:hAnsi="Mulish" w:cstheme="minorHAnsi"/>
          <w:szCs w:val="24"/>
        </w:rPr>
        <w:t xml:space="preserve"> se ha aplicado </w:t>
      </w:r>
      <w:r w:rsidR="006256A9" w:rsidRPr="00941553">
        <w:rPr>
          <w:rFonts w:ascii="Mulish" w:hAnsi="Mulish" w:cstheme="minorHAnsi"/>
          <w:szCs w:val="24"/>
        </w:rPr>
        <w:t xml:space="preserve">el </w:t>
      </w:r>
      <w:r w:rsidR="00A91A9B">
        <w:rPr>
          <w:rFonts w:ascii="Mulish" w:hAnsi="Mulish" w:cstheme="minorHAnsi"/>
          <w:szCs w:val="24"/>
        </w:rPr>
        <w:t>45,4</w:t>
      </w:r>
      <w:r w:rsidR="00C46EF1" w:rsidRPr="00941553">
        <w:rPr>
          <w:rFonts w:ascii="Mulish" w:hAnsi="Mulish" w:cstheme="minorHAnsi"/>
          <w:szCs w:val="24"/>
        </w:rPr>
        <w:t>%</w:t>
      </w:r>
      <w:r w:rsidR="004E63FC" w:rsidRPr="00941553">
        <w:rPr>
          <w:rFonts w:ascii="Mulish" w:hAnsi="Mulish" w:cstheme="minorHAnsi"/>
          <w:szCs w:val="24"/>
        </w:rPr>
        <w:t>.</w:t>
      </w:r>
      <w:r w:rsidR="00C46EF1" w:rsidRPr="00941553">
        <w:rPr>
          <w:rFonts w:ascii="Mulish" w:hAnsi="Mulish" w:cstheme="minorHAnsi"/>
          <w:szCs w:val="24"/>
        </w:rPr>
        <w:t xml:space="preserve"> </w:t>
      </w:r>
      <w:r w:rsidR="004E63FC" w:rsidRPr="00941553">
        <w:rPr>
          <w:rFonts w:ascii="Mulish" w:hAnsi="Mulish" w:cstheme="minorHAnsi"/>
          <w:szCs w:val="24"/>
        </w:rPr>
        <w:t>L</w:t>
      </w:r>
      <w:r w:rsidRPr="00941553">
        <w:rPr>
          <w:rFonts w:ascii="Mulish" w:hAnsi="Mulish" w:cstheme="minorHAnsi"/>
          <w:szCs w:val="24"/>
        </w:rPr>
        <w:t>as entidades que han aplicado al menos el 80% de las rec</w:t>
      </w:r>
      <w:r w:rsidR="00C46EF1" w:rsidRPr="00941553">
        <w:rPr>
          <w:rFonts w:ascii="Mulish" w:hAnsi="Mulish" w:cstheme="minorHAnsi"/>
          <w:szCs w:val="24"/>
        </w:rPr>
        <w:t xml:space="preserve">omendaciones suponen el </w:t>
      </w:r>
      <w:r w:rsidR="00A91A9B">
        <w:rPr>
          <w:rFonts w:ascii="Mulish" w:hAnsi="Mulish" w:cstheme="minorHAnsi"/>
          <w:szCs w:val="24"/>
        </w:rPr>
        <w:t>28,1</w:t>
      </w:r>
      <w:r w:rsidR="00C46EF1" w:rsidRPr="00941553">
        <w:rPr>
          <w:rFonts w:ascii="Mulish" w:hAnsi="Mulish" w:cstheme="minorHAnsi"/>
          <w:szCs w:val="24"/>
        </w:rPr>
        <w:t xml:space="preserve">%, mientras que </w:t>
      </w:r>
      <w:r w:rsidR="00A91A9B">
        <w:rPr>
          <w:rFonts w:ascii="Mulish" w:hAnsi="Mulish" w:cstheme="minorHAnsi"/>
          <w:szCs w:val="24"/>
        </w:rPr>
        <w:t>una proporción similar – el 28% -</w:t>
      </w:r>
      <w:r w:rsidR="00C46EF1" w:rsidRPr="00941553">
        <w:rPr>
          <w:rFonts w:ascii="Mulish" w:hAnsi="Mulish" w:cstheme="minorHAnsi"/>
          <w:szCs w:val="24"/>
        </w:rPr>
        <w:t xml:space="preserve"> o bien no ha aplicado ninguna de las recomendaciones o bien ha aplicado menos del 20% de ellas. </w:t>
      </w:r>
    </w:p>
    <w:p w14:paraId="36C176F8" w14:textId="2E7A773D" w:rsidR="0054337E" w:rsidRPr="00941553" w:rsidRDefault="00C46EF1" w:rsidP="00C46EF1">
      <w:pPr>
        <w:pBdr>
          <w:top w:val="single" w:sz="4" w:space="1" w:color="438086" w:themeColor="accent2"/>
          <w:left w:val="single" w:sz="4" w:space="4" w:color="438086" w:themeColor="accent2"/>
          <w:bottom w:val="single" w:sz="4" w:space="1" w:color="438086" w:themeColor="accent2"/>
          <w:right w:val="single" w:sz="4" w:space="4" w:color="438086" w:themeColor="accent2"/>
        </w:pBdr>
        <w:rPr>
          <w:rFonts w:ascii="Mulish" w:hAnsi="Mulish"/>
          <w:b/>
          <w:color w:val="325F64" w:themeColor="accent2" w:themeShade="BF"/>
        </w:rPr>
      </w:pPr>
      <w:r w:rsidRPr="00941553">
        <w:rPr>
          <w:rFonts w:ascii="Mulish" w:hAnsi="Mulish"/>
        </w:rPr>
        <w:t xml:space="preserve">La finalidad de las recomendaciones es conseguir mejorar los niveles de cumplimiento de la LTAIBG por parte de los sujetos obligados. Por esta razón, es importante que las entidades evaluadas las apliquen. Solo de esta manera es posible avanzar. De hecho, entre las </w:t>
      </w:r>
      <w:r w:rsidR="00BF01F5">
        <w:rPr>
          <w:rFonts w:ascii="Mulish" w:hAnsi="Mulish"/>
        </w:rPr>
        <w:t>16</w:t>
      </w:r>
      <w:r w:rsidRPr="00941553">
        <w:rPr>
          <w:rFonts w:ascii="Mulish" w:hAnsi="Mulish"/>
        </w:rPr>
        <w:t xml:space="preserve"> entidades que han aplicado, al menos, el 80% de las recomendaciones efectuadas, el incremento del ICIO alcanza los </w:t>
      </w:r>
      <w:r w:rsidR="00BF01F5">
        <w:rPr>
          <w:rFonts w:ascii="Mulish" w:hAnsi="Mulish"/>
        </w:rPr>
        <w:t>38,3</w:t>
      </w:r>
      <w:r w:rsidRPr="00941553">
        <w:rPr>
          <w:rFonts w:ascii="Mulish" w:hAnsi="Mulish"/>
        </w:rPr>
        <w:t xml:space="preserve"> </w:t>
      </w:r>
      <w:r w:rsidR="004E63FC" w:rsidRPr="00941553">
        <w:rPr>
          <w:rFonts w:ascii="Mulish" w:hAnsi="Mulish"/>
        </w:rPr>
        <w:t>p.p.</w:t>
      </w:r>
      <w:r w:rsidRPr="00941553">
        <w:rPr>
          <w:rFonts w:ascii="Mulish" w:hAnsi="Mulish"/>
        </w:rPr>
        <w:t xml:space="preserve"> en promedio</w:t>
      </w:r>
    </w:p>
    <w:p w14:paraId="34DCC963" w14:textId="0B4CB8D2" w:rsidR="00BA4C51" w:rsidRDefault="00BA4C51">
      <w:pPr>
        <w:jc w:val="left"/>
        <w:rPr>
          <w:rFonts w:ascii="Mulish" w:eastAsia="Times New Roman" w:hAnsi="Mulish" w:cs="Times New Roman"/>
          <w:bCs/>
          <w:color w:val="FF0000"/>
          <w:szCs w:val="22"/>
          <w:lang w:bidi="es-ES"/>
        </w:rPr>
      </w:pPr>
      <w:r>
        <w:rPr>
          <w:rFonts w:ascii="Mulish" w:eastAsia="Times New Roman" w:hAnsi="Mulish" w:cs="Times New Roman"/>
          <w:bCs/>
          <w:color w:val="FF0000"/>
          <w:szCs w:val="22"/>
          <w:lang w:bidi="es-ES"/>
        </w:rPr>
        <w:br w:type="page"/>
      </w:r>
    </w:p>
    <w:p w14:paraId="22E0D713" w14:textId="0E230318" w:rsidR="00794A50" w:rsidRPr="000A2DEF" w:rsidRDefault="00967CE0" w:rsidP="000A2DEF">
      <w:pPr>
        <w:spacing w:line="240" w:lineRule="auto"/>
        <w:ind w:left="-709"/>
        <w:jc w:val="center"/>
        <w:rPr>
          <w:rFonts w:ascii="Mulish" w:eastAsia="Times New Roman" w:hAnsi="Mulish" w:cs="Times New Roman"/>
          <w:b/>
          <w:color w:val="000000"/>
          <w:sz w:val="24"/>
          <w:szCs w:val="24"/>
          <w:lang w:eastAsia="en-US"/>
        </w:rPr>
      </w:pPr>
      <w:sdt>
        <w:sdtPr>
          <w:rPr>
            <w:rFonts w:ascii="Mulish" w:eastAsia="Times New Roman" w:hAnsi="Mulish" w:cs="Times New Roman"/>
            <w:b/>
            <w:color w:val="438086" w:themeColor="accent2"/>
            <w:sz w:val="24"/>
            <w:szCs w:val="24"/>
            <w:lang w:eastAsia="en-US"/>
          </w:rPr>
          <w:id w:val="1557966967"/>
        </w:sdtPr>
        <w:sdtEndPr>
          <w:rPr>
            <w:color w:val="auto"/>
          </w:rPr>
        </w:sdtEndPr>
        <w:sdtContent>
          <w:r w:rsidR="00794A50" w:rsidRPr="000A2DEF">
            <w:rPr>
              <w:rFonts w:ascii="Mulish" w:eastAsia="Times New Roman" w:hAnsi="Mulish" w:cs="Times New Roman"/>
              <w:b/>
              <w:color w:val="438086" w:themeColor="accent2"/>
              <w:sz w:val="24"/>
              <w:szCs w:val="24"/>
              <w:lang w:eastAsia="en-US"/>
            </w:rPr>
            <w:t>Anexo</w:t>
          </w:r>
          <w:r w:rsidR="009C1649" w:rsidRPr="000A2DEF">
            <w:rPr>
              <w:rFonts w:ascii="Mulish" w:eastAsia="Times New Roman" w:hAnsi="Mulish" w:cs="Times New Roman"/>
              <w:b/>
              <w:color w:val="438086" w:themeColor="accent2"/>
              <w:sz w:val="24"/>
              <w:szCs w:val="24"/>
              <w:lang w:eastAsia="en-US"/>
            </w:rPr>
            <w:t xml:space="preserve"> I</w:t>
          </w:r>
          <w:r w:rsidR="00794A50" w:rsidRPr="000A2DEF">
            <w:rPr>
              <w:rFonts w:ascii="Mulish" w:eastAsia="Times New Roman" w:hAnsi="Mulish" w:cs="Times New Roman"/>
              <w:b/>
              <w:color w:val="438086" w:themeColor="accent2"/>
              <w:sz w:val="24"/>
              <w:szCs w:val="24"/>
              <w:lang w:eastAsia="en-US"/>
            </w:rPr>
            <w:t xml:space="preserve">: Criterios de medición de los atributos de la </w:t>
          </w:r>
          <w:r w:rsidR="00384774" w:rsidRPr="000A2DEF">
            <w:rPr>
              <w:rFonts w:ascii="Mulish" w:eastAsia="Times New Roman" w:hAnsi="Mulish" w:cs="Times New Roman"/>
              <w:b/>
              <w:color w:val="438086" w:themeColor="accent2"/>
              <w:sz w:val="24"/>
              <w:szCs w:val="24"/>
              <w:lang w:eastAsia="en-US"/>
            </w:rPr>
            <w:t>i</w:t>
          </w:r>
          <w:r w:rsidR="00794A50" w:rsidRPr="000A2DEF">
            <w:rPr>
              <w:rFonts w:ascii="Mulish" w:eastAsia="Times New Roman" w:hAnsi="Mulish" w:cs="Times New Roman"/>
              <w:b/>
              <w:color w:val="438086" w:themeColor="accent2"/>
              <w:sz w:val="24"/>
              <w:szCs w:val="24"/>
              <w:lang w:eastAsia="en-US"/>
            </w:rPr>
            <w:t>nformación</w:t>
          </w:r>
        </w:sdtContent>
      </w:sdt>
    </w:p>
    <w:tbl>
      <w:tblPr>
        <w:tblW w:w="5826" w:type="pct"/>
        <w:tblInd w:w="-497" w:type="dxa"/>
        <w:tblCellMar>
          <w:left w:w="70" w:type="dxa"/>
          <w:right w:w="70" w:type="dxa"/>
        </w:tblCellMar>
        <w:tblLook w:val="04A0" w:firstRow="1" w:lastRow="0" w:firstColumn="1" w:lastColumn="0" w:noHBand="0" w:noVBand="1"/>
      </w:tblPr>
      <w:tblGrid>
        <w:gridCol w:w="2055"/>
        <w:gridCol w:w="1889"/>
        <w:gridCol w:w="2044"/>
        <w:gridCol w:w="704"/>
        <w:gridCol w:w="3866"/>
      </w:tblGrid>
      <w:tr w:rsidR="00794A50" w:rsidRPr="00941553" w14:paraId="0B05C1F1" w14:textId="77777777" w:rsidTr="000A2DEF">
        <w:trPr>
          <w:trHeight w:val="300"/>
        </w:trPr>
        <w:tc>
          <w:tcPr>
            <w:tcW w:w="973"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14:paraId="26A7C281" w14:textId="77777777" w:rsidR="00794A50" w:rsidRPr="00941553" w:rsidRDefault="00794A50" w:rsidP="00794A50">
            <w:pPr>
              <w:spacing w:after="0" w:line="240" w:lineRule="auto"/>
              <w:jc w:val="center"/>
              <w:rPr>
                <w:rFonts w:ascii="Mulish" w:eastAsia="Times New Roman" w:hAnsi="Mulish" w:cs="Calibri"/>
                <w:b/>
                <w:bCs/>
                <w:color w:val="FFFFFF"/>
                <w:sz w:val="16"/>
                <w:szCs w:val="16"/>
              </w:rPr>
            </w:pPr>
            <w:r w:rsidRPr="00941553">
              <w:rPr>
                <w:rFonts w:ascii="Mulish" w:eastAsia="Times New Roman" w:hAnsi="Mulish" w:cs="Calibri"/>
                <w:b/>
                <w:bCs/>
                <w:color w:val="FFFFFF"/>
                <w:sz w:val="16"/>
                <w:szCs w:val="16"/>
              </w:rPr>
              <w:t>PRINCIPIOS GENERALES</w:t>
            </w:r>
          </w:p>
        </w:tc>
        <w:tc>
          <w:tcPr>
            <w:tcW w:w="895" w:type="pct"/>
            <w:tcBorders>
              <w:top w:val="single" w:sz="4" w:space="0" w:color="auto"/>
              <w:left w:val="nil"/>
              <w:bottom w:val="single" w:sz="4" w:space="0" w:color="auto"/>
              <w:right w:val="single" w:sz="4" w:space="0" w:color="auto"/>
            </w:tcBorders>
            <w:shd w:val="clear" w:color="000000" w:fill="438086" w:themeFill="accent2"/>
            <w:noWrap/>
            <w:vAlign w:val="bottom"/>
            <w:hideMark/>
          </w:tcPr>
          <w:p w14:paraId="0CDD9719" w14:textId="77777777" w:rsidR="00794A50" w:rsidRPr="00941553" w:rsidRDefault="00794A50" w:rsidP="00794A50">
            <w:pPr>
              <w:spacing w:after="0" w:line="240" w:lineRule="auto"/>
              <w:jc w:val="center"/>
              <w:rPr>
                <w:rFonts w:ascii="Mulish" w:eastAsia="Times New Roman" w:hAnsi="Mulish" w:cs="Calibri"/>
                <w:b/>
                <w:bCs/>
                <w:color w:val="FFFFFF"/>
                <w:sz w:val="16"/>
                <w:szCs w:val="16"/>
              </w:rPr>
            </w:pPr>
            <w:r w:rsidRPr="00941553">
              <w:rPr>
                <w:rFonts w:ascii="Mulish" w:eastAsia="Times New Roman" w:hAnsi="Mulish" w:cs="Calibri"/>
                <w:b/>
                <w:bCs/>
                <w:color w:val="FFFFFF"/>
                <w:sz w:val="16"/>
                <w:szCs w:val="16"/>
              </w:rPr>
              <w:t>CRITERIO</w:t>
            </w:r>
          </w:p>
        </w:tc>
        <w:tc>
          <w:tcPr>
            <w:tcW w:w="968" w:type="pct"/>
            <w:tcBorders>
              <w:top w:val="single" w:sz="4" w:space="0" w:color="auto"/>
              <w:left w:val="nil"/>
              <w:bottom w:val="single" w:sz="4" w:space="0" w:color="auto"/>
              <w:right w:val="single" w:sz="4" w:space="0" w:color="auto"/>
            </w:tcBorders>
            <w:shd w:val="clear" w:color="000000" w:fill="438086" w:themeFill="accent2"/>
            <w:noWrap/>
            <w:vAlign w:val="bottom"/>
            <w:hideMark/>
          </w:tcPr>
          <w:p w14:paraId="2BFA5175" w14:textId="77777777" w:rsidR="00794A50" w:rsidRPr="00941553" w:rsidRDefault="00794A50" w:rsidP="00794A50">
            <w:pPr>
              <w:spacing w:after="0" w:line="240" w:lineRule="auto"/>
              <w:jc w:val="center"/>
              <w:rPr>
                <w:rFonts w:ascii="Mulish" w:eastAsia="Times New Roman" w:hAnsi="Mulish" w:cs="Calibri"/>
                <w:b/>
                <w:bCs/>
                <w:color w:val="FFFFFF"/>
                <w:sz w:val="16"/>
                <w:szCs w:val="16"/>
              </w:rPr>
            </w:pPr>
            <w:r w:rsidRPr="00941553">
              <w:rPr>
                <w:rFonts w:ascii="Mulish" w:eastAsia="Times New Roman" w:hAnsi="Mulish" w:cs="Calibri"/>
                <w:b/>
                <w:bCs/>
                <w:color w:val="FFFFFF"/>
                <w:sz w:val="16"/>
                <w:szCs w:val="16"/>
              </w:rPr>
              <w:t>DESCRIPCION</w:t>
            </w:r>
          </w:p>
        </w:tc>
        <w:tc>
          <w:tcPr>
            <w:tcW w:w="333" w:type="pct"/>
            <w:tcBorders>
              <w:top w:val="single" w:sz="4" w:space="0" w:color="auto"/>
              <w:left w:val="nil"/>
              <w:bottom w:val="single" w:sz="4" w:space="0" w:color="auto"/>
              <w:right w:val="single" w:sz="4" w:space="0" w:color="auto"/>
            </w:tcBorders>
            <w:shd w:val="clear" w:color="000000" w:fill="438086" w:themeFill="accent2"/>
            <w:noWrap/>
            <w:vAlign w:val="bottom"/>
            <w:hideMark/>
          </w:tcPr>
          <w:p w14:paraId="3D13B1E6" w14:textId="77777777" w:rsidR="00794A50" w:rsidRPr="00941553" w:rsidRDefault="00794A50" w:rsidP="00794A50">
            <w:pPr>
              <w:spacing w:after="0" w:line="240" w:lineRule="auto"/>
              <w:jc w:val="center"/>
              <w:rPr>
                <w:rFonts w:ascii="Mulish" w:eastAsia="Times New Roman" w:hAnsi="Mulish" w:cs="Calibri"/>
                <w:b/>
                <w:bCs/>
                <w:color w:val="FFFFFF"/>
                <w:sz w:val="16"/>
                <w:szCs w:val="16"/>
              </w:rPr>
            </w:pPr>
            <w:r w:rsidRPr="00941553">
              <w:rPr>
                <w:rFonts w:ascii="Mulish" w:eastAsia="Times New Roman" w:hAnsi="Mulish" w:cs="Calibri"/>
                <w:b/>
                <w:bCs/>
                <w:color w:val="FFFFFF"/>
                <w:sz w:val="16"/>
                <w:szCs w:val="16"/>
              </w:rPr>
              <w:t>VALOR</w:t>
            </w:r>
          </w:p>
        </w:tc>
        <w:tc>
          <w:tcPr>
            <w:tcW w:w="1831" w:type="pct"/>
            <w:tcBorders>
              <w:top w:val="single" w:sz="4" w:space="0" w:color="auto"/>
              <w:left w:val="nil"/>
              <w:bottom w:val="single" w:sz="4" w:space="0" w:color="auto"/>
              <w:right w:val="single" w:sz="4" w:space="0" w:color="auto"/>
            </w:tcBorders>
            <w:shd w:val="clear" w:color="000000" w:fill="438086" w:themeFill="accent2"/>
            <w:noWrap/>
            <w:vAlign w:val="bottom"/>
            <w:hideMark/>
          </w:tcPr>
          <w:p w14:paraId="379C8777" w14:textId="77777777" w:rsidR="00794A50" w:rsidRPr="00941553" w:rsidRDefault="00794A50" w:rsidP="00794A50">
            <w:pPr>
              <w:spacing w:after="0" w:line="240" w:lineRule="auto"/>
              <w:jc w:val="center"/>
              <w:rPr>
                <w:rFonts w:ascii="Mulish" w:eastAsia="Times New Roman" w:hAnsi="Mulish" w:cs="Calibri"/>
                <w:b/>
                <w:bCs/>
                <w:color w:val="FFFFFF"/>
                <w:sz w:val="16"/>
                <w:szCs w:val="16"/>
              </w:rPr>
            </w:pPr>
            <w:r w:rsidRPr="00941553">
              <w:rPr>
                <w:rFonts w:ascii="Mulish" w:eastAsia="Times New Roman" w:hAnsi="Mulish" w:cs="Calibri"/>
                <w:b/>
                <w:bCs/>
                <w:color w:val="FFFFFF"/>
                <w:sz w:val="16"/>
                <w:szCs w:val="16"/>
              </w:rPr>
              <w:t>SIGNIFICADO</w:t>
            </w:r>
          </w:p>
        </w:tc>
      </w:tr>
      <w:tr w:rsidR="00794A50" w:rsidRPr="00941553" w14:paraId="6C0644A0" w14:textId="77777777" w:rsidTr="000A2DEF">
        <w:trPr>
          <w:trHeight w:val="514"/>
        </w:trPr>
        <w:tc>
          <w:tcPr>
            <w:tcW w:w="9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EDE8A1"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PUBLICACIÓN</w:t>
            </w:r>
          </w:p>
        </w:tc>
        <w:tc>
          <w:tcPr>
            <w:tcW w:w="8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025D87"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CONTENIDO</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15CAD365"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Se obliga su publicación por la Ley19/21013</w:t>
            </w:r>
          </w:p>
        </w:tc>
        <w:tc>
          <w:tcPr>
            <w:tcW w:w="333" w:type="pct"/>
            <w:tcBorders>
              <w:top w:val="nil"/>
              <w:left w:val="nil"/>
              <w:bottom w:val="single" w:sz="4" w:space="0" w:color="auto"/>
              <w:right w:val="single" w:sz="4" w:space="0" w:color="auto"/>
            </w:tcBorders>
            <w:shd w:val="clear" w:color="auto" w:fill="auto"/>
            <w:noWrap/>
            <w:vAlign w:val="bottom"/>
            <w:hideMark/>
          </w:tcPr>
          <w:p w14:paraId="211C8AE2"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5F08B4A0"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SI se publica el contenido de la obligación exigida</w:t>
            </w:r>
          </w:p>
        </w:tc>
      </w:tr>
      <w:tr w:rsidR="00794A50" w:rsidRPr="00941553" w14:paraId="748DE0D6" w14:textId="77777777" w:rsidTr="000A2DEF">
        <w:trPr>
          <w:trHeight w:val="323"/>
        </w:trPr>
        <w:tc>
          <w:tcPr>
            <w:tcW w:w="973" w:type="pct"/>
            <w:vMerge/>
            <w:tcBorders>
              <w:top w:val="nil"/>
              <w:left w:val="single" w:sz="4" w:space="0" w:color="auto"/>
              <w:bottom w:val="single" w:sz="4" w:space="0" w:color="auto"/>
              <w:right w:val="single" w:sz="4" w:space="0" w:color="auto"/>
            </w:tcBorders>
            <w:vAlign w:val="center"/>
            <w:hideMark/>
          </w:tcPr>
          <w:p w14:paraId="47839A8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1ECCC06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2FFE1D90"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14:paraId="42C0F79A"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7FE7A40F"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NO se publica el contenido de la obligación exigida</w:t>
            </w:r>
          </w:p>
        </w:tc>
      </w:tr>
      <w:tr w:rsidR="00794A50" w:rsidRPr="00941553" w14:paraId="7159B442" w14:textId="77777777" w:rsidTr="000A2DEF">
        <w:trPr>
          <w:trHeight w:val="427"/>
        </w:trPr>
        <w:tc>
          <w:tcPr>
            <w:tcW w:w="973" w:type="pct"/>
            <w:vMerge/>
            <w:tcBorders>
              <w:top w:val="nil"/>
              <w:left w:val="single" w:sz="4" w:space="0" w:color="auto"/>
              <w:bottom w:val="single" w:sz="4" w:space="0" w:color="auto"/>
              <w:right w:val="single" w:sz="4" w:space="0" w:color="auto"/>
            </w:tcBorders>
            <w:vAlign w:val="center"/>
            <w:hideMark/>
          </w:tcPr>
          <w:p w14:paraId="01F768A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76B2B3"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FORMA</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63B24350"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Modo de presentar la información</w:t>
            </w:r>
          </w:p>
        </w:tc>
        <w:tc>
          <w:tcPr>
            <w:tcW w:w="333" w:type="pct"/>
            <w:tcBorders>
              <w:top w:val="nil"/>
              <w:left w:val="nil"/>
              <w:bottom w:val="single" w:sz="4" w:space="0" w:color="auto"/>
              <w:right w:val="single" w:sz="4" w:space="0" w:color="auto"/>
            </w:tcBorders>
            <w:shd w:val="clear" w:color="auto" w:fill="auto"/>
            <w:noWrap/>
            <w:vAlign w:val="bottom"/>
            <w:hideMark/>
          </w:tcPr>
          <w:p w14:paraId="48CD2D11"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0246CE01"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De forma DIRECTA en la misma web o con enlace directo a la información</w:t>
            </w:r>
          </w:p>
        </w:tc>
      </w:tr>
      <w:tr w:rsidR="00794A50" w:rsidRPr="00941553" w14:paraId="1BD173A4" w14:textId="77777777" w:rsidTr="000A2DEF">
        <w:trPr>
          <w:trHeight w:val="419"/>
        </w:trPr>
        <w:tc>
          <w:tcPr>
            <w:tcW w:w="973" w:type="pct"/>
            <w:vMerge/>
            <w:tcBorders>
              <w:top w:val="nil"/>
              <w:left w:val="single" w:sz="4" w:space="0" w:color="auto"/>
              <w:bottom w:val="single" w:sz="4" w:space="0" w:color="auto"/>
              <w:right w:val="single" w:sz="4" w:space="0" w:color="auto"/>
            </w:tcBorders>
            <w:vAlign w:val="center"/>
            <w:hideMark/>
          </w:tcPr>
          <w:p w14:paraId="19653527"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5AB4D63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68B970F"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14:paraId="142EFD6F"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69BD3CC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De forma INDIRECTA pero sin dirigir a la información a la que se refiere</w:t>
            </w:r>
          </w:p>
        </w:tc>
      </w:tr>
      <w:tr w:rsidR="00794A50" w:rsidRPr="00941553" w14:paraId="3DB05A4D" w14:textId="77777777" w:rsidTr="000A2DEF">
        <w:trPr>
          <w:trHeight w:val="411"/>
        </w:trPr>
        <w:tc>
          <w:tcPr>
            <w:tcW w:w="973" w:type="pct"/>
            <w:vMerge/>
            <w:tcBorders>
              <w:top w:val="nil"/>
              <w:left w:val="single" w:sz="4" w:space="0" w:color="auto"/>
              <w:bottom w:val="single" w:sz="4" w:space="0" w:color="auto"/>
              <w:right w:val="single" w:sz="4" w:space="0" w:color="auto"/>
            </w:tcBorders>
            <w:vAlign w:val="center"/>
            <w:hideMark/>
          </w:tcPr>
          <w:p w14:paraId="4D4E09C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DA2821"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ACTUALIZACIÓN</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5D425819"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Se identifica la fecha de datación de la información</w:t>
            </w:r>
          </w:p>
        </w:tc>
        <w:tc>
          <w:tcPr>
            <w:tcW w:w="333" w:type="pct"/>
            <w:tcBorders>
              <w:top w:val="nil"/>
              <w:left w:val="nil"/>
              <w:bottom w:val="single" w:sz="4" w:space="0" w:color="auto"/>
              <w:right w:val="single" w:sz="4" w:space="0" w:color="auto"/>
            </w:tcBorders>
            <w:shd w:val="clear" w:color="auto" w:fill="auto"/>
            <w:noWrap/>
            <w:vAlign w:val="bottom"/>
            <w:hideMark/>
          </w:tcPr>
          <w:p w14:paraId="553A9651"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43A57618"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Tiene FECHA y está dentro de los TRES meses previos a la fecha de consulta</w:t>
            </w:r>
          </w:p>
        </w:tc>
      </w:tr>
      <w:tr w:rsidR="00794A50" w:rsidRPr="00941553" w14:paraId="4253AA4A" w14:textId="77777777" w:rsidTr="000A2DEF">
        <w:trPr>
          <w:trHeight w:val="416"/>
        </w:trPr>
        <w:tc>
          <w:tcPr>
            <w:tcW w:w="973" w:type="pct"/>
            <w:vMerge/>
            <w:tcBorders>
              <w:top w:val="nil"/>
              <w:left w:val="single" w:sz="4" w:space="0" w:color="auto"/>
              <w:bottom w:val="single" w:sz="4" w:space="0" w:color="auto"/>
              <w:right w:val="single" w:sz="4" w:space="0" w:color="auto"/>
            </w:tcBorders>
            <w:vAlign w:val="center"/>
            <w:hideMark/>
          </w:tcPr>
          <w:p w14:paraId="3184FECF"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563025F0"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102C40C2"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14:paraId="0CBCFA6B"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5</w:t>
            </w:r>
          </w:p>
        </w:tc>
        <w:tc>
          <w:tcPr>
            <w:tcW w:w="1831" w:type="pct"/>
            <w:tcBorders>
              <w:top w:val="nil"/>
              <w:left w:val="nil"/>
              <w:bottom w:val="single" w:sz="4" w:space="0" w:color="auto"/>
              <w:right w:val="single" w:sz="4" w:space="0" w:color="auto"/>
            </w:tcBorders>
            <w:shd w:val="clear" w:color="auto" w:fill="auto"/>
            <w:vAlign w:val="bottom"/>
            <w:hideMark/>
          </w:tcPr>
          <w:p w14:paraId="48DF873A"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Tiene FECHA  pero NO ESTA ACTUALIZADO dentro de los tres meses</w:t>
            </w:r>
          </w:p>
        </w:tc>
      </w:tr>
      <w:tr w:rsidR="00794A50" w:rsidRPr="00941553" w14:paraId="63E605F5" w14:textId="77777777" w:rsidTr="000A2DEF">
        <w:trPr>
          <w:trHeight w:val="422"/>
        </w:trPr>
        <w:tc>
          <w:tcPr>
            <w:tcW w:w="973" w:type="pct"/>
            <w:vMerge/>
            <w:tcBorders>
              <w:top w:val="nil"/>
              <w:left w:val="single" w:sz="4" w:space="0" w:color="auto"/>
              <w:bottom w:val="single" w:sz="4" w:space="0" w:color="auto"/>
              <w:right w:val="single" w:sz="4" w:space="0" w:color="auto"/>
            </w:tcBorders>
            <w:vAlign w:val="center"/>
            <w:hideMark/>
          </w:tcPr>
          <w:p w14:paraId="1EB8BA2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2FC9C81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B0D684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14:paraId="7C674549"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20D9F057"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NO SE CONOCE la fecha de publicación de la información</w:t>
            </w:r>
          </w:p>
        </w:tc>
      </w:tr>
      <w:tr w:rsidR="00794A50" w:rsidRPr="00941553" w14:paraId="44BA72BA" w14:textId="77777777" w:rsidTr="000A2DEF">
        <w:trPr>
          <w:trHeight w:val="300"/>
        </w:trPr>
        <w:tc>
          <w:tcPr>
            <w:tcW w:w="973" w:type="pct"/>
            <w:vMerge w:val="restart"/>
            <w:tcBorders>
              <w:top w:val="nil"/>
              <w:left w:val="single" w:sz="4" w:space="0" w:color="auto"/>
              <w:bottom w:val="single" w:sz="4" w:space="0" w:color="000000"/>
              <w:right w:val="single" w:sz="4" w:space="0" w:color="auto"/>
            </w:tcBorders>
            <w:shd w:val="clear" w:color="auto" w:fill="auto"/>
            <w:vAlign w:val="center"/>
            <w:hideMark/>
          </w:tcPr>
          <w:p w14:paraId="0A7F655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ATRIBUTOS</w:t>
            </w: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54608710"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ACCESIBILIDAD</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162A4855"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Número de clics para acceder a la información desde la página principal de transparencia</w:t>
            </w:r>
          </w:p>
        </w:tc>
        <w:tc>
          <w:tcPr>
            <w:tcW w:w="333" w:type="pct"/>
            <w:tcBorders>
              <w:top w:val="nil"/>
              <w:left w:val="nil"/>
              <w:bottom w:val="single" w:sz="4" w:space="0" w:color="auto"/>
              <w:right w:val="single" w:sz="4" w:space="0" w:color="auto"/>
            </w:tcBorders>
            <w:shd w:val="clear" w:color="auto" w:fill="auto"/>
            <w:vAlign w:val="bottom"/>
            <w:hideMark/>
          </w:tcPr>
          <w:p w14:paraId="6F259E59"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1138A263"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3 clics como máximo</w:t>
            </w:r>
          </w:p>
        </w:tc>
      </w:tr>
      <w:tr w:rsidR="00794A50" w:rsidRPr="00941553" w14:paraId="1D10ADCB" w14:textId="77777777" w:rsidTr="000A2DEF">
        <w:trPr>
          <w:trHeight w:val="171"/>
        </w:trPr>
        <w:tc>
          <w:tcPr>
            <w:tcW w:w="973" w:type="pct"/>
            <w:vMerge/>
            <w:tcBorders>
              <w:top w:val="nil"/>
              <w:left w:val="single" w:sz="4" w:space="0" w:color="auto"/>
              <w:bottom w:val="single" w:sz="4" w:space="0" w:color="000000"/>
              <w:right w:val="single" w:sz="4" w:space="0" w:color="auto"/>
            </w:tcBorders>
            <w:vAlign w:val="center"/>
            <w:hideMark/>
          </w:tcPr>
          <w:p w14:paraId="3FD01D57"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2E026F4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2E745E2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14D943A"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9</w:t>
            </w:r>
          </w:p>
        </w:tc>
        <w:tc>
          <w:tcPr>
            <w:tcW w:w="1831" w:type="pct"/>
            <w:tcBorders>
              <w:top w:val="nil"/>
              <w:left w:val="nil"/>
              <w:bottom w:val="single" w:sz="4" w:space="0" w:color="auto"/>
              <w:right w:val="single" w:sz="4" w:space="0" w:color="auto"/>
            </w:tcBorders>
            <w:shd w:val="clear" w:color="auto" w:fill="auto"/>
            <w:vAlign w:val="bottom"/>
            <w:hideMark/>
          </w:tcPr>
          <w:p w14:paraId="583C5188"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4</w:t>
            </w:r>
          </w:p>
        </w:tc>
      </w:tr>
      <w:tr w:rsidR="00794A50" w:rsidRPr="00941553" w14:paraId="3BE411B3" w14:textId="77777777" w:rsidTr="000A2DEF">
        <w:trPr>
          <w:trHeight w:val="245"/>
        </w:trPr>
        <w:tc>
          <w:tcPr>
            <w:tcW w:w="973" w:type="pct"/>
            <w:vMerge/>
            <w:tcBorders>
              <w:top w:val="nil"/>
              <w:left w:val="single" w:sz="4" w:space="0" w:color="auto"/>
              <w:bottom w:val="single" w:sz="4" w:space="0" w:color="000000"/>
              <w:right w:val="single" w:sz="4" w:space="0" w:color="auto"/>
            </w:tcBorders>
            <w:vAlign w:val="center"/>
            <w:hideMark/>
          </w:tcPr>
          <w:p w14:paraId="23E800FE"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167AC540"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7EEDEBD5"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087D4471"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8</w:t>
            </w:r>
          </w:p>
        </w:tc>
        <w:tc>
          <w:tcPr>
            <w:tcW w:w="1831" w:type="pct"/>
            <w:tcBorders>
              <w:top w:val="nil"/>
              <w:left w:val="nil"/>
              <w:bottom w:val="single" w:sz="4" w:space="0" w:color="auto"/>
              <w:right w:val="single" w:sz="4" w:space="0" w:color="auto"/>
            </w:tcBorders>
            <w:shd w:val="clear" w:color="auto" w:fill="auto"/>
            <w:vAlign w:val="bottom"/>
            <w:hideMark/>
          </w:tcPr>
          <w:p w14:paraId="48B7527B"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5</w:t>
            </w:r>
          </w:p>
        </w:tc>
      </w:tr>
      <w:tr w:rsidR="00794A50" w:rsidRPr="00941553" w14:paraId="6025DF86" w14:textId="77777777" w:rsidTr="000A2DEF">
        <w:trPr>
          <w:trHeight w:val="263"/>
        </w:trPr>
        <w:tc>
          <w:tcPr>
            <w:tcW w:w="973" w:type="pct"/>
            <w:vMerge/>
            <w:tcBorders>
              <w:top w:val="nil"/>
              <w:left w:val="single" w:sz="4" w:space="0" w:color="auto"/>
              <w:bottom w:val="single" w:sz="4" w:space="0" w:color="000000"/>
              <w:right w:val="single" w:sz="4" w:space="0" w:color="auto"/>
            </w:tcBorders>
            <w:vAlign w:val="center"/>
            <w:hideMark/>
          </w:tcPr>
          <w:p w14:paraId="3787D1C6"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7087794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1844D5F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23D2171D"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7</w:t>
            </w:r>
          </w:p>
        </w:tc>
        <w:tc>
          <w:tcPr>
            <w:tcW w:w="1831" w:type="pct"/>
            <w:tcBorders>
              <w:top w:val="nil"/>
              <w:left w:val="nil"/>
              <w:bottom w:val="single" w:sz="4" w:space="0" w:color="auto"/>
              <w:right w:val="single" w:sz="4" w:space="0" w:color="auto"/>
            </w:tcBorders>
            <w:shd w:val="clear" w:color="auto" w:fill="auto"/>
            <w:vAlign w:val="bottom"/>
            <w:hideMark/>
          </w:tcPr>
          <w:p w14:paraId="4DCD82F5"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6</w:t>
            </w:r>
          </w:p>
        </w:tc>
      </w:tr>
      <w:tr w:rsidR="00794A50" w:rsidRPr="00941553" w14:paraId="78EA81F8" w14:textId="77777777" w:rsidTr="000A2DEF">
        <w:trPr>
          <w:trHeight w:val="281"/>
        </w:trPr>
        <w:tc>
          <w:tcPr>
            <w:tcW w:w="973" w:type="pct"/>
            <w:vMerge/>
            <w:tcBorders>
              <w:top w:val="nil"/>
              <w:left w:val="single" w:sz="4" w:space="0" w:color="auto"/>
              <w:bottom w:val="single" w:sz="4" w:space="0" w:color="000000"/>
              <w:right w:val="single" w:sz="4" w:space="0" w:color="auto"/>
            </w:tcBorders>
            <w:vAlign w:val="center"/>
            <w:hideMark/>
          </w:tcPr>
          <w:p w14:paraId="27FCEE7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2D54724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1BB169C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003402E3"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6</w:t>
            </w:r>
          </w:p>
        </w:tc>
        <w:tc>
          <w:tcPr>
            <w:tcW w:w="1831" w:type="pct"/>
            <w:tcBorders>
              <w:top w:val="nil"/>
              <w:left w:val="nil"/>
              <w:bottom w:val="single" w:sz="4" w:space="0" w:color="auto"/>
              <w:right w:val="single" w:sz="4" w:space="0" w:color="auto"/>
            </w:tcBorders>
            <w:shd w:val="clear" w:color="auto" w:fill="auto"/>
            <w:vAlign w:val="bottom"/>
            <w:hideMark/>
          </w:tcPr>
          <w:p w14:paraId="665F812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7</w:t>
            </w:r>
          </w:p>
        </w:tc>
      </w:tr>
      <w:tr w:rsidR="00794A50" w:rsidRPr="00941553" w14:paraId="178E329B" w14:textId="77777777" w:rsidTr="000A2DEF">
        <w:trPr>
          <w:trHeight w:val="271"/>
        </w:trPr>
        <w:tc>
          <w:tcPr>
            <w:tcW w:w="973" w:type="pct"/>
            <w:vMerge/>
            <w:tcBorders>
              <w:top w:val="nil"/>
              <w:left w:val="single" w:sz="4" w:space="0" w:color="auto"/>
              <w:bottom w:val="single" w:sz="4" w:space="0" w:color="000000"/>
              <w:right w:val="single" w:sz="4" w:space="0" w:color="auto"/>
            </w:tcBorders>
            <w:vAlign w:val="center"/>
            <w:hideMark/>
          </w:tcPr>
          <w:p w14:paraId="5788F64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3C5D3DA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0127E5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086A20F"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5</w:t>
            </w:r>
          </w:p>
        </w:tc>
        <w:tc>
          <w:tcPr>
            <w:tcW w:w="1831" w:type="pct"/>
            <w:tcBorders>
              <w:top w:val="nil"/>
              <w:left w:val="nil"/>
              <w:bottom w:val="single" w:sz="4" w:space="0" w:color="auto"/>
              <w:right w:val="single" w:sz="4" w:space="0" w:color="auto"/>
            </w:tcBorders>
            <w:shd w:val="clear" w:color="auto" w:fill="auto"/>
            <w:vAlign w:val="bottom"/>
            <w:hideMark/>
          </w:tcPr>
          <w:p w14:paraId="0803DEFD"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8</w:t>
            </w:r>
          </w:p>
        </w:tc>
      </w:tr>
      <w:tr w:rsidR="00794A50" w:rsidRPr="00941553" w14:paraId="43BEEA51" w14:textId="77777777" w:rsidTr="000A2DEF">
        <w:trPr>
          <w:trHeight w:val="133"/>
        </w:trPr>
        <w:tc>
          <w:tcPr>
            <w:tcW w:w="973" w:type="pct"/>
            <w:vMerge/>
            <w:tcBorders>
              <w:top w:val="nil"/>
              <w:left w:val="single" w:sz="4" w:space="0" w:color="auto"/>
              <w:bottom w:val="single" w:sz="4" w:space="0" w:color="000000"/>
              <w:right w:val="single" w:sz="4" w:space="0" w:color="auto"/>
            </w:tcBorders>
            <w:vAlign w:val="center"/>
            <w:hideMark/>
          </w:tcPr>
          <w:p w14:paraId="45381B9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1487E51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3C6CB71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31B9B4D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4</w:t>
            </w:r>
          </w:p>
        </w:tc>
        <w:tc>
          <w:tcPr>
            <w:tcW w:w="1831" w:type="pct"/>
            <w:tcBorders>
              <w:top w:val="nil"/>
              <w:left w:val="nil"/>
              <w:bottom w:val="single" w:sz="4" w:space="0" w:color="auto"/>
              <w:right w:val="single" w:sz="4" w:space="0" w:color="auto"/>
            </w:tcBorders>
            <w:shd w:val="clear" w:color="auto" w:fill="auto"/>
            <w:vAlign w:val="bottom"/>
            <w:hideMark/>
          </w:tcPr>
          <w:p w14:paraId="3C5C809D"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9</w:t>
            </w:r>
          </w:p>
        </w:tc>
      </w:tr>
      <w:tr w:rsidR="00794A50" w:rsidRPr="00941553" w14:paraId="48C39195" w14:textId="77777777" w:rsidTr="000A2DEF">
        <w:trPr>
          <w:trHeight w:val="207"/>
        </w:trPr>
        <w:tc>
          <w:tcPr>
            <w:tcW w:w="973" w:type="pct"/>
            <w:vMerge/>
            <w:tcBorders>
              <w:top w:val="nil"/>
              <w:left w:val="single" w:sz="4" w:space="0" w:color="auto"/>
              <w:bottom w:val="single" w:sz="4" w:space="0" w:color="000000"/>
              <w:right w:val="single" w:sz="4" w:space="0" w:color="auto"/>
            </w:tcBorders>
            <w:vAlign w:val="center"/>
            <w:hideMark/>
          </w:tcPr>
          <w:p w14:paraId="0E2FF2C1"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60809AF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40C61986"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0ACE0612"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3</w:t>
            </w:r>
          </w:p>
        </w:tc>
        <w:tc>
          <w:tcPr>
            <w:tcW w:w="1831" w:type="pct"/>
            <w:tcBorders>
              <w:top w:val="nil"/>
              <w:left w:val="nil"/>
              <w:bottom w:val="single" w:sz="4" w:space="0" w:color="auto"/>
              <w:right w:val="single" w:sz="4" w:space="0" w:color="auto"/>
            </w:tcBorders>
            <w:shd w:val="clear" w:color="auto" w:fill="auto"/>
            <w:vAlign w:val="bottom"/>
            <w:hideMark/>
          </w:tcPr>
          <w:p w14:paraId="1CCB9298"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r>
      <w:tr w:rsidR="00794A50" w:rsidRPr="00941553" w14:paraId="1D299811"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11B4DC1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626C4BD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FA5C5F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5A7F57C"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2</w:t>
            </w:r>
          </w:p>
        </w:tc>
        <w:tc>
          <w:tcPr>
            <w:tcW w:w="1831" w:type="pct"/>
            <w:tcBorders>
              <w:top w:val="nil"/>
              <w:left w:val="nil"/>
              <w:bottom w:val="single" w:sz="4" w:space="0" w:color="auto"/>
              <w:right w:val="single" w:sz="4" w:space="0" w:color="auto"/>
            </w:tcBorders>
            <w:shd w:val="clear" w:color="auto" w:fill="auto"/>
            <w:vAlign w:val="bottom"/>
            <w:hideMark/>
          </w:tcPr>
          <w:p w14:paraId="578179C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11</w:t>
            </w:r>
          </w:p>
        </w:tc>
      </w:tr>
      <w:tr w:rsidR="00794A50" w:rsidRPr="00941553" w14:paraId="79AA91F3"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5FBB96A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3A901DC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45D408B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725FBDC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w:t>
            </w:r>
          </w:p>
        </w:tc>
        <w:tc>
          <w:tcPr>
            <w:tcW w:w="1831" w:type="pct"/>
            <w:tcBorders>
              <w:top w:val="nil"/>
              <w:left w:val="nil"/>
              <w:bottom w:val="single" w:sz="4" w:space="0" w:color="auto"/>
              <w:right w:val="single" w:sz="4" w:space="0" w:color="auto"/>
            </w:tcBorders>
            <w:shd w:val="clear" w:color="auto" w:fill="auto"/>
            <w:vAlign w:val="bottom"/>
            <w:hideMark/>
          </w:tcPr>
          <w:p w14:paraId="5E0179CD"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12</w:t>
            </w:r>
          </w:p>
        </w:tc>
      </w:tr>
      <w:tr w:rsidR="00794A50" w:rsidRPr="00941553" w14:paraId="4A0AA8C6"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1FAE075F"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725D972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0B7CDCF6"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50356D8F"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2CB8D68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Más de 12 clics</w:t>
            </w:r>
          </w:p>
        </w:tc>
      </w:tr>
      <w:tr w:rsidR="00794A50" w:rsidRPr="00941553" w14:paraId="26156983" w14:textId="77777777" w:rsidTr="000A2DEF">
        <w:trPr>
          <w:trHeight w:val="265"/>
        </w:trPr>
        <w:tc>
          <w:tcPr>
            <w:tcW w:w="973" w:type="pct"/>
            <w:vMerge/>
            <w:tcBorders>
              <w:top w:val="nil"/>
              <w:left w:val="single" w:sz="4" w:space="0" w:color="auto"/>
              <w:bottom w:val="single" w:sz="4" w:space="0" w:color="000000"/>
              <w:right w:val="single" w:sz="4" w:space="0" w:color="auto"/>
            </w:tcBorders>
            <w:vAlign w:val="center"/>
            <w:hideMark/>
          </w:tcPr>
          <w:p w14:paraId="15F98275"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200E83C5"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CLARIDAD</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67E1D80F"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3" w:type="pct"/>
            <w:tcBorders>
              <w:top w:val="nil"/>
              <w:left w:val="nil"/>
              <w:bottom w:val="single" w:sz="4" w:space="0" w:color="auto"/>
              <w:right w:val="single" w:sz="4" w:space="0" w:color="auto"/>
            </w:tcBorders>
            <w:shd w:val="clear" w:color="auto" w:fill="auto"/>
            <w:vAlign w:val="bottom"/>
            <w:hideMark/>
          </w:tcPr>
          <w:p w14:paraId="5E2A99D4"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235C46D0"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MUY comprensible o con ayudas, en su caso</w:t>
            </w:r>
          </w:p>
        </w:tc>
      </w:tr>
      <w:tr w:rsidR="00794A50" w:rsidRPr="00941553" w14:paraId="637EE8EA" w14:textId="77777777" w:rsidTr="000A2DEF">
        <w:trPr>
          <w:trHeight w:val="271"/>
        </w:trPr>
        <w:tc>
          <w:tcPr>
            <w:tcW w:w="973" w:type="pct"/>
            <w:vMerge/>
            <w:tcBorders>
              <w:top w:val="nil"/>
              <w:left w:val="single" w:sz="4" w:space="0" w:color="auto"/>
              <w:bottom w:val="single" w:sz="4" w:space="0" w:color="000000"/>
              <w:right w:val="single" w:sz="4" w:space="0" w:color="auto"/>
            </w:tcBorders>
            <w:vAlign w:val="center"/>
            <w:hideMark/>
          </w:tcPr>
          <w:p w14:paraId="1E7D992A"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53699A2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154C99DA"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36B6EA15"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9</w:t>
            </w:r>
          </w:p>
        </w:tc>
        <w:tc>
          <w:tcPr>
            <w:tcW w:w="1831" w:type="pct"/>
            <w:tcBorders>
              <w:top w:val="nil"/>
              <w:left w:val="nil"/>
              <w:bottom w:val="single" w:sz="4" w:space="0" w:color="auto"/>
              <w:right w:val="single" w:sz="4" w:space="0" w:color="auto"/>
            </w:tcBorders>
            <w:shd w:val="clear" w:color="auto" w:fill="auto"/>
            <w:vAlign w:val="bottom"/>
            <w:hideMark/>
          </w:tcPr>
          <w:p w14:paraId="223EEFB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 </w:t>
            </w:r>
          </w:p>
        </w:tc>
      </w:tr>
      <w:tr w:rsidR="00794A50" w:rsidRPr="00941553" w14:paraId="147EB5C6"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16BA4402"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02CFC2E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77746736"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7A88046"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8</w:t>
            </w:r>
          </w:p>
        </w:tc>
        <w:tc>
          <w:tcPr>
            <w:tcW w:w="1831" w:type="pct"/>
            <w:tcBorders>
              <w:top w:val="nil"/>
              <w:left w:val="nil"/>
              <w:bottom w:val="single" w:sz="4" w:space="0" w:color="auto"/>
              <w:right w:val="single" w:sz="4" w:space="0" w:color="auto"/>
            </w:tcBorders>
            <w:shd w:val="clear" w:color="auto" w:fill="auto"/>
            <w:vAlign w:val="bottom"/>
            <w:hideMark/>
          </w:tcPr>
          <w:p w14:paraId="264DDF5D"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Comprensible</w:t>
            </w:r>
          </w:p>
        </w:tc>
      </w:tr>
      <w:tr w:rsidR="00794A50" w:rsidRPr="00941553" w14:paraId="4C247EA7" w14:textId="77777777" w:rsidTr="000A2DEF">
        <w:trPr>
          <w:trHeight w:val="251"/>
        </w:trPr>
        <w:tc>
          <w:tcPr>
            <w:tcW w:w="973" w:type="pct"/>
            <w:vMerge/>
            <w:tcBorders>
              <w:top w:val="nil"/>
              <w:left w:val="single" w:sz="4" w:space="0" w:color="auto"/>
              <w:bottom w:val="single" w:sz="4" w:space="0" w:color="000000"/>
              <w:right w:val="single" w:sz="4" w:space="0" w:color="auto"/>
            </w:tcBorders>
            <w:vAlign w:val="center"/>
            <w:hideMark/>
          </w:tcPr>
          <w:p w14:paraId="5C102F3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73F12DD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0678ACE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5E8D25DA"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7</w:t>
            </w:r>
          </w:p>
        </w:tc>
        <w:tc>
          <w:tcPr>
            <w:tcW w:w="1831" w:type="pct"/>
            <w:tcBorders>
              <w:top w:val="nil"/>
              <w:left w:val="nil"/>
              <w:bottom w:val="single" w:sz="4" w:space="0" w:color="auto"/>
              <w:right w:val="single" w:sz="4" w:space="0" w:color="auto"/>
            </w:tcBorders>
            <w:shd w:val="clear" w:color="auto" w:fill="auto"/>
            <w:vAlign w:val="bottom"/>
            <w:hideMark/>
          </w:tcPr>
          <w:p w14:paraId="67F20E89"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 </w:t>
            </w:r>
          </w:p>
        </w:tc>
      </w:tr>
      <w:tr w:rsidR="00794A50" w:rsidRPr="00941553" w14:paraId="623EE4DE"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2F1BA130"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5203841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BEEE4B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6C8CDB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6</w:t>
            </w:r>
          </w:p>
        </w:tc>
        <w:tc>
          <w:tcPr>
            <w:tcW w:w="1831" w:type="pct"/>
            <w:tcBorders>
              <w:top w:val="nil"/>
              <w:left w:val="nil"/>
              <w:bottom w:val="single" w:sz="4" w:space="0" w:color="auto"/>
              <w:right w:val="single" w:sz="4" w:space="0" w:color="auto"/>
            </w:tcBorders>
            <w:shd w:val="clear" w:color="auto" w:fill="auto"/>
            <w:vAlign w:val="bottom"/>
            <w:hideMark/>
          </w:tcPr>
          <w:p w14:paraId="2089D1B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Normal</w:t>
            </w:r>
          </w:p>
        </w:tc>
      </w:tr>
      <w:tr w:rsidR="00794A50" w:rsidRPr="00941553" w14:paraId="3D6DC99D"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21DF09DE"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048A4EB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48FB47E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6B025F4D"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5</w:t>
            </w:r>
          </w:p>
        </w:tc>
        <w:tc>
          <w:tcPr>
            <w:tcW w:w="1831" w:type="pct"/>
            <w:tcBorders>
              <w:top w:val="nil"/>
              <w:left w:val="nil"/>
              <w:bottom w:val="single" w:sz="4" w:space="0" w:color="auto"/>
              <w:right w:val="single" w:sz="4" w:space="0" w:color="auto"/>
            </w:tcBorders>
            <w:shd w:val="clear" w:color="auto" w:fill="auto"/>
            <w:vAlign w:val="bottom"/>
            <w:hideMark/>
          </w:tcPr>
          <w:p w14:paraId="550F0CE0"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 </w:t>
            </w:r>
          </w:p>
        </w:tc>
      </w:tr>
      <w:tr w:rsidR="00794A50" w:rsidRPr="00941553" w14:paraId="13961182"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37DC568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1AEFCE90"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7CD41E2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7095FF68"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4</w:t>
            </w:r>
          </w:p>
        </w:tc>
        <w:tc>
          <w:tcPr>
            <w:tcW w:w="1831" w:type="pct"/>
            <w:tcBorders>
              <w:top w:val="nil"/>
              <w:left w:val="nil"/>
              <w:bottom w:val="single" w:sz="4" w:space="0" w:color="auto"/>
              <w:right w:val="single" w:sz="4" w:space="0" w:color="auto"/>
            </w:tcBorders>
            <w:shd w:val="clear" w:color="auto" w:fill="auto"/>
            <w:vAlign w:val="bottom"/>
            <w:hideMark/>
          </w:tcPr>
          <w:p w14:paraId="45742401"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Poco comprensible</w:t>
            </w:r>
          </w:p>
        </w:tc>
      </w:tr>
      <w:tr w:rsidR="00794A50" w:rsidRPr="00941553" w14:paraId="294A8BF8" w14:textId="77777777" w:rsidTr="000A2DEF">
        <w:trPr>
          <w:trHeight w:val="183"/>
        </w:trPr>
        <w:tc>
          <w:tcPr>
            <w:tcW w:w="973" w:type="pct"/>
            <w:vMerge/>
            <w:tcBorders>
              <w:top w:val="nil"/>
              <w:left w:val="single" w:sz="4" w:space="0" w:color="auto"/>
              <w:bottom w:val="single" w:sz="4" w:space="0" w:color="000000"/>
              <w:right w:val="single" w:sz="4" w:space="0" w:color="auto"/>
            </w:tcBorders>
            <w:vAlign w:val="center"/>
            <w:hideMark/>
          </w:tcPr>
          <w:p w14:paraId="7F2A6537"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1879E9A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1804F965"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11E04FB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3</w:t>
            </w:r>
          </w:p>
        </w:tc>
        <w:tc>
          <w:tcPr>
            <w:tcW w:w="1831" w:type="pct"/>
            <w:tcBorders>
              <w:top w:val="nil"/>
              <w:left w:val="nil"/>
              <w:bottom w:val="single" w:sz="4" w:space="0" w:color="auto"/>
              <w:right w:val="single" w:sz="4" w:space="0" w:color="auto"/>
            </w:tcBorders>
            <w:shd w:val="clear" w:color="auto" w:fill="auto"/>
            <w:vAlign w:val="bottom"/>
            <w:hideMark/>
          </w:tcPr>
          <w:p w14:paraId="655FDA67"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 </w:t>
            </w:r>
          </w:p>
        </w:tc>
      </w:tr>
      <w:tr w:rsidR="00794A50" w:rsidRPr="00941553" w14:paraId="109C1423"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2BE867CF"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0DE34B51"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3CD111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4D1618D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2</w:t>
            </w:r>
          </w:p>
        </w:tc>
        <w:tc>
          <w:tcPr>
            <w:tcW w:w="1831" w:type="pct"/>
            <w:tcBorders>
              <w:top w:val="nil"/>
              <w:left w:val="nil"/>
              <w:bottom w:val="single" w:sz="4" w:space="0" w:color="auto"/>
              <w:right w:val="single" w:sz="4" w:space="0" w:color="auto"/>
            </w:tcBorders>
            <w:shd w:val="clear" w:color="auto" w:fill="auto"/>
            <w:vAlign w:val="bottom"/>
            <w:hideMark/>
          </w:tcPr>
          <w:p w14:paraId="63C4D13E"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Difícilmente comprensible</w:t>
            </w:r>
          </w:p>
        </w:tc>
      </w:tr>
      <w:tr w:rsidR="00794A50" w:rsidRPr="00941553" w14:paraId="047D100C" w14:textId="77777777" w:rsidTr="000A2DEF">
        <w:trPr>
          <w:trHeight w:val="247"/>
        </w:trPr>
        <w:tc>
          <w:tcPr>
            <w:tcW w:w="973" w:type="pct"/>
            <w:vMerge/>
            <w:tcBorders>
              <w:top w:val="nil"/>
              <w:left w:val="single" w:sz="4" w:space="0" w:color="auto"/>
              <w:bottom w:val="single" w:sz="4" w:space="0" w:color="000000"/>
              <w:right w:val="single" w:sz="4" w:space="0" w:color="auto"/>
            </w:tcBorders>
            <w:vAlign w:val="center"/>
            <w:hideMark/>
          </w:tcPr>
          <w:p w14:paraId="4EBD49A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4EC025D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3C78D1EB"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021A0748"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w:t>
            </w:r>
          </w:p>
        </w:tc>
        <w:tc>
          <w:tcPr>
            <w:tcW w:w="1831" w:type="pct"/>
            <w:tcBorders>
              <w:top w:val="nil"/>
              <w:left w:val="nil"/>
              <w:bottom w:val="single" w:sz="4" w:space="0" w:color="auto"/>
              <w:right w:val="single" w:sz="4" w:space="0" w:color="auto"/>
            </w:tcBorders>
            <w:shd w:val="clear" w:color="auto" w:fill="auto"/>
            <w:vAlign w:val="bottom"/>
            <w:hideMark/>
          </w:tcPr>
          <w:p w14:paraId="3B95FFA4"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 </w:t>
            </w:r>
          </w:p>
        </w:tc>
      </w:tr>
      <w:tr w:rsidR="00794A50" w:rsidRPr="00941553" w14:paraId="70320E32" w14:textId="77777777" w:rsidTr="000A2DEF">
        <w:trPr>
          <w:trHeight w:val="123"/>
        </w:trPr>
        <w:tc>
          <w:tcPr>
            <w:tcW w:w="973" w:type="pct"/>
            <w:vMerge/>
            <w:tcBorders>
              <w:top w:val="nil"/>
              <w:left w:val="single" w:sz="4" w:space="0" w:color="auto"/>
              <w:bottom w:val="single" w:sz="4" w:space="0" w:color="000000"/>
              <w:right w:val="single" w:sz="4" w:space="0" w:color="auto"/>
            </w:tcBorders>
            <w:vAlign w:val="center"/>
            <w:hideMark/>
          </w:tcPr>
          <w:p w14:paraId="4CDD6231"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640CD6BA"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5B96911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3A49BC75"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39CFB3D0"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NADA comprensible</w:t>
            </w:r>
          </w:p>
        </w:tc>
      </w:tr>
      <w:tr w:rsidR="00794A50" w:rsidRPr="00941553" w14:paraId="44105467" w14:textId="77777777" w:rsidTr="000A2DEF">
        <w:trPr>
          <w:trHeight w:val="570"/>
        </w:trPr>
        <w:tc>
          <w:tcPr>
            <w:tcW w:w="973" w:type="pct"/>
            <w:vMerge/>
            <w:tcBorders>
              <w:top w:val="nil"/>
              <w:left w:val="single" w:sz="4" w:space="0" w:color="auto"/>
              <w:bottom w:val="single" w:sz="4" w:space="0" w:color="000000"/>
              <w:right w:val="single" w:sz="4" w:space="0" w:color="auto"/>
            </w:tcBorders>
            <w:vAlign w:val="center"/>
            <w:hideMark/>
          </w:tcPr>
          <w:p w14:paraId="4B5799FC"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14:paraId="7ABB4244"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ESTRUCTURACIÓN</w:t>
            </w:r>
          </w:p>
        </w:tc>
        <w:tc>
          <w:tcPr>
            <w:tcW w:w="968" w:type="pct"/>
            <w:vMerge w:val="restart"/>
            <w:tcBorders>
              <w:top w:val="nil"/>
              <w:left w:val="single" w:sz="4" w:space="0" w:color="auto"/>
              <w:bottom w:val="single" w:sz="4" w:space="0" w:color="000000"/>
              <w:right w:val="single" w:sz="4" w:space="0" w:color="auto"/>
            </w:tcBorders>
            <w:shd w:val="clear" w:color="auto" w:fill="auto"/>
            <w:vAlign w:val="center"/>
            <w:hideMark/>
          </w:tcPr>
          <w:p w14:paraId="7CEA3637" w14:textId="77777777" w:rsidR="00794A50" w:rsidRPr="00941553" w:rsidRDefault="00794A50" w:rsidP="00794A50">
            <w:pPr>
              <w:spacing w:after="0" w:line="240" w:lineRule="auto"/>
              <w:jc w:val="center"/>
              <w:rPr>
                <w:rFonts w:ascii="Mulish" w:eastAsia="Times New Roman" w:hAnsi="Mulish" w:cs="Calibri"/>
                <w:sz w:val="16"/>
                <w:szCs w:val="16"/>
              </w:rPr>
            </w:pPr>
            <w:r w:rsidRPr="00941553">
              <w:rPr>
                <w:rFonts w:ascii="Mulish" w:eastAsia="Times New Roman" w:hAnsi="Mulish" w:cs="Calibri"/>
                <w:sz w:val="16"/>
                <w:szCs w:val="16"/>
              </w:rPr>
              <w:t>Información organizada siguiendo una lógica clara</w:t>
            </w:r>
          </w:p>
        </w:tc>
        <w:tc>
          <w:tcPr>
            <w:tcW w:w="333" w:type="pct"/>
            <w:tcBorders>
              <w:top w:val="nil"/>
              <w:left w:val="nil"/>
              <w:bottom w:val="single" w:sz="4" w:space="0" w:color="auto"/>
              <w:right w:val="single" w:sz="4" w:space="0" w:color="auto"/>
            </w:tcBorders>
            <w:shd w:val="clear" w:color="auto" w:fill="auto"/>
            <w:vAlign w:val="bottom"/>
            <w:hideMark/>
          </w:tcPr>
          <w:p w14:paraId="402EE493" w14:textId="77777777" w:rsidR="00794A50" w:rsidRPr="00941553" w:rsidRDefault="00794A50" w:rsidP="00794A50">
            <w:pPr>
              <w:spacing w:after="0" w:line="240" w:lineRule="auto"/>
              <w:jc w:val="center"/>
              <w:rPr>
                <w:rFonts w:ascii="Mulish" w:eastAsia="Times New Roman" w:hAnsi="Mulish" w:cs="Calibri"/>
                <w:sz w:val="16"/>
                <w:szCs w:val="16"/>
              </w:rPr>
            </w:pPr>
            <w:r w:rsidRPr="00941553">
              <w:rPr>
                <w:rFonts w:ascii="Mulish" w:eastAsia="Times New Roman" w:hAnsi="Mulish" w:cs="Calibri"/>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6203BA56" w14:textId="77777777" w:rsidR="00794A50" w:rsidRPr="00941553" w:rsidRDefault="00794A50" w:rsidP="00794A50">
            <w:pPr>
              <w:spacing w:after="0" w:line="240" w:lineRule="auto"/>
              <w:jc w:val="left"/>
              <w:rPr>
                <w:rFonts w:ascii="Mulish" w:eastAsia="Times New Roman" w:hAnsi="Mulish" w:cs="Calibri"/>
                <w:sz w:val="16"/>
                <w:szCs w:val="16"/>
              </w:rPr>
            </w:pPr>
            <w:r w:rsidRPr="00941553">
              <w:rPr>
                <w:rFonts w:ascii="Mulish" w:eastAsia="Times New Roman" w:hAnsi="Mulish" w:cs="Calibri"/>
                <w:sz w:val="16"/>
                <w:szCs w:val="16"/>
              </w:rPr>
              <w:t>la información se encuentra ordenada en grupos de materias, temáticas o de acuerdo con los bloques o grupos de información de la ley</w:t>
            </w:r>
          </w:p>
        </w:tc>
      </w:tr>
      <w:tr w:rsidR="00794A50" w:rsidRPr="00941553" w14:paraId="065BDC15" w14:textId="77777777" w:rsidTr="000A2DEF">
        <w:trPr>
          <w:trHeight w:val="427"/>
        </w:trPr>
        <w:tc>
          <w:tcPr>
            <w:tcW w:w="973" w:type="pct"/>
            <w:vMerge/>
            <w:tcBorders>
              <w:top w:val="nil"/>
              <w:left w:val="single" w:sz="4" w:space="0" w:color="auto"/>
              <w:bottom w:val="single" w:sz="4" w:space="0" w:color="000000"/>
              <w:right w:val="single" w:sz="4" w:space="0" w:color="auto"/>
            </w:tcBorders>
            <w:vAlign w:val="center"/>
            <w:hideMark/>
          </w:tcPr>
          <w:p w14:paraId="4182C11E"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000000"/>
              <w:right w:val="single" w:sz="4" w:space="0" w:color="auto"/>
            </w:tcBorders>
            <w:vAlign w:val="center"/>
            <w:hideMark/>
          </w:tcPr>
          <w:p w14:paraId="50378399"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000000"/>
              <w:right w:val="single" w:sz="4" w:space="0" w:color="auto"/>
            </w:tcBorders>
            <w:vAlign w:val="center"/>
            <w:hideMark/>
          </w:tcPr>
          <w:p w14:paraId="7CC06D67" w14:textId="77777777" w:rsidR="00794A50" w:rsidRPr="00941553" w:rsidRDefault="00794A50" w:rsidP="00794A50">
            <w:pPr>
              <w:spacing w:after="0" w:line="240" w:lineRule="auto"/>
              <w:jc w:val="left"/>
              <w:rPr>
                <w:rFonts w:ascii="Mulish" w:eastAsia="Times New Roman" w:hAnsi="Mulish" w:cs="Calibri"/>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7D320D0A" w14:textId="77777777" w:rsidR="00794A50" w:rsidRPr="00941553" w:rsidRDefault="00794A50" w:rsidP="00794A50">
            <w:pPr>
              <w:spacing w:after="0" w:line="240" w:lineRule="auto"/>
              <w:jc w:val="center"/>
              <w:rPr>
                <w:rFonts w:ascii="Mulish" w:eastAsia="Times New Roman" w:hAnsi="Mulish" w:cs="Calibri"/>
                <w:sz w:val="16"/>
                <w:szCs w:val="16"/>
              </w:rPr>
            </w:pPr>
            <w:r w:rsidRPr="00941553">
              <w:rPr>
                <w:rFonts w:ascii="Mulish" w:eastAsia="Times New Roman" w:hAnsi="Mulish" w:cs="Calibri"/>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042B25F5" w14:textId="77777777" w:rsidR="00794A50" w:rsidRPr="00941553" w:rsidRDefault="00794A50" w:rsidP="00794A50">
            <w:pPr>
              <w:spacing w:after="0" w:line="240" w:lineRule="auto"/>
              <w:jc w:val="left"/>
              <w:rPr>
                <w:rFonts w:ascii="Mulish" w:eastAsia="Times New Roman" w:hAnsi="Mulish" w:cs="Calibri"/>
                <w:sz w:val="16"/>
                <w:szCs w:val="16"/>
              </w:rPr>
            </w:pPr>
            <w:r w:rsidRPr="00941553">
              <w:rPr>
                <w:rFonts w:ascii="Mulish" w:eastAsia="Times New Roman" w:hAnsi="Mulish" w:cs="Calibri"/>
                <w:sz w:val="16"/>
                <w:szCs w:val="16"/>
              </w:rPr>
              <w:t>la información se presenta dispersa sin agrupación ni ordenación alguna</w:t>
            </w:r>
          </w:p>
        </w:tc>
      </w:tr>
      <w:tr w:rsidR="00794A50" w:rsidRPr="00941553" w14:paraId="50AF485D"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0D16CE5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3EF5FE93"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Reutilización</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7E341E9F"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Formatos según Ley 37/2007</w:t>
            </w:r>
          </w:p>
        </w:tc>
        <w:tc>
          <w:tcPr>
            <w:tcW w:w="333" w:type="pct"/>
            <w:tcBorders>
              <w:top w:val="nil"/>
              <w:left w:val="nil"/>
              <w:bottom w:val="single" w:sz="4" w:space="0" w:color="auto"/>
              <w:right w:val="single" w:sz="4" w:space="0" w:color="auto"/>
            </w:tcBorders>
            <w:shd w:val="clear" w:color="auto" w:fill="auto"/>
            <w:vAlign w:val="bottom"/>
            <w:hideMark/>
          </w:tcPr>
          <w:p w14:paraId="3087B612"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61609133"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Es un formato reutilizable establecido</w:t>
            </w:r>
          </w:p>
        </w:tc>
      </w:tr>
      <w:tr w:rsidR="00794A50" w:rsidRPr="00941553" w14:paraId="605F2033" w14:textId="77777777" w:rsidTr="000A2DEF">
        <w:trPr>
          <w:trHeight w:val="300"/>
        </w:trPr>
        <w:tc>
          <w:tcPr>
            <w:tcW w:w="973" w:type="pct"/>
            <w:vMerge/>
            <w:tcBorders>
              <w:top w:val="nil"/>
              <w:left w:val="single" w:sz="4" w:space="0" w:color="auto"/>
              <w:bottom w:val="single" w:sz="4" w:space="0" w:color="000000"/>
              <w:right w:val="single" w:sz="4" w:space="0" w:color="auto"/>
            </w:tcBorders>
            <w:vAlign w:val="center"/>
            <w:hideMark/>
          </w:tcPr>
          <w:p w14:paraId="6F77F4C5"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67F6135D"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651C2E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69AF1C3D"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7DDB47D1"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NO es un formato reutilizable</w:t>
            </w:r>
          </w:p>
        </w:tc>
      </w:tr>
      <w:tr w:rsidR="00794A50" w:rsidRPr="00941553" w14:paraId="013F76E1" w14:textId="77777777" w:rsidTr="000A2DEF">
        <w:trPr>
          <w:trHeight w:val="343"/>
        </w:trPr>
        <w:tc>
          <w:tcPr>
            <w:tcW w:w="973" w:type="pct"/>
            <w:vMerge w:val="restart"/>
            <w:tcBorders>
              <w:top w:val="nil"/>
              <w:left w:val="single" w:sz="4" w:space="0" w:color="auto"/>
              <w:bottom w:val="single" w:sz="4" w:space="0" w:color="000000"/>
              <w:right w:val="single" w:sz="4" w:space="0" w:color="auto"/>
            </w:tcBorders>
            <w:shd w:val="clear" w:color="auto" w:fill="auto"/>
            <w:vAlign w:val="center"/>
            <w:hideMark/>
          </w:tcPr>
          <w:p w14:paraId="3C63275C"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WEB</w:t>
            </w: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14:paraId="42E9BE4D"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LUGAR PUBLICACION</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14:paraId="1C366D90"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Dónde quedan publicadas las obligaciones de publicidad activa</w:t>
            </w:r>
          </w:p>
        </w:tc>
        <w:tc>
          <w:tcPr>
            <w:tcW w:w="333" w:type="pct"/>
            <w:tcBorders>
              <w:top w:val="nil"/>
              <w:left w:val="nil"/>
              <w:bottom w:val="single" w:sz="4" w:space="0" w:color="auto"/>
              <w:right w:val="single" w:sz="4" w:space="0" w:color="auto"/>
            </w:tcBorders>
            <w:shd w:val="clear" w:color="auto" w:fill="auto"/>
            <w:vAlign w:val="bottom"/>
            <w:hideMark/>
          </w:tcPr>
          <w:p w14:paraId="6F15DBC4"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10</w:t>
            </w:r>
          </w:p>
        </w:tc>
        <w:tc>
          <w:tcPr>
            <w:tcW w:w="1831" w:type="pct"/>
            <w:tcBorders>
              <w:top w:val="nil"/>
              <w:left w:val="nil"/>
              <w:bottom w:val="single" w:sz="4" w:space="0" w:color="auto"/>
              <w:right w:val="single" w:sz="4" w:space="0" w:color="auto"/>
            </w:tcBorders>
            <w:shd w:val="clear" w:color="auto" w:fill="auto"/>
            <w:vAlign w:val="bottom"/>
            <w:hideMark/>
          </w:tcPr>
          <w:p w14:paraId="349CDFB8"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Apartado específico o banner en la página inicial del sitio</w:t>
            </w:r>
          </w:p>
        </w:tc>
      </w:tr>
      <w:tr w:rsidR="00794A50" w:rsidRPr="00941553" w14:paraId="76AABE97" w14:textId="77777777" w:rsidTr="000A2DEF">
        <w:trPr>
          <w:trHeight w:val="362"/>
        </w:trPr>
        <w:tc>
          <w:tcPr>
            <w:tcW w:w="973" w:type="pct"/>
            <w:vMerge/>
            <w:tcBorders>
              <w:top w:val="nil"/>
              <w:left w:val="single" w:sz="4" w:space="0" w:color="auto"/>
              <w:bottom w:val="single" w:sz="4" w:space="0" w:color="000000"/>
              <w:right w:val="single" w:sz="4" w:space="0" w:color="auto"/>
            </w:tcBorders>
            <w:vAlign w:val="center"/>
            <w:hideMark/>
          </w:tcPr>
          <w:p w14:paraId="7AC051D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3F1025C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69864118"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5E7C34F2"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5</w:t>
            </w:r>
          </w:p>
        </w:tc>
        <w:tc>
          <w:tcPr>
            <w:tcW w:w="1831" w:type="pct"/>
            <w:tcBorders>
              <w:top w:val="nil"/>
              <w:left w:val="nil"/>
              <w:bottom w:val="single" w:sz="4" w:space="0" w:color="auto"/>
              <w:right w:val="single" w:sz="4" w:space="0" w:color="auto"/>
            </w:tcBorders>
            <w:shd w:val="clear" w:color="auto" w:fill="auto"/>
            <w:vAlign w:val="bottom"/>
            <w:hideMark/>
          </w:tcPr>
          <w:p w14:paraId="5E081216"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Apartado específico pero NO en la página de inicio</w:t>
            </w:r>
          </w:p>
        </w:tc>
      </w:tr>
      <w:tr w:rsidR="00794A50" w:rsidRPr="00941553" w14:paraId="449FD9B7" w14:textId="77777777" w:rsidTr="000A2DEF">
        <w:trPr>
          <w:trHeight w:val="600"/>
        </w:trPr>
        <w:tc>
          <w:tcPr>
            <w:tcW w:w="973" w:type="pct"/>
            <w:vMerge/>
            <w:tcBorders>
              <w:top w:val="nil"/>
              <w:left w:val="single" w:sz="4" w:space="0" w:color="auto"/>
              <w:bottom w:val="single" w:sz="4" w:space="0" w:color="000000"/>
              <w:right w:val="single" w:sz="4" w:space="0" w:color="auto"/>
            </w:tcBorders>
            <w:vAlign w:val="center"/>
            <w:hideMark/>
          </w:tcPr>
          <w:p w14:paraId="0F5E9694"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895" w:type="pct"/>
            <w:vMerge/>
            <w:tcBorders>
              <w:top w:val="nil"/>
              <w:left w:val="single" w:sz="4" w:space="0" w:color="auto"/>
              <w:bottom w:val="single" w:sz="4" w:space="0" w:color="auto"/>
              <w:right w:val="single" w:sz="4" w:space="0" w:color="auto"/>
            </w:tcBorders>
            <w:vAlign w:val="center"/>
            <w:hideMark/>
          </w:tcPr>
          <w:p w14:paraId="3AC358A6"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968" w:type="pct"/>
            <w:vMerge/>
            <w:tcBorders>
              <w:top w:val="nil"/>
              <w:left w:val="single" w:sz="4" w:space="0" w:color="auto"/>
              <w:bottom w:val="single" w:sz="4" w:space="0" w:color="auto"/>
              <w:right w:val="single" w:sz="4" w:space="0" w:color="auto"/>
            </w:tcBorders>
            <w:vAlign w:val="center"/>
            <w:hideMark/>
          </w:tcPr>
          <w:p w14:paraId="732CAA93" w14:textId="77777777" w:rsidR="00794A50" w:rsidRPr="00941553" w:rsidRDefault="00794A50" w:rsidP="00794A50">
            <w:pPr>
              <w:spacing w:after="0" w:line="240" w:lineRule="auto"/>
              <w:jc w:val="left"/>
              <w:rPr>
                <w:rFonts w:ascii="Mulish" w:eastAsia="Times New Roman" w:hAnsi="Mulish" w:cs="Calibri"/>
                <w:color w:val="000000"/>
                <w:sz w:val="16"/>
                <w:szCs w:val="16"/>
              </w:rPr>
            </w:pPr>
          </w:p>
        </w:tc>
        <w:tc>
          <w:tcPr>
            <w:tcW w:w="333" w:type="pct"/>
            <w:tcBorders>
              <w:top w:val="nil"/>
              <w:left w:val="nil"/>
              <w:bottom w:val="single" w:sz="4" w:space="0" w:color="auto"/>
              <w:right w:val="single" w:sz="4" w:space="0" w:color="auto"/>
            </w:tcBorders>
            <w:shd w:val="clear" w:color="auto" w:fill="auto"/>
            <w:vAlign w:val="bottom"/>
            <w:hideMark/>
          </w:tcPr>
          <w:p w14:paraId="1398B42E" w14:textId="77777777" w:rsidR="00794A50" w:rsidRPr="00941553" w:rsidRDefault="00794A50" w:rsidP="00794A50">
            <w:pPr>
              <w:spacing w:after="0" w:line="240" w:lineRule="auto"/>
              <w:jc w:val="center"/>
              <w:rPr>
                <w:rFonts w:ascii="Mulish" w:eastAsia="Times New Roman" w:hAnsi="Mulish" w:cs="Calibri"/>
                <w:color w:val="000000"/>
                <w:sz w:val="16"/>
                <w:szCs w:val="16"/>
              </w:rPr>
            </w:pPr>
            <w:r w:rsidRPr="00941553">
              <w:rPr>
                <w:rFonts w:ascii="Mulish" w:eastAsia="Times New Roman" w:hAnsi="Mulish" w:cs="Calibri"/>
                <w:color w:val="000000"/>
                <w:sz w:val="16"/>
                <w:szCs w:val="16"/>
              </w:rPr>
              <w:t>0</w:t>
            </w:r>
          </w:p>
        </w:tc>
        <w:tc>
          <w:tcPr>
            <w:tcW w:w="1831" w:type="pct"/>
            <w:tcBorders>
              <w:top w:val="nil"/>
              <w:left w:val="nil"/>
              <w:bottom w:val="single" w:sz="4" w:space="0" w:color="auto"/>
              <w:right w:val="single" w:sz="4" w:space="0" w:color="auto"/>
            </w:tcBorders>
            <w:shd w:val="clear" w:color="auto" w:fill="auto"/>
            <w:vAlign w:val="bottom"/>
            <w:hideMark/>
          </w:tcPr>
          <w:p w14:paraId="6444F60A" w14:textId="77777777" w:rsidR="00794A50" w:rsidRPr="00941553" w:rsidRDefault="00794A50" w:rsidP="00794A50">
            <w:pPr>
              <w:spacing w:after="0" w:line="240" w:lineRule="auto"/>
              <w:jc w:val="left"/>
              <w:rPr>
                <w:rFonts w:ascii="Mulish" w:eastAsia="Times New Roman" w:hAnsi="Mulish" w:cs="Calibri"/>
                <w:color w:val="000000"/>
                <w:sz w:val="16"/>
                <w:szCs w:val="16"/>
              </w:rPr>
            </w:pPr>
            <w:r w:rsidRPr="00941553">
              <w:rPr>
                <w:rFonts w:ascii="Mulish" w:eastAsia="Times New Roman" w:hAnsi="Mulish" w:cs="Calibri"/>
                <w:color w:val="000000"/>
                <w:sz w:val="16"/>
                <w:szCs w:val="16"/>
              </w:rPr>
              <w:t>No existe un apartado específico de transparencia</w:t>
            </w:r>
          </w:p>
        </w:tc>
      </w:tr>
    </w:tbl>
    <w:p w14:paraId="309CF26C" w14:textId="0C636CD4" w:rsidR="000A2DEF" w:rsidRPr="000A2DEF" w:rsidRDefault="00967CE0">
      <w:pPr>
        <w:jc w:val="left"/>
        <w:rPr>
          <w:rFonts w:ascii="Mulish" w:eastAsia="Times New Roman" w:hAnsi="Mulish" w:cs="Times New Roman"/>
          <w:bCs/>
          <w:color w:val="438086" w:themeColor="accent2"/>
          <w:sz w:val="26"/>
          <w:szCs w:val="26"/>
          <w:lang w:eastAsia="en-US"/>
        </w:rPr>
      </w:pPr>
      <w:sdt>
        <w:sdtPr>
          <w:rPr>
            <w:rFonts w:ascii="Mulish" w:eastAsia="Times New Roman" w:hAnsi="Mulish" w:cs="Times New Roman"/>
            <w:bCs/>
            <w:color w:val="438086" w:themeColor="accent2"/>
            <w:sz w:val="26"/>
            <w:szCs w:val="26"/>
            <w:lang w:eastAsia="en-US"/>
          </w:rPr>
          <w:id w:val="-2053380632"/>
        </w:sdtPr>
        <w:sdtEndPr>
          <w:rPr>
            <w:color w:val="auto"/>
          </w:rPr>
        </w:sdtEndPr>
        <w:sdtContent>
          <w:r w:rsidR="000A2DEF" w:rsidRPr="000A2DEF">
            <w:rPr>
              <w:rFonts w:ascii="Mulish" w:eastAsia="Times New Roman" w:hAnsi="Mulish" w:cs="Times New Roman"/>
              <w:bCs/>
              <w:color w:val="438086" w:themeColor="accent2"/>
              <w:sz w:val="26"/>
              <w:szCs w:val="26"/>
              <w:lang w:eastAsia="en-US"/>
            </w:rPr>
            <w:t xml:space="preserve">Anexo II: </w:t>
          </w:r>
          <w:r w:rsidR="000A2DEF" w:rsidRPr="000A2DEF">
            <w:rPr>
              <w:rFonts w:ascii="Mulish" w:hAnsi="Mulish"/>
              <w:bCs/>
              <w:color w:val="438086" w:themeColor="accent2"/>
              <w:sz w:val="26"/>
              <w:szCs w:val="26"/>
            </w:rPr>
            <w:t>Índices de Cumplimiento de la Información Obligatoria en 2023, evolución y grado de aplicación de las recomendaciones derivadas de la evaluación 2022</w:t>
          </w:r>
        </w:sdtContent>
      </w:sdt>
    </w:p>
    <w:tbl>
      <w:tblPr>
        <w:tblStyle w:val="Tabladelista3-nfasis2"/>
        <w:tblW w:w="6024" w:type="pct"/>
        <w:tblInd w:w="-856" w:type="dxa"/>
        <w:tblLayout w:type="fixed"/>
        <w:tblLook w:val="04A0" w:firstRow="1" w:lastRow="0" w:firstColumn="1" w:lastColumn="0" w:noHBand="0" w:noVBand="1"/>
      </w:tblPr>
      <w:tblGrid>
        <w:gridCol w:w="1771"/>
        <w:gridCol w:w="1489"/>
        <w:gridCol w:w="1168"/>
        <w:gridCol w:w="1810"/>
        <w:gridCol w:w="1985"/>
        <w:gridCol w:w="2694"/>
      </w:tblGrid>
      <w:tr w:rsidR="00AA1AD3" w:rsidRPr="00AA1AD3" w14:paraId="13F277AD" w14:textId="77777777" w:rsidTr="00AA1AD3">
        <w:trPr>
          <w:cnfStyle w:val="100000000000" w:firstRow="1" w:lastRow="0" w:firstColumn="0" w:lastColumn="0" w:oddVBand="0" w:evenVBand="0" w:oddHBand="0" w:evenHBand="0" w:firstRowFirstColumn="0" w:firstRowLastColumn="0" w:lastRowFirstColumn="0" w:lastRowLastColumn="0"/>
          <w:trHeight w:val="2055"/>
          <w:tblHeader/>
        </w:trPr>
        <w:tc>
          <w:tcPr>
            <w:cnfStyle w:val="001000000100" w:firstRow="0" w:lastRow="0" w:firstColumn="1" w:lastColumn="0" w:oddVBand="0" w:evenVBand="0" w:oddHBand="0" w:evenHBand="0" w:firstRowFirstColumn="1" w:firstRowLastColumn="0" w:lastRowFirstColumn="0" w:lastRowLastColumn="0"/>
            <w:tcW w:w="811" w:type="pct"/>
            <w:noWrap/>
            <w:hideMark/>
          </w:tcPr>
          <w:p w14:paraId="4A81AC4F" w14:textId="77777777" w:rsidR="000A2DEF" w:rsidRPr="000A2DEF" w:rsidRDefault="000A2DEF" w:rsidP="000A2DEF">
            <w:pPr>
              <w:rPr>
                <w:rFonts w:eastAsia="Times New Roman" w:cs="Calibri"/>
                <w:color w:val="FFFFFF"/>
                <w:sz w:val="18"/>
                <w:szCs w:val="18"/>
              </w:rPr>
            </w:pPr>
            <w:r w:rsidRPr="000A2DEF">
              <w:rPr>
                <w:rFonts w:eastAsia="Times New Roman" w:cs="Calibri"/>
                <w:sz w:val="18"/>
                <w:szCs w:val="18"/>
              </w:rPr>
              <w:t>Entidad</w:t>
            </w:r>
          </w:p>
        </w:tc>
        <w:tc>
          <w:tcPr>
            <w:tcW w:w="682" w:type="pct"/>
            <w:noWrap/>
            <w:hideMark/>
          </w:tcPr>
          <w:p w14:paraId="6BBC2232" w14:textId="77777777" w:rsidR="000A2DEF" w:rsidRPr="000A2DEF" w:rsidRDefault="000A2DEF" w:rsidP="000A2DEF">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Cumplimiento</w:t>
            </w:r>
          </w:p>
        </w:tc>
        <w:tc>
          <w:tcPr>
            <w:tcW w:w="535" w:type="pct"/>
            <w:noWrap/>
            <w:hideMark/>
          </w:tcPr>
          <w:p w14:paraId="2B78CDA7" w14:textId="77777777" w:rsidR="000A2DEF" w:rsidRPr="000A2DEF" w:rsidRDefault="000A2DEF" w:rsidP="000A2DEF">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Diferencia respecto de 2023 (puntos porcentuales)</w:t>
            </w:r>
          </w:p>
        </w:tc>
        <w:tc>
          <w:tcPr>
            <w:tcW w:w="829" w:type="pct"/>
            <w:noWrap/>
            <w:hideMark/>
          </w:tcPr>
          <w:p w14:paraId="54765250" w14:textId="77777777" w:rsidR="000A2DEF" w:rsidRPr="000A2DEF" w:rsidRDefault="000A2DEF" w:rsidP="000A2DEF">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efectuadas</w:t>
            </w:r>
          </w:p>
        </w:tc>
        <w:tc>
          <w:tcPr>
            <w:tcW w:w="909" w:type="pct"/>
            <w:noWrap/>
            <w:hideMark/>
          </w:tcPr>
          <w:p w14:paraId="5A40AE50" w14:textId="77777777" w:rsidR="000A2DEF" w:rsidRPr="000A2DEF" w:rsidRDefault="000A2DEF" w:rsidP="000A2DEF">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aplicadas</w:t>
            </w:r>
          </w:p>
        </w:tc>
        <w:tc>
          <w:tcPr>
            <w:tcW w:w="1234" w:type="pct"/>
            <w:noWrap/>
            <w:hideMark/>
          </w:tcPr>
          <w:p w14:paraId="7E6C1870" w14:textId="77777777" w:rsidR="000A2DEF" w:rsidRPr="000A2DEF" w:rsidRDefault="000A2DEF" w:rsidP="000A2DEF">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8"/>
                <w:szCs w:val="18"/>
              </w:rPr>
            </w:pPr>
            <w:r w:rsidRPr="000A2DEF">
              <w:rPr>
                <w:rFonts w:eastAsia="Times New Roman" w:cs="Calibri"/>
                <w:sz w:val="18"/>
                <w:szCs w:val="18"/>
              </w:rPr>
              <w:t>Recomendaciones o Mejoras implantadas durante el periodo de observaciones</w:t>
            </w:r>
          </w:p>
        </w:tc>
      </w:tr>
      <w:tr w:rsidR="00AA1AD3" w:rsidRPr="000A2DEF" w14:paraId="38130691"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7E5EC6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ISDEFE</w:t>
            </w:r>
          </w:p>
        </w:tc>
        <w:tc>
          <w:tcPr>
            <w:tcW w:w="682" w:type="pct"/>
            <w:noWrap/>
            <w:hideMark/>
          </w:tcPr>
          <w:p w14:paraId="2AAB335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100,0</w:t>
            </w:r>
          </w:p>
        </w:tc>
        <w:tc>
          <w:tcPr>
            <w:tcW w:w="535" w:type="pct"/>
            <w:noWrap/>
            <w:hideMark/>
          </w:tcPr>
          <w:p w14:paraId="04DD571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32,5</w:t>
            </w:r>
          </w:p>
        </w:tc>
        <w:tc>
          <w:tcPr>
            <w:tcW w:w="829" w:type="pct"/>
            <w:noWrap/>
            <w:hideMark/>
          </w:tcPr>
          <w:p w14:paraId="3A63CA7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215A929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1234" w:type="pct"/>
            <w:noWrap/>
            <w:hideMark/>
          </w:tcPr>
          <w:p w14:paraId="2AB68B8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23B217F9"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CEFCAA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Valencia</w:t>
            </w:r>
          </w:p>
        </w:tc>
        <w:tc>
          <w:tcPr>
            <w:tcW w:w="682" w:type="pct"/>
            <w:noWrap/>
            <w:hideMark/>
          </w:tcPr>
          <w:p w14:paraId="263F658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100,0</w:t>
            </w:r>
          </w:p>
        </w:tc>
        <w:tc>
          <w:tcPr>
            <w:tcW w:w="535" w:type="pct"/>
            <w:noWrap/>
            <w:hideMark/>
          </w:tcPr>
          <w:p w14:paraId="6926D09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829" w:type="pct"/>
            <w:noWrap/>
            <w:hideMark/>
          </w:tcPr>
          <w:p w14:paraId="111D4E4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909" w:type="pct"/>
            <w:noWrap/>
            <w:hideMark/>
          </w:tcPr>
          <w:p w14:paraId="2C50EBA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376E760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214589EC"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24E7ED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ENSA</w:t>
            </w:r>
          </w:p>
        </w:tc>
        <w:tc>
          <w:tcPr>
            <w:tcW w:w="682" w:type="pct"/>
            <w:noWrap/>
            <w:hideMark/>
          </w:tcPr>
          <w:p w14:paraId="1865516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96,6</w:t>
            </w:r>
          </w:p>
        </w:tc>
        <w:tc>
          <w:tcPr>
            <w:tcW w:w="535" w:type="pct"/>
            <w:noWrap/>
            <w:hideMark/>
          </w:tcPr>
          <w:p w14:paraId="01F0BEF5"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58,7</w:t>
            </w:r>
          </w:p>
        </w:tc>
        <w:tc>
          <w:tcPr>
            <w:tcW w:w="829" w:type="pct"/>
            <w:noWrap/>
            <w:hideMark/>
          </w:tcPr>
          <w:p w14:paraId="0BDA5BA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909" w:type="pct"/>
            <w:noWrap/>
            <w:hideMark/>
          </w:tcPr>
          <w:p w14:paraId="52FAD44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1234" w:type="pct"/>
            <w:noWrap/>
            <w:hideMark/>
          </w:tcPr>
          <w:p w14:paraId="7BAFC5D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9905D1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3C8DAD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COFIVACASA</w:t>
            </w:r>
          </w:p>
        </w:tc>
        <w:tc>
          <w:tcPr>
            <w:tcW w:w="682" w:type="pct"/>
            <w:noWrap/>
            <w:hideMark/>
          </w:tcPr>
          <w:p w14:paraId="4B80DF4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92,7</w:t>
            </w:r>
          </w:p>
        </w:tc>
        <w:tc>
          <w:tcPr>
            <w:tcW w:w="535" w:type="pct"/>
            <w:noWrap/>
            <w:hideMark/>
          </w:tcPr>
          <w:p w14:paraId="2A02407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39,7</w:t>
            </w:r>
          </w:p>
        </w:tc>
        <w:tc>
          <w:tcPr>
            <w:tcW w:w="829" w:type="pct"/>
            <w:noWrap/>
            <w:hideMark/>
          </w:tcPr>
          <w:p w14:paraId="3371073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122F13A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1234" w:type="pct"/>
            <w:noWrap/>
            <w:hideMark/>
          </w:tcPr>
          <w:p w14:paraId="3312213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11F6930"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504B1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ICEX</w:t>
            </w:r>
          </w:p>
        </w:tc>
        <w:tc>
          <w:tcPr>
            <w:tcW w:w="682" w:type="pct"/>
            <w:noWrap/>
            <w:hideMark/>
          </w:tcPr>
          <w:p w14:paraId="2D5CB3D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92,6</w:t>
            </w:r>
          </w:p>
        </w:tc>
        <w:tc>
          <w:tcPr>
            <w:tcW w:w="535" w:type="pct"/>
            <w:noWrap/>
            <w:hideMark/>
          </w:tcPr>
          <w:p w14:paraId="586C828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19,6</w:t>
            </w:r>
          </w:p>
        </w:tc>
        <w:tc>
          <w:tcPr>
            <w:tcW w:w="829" w:type="pct"/>
            <w:noWrap/>
            <w:hideMark/>
          </w:tcPr>
          <w:p w14:paraId="55D7F75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909" w:type="pct"/>
            <w:noWrap/>
            <w:hideMark/>
          </w:tcPr>
          <w:p w14:paraId="59399CD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1234" w:type="pct"/>
            <w:noWrap/>
            <w:hideMark/>
          </w:tcPr>
          <w:p w14:paraId="1242360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7C67C31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D130437"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 Instituto Iberoamericano de Valores</w:t>
            </w:r>
          </w:p>
        </w:tc>
        <w:tc>
          <w:tcPr>
            <w:tcW w:w="682" w:type="pct"/>
            <w:noWrap/>
            <w:hideMark/>
          </w:tcPr>
          <w:p w14:paraId="5D95B18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92,0</w:t>
            </w:r>
          </w:p>
        </w:tc>
        <w:tc>
          <w:tcPr>
            <w:tcW w:w="535" w:type="pct"/>
            <w:noWrap/>
            <w:hideMark/>
          </w:tcPr>
          <w:p w14:paraId="52C7A80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27,3</w:t>
            </w:r>
          </w:p>
        </w:tc>
        <w:tc>
          <w:tcPr>
            <w:tcW w:w="829" w:type="pct"/>
            <w:noWrap/>
            <w:hideMark/>
          </w:tcPr>
          <w:p w14:paraId="50872D8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909" w:type="pct"/>
            <w:noWrap/>
            <w:hideMark/>
          </w:tcPr>
          <w:p w14:paraId="6CE9707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528CBE27"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75DCBE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3B4634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Almería AV</w:t>
            </w:r>
          </w:p>
        </w:tc>
        <w:tc>
          <w:tcPr>
            <w:tcW w:w="682" w:type="pct"/>
            <w:noWrap/>
            <w:hideMark/>
          </w:tcPr>
          <w:p w14:paraId="2A50B86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91,9</w:t>
            </w:r>
          </w:p>
        </w:tc>
        <w:tc>
          <w:tcPr>
            <w:tcW w:w="535" w:type="pct"/>
            <w:noWrap/>
            <w:hideMark/>
          </w:tcPr>
          <w:p w14:paraId="75BF816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47,9</w:t>
            </w:r>
          </w:p>
        </w:tc>
        <w:tc>
          <w:tcPr>
            <w:tcW w:w="829" w:type="pct"/>
            <w:noWrap/>
            <w:hideMark/>
          </w:tcPr>
          <w:p w14:paraId="4ED3ACB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909" w:type="pct"/>
            <w:noWrap/>
            <w:hideMark/>
          </w:tcPr>
          <w:p w14:paraId="2996157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1234" w:type="pct"/>
            <w:noWrap/>
            <w:hideMark/>
          </w:tcPr>
          <w:p w14:paraId="7DC345E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403ED5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463D858" w14:textId="2C8D340D" w:rsidR="000A2DEF" w:rsidRPr="000A2DEF" w:rsidRDefault="005E14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LOGIRAIL</w:t>
            </w:r>
          </w:p>
        </w:tc>
        <w:tc>
          <w:tcPr>
            <w:tcW w:w="682" w:type="pct"/>
            <w:noWrap/>
            <w:hideMark/>
          </w:tcPr>
          <w:p w14:paraId="356FA51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89,7</w:t>
            </w:r>
          </w:p>
        </w:tc>
        <w:tc>
          <w:tcPr>
            <w:tcW w:w="535" w:type="pct"/>
            <w:noWrap/>
            <w:hideMark/>
          </w:tcPr>
          <w:p w14:paraId="171D971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78,6</w:t>
            </w:r>
          </w:p>
        </w:tc>
        <w:tc>
          <w:tcPr>
            <w:tcW w:w="829" w:type="pct"/>
            <w:noWrap/>
            <w:hideMark/>
          </w:tcPr>
          <w:p w14:paraId="653ADDA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1E55DFE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1234" w:type="pct"/>
            <w:noWrap/>
            <w:hideMark/>
          </w:tcPr>
          <w:p w14:paraId="5F7C70E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75C96E4C"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5B3F40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SEGITTUR</w:t>
            </w:r>
          </w:p>
        </w:tc>
        <w:tc>
          <w:tcPr>
            <w:tcW w:w="682" w:type="pct"/>
            <w:noWrap/>
            <w:hideMark/>
          </w:tcPr>
          <w:p w14:paraId="43A55B7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89,5</w:t>
            </w:r>
          </w:p>
        </w:tc>
        <w:tc>
          <w:tcPr>
            <w:tcW w:w="535" w:type="pct"/>
            <w:noWrap/>
            <w:hideMark/>
          </w:tcPr>
          <w:p w14:paraId="39B3343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29,9</w:t>
            </w:r>
          </w:p>
        </w:tc>
        <w:tc>
          <w:tcPr>
            <w:tcW w:w="829" w:type="pct"/>
            <w:noWrap/>
            <w:hideMark/>
          </w:tcPr>
          <w:p w14:paraId="2AE79E4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909" w:type="pct"/>
            <w:noWrap/>
            <w:hideMark/>
          </w:tcPr>
          <w:p w14:paraId="12AF609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6D1911B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AA1AD3" w:rsidRPr="000A2DEF" w14:paraId="1C58F232"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B994B2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CNIC</w:t>
            </w:r>
          </w:p>
        </w:tc>
        <w:tc>
          <w:tcPr>
            <w:tcW w:w="682" w:type="pct"/>
            <w:noWrap/>
            <w:hideMark/>
          </w:tcPr>
          <w:p w14:paraId="52E3EBA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88,7</w:t>
            </w:r>
          </w:p>
        </w:tc>
        <w:tc>
          <w:tcPr>
            <w:tcW w:w="535" w:type="pct"/>
            <w:noWrap/>
            <w:hideMark/>
          </w:tcPr>
          <w:p w14:paraId="0CD46E7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22,9</w:t>
            </w:r>
          </w:p>
        </w:tc>
        <w:tc>
          <w:tcPr>
            <w:tcW w:w="829" w:type="pct"/>
            <w:noWrap/>
            <w:hideMark/>
          </w:tcPr>
          <w:p w14:paraId="4C9F7ED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909" w:type="pct"/>
            <w:noWrap/>
            <w:hideMark/>
          </w:tcPr>
          <w:p w14:paraId="1DD0BD6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1234" w:type="pct"/>
            <w:noWrap/>
            <w:hideMark/>
          </w:tcPr>
          <w:p w14:paraId="6BFE784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AA1AD3" w:rsidRPr="000A2DEF" w14:paraId="341EF161"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B5016D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UNED</w:t>
            </w:r>
          </w:p>
        </w:tc>
        <w:tc>
          <w:tcPr>
            <w:tcW w:w="682" w:type="pct"/>
            <w:noWrap/>
            <w:hideMark/>
          </w:tcPr>
          <w:p w14:paraId="6A893C8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85,1</w:t>
            </w:r>
          </w:p>
        </w:tc>
        <w:tc>
          <w:tcPr>
            <w:tcW w:w="535" w:type="pct"/>
            <w:noWrap/>
            <w:hideMark/>
          </w:tcPr>
          <w:p w14:paraId="2DE3DBA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30,8</w:t>
            </w:r>
          </w:p>
        </w:tc>
        <w:tc>
          <w:tcPr>
            <w:tcW w:w="829" w:type="pct"/>
            <w:noWrap/>
            <w:hideMark/>
          </w:tcPr>
          <w:p w14:paraId="196DD8D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262403F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c>
          <w:tcPr>
            <w:tcW w:w="1234" w:type="pct"/>
            <w:noWrap/>
            <w:hideMark/>
          </w:tcPr>
          <w:p w14:paraId="4EB941D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19B3DCE"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21ED2C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CUD-AGM</w:t>
            </w:r>
          </w:p>
        </w:tc>
        <w:tc>
          <w:tcPr>
            <w:tcW w:w="682" w:type="pct"/>
            <w:noWrap/>
            <w:hideMark/>
          </w:tcPr>
          <w:p w14:paraId="1389138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84,7</w:t>
            </w:r>
          </w:p>
        </w:tc>
        <w:tc>
          <w:tcPr>
            <w:tcW w:w="535" w:type="pct"/>
            <w:noWrap/>
            <w:hideMark/>
          </w:tcPr>
          <w:p w14:paraId="0CBE155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35,4</w:t>
            </w:r>
          </w:p>
        </w:tc>
        <w:tc>
          <w:tcPr>
            <w:tcW w:w="829" w:type="pct"/>
            <w:noWrap/>
            <w:hideMark/>
          </w:tcPr>
          <w:p w14:paraId="73450CB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3B0569C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1234" w:type="pct"/>
            <w:noWrap/>
            <w:hideMark/>
          </w:tcPr>
          <w:p w14:paraId="59B6B71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AA1AD3" w:rsidRPr="000A2DEF" w14:paraId="10093BC9"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B9EEE1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INECO</w:t>
            </w:r>
          </w:p>
        </w:tc>
        <w:tc>
          <w:tcPr>
            <w:tcW w:w="682" w:type="pct"/>
            <w:noWrap/>
            <w:hideMark/>
          </w:tcPr>
          <w:p w14:paraId="2B21A60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84,5</w:t>
            </w:r>
          </w:p>
        </w:tc>
        <w:tc>
          <w:tcPr>
            <w:tcW w:w="535" w:type="pct"/>
            <w:noWrap/>
            <w:hideMark/>
          </w:tcPr>
          <w:p w14:paraId="44EC208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27,8</w:t>
            </w:r>
          </w:p>
        </w:tc>
        <w:tc>
          <w:tcPr>
            <w:tcW w:w="829" w:type="pct"/>
            <w:noWrap/>
            <w:hideMark/>
          </w:tcPr>
          <w:p w14:paraId="31A9CDA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909" w:type="pct"/>
            <w:noWrap/>
            <w:hideMark/>
          </w:tcPr>
          <w:p w14:paraId="5A42CF30"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501350A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747C38C"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D4734D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Cádiz</w:t>
            </w:r>
          </w:p>
        </w:tc>
        <w:tc>
          <w:tcPr>
            <w:tcW w:w="682" w:type="pct"/>
            <w:noWrap/>
            <w:hideMark/>
          </w:tcPr>
          <w:p w14:paraId="3FC2ACA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84,4</w:t>
            </w:r>
          </w:p>
        </w:tc>
        <w:tc>
          <w:tcPr>
            <w:tcW w:w="535" w:type="pct"/>
            <w:noWrap/>
            <w:hideMark/>
          </w:tcPr>
          <w:p w14:paraId="2A66D51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w:t>
            </w:r>
          </w:p>
        </w:tc>
        <w:tc>
          <w:tcPr>
            <w:tcW w:w="829" w:type="pct"/>
            <w:noWrap/>
            <w:hideMark/>
          </w:tcPr>
          <w:p w14:paraId="4608C8D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909" w:type="pct"/>
            <w:noWrap/>
            <w:hideMark/>
          </w:tcPr>
          <w:p w14:paraId="5A0CB30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343CB06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AA1AD3" w:rsidRPr="000A2DEF" w14:paraId="1E58EF7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72595D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Mutua Montañesa</w:t>
            </w:r>
          </w:p>
        </w:tc>
        <w:tc>
          <w:tcPr>
            <w:tcW w:w="682" w:type="pct"/>
            <w:noWrap/>
            <w:hideMark/>
          </w:tcPr>
          <w:p w14:paraId="37F1697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83,3</w:t>
            </w:r>
          </w:p>
        </w:tc>
        <w:tc>
          <w:tcPr>
            <w:tcW w:w="535" w:type="pct"/>
            <w:noWrap/>
            <w:hideMark/>
          </w:tcPr>
          <w:p w14:paraId="4367BB5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w:t>
            </w:r>
          </w:p>
        </w:tc>
        <w:tc>
          <w:tcPr>
            <w:tcW w:w="829" w:type="pct"/>
            <w:noWrap/>
            <w:hideMark/>
          </w:tcPr>
          <w:p w14:paraId="7D8AF2E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c>
          <w:tcPr>
            <w:tcW w:w="909" w:type="pct"/>
            <w:noWrap/>
            <w:hideMark/>
          </w:tcPr>
          <w:p w14:paraId="5694D91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27590D1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AA1AD3" w:rsidRPr="000A2DEF" w14:paraId="7B88934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4E8AC6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CEMFI</w:t>
            </w:r>
          </w:p>
        </w:tc>
        <w:tc>
          <w:tcPr>
            <w:tcW w:w="682" w:type="pct"/>
            <w:noWrap/>
            <w:hideMark/>
          </w:tcPr>
          <w:p w14:paraId="7D2BFB3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82,7</w:t>
            </w:r>
          </w:p>
        </w:tc>
        <w:tc>
          <w:tcPr>
            <w:tcW w:w="535" w:type="pct"/>
            <w:noWrap/>
            <w:hideMark/>
          </w:tcPr>
          <w:p w14:paraId="1B520FA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829" w:type="pct"/>
            <w:noWrap/>
            <w:hideMark/>
          </w:tcPr>
          <w:p w14:paraId="362E5D7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909" w:type="pct"/>
            <w:noWrap/>
            <w:hideMark/>
          </w:tcPr>
          <w:p w14:paraId="2BC39C9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0A5BB70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AA1AD3" w:rsidRPr="000A2DEF" w14:paraId="5D7BECC9"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186020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Valencia Parque Central</w:t>
            </w:r>
          </w:p>
        </w:tc>
        <w:tc>
          <w:tcPr>
            <w:tcW w:w="682" w:type="pct"/>
            <w:noWrap/>
            <w:hideMark/>
          </w:tcPr>
          <w:p w14:paraId="4D0973A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81,5</w:t>
            </w:r>
          </w:p>
        </w:tc>
        <w:tc>
          <w:tcPr>
            <w:tcW w:w="535" w:type="pct"/>
            <w:noWrap/>
            <w:hideMark/>
          </w:tcPr>
          <w:p w14:paraId="7EA7B49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45,5</w:t>
            </w:r>
          </w:p>
        </w:tc>
        <w:tc>
          <w:tcPr>
            <w:tcW w:w="829" w:type="pct"/>
            <w:noWrap/>
            <w:hideMark/>
          </w:tcPr>
          <w:p w14:paraId="02C7477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909" w:type="pct"/>
            <w:noWrap/>
            <w:hideMark/>
          </w:tcPr>
          <w:p w14:paraId="320E696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c>
          <w:tcPr>
            <w:tcW w:w="1234" w:type="pct"/>
            <w:noWrap/>
            <w:hideMark/>
          </w:tcPr>
          <w:p w14:paraId="6DEDF925"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AA1AD3" w:rsidRPr="000A2DEF" w14:paraId="0E1865A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637CE0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Bilbao</w:t>
            </w:r>
          </w:p>
        </w:tc>
        <w:tc>
          <w:tcPr>
            <w:tcW w:w="682" w:type="pct"/>
            <w:noWrap/>
            <w:hideMark/>
          </w:tcPr>
          <w:p w14:paraId="55E8022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81,3</w:t>
            </w:r>
          </w:p>
        </w:tc>
        <w:tc>
          <w:tcPr>
            <w:tcW w:w="1364" w:type="pct"/>
            <w:gridSpan w:val="2"/>
            <w:noWrap/>
            <w:hideMark/>
          </w:tcPr>
          <w:p w14:paraId="40A6F505"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012A7C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6BAFA12"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4CCB01C"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900545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Agencia EFE</w:t>
            </w:r>
          </w:p>
        </w:tc>
        <w:tc>
          <w:tcPr>
            <w:tcW w:w="682" w:type="pct"/>
            <w:noWrap/>
            <w:hideMark/>
          </w:tcPr>
          <w:p w14:paraId="7CB1636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81,1</w:t>
            </w:r>
          </w:p>
        </w:tc>
        <w:tc>
          <w:tcPr>
            <w:tcW w:w="535" w:type="pct"/>
            <w:noWrap/>
            <w:hideMark/>
          </w:tcPr>
          <w:p w14:paraId="3C403F2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43,6</w:t>
            </w:r>
          </w:p>
        </w:tc>
        <w:tc>
          <w:tcPr>
            <w:tcW w:w="829" w:type="pct"/>
            <w:noWrap/>
            <w:hideMark/>
          </w:tcPr>
          <w:p w14:paraId="07C3FDC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909" w:type="pct"/>
            <w:noWrap/>
            <w:hideMark/>
          </w:tcPr>
          <w:p w14:paraId="04EACA9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3E6B489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AA1AD3" w:rsidRPr="000A2DEF" w14:paraId="0871312E"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B8CE13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Las Palmas</w:t>
            </w:r>
          </w:p>
        </w:tc>
        <w:tc>
          <w:tcPr>
            <w:tcW w:w="682" w:type="pct"/>
            <w:noWrap/>
            <w:hideMark/>
          </w:tcPr>
          <w:p w14:paraId="56A7BF0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81,0</w:t>
            </w:r>
          </w:p>
        </w:tc>
        <w:tc>
          <w:tcPr>
            <w:tcW w:w="535" w:type="pct"/>
            <w:noWrap/>
            <w:hideMark/>
          </w:tcPr>
          <w:p w14:paraId="7C598D5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w:t>
            </w:r>
          </w:p>
        </w:tc>
        <w:tc>
          <w:tcPr>
            <w:tcW w:w="829" w:type="pct"/>
            <w:noWrap/>
            <w:hideMark/>
          </w:tcPr>
          <w:p w14:paraId="1291571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6CC6143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0601A70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42C64B3"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978545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Unión de Mutuas</w:t>
            </w:r>
          </w:p>
        </w:tc>
        <w:tc>
          <w:tcPr>
            <w:tcW w:w="682" w:type="pct"/>
            <w:noWrap/>
            <w:hideMark/>
          </w:tcPr>
          <w:p w14:paraId="1847F13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79,8</w:t>
            </w:r>
          </w:p>
        </w:tc>
        <w:tc>
          <w:tcPr>
            <w:tcW w:w="1364" w:type="pct"/>
            <w:gridSpan w:val="2"/>
            <w:noWrap/>
            <w:hideMark/>
          </w:tcPr>
          <w:p w14:paraId="1AFD5E3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51517C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53E5AC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5542DCF"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467C30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Centro Láseres Pulsados</w:t>
            </w:r>
          </w:p>
        </w:tc>
        <w:tc>
          <w:tcPr>
            <w:tcW w:w="682" w:type="pct"/>
            <w:noWrap/>
            <w:hideMark/>
          </w:tcPr>
          <w:p w14:paraId="4BB2E307"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76,1</w:t>
            </w:r>
          </w:p>
        </w:tc>
        <w:tc>
          <w:tcPr>
            <w:tcW w:w="535" w:type="pct"/>
            <w:noWrap/>
            <w:hideMark/>
          </w:tcPr>
          <w:p w14:paraId="28BC4F9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829" w:type="pct"/>
            <w:noWrap/>
            <w:hideMark/>
          </w:tcPr>
          <w:p w14:paraId="5B46621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362D1CF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7BBBF93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r>
      <w:tr w:rsidR="00AA1AD3" w:rsidRPr="000A2DEF" w14:paraId="162B0933"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96E4A06"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Casa Mediterráneo</w:t>
            </w:r>
          </w:p>
        </w:tc>
        <w:tc>
          <w:tcPr>
            <w:tcW w:w="682" w:type="pct"/>
            <w:noWrap/>
            <w:hideMark/>
          </w:tcPr>
          <w:p w14:paraId="571A8A5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74,6</w:t>
            </w:r>
          </w:p>
        </w:tc>
        <w:tc>
          <w:tcPr>
            <w:tcW w:w="535" w:type="pct"/>
            <w:noWrap/>
            <w:hideMark/>
          </w:tcPr>
          <w:p w14:paraId="303A145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50,5</w:t>
            </w:r>
          </w:p>
        </w:tc>
        <w:tc>
          <w:tcPr>
            <w:tcW w:w="829" w:type="pct"/>
            <w:noWrap/>
            <w:hideMark/>
          </w:tcPr>
          <w:p w14:paraId="3F2BBE5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0C324DA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00D8BF2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AA1AD3" w:rsidRPr="000A2DEF" w14:paraId="1AC944FB"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C0CB9EE" w14:textId="34842D41"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CH </w:t>
            </w:r>
            <w:r w:rsidR="005E14EF" w:rsidRPr="000A2DEF">
              <w:rPr>
                <w:rFonts w:ascii="Calibri" w:eastAsia="Times New Roman" w:hAnsi="Calibri" w:cs="Calibri"/>
                <w:color w:val="000000"/>
                <w:sz w:val="18"/>
                <w:szCs w:val="18"/>
              </w:rPr>
              <w:t>Cantábrico</w:t>
            </w:r>
          </w:p>
        </w:tc>
        <w:tc>
          <w:tcPr>
            <w:tcW w:w="682" w:type="pct"/>
            <w:noWrap/>
            <w:hideMark/>
          </w:tcPr>
          <w:p w14:paraId="5F459A9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73,6</w:t>
            </w:r>
          </w:p>
        </w:tc>
        <w:tc>
          <w:tcPr>
            <w:tcW w:w="1364" w:type="pct"/>
            <w:gridSpan w:val="2"/>
            <w:noWrap/>
            <w:hideMark/>
          </w:tcPr>
          <w:p w14:paraId="0C49759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9318123"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B34270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6EAE25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6680F26"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Barcelona</w:t>
            </w:r>
          </w:p>
        </w:tc>
        <w:tc>
          <w:tcPr>
            <w:tcW w:w="682" w:type="pct"/>
            <w:noWrap/>
            <w:hideMark/>
          </w:tcPr>
          <w:p w14:paraId="511A06F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73,3</w:t>
            </w:r>
          </w:p>
        </w:tc>
        <w:tc>
          <w:tcPr>
            <w:tcW w:w="535" w:type="pct"/>
            <w:noWrap/>
            <w:hideMark/>
          </w:tcPr>
          <w:p w14:paraId="6E89E34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32,7</w:t>
            </w:r>
          </w:p>
        </w:tc>
        <w:tc>
          <w:tcPr>
            <w:tcW w:w="829" w:type="pct"/>
            <w:noWrap/>
            <w:hideMark/>
          </w:tcPr>
          <w:p w14:paraId="3AE0374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46B5E35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4ADEF85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3BB1A9A"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BFB4781"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GIESE</w:t>
            </w:r>
          </w:p>
        </w:tc>
        <w:tc>
          <w:tcPr>
            <w:tcW w:w="682" w:type="pct"/>
            <w:noWrap/>
            <w:hideMark/>
          </w:tcPr>
          <w:p w14:paraId="51F2F66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71,9</w:t>
            </w:r>
          </w:p>
        </w:tc>
        <w:tc>
          <w:tcPr>
            <w:tcW w:w="535" w:type="pct"/>
            <w:noWrap/>
            <w:hideMark/>
          </w:tcPr>
          <w:p w14:paraId="70E3C5C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44,5</w:t>
            </w:r>
          </w:p>
        </w:tc>
        <w:tc>
          <w:tcPr>
            <w:tcW w:w="829" w:type="pct"/>
            <w:noWrap/>
            <w:hideMark/>
          </w:tcPr>
          <w:p w14:paraId="6D264C0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909" w:type="pct"/>
            <w:noWrap/>
            <w:hideMark/>
          </w:tcPr>
          <w:p w14:paraId="713EF34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1707725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EC62D3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BF83DF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de la Zona Franca de Vigo</w:t>
            </w:r>
          </w:p>
        </w:tc>
        <w:tc>
          <w:tcPr>
            <w:tcW w:w="682" w:type="pct"/>
            <w:noWrap/>
            <w:hideMark/>
          </w:tcPr>
          <w:p w14:paraId="4D6F0E0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70,2</w:t>
            </w:r>
          </w:p>
        </w:tc>
        <w:tc>
          <w:tcPr>
            <w:tcW w:w="535" w:type="pct"/>
            <w:noWrap/>
            <w:hideMark/>
          </w:tcPr>
          <w:p w14:paraId="38799A00"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42,4</w:t>
            </w:r>
          </w:p>
        </w:tc>
        <w:tc>
          <w:tcPr>
            <w:tcW w:w="829" w:type="pct"/>
            <w:noWrap/>
            <w:hideMark/>
          </w:tcPr>
          <w:p w14:paraId="2C15D71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5CE8F56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701A5F4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8F8A24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3C16BB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Barcelona</w:t>
            </w:r>
          </w:p>
        </w:tc>
        <w:tc>
          <w:tcPr>
            <w:tcW w:w="682" w:type="pct"/>
            <w:noWrap/>
            <w:hideMark/>
          </w:tcPr>
          <w:p w14:paraId="3E4E82C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70,1</w:t>
            </w:r>
          </w:p>
        </w:tc>
        <w:tc>
          <w:tcPr>
            <w:tcW w:w="535" w:type="pct"/>
            <w:noWrap/>
            <w:hideMark/>
          </w:tcPr>
          <w:p w14:paraId="64FB0B3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22,4</w:t>
            </w:r>
          </w:p>
        </w:tc>
        <w:tc>
          <w:tcPr>
            <w:tcW w:w="829" w:type="pct"/>
            <w:noWrap/>
            <w:hideMark/>
          </w:tcPr>
          <w:p w14:paraId="0DE931E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462CB30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1234" w:type="pct"/>
            <w:noWrap/>
            <w:hideMark/>
          </w:tcPr>
          <w:p w14:paraId="3BDDD9C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70C3E36"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5754DD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Sevilla</w:t>
            </w:r>
          </w:p>
        </w:tc>
        <w:tc>
          <w:tcPr>
            <w:tcW w:w="682" w:type="pct"/>
            <w:noWrap/>
            <w:hideMark/>
          </w:tcPr>
          <w:p w14:paraId="0038DE3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69,7</w:t>
            </w:r>
          </w:p>
        </w:tc>
        <w:tc>
          <w:tcPr>
            <w:tcW w:w="535" w:type="pct"/>
            <w:noWrap/>
            <w:hideMark/>
          </w:tcPr>
          <w:p w14:paraId="20B2CAE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26,8</w:t>
            </w:r>
          </w:p>
        </w:tc>
        <w:tc>
          <w:tcPr>
            <w:tcW w:w="829" w:type="pct"/>
            <w:noWrap/>
            <w:hideMark/>
          </w:tcPr>
          <w:p w14:paraId="061E428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51EC0C8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w:t>
            </w:r>
          </w:p>
        </w:tc>
        <w:tc>
          <w:tcPr>
            <w:tcW w:w="1234" w:type="pct"/>
            <w:noWrap/>
            <w:hideMark/>
          </w:tcPr>
          <w:p w14:paraId="67A8F00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765A5A47"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BBB946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Mutua Universal  MUGENAT</w:t>
            </w:r>
          </w:p>
        </w:tc>
        <w:tc>
          <w:tcPr>
            <w:tcW w:w="682" w:type="pct"/>
            <w:noWrap/>
            <w:hideMark/>
          </w:tcPr>
          <w:p w14:paraId="3638234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65,5</w:t>
            </w:r>
          </w:p>
        </w:tc>
        <w:tc>
          <w:tcPr>
            <w:tcW w:w="1364" w:type="pct"/>
            <w:gridSpan w:val="2"/>
            <w:noWrap/>
            <w:hideMark/>
          </w:tcPr>
          <w:p w14:paraId="22AD628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0A9E72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115A4A6"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AA1AD3" w:rsidRPr="000A2DEF" w14:paraId="50EE4F50"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3465E2B" w14:textId="61CF2200"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Correos </w:t>
            </w:r>
            <w:r w:rsidR="00967CE0">
              <w:rPr>
                <w:rFonts w:ascii="Calibri" w:eastAsia="Times New Roman" w:hAnsi="Calibri" w:cs="Calibri"/>
                <w:color w:val="000000"/>
                <w:sz w:val="18"/>
                <w:szCs w:val="18"/>
              </w:rPr>
              <w:t>E</w:t>
            </w:r>
            <w:r w:rsidRPr="000A2DEF">
              <w:rPr>
                <w:rFonts w:ascii="Calibri" w:eastAsia="Times New Roman" w:hAnsi="Calibri" w:cs="Calibri"/>
                <w:color w:val="000000"/>
                <w:sz w:val="18"/>
                <w:szCs w:val="18"/>
              </w:rPr>
              <w:t>xpress</w:t>
            </w:r>
          </w:p>
        </w:tc>
        <w:tc>
          <w:tcPr>
            <w:tcW w:w="682" w:type="pct"/>
            <w:noWrap/>
            <w:hideMark/>
          </w:tcPr>
          <w:p w14:paraId="3D973B3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63,4</w:t>
            </w:r>
          </w:p>
        </w:tc>
        <w:tc>
          <w:tcPr>
            <w:tcW w:w="1364" w:type="pct"/>
            <w:gridSpan w:val="2"/>
            <w:noWrap/>
            <w:hideMark/>
          </w:tcPr>
          <w:p w14:paraId="6DC76B2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6675EB0"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6A8486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r>
      <w:tr w:rsidR="00AA1AD3" w:rsidRPr="000A2DEF" w14:paraId="72B5D7A7"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1659D3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Desarrollos Empresariales de la Zona Franca de Cádiz</w:t>
            </w:r>
          </w:p>
        </w:tc>
        <w:tc>
          <w:tcPr>
            <w:tcW w:w="682" w:type="pct"/>
            <w:noWrap/>
            <w:hideMark/>
          </w:tcPr>
          <w:p w14:paraId="124DD33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61,9</w:t>
            </w:r>
          </w:p>
        </w:tc>
        <w:tc>
          <w:tcPr>
            <w:tcW w:w="535" w:type="pct"/>
            <w:noWrap/>
            <w:hideMark/>
          </w:tcPr>
          <w:p w14:paraId="4EAD160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55,1</w:t>
            </w:r>
          </w:p>
        </w:tc>
        <w:tc>
          <w:tcPr>
            <w:tcW w:w="829" w:type="pct"/>
            <w:noWrap/>
            <w:hideMark/>
          </w:tcPr>
          <w:p w14:paraId="6133396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052EE27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w:t>
            </w:r>
          </w:p>
        </w:tc>
        <w:tc>
          <w:tcPr>
            <w:tcW w:w="1234" w:type="pct"/>
            <w:noWrap/>
            <w:hideMark/>
          </w:tcPr>
          <w:p w14:paraId="72B3B1B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AA1AD3" w:rsidRPr="000A2DEF" w14:paraId="11CEB266"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51F0C97"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IAC</w:t>
            </w:r>
          </w:p>
        </w:tc>
        <w:tc>
          <w:tcPr>
            <w:tcW w:w="682" w:type="pct"/>
            <w:noWrap/>
            <w:hideMark/>
          </w:tcPr>
          <w:p w14:paraId="5332DE7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59,3</w:t>
            </w:r>
          </w:p>
        </w:tc>
        <w:tc>
          <w:tcPr>
            <w:tcW w:w="1364" w:type="pct"/>
            <w:gridSpan w:val="2"/>
            <w:noWrap/>
            <w:hideMark/>
          </w:tcPr>
          <w:p w14:paraId="618E2EE2"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6A98D4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19D122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1616EE" w:rsidRPr="000A2DEF" w14:paraId="3E04997C"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tcPr>
          <w:p w14:paraId="15FEFA7D" w14:textId="1CC57808" w:rsidR="001616EE" w:rsidRPr="000A2DEF" w:rsidRDefault="001616EE" w:rsidP="000A2DEF">
            <w:pPr>
              <w:jc w:val="left"/>
              <w:rPr>
                <w:rFonts w:ascii="Calibri" w:eastAsia="Times New Roman" w:hAnsi="Calibri" w:cs="Calibri"/>
                <w:color w:val="000000"/>
                <w:sz w:val="18"/>
                <w:szCs w:val="18"/>
              </w:rPr>
            </w:pPr>
            <w:r>
              <w:rPr>
                <w:rFonts w:ascii="Calibri" w:eastAsia="Times New Roman" w:hAnsi="Calibri" w:cs="Calibri"/>
                <w:color w:val="000000"/>
                <w:sz w:val="18"/>
                <w:szCs w:val="18"/>
              </w:rPr>
              <w:t>INAP</w:t>
            </w:r>
          </w:p>
        </w:tc>
        <w:tc>
          <w:tcPr>
            <w:tcW w:w="682" w:type="pct"/>
            <w:noWrap/>
          </w:tcPr>
          <w:p w14:paraId="71DC4CCC" w14:textId="73B08FB7" w:rsidR="001616EE" w:rsidRPr="000A2DEF" w:rsidRDefault="001616EE"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58,8</w:t>
            </w:r>
          </w:p>
        </w:tc>
        <w:tc>
          <w:tcPr>
            <w:tcW w:w="535" w:type="pct"/>
            <w:noWrap/>
          </w:tcPr>
          <w:p w14:paraId="2B7B2193" w14:textId="0508AB3D" w:rsidR="001616EE" w:rsidRPr="000A2DEF" w:rsidRDefault="001616EE"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15</w:t>
            </w:r>
          </w:p>
        </w:tc>
        <w:tc>
          <w:tcPr>
            <w:tcW w:w="829" w:type="pct"/>
            <w:noWrap/>
          </w:tcPr>
          <w:p w14:paraId="2DC3DACC" w14:textId="45E98A95" w:rsidR="001616EE" w:rsidRPr="000A2DEF" w:rsidRDefault="005C01DB"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19</w:t>
            </w:r>
          </w:p>
        </w:tc>
        <w:tc>
          <w:tcPr>
            <w:tcW w:w="909" w:type="pct"/>
            <w:noWrap/>
          </w:tcPr>
          <w:p w14:paraId="4DAD8825" w14:textId="74006098" w:rsidR="001616EE" w:rsidRPr="000A2DEF" w:rsidRDefault="005C01DB"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eastAsia="Times New Roman" w:hAnsi="Calibri" w:cs="Calibri"/>
                <w:color w:val="000000"/>
                <w:sz w:val="18"/>
                <w:szCs w:val="18"/>
              </w:rPr>
              <w:t>8</w:t>
            </w:r>
          </w:p>
        </w:tc>
        <w:tc>
          <w:tcPr>
            <w:tcW w:w="1234" w:type="pct"/>
            <w:noWrap/>
          </w:tcPr>
          <w:p w14:paraId="154CCA96" w14:textId="77777777" w:rsidR="001616EE" w:rsidRPr="000A2DEF" w:rsidRDefault="001616EE"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0C1EFA2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19E9E1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MUGEJU</w:t>
            </w:r>
          </w:p>
        </w:tc>
        <w:tc>
          <w:tcPr>
            <w:tcW w:w="682" w:type="pct"/>
            <w:noWrap/>
            <w:hideMark/>
          </w:tcPr>
          <w:p w14:paraId="7D22AFB0"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57,5</w:t>
            </w:r>
          </w:p>
        </w:tc>
        <w:tc>
          <w:tcPr>
            <w:tcW w:w="535" w:type="pct"/>
            <w:noWrap/>
            <w:hideMark/>
          </w:tcPr>
          <w:p w14:paraId="36BAF80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31,4</w:t>
            </w:r>
          </w:p>
        </w:tc>
        <w:tc>
          <w:tcPr>
            <w:tcW w:w="829" w:type="pct"/>
            <w:noWrap/>
            <w:hideMark/>
          </w:tcPr>
          <w:p w14:paraId="3DC9555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w:t>
            </w:r>
          </w:p>
        </w:tc>
        <w:tc>
          <w:tcPr>
            <w:tcW w:w="909" w:type="pct"/>
            <w:noWrap/>
            <w:hideMark/>
          </w:tcPr>
          <w:p w14:paraId="6FDBEB0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1234" w:type="pct"/>
            <w:noWrap/>
            <w:hideMark/>
          </w:tcPr>
          <w:p w14:paraId="62D4787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DF95FFD"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B6F5A20" w14:textId="625834D0"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Organización Nacional de Trasplantes</w:t>
            </w:r>
          </w:p>
        </w:tc>
        <w:tc>
          <w:tcPr>
            <w:tcW w:w="682" w:type="pct"/>
            <w:noWrap/>
            <w:hideMark/>
          </w:tcPr>
          <w:p w14:paraId="19E13AB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57,4</w:t>
            </w:r>
          </w:p>
        </w:tc>
        <w:tc>
          <w:tcPr>
            <w:tcW w:w="535" w:type="pct"/>
            <w:noWrap/>
            <w:hideMark/>
          </w:tcPr>
          <w:p w14:paraId="7095739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40,9</w:t>
            </w:r>
          </w:p>
        </w:tc>
        <w:tc>
          <w:tcPr>
            <w:tcW w:w="829" w:type="pct"/>
            <w:noWrap/>
            <w:hideMark/>
          </w:tcPr>
          <w:p w14:paraId="307F3E4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909" w:type="pct"/>
            <w:noWrap/>
            <w:hideMark/>
          </w:tcPr>
          <w:p w14:paraId="1C859B2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1234" w:type="pct"/>
            <w:noWrap/>
            <w:hideMark/>
          </w:tcPr>
          <w:p w14:paraId="4C9D6A07"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6B2018B8"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2E457C1"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ACUAES</w:t>
            </w:r>
          </w:p>
        </w:tc>
        <w:tc>
          <w:tcPr>
            <w:tcW w:w="682" w:type="pct"/>
            <w:noWrap/>
            <w:hideMark/>
          </w:tcPr>
          <w:p w14:paraId="3D07881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56,1</w:t>
            </w:r>
          </w:p>
        </w:tc>
        <w:tc>
          <w:tcPr>
            <w:tcW w:w="1364" w:type="pct"/>
            <w:gridSpan w:val="2"/>
            <w:noWrap/>
            <w:hideMark/>
          </w:tcPr>
          <w:p w14:paraId="64FBBEE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8D69B40"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C0EB41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BC1CBF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9612B6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Midat Cyclops</w:t>
            </w:r>
          </w:p>
        </w:tc>
        <w:tc>
          <w:tcPr>
            <w:tcW w:w="682" w:type="pct"/>
            <w:noWrap/>
            <w:hideMark/>
          </w:tcPr>
          <w:p w14:paraId="2FCBD3A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55,6</w:t>
            </w:r>
          </w:p>
        </w:tc>
        <w:tc>
          <w:tcPr>
            <w:tcW w:w="1364" w:type="pct"/>
            <w:gridSpan w:val="2"/>
            <w:noWrap/>
            <w:hideMark/>
          </w:tcPr>
          <w:p w14:paraId="3984A74F"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113472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B9DB1F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AA1AD3" w:rsidRPr="000A2DEF" w14:paraId="46B99D34"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4BA9E24"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Mercados Centrales Asturias</w:t>
            </w:r>
          </w:p>
        </w:tc>
        <w:tc>
          <w:tcPr>
            <w:tcW w:w="682" w:type="pct"/>
            <w:noWrap/>
            <w:hideMark/>
          </w:tcPr>
          <w:p w14:paraId="1651BBF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54,8</w:t>
            </w:r>
          </w:p>
        </w:tc>
        <w:tc>
          <w:tcPr>
            <w:tcW w:w="1364" w:type="pct"/>
            <w:gridSpan w:val="2"/>
            <w:noWrap/>
            <w:hideMark/>
          </w:tcPr>
          <w:p w14:paraId="58A5F53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1BCEEB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81E8AA4"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E60591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9D0B5D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Biodiversidad</w:t>
            </w:r>
          </w:p>
        </w:tc>
        <w:tc>
          <w:tcPr>
            <w:tcW w:w="682" w:type="pct"/>
            <w:noWrap/>
            <w:hideMark/>
          </w:tcPr>
          <w:p w14:paraId="36DC22A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54,7</w:t>
            </w:r>
          </w:p>
        </w:tc>
        <w:tc>
          <w:tcPr>
            <w:tcW w:w="1364" w:type="pct"/>
            <w:gridSpan w:val="2"/>
            <w:noWrap/>
            <w:hideMark/>
          </w:tcPr>
          <w:p w14:paraId="3629AFE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84D8E2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2533D3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3412EF2"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146E00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EOI</w:t>
            </w:r>
          </w:p>
        </w:tc>
        <w:tc>
          <w:tcPr>
            <w:tcW w:w="682" w:type="pct"/>
            <w:noWrap/>
            <w:hideMark/>
          </w:tcPr>
          <w:p w14:paraId="070E805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54,2</w:t>
            </w:r>
          </w:p>
        </w:tc>
        <w:tc>
          <w:tcPr>
            <w:tcW w:w="1364" w:type="pct"/>
            <w:gridSpan w:val="2"/>
            <w:noWrap/>
            <w:hideMark/>
          </w:tcPr>
          <w:p w14:paraId="525E116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DCE4BB2"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E3ADD1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C01AEDF"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6B2E78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Hipódromo de la Zarzuela</w:t>
            </w:r>
          </w:p>
        </w:tc>
        <w:tc>
          <w:tcPr>
            <w:tcW w:w="682" w:type="pct"/>
            <w:noWrap/>
            <w:hideMark/>
          </w:tcPr>
          <w:p w14:paraId="286942A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53,8</w:t>
            </w:r>
          </w:p>
        </w:tc>
        <w:tc>
          <w:tcPr>
            <w:tcW w:w="535" w:type="pct"/>
            <w:noWrap/>
            <w:hideMark/>
          </w:tcPr>
          <w:p w14:paraId="692E7F8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15,6</w:t>
            </w:r>
          </w:p>
        </w:tc>
        <w:tc>
          <w:tcPr>
            <w:tcW w:w="829" w:type="pct"/>
            <w:noWrap/>
            <w:hideMark/>
          </w:tcPr>
          <w:p w14:paraId="37DFDBE7"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c>
          <w:tcPr>
            <w:tcW w:w="909" w:type="pct"/>
            <w:noWrap/>
            <w:hideMark/>
          </w:tcPr>
          <w:p w14:paraId="2203EFA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0C0EB9F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C810E7C"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79E6EF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Thyssen</w:t>
            </w:r>
          </w:p>
        </w:tc>
        <w:tc>
          <w:tcPr>
            <w:tcW w:w="682" w:type="pct"/>
            <w:noWrap/>
            <w:hideMark/>
          </w:tcPr>
          <w:p w14:paraId="7412C36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53,7</w:t>
            </w:r>
          </w:p>
        </w:tc>
        <w:tc>
          <w:tcPr>
            <w:tcW w:w="1364" w:type="pct"/>
            <w:gridSpan w:val="2"/>
            <w:noWrap/>
            <w:hideMark/>
          </w:tcPr>
          <w:p w14:paraId="0EE02F6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98821C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6844CC0"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F83AD02"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E156F6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FIIAP</w:t>
            </w:r>
          </w:p>
        </w:tc>
        <w:tc>
          <w:tcPr>
            <w:tcW w:w="682" w:type="pct"/>
            <w:noWrap/>
            <w:hideMark/>
          </w:tcPr>
          <w:p w14:paraId="375ECF4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52,7</w:t>
            </w:r>
          </w:p>
        </w:tc>
        <w:tc>
          <w:tcPr>
            <w:tcW w:w="1364" w:type="pct"/>
            <w:gridSpan w:val="2"/>
            <w:noWrap/>
            <w:hideMark/>
          </w:tcPr>
          <w:p w14:paraId="4B41C37C"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4F541D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FEBAE1F"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495C71A"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9910617"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CRIDA</w:t>
            </w:r>
          </w:p>
        </w:tc>
        <w:tc>
          <w:tcPr>
            <w:tcW w:w="682" w:type="pct"/>
            <w:noWrap/>
            <w:hideMark/>
          </w:tcPr>
          <w:p w14:paraId="1BA3441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52,5</w:t>
            </w:r>
          </w:p>
        </w:tc>
        <w:tc>
          <w:tcPr>
            <w:tcW w:w="1364" w:type="pct"/>
            <w:gridSpan w:val="2"/>
            <w:noWrap/>
            <w:hideMark/>
          </w:tcPr>
          <w:p w14:paraId="61783F3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D1DC312"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9D17C2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r>
      <w:tr w:rsidR="00AA1AD3" w:rsidRPr="000A2DEF" w14:paraId="50B0A56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1041AD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CH Ebro</w:t>
            </w:r>
          </w:p>
        </w:tc>
        <w:tc>
          <w:tcPr>
            <w:tcW w:w="682" w:type="pct"/>
            <w:noWrap/>
            <w:hideMark/>
          </w:tcPr>
          <w:p w14:paraId="6586A79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51,8</w:t>
            </w:r>
          </w:p>
        </w:tc>
        <w:tc>
          <w:tcPr>
            <w:tcW w:w="535" w:type="pct"/>
            <w:noWrap/>
            <w:hideMark/>
          </w:tcPr>
          <w:p w14:paraId="79D8EF06"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5,6</w:t>
            </w:r>
          </w:p>
        </w:tc>
        <w:tc>
          <w:tcPr>
            <w:tcW w:w="829" w:type="pct"/>
            <w:noWrap/>
            <w:hideMark/>
          </w:tcPr>
          <w:p w14:paraId="1256B3D7"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233DFFE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1C8FB8C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2E12D42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C6249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Laboratorio Canfranc</w:t>
            </w:r>
          </w:p>
        </w:tc>
        <w:tc>
          <w:tcPr>
            <w:tcW w:w="682" w:type="pct"/>
            <w:noWrap/>
            <w:hideMark/>
          </w:tcPr>
          <w:p w14:paraId="03770D0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51,8</w:t>
            </w:r>
          </w:p>
        </w:tc>
        <w:tc>
          <w:tcPr>
            <w:tcW w:w="1364" w:type="pct"/>
            <w:gridSpan w:val="2"/>
            <w:noWrap/>
            <w:hideMark/>
          </w:tcPr>
          <w:p w14:paraId="093B7A4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9CF644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474AF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r>
      <w:tr w:rsidR="00AA1AD3" w:rsidRPr="000A2DEF" w14:paraId="5222ABDA"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616C0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Alicante</w:t>
            </w:r>
          </w:p>
        </w:tc>
        <w:tc>
          <w:tcPr>
            <w:tcW w:w="682" w:type="pct"/>
            <w:noWrap/>
            <w:hideMark/>
          </w:tcPr>
          <w:p w14:paraId="6B7B1C0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50,5</w:t>
            </w:r>
          </w:p>
        </w:tc>
        <w:tc>
          <w:tcPr>
            <w:tcW w:w="1364" w:type="pct"/>
            <w:gridSpan w:val="2"/>
            <w:noWrap/>
            <w:hideMark/>
          </w:tcPr>
          <w:p w14:paraId="6CEFAC5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1B421A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67C1AF3"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E98D566"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727A04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Casa de América</w:t>
            </w:r>
          </w:p>
        </w:tc>
        <w:tc>
          <w:tcPr>
            <w:tcW w:w="682" w:type="pct"/>
            <w:noWrap/>
            <w:hideMark/>
          </w:tcPr>
          <w:p w14:paraId="663D056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50,4</w:t>
            </w:r>
          </w:p>
        </w:tc>
        <w:tc>
          <w:tcPr>
            <w:tcW w:w="535" w:type="pct"/>
            <w:noWrap/>
            <w:hideMark/>
          </w:tcPr>
          <w:p w14:paraId="4E054E6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17,6</w:t>
            </w:r>
          </w:p>
        </w:tc>
        <w:tc>
          <w:tcPr>
            <w:tcW w:w="829" w:type="pct"/>
            <w:noWrap/>
            <w:hideMark/>
          </w:tcPr>
          <w:p w14:paraId="3C9DCDA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0CE6C89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0CAA5C05"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AB360EC"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83FA2F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CIUDEN</w:t>
            </w:r>
          </w:p>
        </w:tc>
        <w:tc>
          <w:tcPr>
            <w:tcW w:w="682" w:type="pct"/>
            <w:noWrap/>
            <w:hideMark/>
          </w:tcPr>
          <w:p w14:paraId="4C5CA45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50,0</w:t>
            </w:r>
          </w:p>
        </w:tc>
        <w:tc>
          <w:tcPr>
            <w:tcW w:w="1364" w:type="pct"/>
            <w:gridSpan w:val="2"/>
            <w:noWrap/>
            <w:hideMark/>
          </w:tcPr>
          <w:p w14:paraId="1919950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5778F02"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6B5E23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AA1AD3" w:rsidRPr="000A2DEF" w14:paraId="278171FC"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818E82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SELAE</w:t>
            </w:r>
          </w:p>
        </w:tc>
        <w:tc>
          <w:tcPr>
            <w:tcW w:w="682" w:type="pct"/>
            <w:noWrap/>
            <w:hideMark/>
          </w:tcPr>
          <w:p w14:paraId="6E8E1AC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49,8</w:t>
            </w:r>
          </w:p>
        </w:tc>
        <w:tc>
          <w:tcPr>
            <w:tcW w:w="1364" w:type="pct"/>
            <w:gridSpan w:val="2"/>
            <w:noWrap/>
            <w:hideMark/>
          </w:tcPr>
          <w:p w14:paraId="5CA6D1A9"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6C61A3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8E94177"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1158421"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BFE9ED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AESA</w:t>
            </w:r>
          </w:p>
        </w:tc>
        <w:tc>
          <w:tcPr>
            <w:tcW w:w="682" w:type="pct"/>
            <w:noWrap/>
            <w:hideMark/>
          </w:tcPr>
          <w:p w14:paraId="6220BD8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49,7</w:t>
            </w:r>
          </w:p>
        </w:tc>
        <w:tc>
          <w:tcPr>
            <w:tcW w:w="535" w:type="pct"/>
            <w:noWrap/>
            <w:hideMark/>
          </w:tcPr>
          <w:p w14:paraId="1D14B87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3EF4A84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4AE9AFB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1234" w:type="pct"/>
            <w:noWrap/>
            <w:hideMark/>
          </w:tcPr>
          <w:p w14:paraId="0206271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4CC5D1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17AAE5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ADIF</w:t>
            </w:r>
          </w:p>
        </w:tc>
        <w:tc>
          <w:tcPr>
            <w:tcW w:w="682" w:type="pct"/>
            <w:noWrap/>
            <w:hideMark/>
          </w:tcPr>
          <w:p w14:paraId="0A804ED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49,3</w:t>
            </w:r>
          </w:p>
        </w:tc>
        <w:tc>
          <w:tcPr>
            <w:tcW w:w="1364" w:type="pct"/>
            <w:gridSpan w:val="2"/>
            <w:noWrap/>
            <w:hideMark/>
          </w:tcPr>
          <w:p w14:paraId="775CC619"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D2897E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959603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2E9DCE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F1C300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IBERMUTUA</w:t>
            </w:r>
          </w:p>
        </w:tc>
        <w:tc>
          <w:tcPr>
            <w:tcW w:w="682" w:type="pct"/>
            <w:noWrap/>
            <w:hideMark/>
          </w:tcPr>
          <w:p w14:paraId="376B028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48,2</w:t>
            </w:r>
          </w:p>
        </w:tc>
        <w:tc>
          <w:tcPr>
            <w:tcW w:w="1364" w:type="pct"/>
            <w:gridSpan w:val="2"/>
            <w:noWrap/>
            <w:hideMark/>
          </w:tcPr>
          <w:p w14:paraId="1F4D2FF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F36DE2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6F5E89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r>
      <w:tr w:rsidR="00AA1AD3" w:rsidRPr="000A2DEF" w14:paraId="3EB6F06A"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CB514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Ferrol</w:t>
            </w:r>
          </w:p>
        </w:tc>
        <w:tc>
          <w:tcPr>
            <w:tcW w:w="682" w:type="pct"/>
            <w:noWrap/>
            <w:hideMark/>
          </w:tcPr>
          <w:p w14:paraId="32FA94D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47,9</w:t>
            </w:r>
          </w:p>
        </w:tc>
        <w:tc>
          <w:tcPr>
            <w:tcW w:w="535" w:type="pct"/>
            <w:noWrap/>
            <w:hideMark/>
          </w:tcPr>
          <w:p w14:paraId="522DF4B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13,4</w:t>
            </w:r>
          </w:p>
        </w:tc>
        <w:tc>
          <w:tcPr>
            <w:tcW w:w="829" w:type="pct"/>
            <w:noWrap/>
            <w:hideMark/>
          </w:tcPr>
          <w:p w14:paraId="481127A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552B2D7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w:t>
            </w:r>
          </w:p>
        </w:tc>
        <w:tc>
          <w:tcPr>
            <w:tcW w:w="1234" w:type="pct"/>
            <w:noWrap/>
            <w:hideMark/>
          </w:tcPr>
          <w:p w14:paraId="747B7150"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F2876D2"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B31F12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Real Patronato Discapacidad</w:t>
            </w:r>
          </w:p>
        </w:tc>
        <w:tc>
          <w:tcPr>
            <w:tcW w:w="682" w:type="pct"/>
            <w:noWrap/>
            <w:hideMark/>
          </w:tcPr>
          <w:p w14:paraId="15FCDBB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47,8</w:t>
            </w:r>
          </w:p>
        </w:tc>
        <w:tc>
          <w:tcPr>
            <w:tcW w:w="535" w:type="pct"/>
            <w:noWrap/>
            <w:hideMark/>
          </w:tcPr>
          <w:p w14:paraId="20864CC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w:t>
            </w:r>
          </w:p>
        </w:tc>
        <w:tc>
          <w:tcPr>
            <w:tcW w:w="829" w:type="pct"/>
            <w:noWrap/>
            <w:hideMark/>
          </w:tcPr>
          <w:p w14:paraId="5B3B6E5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909" w:type="pct"/>
            <w:noWrap/>
            <w:hideMark/>
          </w:tcPr>
          <w:p w14:paraId="1203E9F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w:t>
            </w:r>
          </w:p>
        </w:tc>
        <w:tc>
          <w:tcPr>
            <w:tcW w:w="1234" w:type="pct"/>
            <w:noWrap/>
            <w:hideMark/>
          </w:tcPr>
          <w:p w14:paraId="3B33D96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6D37DBD1"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E6342C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Mutua de Andalucía y de Ceuta</w:t>
            </w:r>
          </w:p>
        </w:tc>
        <w:tc>
          <w:tcPr>
            <w:tcW w:w="682" w:type="pct"/>
            <w:noWrap/>
            <w:hideMark/>
          </w:tcPr>
          <w:p w14:paraId="2105F37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46,7</w:t>
            </w:r>
          </w:p>
        </w:tc>
        <w:tc>
          <w:tcPr>
            <w:tcW w:w="535" w:type="pct"/>
            <w:noWrap/>
            <w:hideMark/>
          </w:tcPr>
          <w:p w14:paraId="7C59B28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22,3</w:t>
            </w:r>
          </w:p>
        </w:tc>
        <w:tc>
          <w:tcPr>
            <w:tcW w:w="829" w:type="pct"/>
            <w:noWrap/>
            <w:hideMark/>
          </w:tcPr>
          <w:p w14:paraId="1823F6B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36BD5B9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w:t>
            </w:r>
          </w:p>
        </w:tc>
        <w:tc>
          <w:tcPr>
            <w:tcW w:w="1234" w:type="pct"/>
            <w:noWrap/>
            <w:hideMark/>
          </w:tcPr>
          <w:p w14:paraId="196FB32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r>
      <w:tr w:rsidR="00AA1AD3" w:rsidRPr="000A2DEF" w14:paraId="453F7401"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F8D12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FUNDAE</w:t>
            </w:r>
          </w:p>
        </w:tc>
        <w:tc>
          <w:tcPr>
            <w:tcW w:w="682" w:type="pct"/>
            <w:noWrap/>
            <w:hideMark/>
          </w:tcPr>
          <w:p w14:paraId="6E7D3C5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46,4</w:t>
            </w:r>
          </w:p>
        </w:tc>
        <w:tc>
          <w:tcPr>
            <w:tcW w:w="1364" w:type="pct"/>
            <w:gridSpan w:val="2"/>
            <w:noWrap/>
            <w:hideMark/>
          </w:tcPr>
          <w:p w14:paraId="558151D0"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D2C81FC"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F83903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11D23506"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E5219C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Bilbao Ría 2000</w:t>
            </w:r>
          </w:p>
        </w:tc>
        <w:tc>
          <w:tcPr>
            <w:tcW w:w="682" w:type="pct"/>
            <w:noWrap/>
            <w:hideMark/>
          </w:tcPr>
          <w:p w14:paraId="1EB4228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46,3</w:t>
            </w:r>
          </w:p>
        </w:tc>
        <w:tc>
          <w:tcPr>
            <w:tcW w:w="1364" w:type="pct"/>
            <w:gridSpan w:val="2"/>
            <w:noWrap/>
            <w:hideMark/>
          </w:tcPr>
          <w:p w14:paraId="7F9DDEE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67D046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51FD8E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AB070B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848E5B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IMSERSO</w:t>
            </w:r>
          </w:p>
        </w:tc>
        <w:tc>
          <w:tcPr>
            <w:tcW w:w="682" w:type="pct"/>
            <w:noWrap/>
            <w:hideMark/>
          </w:tcPr>
          <w:p w14:paraId="2FA29D9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45,9</w:t>
            </w:r>
          </w:p>
        </w:tc>
        <w:tc>
          <w:tcPr>
            <w:tcW w:w="1364" w:type="pct"/>
            <w:gridSpan w:val="2"/>
            <w:noWrap/>
            <w:hideMark/>
          </w:tcPr>
          <w:p w14:paraId="0C837A9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B031EE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1C4EC7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57A6896"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DDFF984"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INCIBE</w:t>
            </w:r>
          </w:p>
        </w:tc>
        <w:tc>
          <w:tcPr>
            <w:tcW w:w="682" w:type="pct"/>
            <w:noWrap/>
            <w:hideMark/>
          </w:tcPr>
          <w:p w14:paraId="6473EDC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45,5</w:t>
            </w:r>
          </w:p>
        </w:tc>
        <w:tc>
          <w:tcPr>
            <w:tcW w:w="1364" w:type="pct"/>
            <w:gridSpan w:val="2"/>
            <w:noWrap/>
            <w:hideMark/>
          </w:tcPr>
          <w:p w14:paraId="4E76E229"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1CF0F1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F81E6A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AA1AD3" w:rsidRPr="000A2DEF" w14:paraId="6EDBB362"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40B2D1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CH Segura</w:t>
            </w:r>
          </w:p>
        </w:tc>
        <w:tc>
          <w:tcPr>
            <w:tcW w:w="682" w:type="pct"/>
            <w:noWrap/>
            <w:hideMark/>
          </w:tcPr>
          <w:p w14:paraId="6BCE9DA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44,7</w:t>
            </w:r>
          </w:p>
        </w:tc>
        <w:tc>
          <w:tcPr>
            <w:tcW w:w="535" w:type="pct"/>
            <w:noWrap/>
            <w:hideMark/>
          </w:tcPr>
          <w:p w14:paraId="7083141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6FA5A88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413EAFC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1234" w:type="pct"/>
            <w:noWrap/>
            <w:hideMark/>
          </w:tcPr>
          <w:p w14:paraId="1CEA9826"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194AAE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D7D9EA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CSIC</w:t>
            </w:r>
          </w:p>
        </w:tc>
        <w:tc>
          <w:tcPr>
            <w:tcW w:w="682" w:type="pct"/>
            <w:noWrap/>
            <w:hideMark/>
          </w:tcPr>
          <w:p w14:paraId="573D383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44,4</w:t>
            </w:r>
          </w:p>
        </w:tc>
        <w:tc>
          <w:tcPr>
            <w:tcW w:w="535" w:type="pct"/>
            <w:noWrap/>
            <w:hideMark/>
          </w:tcPr>
          <w:p w14:paraId="62A2D9C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w:t>
            </w:r>
          </w:p>
        </w:tc>
        <w:tc>
          <w:tcPr>
            <w:tcW w:w="829" w:type="pct"/>
            <w:noWrap/>
            <w:hideMark/>
          </w:tcPr>
          <w:p w14:paraId="1C89261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w:t>
            </w:r>
          </w:p>
        </w:tc>
        <w:tc>
          <w:tcPr>
            <w:tcW w:w="909" w:type="pct"/>
            <w:noWrap/>
            <w:hideMark/>
          </w:tcPr>
          <w:p w14:paraId="5487442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644E796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09B51CA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F6D4021"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SAINSEL</w:t>
            </w:r>
          </w:p>
        </w:tc>
        <w:tc>
          <w:tcPr>
            <w:tcW w:w="682" w:type="pct"/>
            <w:noWrap/>
            <w:hideMark/>
          </w:tcPr>
          <w:p w14:paraId="0D41EE2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44,2</w:t>
            </w:r>
          </w:p>
        </w:tc>
        <w:tc>
          <w:tcPr>
            <w:tcW w:w="1364" w:type="pct"/>
            <w:gridSpan w:val="2"/>
            <w:noWrap/>
            <w:hideMark/>
          </w:tcPr>
          <w:p w14:paraId="355A48E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3AB8D9F"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765067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11</w:t>
            </w:r>
          </w:p>
        </w:tc>
      </w:tr>
      <w:tr w:rsidR="00AA1AD3" w:rsidRPr="000A2DEF" w14:paraId="3AD53B6E"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419195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MNP Difusión</w:t>
            </w:r>
          </w:p>
        </w:tc>
        <w:tc>
          <w:tcPr>
            <w:tcW w:w="682" w:type="pct"/>
            <w:noWrap/>
            <w:hideMark/>
          </w:tcPr>
          <w:p w14:paraId="51ED32C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43,6</w:t>
            </w:r>
          </w:p>
        </w:tc>
        <w:tc>
          <w:tcPr>
            <w:tcW w:w="535" w:type="pct"/>
            <w:noWrap/>
            <w:hideMark/>
          </w:tcPr>
          <w:p w14:paraId="13C21440"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27,1</w:t>
            </w:r>
          </w:p>
        </w:tc>
        <w:tc>
          <w:tcPr>
            <w:tcW w:w="829" w:type="pct"/>
            <w:noWrap/>
            <w:hideMark/>
          </w:tcPr>
          <w:p w14:paraId="178F9CD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w:t>
            </w:r>
          </w:p>
        </w:tc>
        <w:tc>
          <w:tcPr>
            <w:tcW w:w="909" w:type="pct"/>
            <w:noWrap/>
            <w:hideMark/>
          </w:tcPr>
          <w:p w14:paraId="7B7FAEE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6C66B25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0A9F0BD4"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155B3D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ETSA</w:t>
            </w:r>
          </w:p>
        </w:tc>
        <w:tc>
          <w:tcPr>
            <w:tcW w:w="682" w:type="pct"/>
            <w:noWrap/>
            <w:hideMark/>
          </w:tcPr>
          <w:p w14:paraId="6FE21B5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43,3</w:t>
            </w:r>
          </w:p>
        </w:tc>
        <w:tc>
          <w:tcPr>
            <w:tcW w:w="1364" w:type="pct"/>
            <w:gridSpan w:val="2"/>
            <w:noWrap/>
            <w:hideMark/>
          </w:tcPr>
          <w:p w14:paraId="5040EF8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6326DD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7AD338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37B4812"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2957D9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CEPC</w:t>
            </w:r>
          </w:p>
        </w:tc>
        <w:tc>
          <w:tcPr>
            <w:tcW w:w="682" w:type="pct"/>
            <w:noWrap/>
            <w:hideMark/>
          </w:tcPr>
          <w:p w14:paraId="0BFEC3F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43,0</w:t>
            </w:r>
          </w:p>
        </w:tc>
        <w:tc>
          <w:tcPr>
            <w:tcW w:w="1364" w:type="pct"/>
            <w:gridSpan w:val="2"/>
            <w:noWrap/>
            <w:hideMark/>
          </w:tcPr>
          <w:p w14:paraId="47B0E5F2"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872617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712B37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8743C0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B88E00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CANASA</w:t>
            </w:r>
          </w:p>
        </w:tc>
        <w:tc>
          <w:tcPr>
            <w:tcW w:w="682" w:type="pct"/>
            <w:noWrap/>
            <w:hideMark/>
          </w:tcPr>
          <w:p w14:paraId="2D0893A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41,7</w:t>
            </w:r>
          </w:p>
        </w:tc>
        <w:tc>
          <w:tcPr>
            <w:tcW w:w="1364" w:type="pct"/>
            <w:gridSpan w:val="2"/>
            <w:noWrap/>
            <w:hideMark/>
          </w:tcPr>
          <w:p w14:paraId="3D15B00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40F037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F05B16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0C8AA5A"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E2E959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Instituto Cervantes</w:t>
            </w:r>
          </w:p>
        </w:tc>
        <w:tc>
          <w:tcPr>
            <w:tcW w:w="682" w:type="pct"/>
            <w:noWrap/>
            <w:hideMark/>
          </w:tcPr>
          <w:p w14:paraId="2C2D36D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40,7</w:t>
            </w:r>
          </w:p>
        </w:tc>
        <w:tc>
          <w:tcPr>
            <w:tcW w:w="1364" w:type="pct"/>
            <w:gridSpan w:val="2"/>
            <w:noWrap/>
            <w:hideMark/>
          </w:tcPr>
          <w:p w14:paraId="5D9DBB68"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72B74C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92CA528"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3B35D0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D3C08B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SOCIB</w:t>
            </w:r>
          </w:p>
        </w:tc>
        <w:tc>
          <w:tcPr>
            <w:tcW w:w="682" w:type="pct"/>
            <w:noWrap/>
            <w:hideMark/>
          </w:tcPr>
          <w:p w14:paraId="23278CB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40,4</w:t>
            </w:r>
          </w:p>
        </w:tc>
        <w:tc>
          <w:tcPr>
            <w:tcW w:w="535" w:type="pct"/>
            <w:noWrap/>
            <w:hideMark/>
          </w:tcPr>
          <w:p w14:paraId="3F4EAE8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14,9</w:t>
            </w:r>
          </w:p>
        </w:tc>
        <w:tc>
          <w:tcPr>
            <w:tcW w:w="829" w:type="pct"/>
            <w:noWrap/>
            <w:hideMark/>
          </w:tcPr>
          <w:p w14:paraId="4889A37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6351F2B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59D8229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7D3AB6F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304F0D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CIS</w:t>
            </w:r>
          </w:p>
        </w:tc>
        <w:tc>
          <w:tcPr>
            <w:tcW w:w="682" w:type="pct"/>
            <w:noWrap/>
            <w:hideMark/>
          </w:tcPr>
          <w:p w14:paraId="0F99633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39,7</w:t>
            </w:r>
          </w:p>
        </w:tc>
        <w:tc>
          <w:tcPr>
            <w:tcW w:w="1364" w:type="pct"/>
            <w:gridSpan w:val="2"/>
            <w:noWrap/>
            <w:hideMark/>
          </w:tcPr>
          <w:p w14:paraId="0A811F4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69909B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817343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E70290C"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089CFD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CILSA</w:t>
            </w:r>
          </w:p>
        </w:tc>
        <w:tc>
          <w:tcPr>
            <w:tcW w:w="682" w:type="pct"/>
            <w:noWrap/>
            <w:hideMark/>
          </w:tcPr>
          <w:p w14:paraId="51F62D5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39,5</w:t>
            </w:r>
          </w:p>
        </w:tc>
        <w:tc>
          <w:tcPr>
            <w:tcW w:w="1364" w:type="pct"/>
            <w:gridSpan w:val="2"/>
            <w:noWrap/>
            <w:hideMark/>
          </w:tcPr>
          <w:p w14:paraId="6C352C3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EEEA8ED"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D36FA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7E96DB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FE38C1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MNCARS</w:t>
            </w:r>
          </w:p>
        </w:tc>
        <w:tc>
          <w:tcPr>
            <w:tcW w:w="682" w:type="pct"/>
            <w:noWrap/>
            <w:hideMark/>
          </w:tcPr>
          <w:p w14:paraId="778273A5"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535" w:type="pct"/>
            <w:noWrap/>
            <w:hideMark/>
          </w:tcPr>
          <w:p w14:paraId="629B759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-6,2</w:t>
            </w:r>
          </w:p>
        </w:tc>
        <w:tc>
          <w:tcPr>
            <w:tcW w:w="829" w:type="pct"/>
            <w:noWrap/>
            <w:hideMark/>
          </w:tcPr>
          <w:p w14:paraId="00FB8E1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909" w:type="pct"/>
            <w:noWrap/>
            <w:hideMark/>
          </w:tcPr>
          <w:p w14:paraId="4D8770A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w:t>
            </w:r>
          </w:p>
        </w:tc>
        <w:tc>
          <w:tcPr>
            <w:tcW w:w="1234" w:type="pct"/>
            <w:noWrap/>
            <w:hideMark/>
          </w:tcPr>
          <w:p w14:paraId="5FF8D3FD"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16DC473"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1241441"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UIMP</w:t>
            </w:r>
          </w:p>
        </w:tc>
        <w:tc>
          <w:tcPr>
            <w:tcW w:w="682" w:type="pct"/>
            <w:noWrap/>
            <w:hideMark/>
          </w:tcPr>
          <w:p w14:paraId="6029A94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38,8</w:t>
            </w:r>
          </w:p>
        </w:tc>
        <w:tc>
          <w:tcPr>
            <w:tcW w:w="1364" w:type="pct"/>
            <w:gridSpan w:val="2"/>
            <w:noWrap/>
            <w:hideMark/>
          </w:tcPr>
          <w:p w14:paraId="394ED97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0F967AD"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B0B093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91FCE5E"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B16231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AEMPS</w:t>
            </w:r>
          </w:p>
        </w:tc>
        <w:tc>
          <w:tcPr>
            <w:tcW w:w="682" w:type="pct"/>
            <w:noWrap/>
            <w:hideMark/>
          </w:tcPr>
          <w:p w14:paraId="5B4D868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38,1</w:t>
            </w:r>
          </w:p>
        </w:tc>
        <w:tc>
          <w:tcPr>
            <w:tcW w:w="1364" w:type="pct"/>
            <w:gridSpan w:val="2"/>
            <w:noWrap/>
            <w:hideMark/>
          </w:tcPr>
          <w:p w14:paraId="482F642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D21137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8F48F0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9EE44F4"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43CC94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Almería</w:t>
            </w:r>
          </w:p>
        </w:tc>
        <w:tc>
          <w:tcPr>
            <w:tcW w:w="682" w:type="pct"/>
            <w:noWrap/>
            <w:hideMark/>
          </w:tcPr>
          <w:p w14:paraId="7B02C6E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37,8</w:t>
            </w:r>
          </w:p>
        </w:tc>
        <w:tc>
          <w:tcPr>
            <w:tcW w:w="535" w:type="pct"/>
            <w:noWrap/>
            <w:hideMark/>
          </w:tcPr>
          <w:p w14:paraId="3494FCB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0,3</w:t>
            </w:r>
          </w:p>
        </w:tc>
        <w:tc>
          <w:tcPr>
            <w:tcW w:w="829" w:type="pct"/>
            <w:noWrap/>
            <w:hideMark/>
          </w:tcPr>
          <w:p w14:paraId="52AF8A8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3362A15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69D4F60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4B57874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4D80E2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ICO</w:t>
            </w:r>
          </w:p>
        </w:tc>
        <w:tc>
          <w:tcPr>
            <w:tcW w:w="682" w:type="pct"/>
            <w:noWrap/>
            <w:hideMark/>
          </w:tcPr>
          <w:p w14:paraId="5FA3828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37,8</w:t>
            </w:r>
          </w:p>
        </w:tc>
        <w:tc>
          <w:tcPr>
            <w:tcW w:w="1364" w:type="pct"/>
            <w:gridSpan w:val="2"/>
            <w:noWrap/>
            <w:hideMark/>
          </w:tcPr>
          <w:p w14:paraId="1ED41E49"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A9A9FC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8F147A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0838D5E"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7ED509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UNED Ciudad Real</w:t>
            </w:r>
          </w:p>
        </w:tc>
        <w:tc>
          <w:tcPr>
            <w:tcW w:w="682" w:type="pct"/>
            <w:noWrap/>
            <w:hideMark/>
          </w:tcPr>
          <w:p w14:paraId="6639614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36,1</w:t>
            </w:r>
          </w:p>
        </w:tc>
        <w:tc>
          <w:tcPr>
            <w:tcW w:w="1364" w:type="pct"/>
            <w:gridSpan w:val="2"/>
            <w:noWrap/>
            <w:hideMark/>
          </w:tcPr>
          <w:p w14:paraId="4255080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320DED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F1194B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5441A59"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1D33B4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Biblioteca Nacional</w:t>
            </w:r>
          </w:p>
        </w:tc>
        <w:tc>
          <w:tcPr>
            <w:tcW w:w="682" w:type="pct"/>
            <w:noWrap/>
            <w:hideMark/>
          </w:tcPr>
          <w:p w14:paraId="7F95A40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35,5</w:t>
            </w:r>
          </w:p>
        </w:tc>
        <w:tc>
          <w:tcPr>
            <w:tcW w:w="535" w:type="pct"/>
            <w:noWrap/>
            <w:hideMark/>
          </w:tcPr>
          <w:p w14:paraId="2AC271D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0096221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1AA6B62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08A6E24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4B1E48E"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0B381E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Barcelona Supercomputing</w:t>
            </w:r>
          </w:p>
        </w:tc>
        <w:tc>
          <w:tcPr>
            <w:tcW w:w="682" w:type="pct"/>
            <w:noWrap/>
            <w:hideMark/>
          </w:tcPr>
          <w:p w14:paraId="218BCB5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35,2</w:t>
            </w:r>
          </w:p>
        </w:tc>
        <w:tc>
          <w:tcPr>
            <w:tcW w:w="1364" w:type="pct"/>
            <w:gridSpan w:val="2"/>
            <w:noWrap/>
            <w:hideMark/>
          </w:tcPr>
          <w:p w14:paraId="0B044B7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ED0E72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F413C4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2ADCE8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799EC2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Avilés</w:t>
            </w:r>
          </w:p>
        </w:tc>
        <w:tc>
          <w:tcPr>
            <w:tcW w:w="682" w:type="pct"/>
            <w:noWrap/>
            <w:hideMark/>
          </w:tcPr>
          <w:p w14:paraId="5704B84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35,0</w:t>
            </w:r>
          </w:p>
        </w:tc>
        <w:tc>
          <w:tcPr>
            <w:tcW w:w="1364" w:type="pct"/>
            <w:gridSpan w:val="2"/>
            <w:noWrap/>
            <w:hideMark/>
          </w:tcPr>
          <w:p w14:paraId="6B1F6E0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FCC559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CFC35E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02711BD"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0D87CB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Red.es</w:t>
            </w:r>
          </w:p>
        </w:tc>
        <w:tc>
          <w:tcPr>
            <w:tcW w:w="682" w:type="pct"/>
            <w:noWrap/>
            <w:hideMark/>
          </w:tcPr>
          <w:p w14:paraId="6C362FE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35,0</w:t>
            </w:r>
          </w:p>
        </w:tc>
        <w:tc>
          <w:tcPr>
            <w:tcW w:w="1364" w:type="pct"/>
            <w:gridSpan w:val="2"/>
            <w:noWrap/>
            <w:hideMark/>
          </w:tcPr>
          <w:p w14:paraId="75D7DE0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56E506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40F0B0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B2718FE"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5E065B7"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INTA</w:t>
            </w:r>
          </w:p>
        </w:tc>
        <w:tc>
          <w:tcPr>
            <w:tcW w:w="682" w:type="pct"/>
            <w:noWrap/>
            <w:hideMark/>
          </w:tcPr>
          <w:p w14:paraId="2CAAE03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34,7</w:t>
            </w:r>
          </w:p>
        </w:tc>
        <w:tc>
          <w:tcPr>
            <w:tcW w:w="1364" w:type="pct"/>
            <w:gridSpan w:val="2"/>
            <w:noWrap/>
            <w:hideMark/>
          </w:tcPr>
          <w:p w14:paraId="32697E4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41EDFE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F81A1B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CD4BE7D"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5F6A4D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CH Guadiana</w:t>
            </w:r>
          </w:p>
        </w:tc>
        <w:tc>
          <w:tcPr>
            <w:tcW w:w="682" w:type="pct"/>
            <w:noWrap/>
            <w:hideMark/>
          </w:tcPr>
          <w:p w14:paraId="321D7F8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34,6</w:t>
            </w:r>
          </w:p>
        </w:tc>
        <w:tc>
          <w:tcPr>
            <w:tcW w:w="1364" w:type="pct"/>
            <w:gridSpan w:val="2"/>
            <w:noWrap/>
            <w:hideMark/>
          </w:tcPr>
          <w:p w14:paraId="30B322B5"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347557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2A69CA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3935DC8"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89C72A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UNED Vitoria-Gasteiz</w:t>
            </w:r>
          </w:p>
        </w:tc>
        <w:tc>
          <w:tcPr>
            <w:tcW w:w="682" w:type="pct"/>
            <w:noWrap/>
            <w:hideMark/>
          </w:tcPr>
          <w:p w14:paraId="04E6BE05"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34,4</w:t>
            </w:r>
          </w:p>
        </w:tc>
        <w:tc>
          <w:tcPr>
            <w:tcW w:w="535" w:type="pct"/>
            <w:noWrap/>
            <w:hideMark/>
          </w:tcPr>
          <w:p w14:paraId="2314816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13,5</w:t>
            </w:r>
          </w:p>
        </w:tc>
        <w:tc>
          <w:tcPr>
            <w:tcW w:w="829" w:type="pct"/>
            <w:noWrap/>
            <w:hideMark/>
          </w:tcPr>
          <w:p w14:paraId="64B475F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24</w:t>
            </w:r>
          </w:p>
        </w:tc>
        <w:tc>
          <w:tcPr>
            <w:tcW w:w="909" w:type="pct"/>
            <w:noWrap/>
            <w:hideMark/>
          </w:tcPr>
          <w:p w14:paraId="7A1DD3F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c>
          <w:tcPr>
            <w:tcW w:w="1234" w:type="pct"/>
            <w:noWrap/>
            <w:hideMark/>
          </w:tcPr>
          <w:p w14:paraId="655907F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AA1AD3" w:rsidRPr="000A2DEF" w14:paraId="347B8A88"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7818D5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Innvierte</w:t>
            </w:r>
          </w:p>
        </w:tc>
        <w:tc>
          <w:tcPr>
            <w:tcW w:w="682" w:type="pct"/>
            <w:noWrap/>
            <w:hideMark/>
          </w:tcPr>
          <w:p w14:paraId="7017E14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34,2</w:t>
            </w:r>
          </w:p>
        </w:tc>
        <w:tc>
          <w:tcPr>
            <w:tcW w:w="535" w:type="pct"/>
            <w:noWrap/>
            <w:hideMark/>
          </w:tcPr>
          <w:p w14:paraId="5F29394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-8,1</w:t>
            </w:r>
          </w:p>
        </w:tc>
        <w:tc>
          <w:tcPr>
            <w:tcW w:w="829" w:type="pct"/>
            <w:noWrap/>
            <w:hideMark/>
          </w:tcPr>
          <w:p w14:paraId="4B8646C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10</w:t>
            </w:r>
          </w:p>
        </w:tc>
        <w:tc>
          <w:tcPr>
            <w:tcW w:w="909" w:type="pct"/>
            <w:noWrap/>
            <w:hideMark/>
          </w:tcPr>
          <w:p w14:paraId="795559A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5A5CC84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E80314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27E553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Centro de Estudios Jurídicos</w:t>
            </w:r>
          </w:p>
        </w:tc>
        <w:tc>
          <w:tcPr>
            <w:tcW w:w="682" w:type="pct"/>
            <w:noWrap/>
            <w:hideMark/>
          </w:tcPr>
          <w:p w14:paraId="4398796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33,7</w:t>
            </w:r>
          </w:p>
        </w:tc>
        <w:tc>
          <w:tcPr>
            <w:tcW w:w="535" w:type="pct"/>
            <w:noWrap/>
            <w:hideMark/>
          </w:tcPr>
          <w:p w14:paraId="4B76040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-13,6</w:t>
            </w:r>
          </w:p>
        </w:tc>
        <w:tc>
          <w:tcPr>
            <w:tcW w:w="829" w:type="pct"/>
            <w:noWrap/>
            <w:hideMark/>
          </w:tcPr>
          <w:p w14:paraId="0985D72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w:t>
            </w:r>
          </w:p>
        </w:tc>
        <w:tc>
          <w:tcPr>
            <w:tcW w:w="909" w:type="pct"/>
            <w:noWrap/>
            <w:hideMark/>
          </w:tcPr>
          <w:p w14:paraId="6E9B3BF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545791C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2E520A65"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6EF03D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Motril</w:t>
            </w:r>
          </w:p>
        </w:tc>
        <w:tc>
          <w:tcPr>
            <w:tcW w:w="682" w:type="pct"/>
            <w:noWrap/>
            <w:hideMark/>
          </w:tcPr>
          <w:p w14:paraId="2A7294B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33,5</w:t>
            </w:r>
          </w:p>
        </w:tc>
        <w:tc>
          <w:tcPr>
            <w:tcW w:w="1364" w:type="pct"/>
            <w:gridSpan w:val="2"/>
            <w:noWrap/>
            <w:hideMark/>
          </w:tcPr>
          <w:p w14:paraId="08C0DD65"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9FA312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E3C674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4218E3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C65A01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Algeciras</w:t>
            </w:r>
          </w:p>
        </w:tc>
        <w:tc>
          <w:tcPr>
            <w:tcW w:w="682" w:type="pct"/>
            <w:noWrap/>
            <w:hideMark/>
          </w:tcPr>
          <w:p w14:paraId="01BBF65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33,3</w:t>
            </w:r>
          </w:p>
        </w:tc>
        <w:tc>
          <w:tcPr>
            <w:tcW w:w="1364" w:type="pct"/>
            <w:gridSpan w:val="2"/>
            <w:noWrap/>
            <w:hideMark/>
          </w:tcPr>
          <w:p w14:paraId="22E71D5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75E288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245357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78FA01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65AC33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IVIED</w:t>
            </w:r>
          </w:p>
        </w:tc>
        <w:tc>
          <w:tcPr>
            <w:tcW w:w="682" w:type="pct"/>
            <w:noWrap/>
            <w:hideMark/>
          </w:tcPr>
          <w:p w14:paraId="32FF843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33,3</w:t>
            </w:r>
          </w:p>
        </w:tc>
        <w:tc>
          <w:tcPr>
            <w:tcW w:w="1364" w:type="pct"/>
            <w:gridSpan w:val="2"/>
            <w:noWrap/>
            <w:hideMark/>
          </w:tcPr>
          <w:p w14:paraId="0F7F57FF"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35F7F5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1A5252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4B0EB19"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BFC5D8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Logroño Integración Ferrocarril</w:t>
            </w:r>
          </w:p>
        </w:tc>
        <w:tc>
          <w:tcPr>
            <w:tcW w:w="682" w:type="pct"/>
            <w:noWrap/>
            <w:hideMark/>
          </w:tcPr>
          <w:p w14:paraId="5B9DDEF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33,0</w:t>
            </w:r>
          </w:p>
        </w:tc>
        <w:tc>
          <w:tcPr>
            <w:tcW w:w="535" w:type="pct"/>
            <w:noWrap/>
            <w:hideMark/>
          </w:tcPr>
          <w:p w14:paraId="527F5D0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829" w:type="pct"/>
            <w:noWrap/>
            <w:hideMark/>
          </w:tcPr>
          <w:p w14:paraId="7B21CC2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909" w:type="pct"/>
            <w:noWrap/>
            <w:hideMark/>
          </w:tcPr>
          <w:p w14:paraId="5AA308B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3B91D54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DC4193F"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2380F25"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Puertos del Estado</w:t>
            </w:r>
          </w:p>
        </w:tc>
        <w:tc>
          <w:tcPr>
            <w:tcW w:w="682" w:type="pct"/>
            <w:noWrap/>
            <w:hideMark/>
          </w:tcPr>
          <w:p w14:paraId="6BAA025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32,4</w:t>
            </w:r>
          </w:p>
        </w:tc>
        <w:tc>
          <w:tcPr>
            <w:tcW w:w="1364" w:type="pct"/>
            <w:gridSpan w:val="2"/>
            <w:noWrap/>
            <w:hideMark/>
          </w:tcPr>
          <w:p w14:paraId="7427AB4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30E29225"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F0D56B3"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C187D58"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709686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CH Guadalquivir</w:t>
            </w:r>
          </w:p>
        </w:tc>
        <w:tc>
          <w:tcPr>
            <w:tcW w:w="682" w:type="pct"/>
            <w:noWrap/>
            <w:hideMark/>
          </w:tcPr>
          <w:p w14:paraId="2EF7A53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32,3</w:t>
            </w:r>
          </w:p>
        </w:tc>
        <w:tc>
          <w:tcPr>
            <w:tcW w:w="1364" w:type="pct"/>
            <w:gridSpan w:val="2"/>
            <w:noWrap/>
            <w:hideMark/>
          </w:tcPr>
          <w:p w14:paraId="6D8B033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907C1C2"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9A0E25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64F8769"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28D935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Casa Árabe</w:t>
            </w:r>
          </w:p>
        </w:tc>
        <w:tc>
          <w:tcPr>
            <w:tcW w:w="682" w:type="pct"/>
            <w:noWrap/>
            <w:hideMark/>
          </w:tcPr>
          <w:p w14:paraId="1C59C8D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32,1</w:t>
            </w:r>
          </w:p>
        </w:tc>
        <w:tc>
          <w:tcPr>
            <w:tcW w:w="1364" w:type="pct"/>
            <w:gridSpan w:val="2"/>
            <w:noWrap/>
            <w:hideMark/>
          </w:tcPr>
          <w:p w14:paraId="3B79E8D2"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EE5938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859C10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B068CF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40A7467"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AE Seguridad ferroviaria</w:t>
            </w:r>
          </w:p>
        </w:tc>
        <w:tc>
          <w:tcPr>
            <w:tcW w:w="682" w:type="pct"/>
            <w:noWrap/>
            <w:hideMark/>
          </w:tcPr>
          <w:p w14:paraId="1020622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31,6</w:t>
            </w:r>
          </w:p>
        </w:tc>
        <w:tc>
          <w:tcPr>
            <w:tcW w:w="1364" w:type="pct"/>
            <w:gridSpan w:val="2"/>
            <w:noWrap/>
            <w:hideMark/>
          </w:tcPr>
          <w:p w14:paraId="4562E1C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D7CD7D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9728FE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85150A3"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55AE4F4"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Marín</w:t>
            </w:r>
          </w:p>
        </w:tc>
        <w:tc>
          <w:tcPr>
            <w:tcW w:w="682" w:type="pct"/>
            <w:noWrap/>
            <w:hideMark/>
          </w:tcPr>
          <w:p w14:paraId="4B0E3CFB"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31,0</w:t>
            </w:r>
          </w:p>
        </w:tc>
        <w:tc>
          <w:tcPr>
            <w:tcW w:w="535" w:type="pct"/>
            <w:noWrap/>
            <w:hideMark/>
          </w:tcPr>
          <w:p w14:paraId="7C4648F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w:t>
            </w:r>
          </w:p>
        </w:tc>
        <w:tc>
          <w:tcPr>
            <w:tcW w:w="829" w:type="pct"/>
            <w:noWrap/>
            <w:hideMark/>
          </w:tcPr>
          <w:p w14:paraId="2F6924A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w:t>
            </w:r>
          </w:p>
        </w:tc>
        <w:tc>
          <w:tcPr>
            <w:tcW w:w="909" w:type="pct"/>
            <w:noWrap/>
            <w:hideMark/>
          </w:tcPr>
          <w:p w14:paraId="6FAF480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326ADA9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2DE63F8"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28F5F5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Vigo Activo</w:t>
            </w:r>
          </w:p>
        </w:tc>
        <w:tc>
          <w:tcPr>
            <w:tcW w:w="682" w:type="pct"/>
            <w:noWrap/>
            <w:hideMark/>
          </w:tcPr>
          <w:p w14:paraId="014A976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31,0</w:t>
            </w:r>
          </w:p>
        </w:tc>
        <w:tc>
          <w:tcPr>
            <w:tcW w:w="1364" w:type="pct"/>
            <w:gridSpan w:val="2"/>
            <w:noWrap/>
            <w:hideMark/>
          </w:tcPr>
          <w:p w14:paraId="259F26C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5A08540"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5A24DA7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F51F0D7"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8ADFF4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ICAA</w:t>
            </w:r>
          </w:p>
        </w:tc>
        <w:tc>
          <w:tcPr>
            <w:tcW w:w="682" w:type="pct"/>
            <w:noWrap/>
            <w:hideMark/>
          </w:tcPr>
          <w:p w14:paraId="06272D0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30,4</w:t>
            </w:r>
          </w:p>
        </w:tc>
        <w:tc>
          <w:tcPr>
            <w:tcW w:w="1364" w:type="pct"/>
            <w:gridSpan w:val="2"/>
            <w:noWrap/>
            <w:hideMark/>
          </w:tcPr>
          <w:p w14:paraId="27F60330"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3E5060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425203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r>
      <w:tr w:rsidR="00AA1AD3" w:rsidRPr="000A2DEF" w14:paraId="67383B2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591428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GIEC</w:t>
            </w:r>
          </w:p>
        </w:tc>
        <w:tc>
          <w:tcPr>
            <w:tcW w:w="682" w:type="pct"/>
            <w:noWrap/>
            <w:hideMark/>
          </w:tcPr>
          <w:p w14:paraId="70B2B18C"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29,9</w:t>
            </w:r>
          </w:p>
        </w:tc>
        <w:tc>
          <w:tcPr>
            <w:tcW w:w="1364" w:type="pct"/>
            <w:gridSpan w:val="2"/>
            <w:noWrap/>
            <w:hideMark/>
          </w:tcPr>
          <w:p w14:paraId="12524D0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A61170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9BD1E1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D4BF143"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3436A64"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Santander</w:t>
            </w:r>
          </w:p>
        </w:tc>
        <w:tc>
          <w:tcPr>
            <w:tcW w:w="682" w:type="pct"/>
            <w:noWrap/>
            <w:hideMark/>
          </w:tcPr>
          <w:p w14:paraId="7C5562E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29,3</w:t>
            </w:r>
          </w:p>
        </w:tc>
        <w:tc>
          <w:tcPr>
            <w:tcW w:w="535" w:type="pct"/>
            <w:noWrap/>
            <w:hideMark/>
          </w:tcPr>
          <w:p w14:paraId="72BF48F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w:t>
            </w:r>
          </w:p>
        </w:tc>
        <w:tc>
          <w:tcPr>
            <w:tcW w:w="829" w:type="pct"/>
            <w:noWrap/>
            <w:hideMark/>
          </w:tcPr>
          <w:p w14:paraId="2F5E6BD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w:t>
            </w:r>
          </w:p>
        </w:tc>
        <w:tc>
          <w:tcPr>
            <w:tcW w:w="909" w:type="pct"/>
            <w:noWrap/>
            <w:hideMark/>
          </w:tcPr>
          <w:p w14:paraId="545B0D2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c>
          <w:tcPr>
            <w:tcW w:w="1234" w:type="pct"/>
            <w:noWrap/>
            <w:hideMark/>
          </w:tcPr>
          <w:p w14:paraId="4414CEB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5225831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57397E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UNED Barcelona</w:t>
            </w:r>
          </w:p>
        </w:tc>
        <w:tc>
          <w:tcPr>
            <w:tcW w:w="682" w:type="pct"/>
            <w:noWrap/>
            <w:hideMark/>
          </w:tcPr>
          <w:p w14:paraId="0E97E08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28,8</w:t>
            </w:r>
          </w:p>
        </w:tc>
        <w:tc>
          <w:tcPr>
            <w:tcW w:w="1364" w:type="pct"/>
            <w:gridSpan w:val="2"/>
            <w:noWrap/>
            <w:hideMark/>
          </w:tcPr>
          <w:p w14:paraId="738D397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BE25A5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5B0291A"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FFFDEF3"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422EF7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CUD-AGA</w:t>
            </w:r>
          </w:p>
        </w:tc>
        <w:tc>
          <w:tcPr>
            <w:tcW w:w="682" w:type="pct"/>
            <w:noWrap/>
            <w:hideMark/>
          </w:tcPr>
          <w:p w14:paraId="4B4A31A0"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28,8</w:t>
            </w:r>
          </w:p>
        </w:tc>
        <w:tc>
          <w:tcPr>
            <w:tcW w:w="1364" w:type="pct"/>
            <w:gridSpan w:val="2"/>
            <w:noWrap/>
            <w:hideMark/>
          </w:tcPr>
          <w:p w14:paraId="785EAF33"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3741CD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882E10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02B54C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618F19C"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Trabajo Penitenciario y Formación para el empleo</w:t>
            </w:r>
          </w:p>
        </w:tc>
        <w:tc>
          <w:tcPr>
            <w:tcW w:w="682" w:type="pct"/>
            <w:noWrap/>
            <w:hideMark/>
          </w:tcPr>
          <w:p w14:paraId="25F9C5A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28,5</w:t>
            </w:r>
          </w:p>
        </w:tc>
        <w:tc>
          <w:tcPr>
            <w:tcW w:w="535" w:type="pct"/>
            <w:noWrap/>
            <w:hideMark/>
          </w:tcPr>
          <w:p w14:paraId="7A1FE17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0,8</w:t>
            </w:r>
          </w:p>
        </w:tc>
        <w:tc>
          <w:tcPr>
            <w:tcW w:w="829" w:type="pct"/>
            <w:noWrap/>
            <w:hideMark/>
          </w:tcPr>
          <w:p w14:paraId="341A9277"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7A71A41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74B0DD6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01EDC4A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95FEFFE"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EMFESA</w:t>
            </w:r>
          </w:p>
        </w:tc>
        <w:tc>
          <w:tcPr>
            <w:tcW w:w="682" w:type="pct"/>
            <w:noWrap/>
            <w:hideMark/>
          </w:tcPr>
          <w:p w14:paraId="5086C8BA"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28,4</w:t>
            </w:r>
          </w:p>
        </w:tc>
        <w:tc>
          <w:tcPr>
            <w:tcW w:w="1364" w:type="pct"/>
            <w:gridSpan w:val="2"/>
            <w:noWrap/>
            <w:hideMark/>
          </w:tcPr>
          <w:p w14:paraId="5DCF5F2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7828EB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6A9249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951351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99DB73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IDAE</w:t>
            </w:r>
          </w:p>
        </w:tc>
        <w:tc>
          <w:tcPr>
            <w:tcW w:w="682" w:type="pct"/>
            <w:noWrap/>
            <w:hideMark/>
          </w:tcPr>
          <w:p w14:paraId="528AD1E9"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27,4</w:t>
            </w:r>
          </w:p>
        </w:tc>
        <w:tc>
          <w:tcPr>
            <w:tcW w:w="1364" w:type="pct"/>
            <w:gridSpan w:val="2"/>
            <w:noWrap/>
            <w:hideMark/>
          </w:tcPr>
          <w:p w14:paraId="32A3BE13"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EBF9DF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81CF0D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1A0A577"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B6E6EED"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CNIG</w:t>
            </w:r>
          </w:p>
        </w:tc>
        <w:tc>
          <w:tcPr>
            <w:tcW w:w="682" w:type="pct"/>
            <w:noWrap/>
            <w:hideMark/>
          </w:tcPr>
          <w:p w14:paraId="16A23D29"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27,4</w:t>
            </w:r>
          </w:p>
        </w:tc>
        <w:tc>
          <w:tcPr>
            <w:tcW w:w="1364" w:type="pct"/>
            <w:gridSpan w:val="2"/>
            <w:noWrap/>
            <w:hideMark/>
          </w:tcPr>
          <w:p w14:paraId="6911172C"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FB2E58D"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D1D21A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5D022A1"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AF876A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Gijón al Norte</w:t>
            </w:r>
          </w:p>
        </w:tc>
        <w:tc>
          <w:tcPr>
            <w:tcW w:w="682" w:type="pct"/>
            <w:noWrap/>
            <w:hideMark/>
          </w:tcPr>
          <w:p w14:paraId="78EC0BB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27,3</w:t>
            </w:r>
          </w:p>
        </w:tc>
        <w:tc>
          <w:tcPr>
            <w:tcW w:w="1364" w:type="pct"/>
            <w:gridSpan w:val="2"/>
            <w:noWrap/>
            <w:hideMark/>
          </w:tcPr>
          <w:p w14:paraId="128AD2F9"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2CC680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6BEEE7E"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AA1AD3" w:rsidRPr="000A2DEF" w14:paraId="1FD251B0"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CCD3F93"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CTISA</w:t>
            </w:r>
          </w:p>
        </w:tc>
        <w:tc>
          <w:tcPr>
            <w:tcW w:w="682" w:type="pct"/>
            <w:noWrap/>
            <w:hideMark/>
          </w:tcPr>
          <w:p w14:paraId="090CB00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26,9</w:t>
            </w:r>
          </w:p>
        </w:tc>
        <w:tc>
          <w:tcPr>
            <w:tcW w:w="1364" w:type="pct"/>
            <w:gridSpan w:val="2"/>
            <w:noWrap/>
            <w:hideMark/>
          </w:tcPr>
          <w:p w14:paraId="46C9331D"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FBAB913"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95AEA1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6</w:t>
            </w:r>
          </w:p>
        </w:tc>
      </w:tr>
      <w:tr w:rsidR="00AA1AD3" w:rsidRPr="000A2DEF" w14:paraId="0C5E765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29499AA"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INAEM</w:t>
            </w:r>
          </w:p>
        </w:tc>
        <w:tc>
          <w:tcPr>
            <w:tcW w:w="682" w:type="pct"/>
            <w:noWrap/>
            <w:hideMark/>
          </w:tcPr>
          <w:p w14:paraId="79D7E898"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24,6</w:t>
            </w:r>
          </w:p>
        </w:tc>
        <w:tc>
          <w:tcPr>
            <w:tcW w:w="1364" w:type="pct"/>
            <w:gridSpan w:val="2"/>
            <w:noWrap/>
            <w:hideMark/>
          </w:tcPr>
          <w:p w14:paraId="6B030740"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E3A222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73D0E68"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8B12544"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EEE90D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WTCB</w:t>
            </w:r>
          </w:p>
        </w:tc>
        <w:tc>
          <w:tcPr>
            <w:tcW w:w="682" w:type="pct"/>
            <w:noWrap/>
            <w:hideMark/>
          </w:tcPr>
          <w:p w14:paraId="4136780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23,0</w:t>
            </w:r>
          </w:p>
        </w:tc>
        <w:tc>
          <w:tcPr>
            <w:tcW w:w="1364" w:type="pct"/>
            <w:gridSpan w:val="2"/>
            <w:noWrap/>
            <w:hideMark/>
          </w:tcPr>
          <w:p w14:paraId="61A7265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476BF3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A931C4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71C081F"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EEF682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Parques Nacionales</w:t>
            </w:r>
          </w:p>
        </w:tc>
        <w:tc>
          <w:tcPr>
            <w:tcW w:w="682" w:type="pct"/>
            <w:noWrap/>
            <w:hideMark/>
          </w:tcPr>
          <w:p w14:paraId="417AD6A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23,0</w:t>
            </w:r>
          </w:p>
        </w:tc>
        <w:tc>
          <w:tcPr>
            <w:tcW w:w="1364" w:type="pct"/>
            <w:gridSpan w:val="2"/>
            <w:noWrap/>
            <w:hideMark/>
          </w:tcPr>
          <w:p w14:paraId="208A0A68"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6ABDF8A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4F99D81"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1EE216BF"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970783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TURESPAÑA</w:t>
            </w:r>
          </w:p>
        </w:tc>
        <w:tc>
          <w:tcPr>
            <w:tcW w:w="682" w:type="pct"/>
            <w:noWrap/>
            <w:hideMark/>
          </w:tcPr>
          <w:p w14:paraId="0ABF84A2"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22,5</w:t>
            </w:r>
          </w:p>
        </w:tc>
        <w:tc>
          <w:tcPr>
            <w:tcW w:w="1364" w:type="pct"/>
            <w:gridSpan w:val="2"/>
            <w:noWrap/>
            <w:hideMark/>
          </w:tcPr>
          <w:p w14:paraId="7050015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850FD5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613C10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F5E3430"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28F5D0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INSST</w:t>
            </w:r>
          </w:p>
        </w:tc>
        <w:tc>
          <w:tcPr>
            <w:tcW w:w="682" w:type="pct"/>
            <w:noWrap/>
            <w:hideMark/>
          </w:tcPr>
          <w:p w14:paraId="30EFAB02"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22,4</w:t>
            </w:r>
          </w:p>
        </w:tc>
        <w:tc>
          <w:tcPr>
            <w:tcW w:w="1364" w:type="pct"/>
            <w:gridSpan w:val="2"/>
            <w:noWrap/>
            <w:hideMark/>
          </w:tcPr>
          <w:p w14:paraId="758035AE"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529838C4"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34C6880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0E23699D"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C04EAA2"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CAHA</w:t>
            </w:r>
          </w:p>
        </w:tc>
        <w:tc>
          <w:tcPr>
            <w:tcW w:w="682" w:type="pct"/>
            <w:noWrap/>
            <w:hideMark/>
          </w:tcPr>
          <w:p w14:paraId="03AA107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21,4</w:t>
            </w:r>
          </w:p>
        </w:tc>
        <w:tc>
          <w:tcPr>
            <w:tcW w:w="1364" w:type="pct"/>
            <w:gridSpan w:val="2"/>
            <w:noWrap/>
            <w:hideMark/>
          </w:tcPr>
          <w:p w14:paraId="2E47316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C3EF369"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60D0FC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5937CE55"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F976C7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Fundación UIMP Campo de Gibraltar</w:t>
            </w:r>
          </w:p>
        </w:tc>
        <w:tc>
          <w:tcPr>
            <w:tcW w:w="682" w:type="pct"/>
            <w:noWrap/>
            <w:hideMark/>
          </w:tcPr>
          <w:p w14:paraId="6F293FE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20,6</w:t>
            </w:r>
          </w:p>
        </w:tc>
        <w:tc>
          <w:tcPr>
            <w:tcW w:w="535" w:type="pct"/>
            <w:noWrap/>
            <w:hideMark/>
          </w:tcPr>
          <w:p w14:paraId="1C84D0E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13,8</w:t>
            </w:r>
          </w:p>
        </w:tc>
        <w:tc>
          <w:tcPr>
            <w:tcW w:w="829" w:type="pct"/>
            <w:noWrap/>
            <w:hideMark/>
          </w:tcPr>
          <w:p w14:paraId="2E4E842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23</w:t>
            </w:r>
          </w:p>
        </w:tc>
        <w:tc>
          <w:tcPr>
            <w:tcW w:w="909" w:type="pct"/>
            <w:noWrap/>
            <w:hideMark/>
          </w:tcPr>
          <w:p w14:paraId="1531D23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5</w:t>
            </w:r>
          </w:p>
        </w:tc>
        <w:tc>
          <w:tcPr>
            <w:tcW w:w="1234" w:type="pct"/>
            <w:noWrap/>
            <w:hideMark/>
          </w:tcPr>
          <w:p w14:paraId="335B8631"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1877BB9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CF36620"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Mercalgeciras</w:t>
            </w:r>
          </w:p>
        </w:tc>
        <w:tc>
          <w:tcPr>
            <w:tcW w:w="682" w:type="pct"/>
            <w:noWrap/>
            <w:hideMark/>
          </w:tcPr>
          <w:p w14:paraId="30A1ABE6"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20,0</w:t>
            </w:r>
          </w:p>
        </w:tc>
        <w:tc>
          <w:tcPr>
            <w:tcW w:w="1364" w:type="pct"/>
            <w:gridSpan w:val="2"/>
            <w:noWrap/>
            <w:hideMark/>
          </w:tcPr>
          <w:p w14:paraId="454C5AF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D4A895A"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F841072"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4BB7DC3"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4464189F"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INGESA</w:t>
            </w:r>
          </w:p>
        </w:tc>
        <w:tc>
          <w:tcPr>
            <w:tcW w:w="682" w:type="pct"/>
            <w:noWrap/>
            <w:hideMark/>
          </w:tcPr>
          <w:p w14:paraId="4F116F4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19,4</w:t>
            </w:r>
          </w:p>
        </w:tc>
        <w:tc>
          <w:tcPr>
            <w:tcW w:w="1364" w:type="pct"/>
            <w:gridSpan w:val="2"/>
            <w:noWrap/>
            <w:hideMark/>
          </w:tcPr>
          <w:p w14:paraId="6AE665E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3E160A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846F1E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15473003"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7D4A74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AP Pasaia</w:t>
            </w:r>
          </w:p>
        </w:tc>
        <w:tc>
          <w:tcPr>
            <w:tcW w:w="682" w:type="pct"/>
            <w:noWrap/>
            <w:hideMark/>
          </w:tcPr>
          <w:p w14:paraId="142288B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19,2</w:t>
            </w:r>
          </w:p>
        </w:tc>
        <w:tc>
          <w:tcPr>
            <w:tcW w:w="1364" w:type="pct"/>
            <w:gridSpan w:val="2"/>
            <w:noWrap/>
            <w:hideMark/>
          </w:tcPr>
          <w:p w14:paraId="0BE2BABB"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42255E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4463AB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251848F0"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709990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F. Residencia Estudiantes</w:t>
            </w:r>
          </w:p>
        </w:tc>
        <w:tc>
          <w:tcPr>
            <w:tcW w:w="682" w:type="pct"/>
            <w:noWrap/>
            <w:hideMark/>
          </w:tcPr>
          <w:p w14:paraId="7640E61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18,7</w:t>
            </w:r>
          </w:p>
        </w:tc>
        <w:tc>
          <w:tcPr>
            <w:tcW w:w="1364" w:type="pct"/>
            <w:gridSpan w:val="2"/>
            <w:noWrap/>
            <w:hideMark/>
          </w:tcPr>
          <w:p w14:paraId="32C7781D"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2957CB4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281E14FF"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D4C8419"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2FB2F1E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INSS</w:t>
            </w:r>
          </w:p>
        </w:tc>
        <w:tc>
          <w:tcPr>
            <w:tcW w:w="682" w:type="pct"/>
            <w:noWrap/>
            <w:hideMark/>
          </w:tcPr>
          <w:p w14:paraId="7EF73F7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18,1</w:t>
            </w:r>
          </w:p>
        </w:tc>
        <w:tc>
          <w:tcPr>
            <w:tcW w:w="1364" w:type="pct"/>
            <w:gridSpan w:val="2"/>
            <w:noWrap/>
            <w:hideMark/>
          </w:tcPr>
          <w:p w14:paraId="6E4BF2C1"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72ACCD9F"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A59422C"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7F5AF093"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7B74A56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PEPA</w:t>
            </w:r>
          </w:p>
        </w:tc>
        <w:tc>
          <w:tcPr>
            <w:tcW w:w="682" w:type="pct"/>
            <w:noWrap/>
            <w:hideMark/>
          </w:tcPr>
          <w:p w14:paraId="44FB0144"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16,5</w:t>
            </w:r>
          </w:p>
        </w:tc>
        <w:tc>
          <w:tcPr>
            <w:tcW w:w="1364" w:type="pct"/>
            <w:gridSpan w:val="2"/>
            <w:noWrap/>
            <w:hideMark/>
          </w:tcPr>
          <w:p w14:paraId="6C6C703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171A822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6F00737A"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7</w:t>
            </w:r>
          </w:p>
        </w:tc>
      </w:tr>
      <w:tr w:rsidR="00AA1AD3" w:rsidRPr="000A2DEF" w14:paraId="45789772"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ECC2EE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VIPAR</w:t>
            </w:r>
          </w:p>
        </w:tc>
        <w:tc>
          <w:tcPr>
            <w:tcW w:w="682" w:type="pct"/>
            <w:noWrap/>
            <w:hideMark/>
          </w:tcPr>
          <w:p w14:paraId="5A30960E"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16,1</w:t>
            </w:r>
          </w:p>
        </w:tc>
        <w:tc>
          <w:tcPr>
            <w:tcW w:w="535" w:type="pct"/>
            <w:noWrap/>
            <w:hideMark/>
          </w:tcPr>
          <w:p w14:paraId="14F9892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-8,4</w:t>
            </w:r>
          </w:p>
        </w:tc>
        <w:tc>
          <w:tcPr>
            <w:tcW w:w="829" w:type="pct"/>
            <w:noWrap/>
            <w:hideMark/>
          </w:tcPr>
          <w:p w14:paraId="440E7BF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17</w:t>
            </w:r>
          </w:p>
        </w:tc>
        <w:tc>
          <w:tcPr>
            <w:tcW w:w="909" w:type="pct"/>
            <w:noWrap/>
            <w:hideMark/>
          </w:tcPr>
          <w:p w14:paraId="7AB7CAA3"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77E5C9B8"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4</w:t>
            </w:r>
          </w:p>
        </w:tc>
      </w:tr>
      <w:tr w:rsidR="00AA1AD3" w:rsidRPr="000A2DEF" w14:paraId="5857B329"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E56D724"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AICA</w:t>
            </w:r>
          </w:p>
        </w:tc>
        <w:tc>
          <w:tcPr>
            <w:tcW w:w="682" w:type="pct"/>
            <w:noWrap/>
            <w:hideMark/>
          </w:tcPr>
          <w:p w14:paraId="24885B0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15,5</w:t>
            </w:r>
          </w:p>
        </w:tc>
        <w:tc>
          <w:tcPr>
            <w:tcW w:w="535" w:type="pct"/>
            <w:noWrap/>
            <w:hideMark/>
          </w:tcPr>
          <w:p w14:paraId="1E197C1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w:t>
            </w:r>
          </w:p>
        </w:tc>
        <w:tc>
          <w:tcPr>
            <w:tcW w:w="829" w:type="pct"/>
            <w:noWrap/>
            <w:hideMark/>
          </w:tcPr>
          <w:p w14:paraId="52BAD9BF"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30</w:t>
            </w:r>
          </w:p>
        </w:tc>
        <w:tc>
          <w:tcPr>
            <w:tcW w:w="909" w:type="pct"/>
            <w:noWrap/>
            <w:hideMark/>
          </w:tcPr>
          <w:p w14:paraId="6540483B"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w:t>
            </w:r>
          </w:p>
        </w:tc>
        <w:tc>
          <w:tcPr>
            <w:tcW w:w="1234" w:type="pct"/>
            <w:noWrap/>
            <w:hideMark/>
          </w:tcPr>
          <w:p w14:paraId="6E1FE31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08A62166"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7810296"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A.I., Abra Industrial</w:t>
            </w:r>
          </w:p>
        </w:tc>
        <w:tc>
          <w:tcPr>
            <w:tcW w:w="682" w:type="pct"/>
            <w:noWrap/>
            <w:hideMark/>
          </w:tcPr>
          <w:p w14:paraId="6B4D1466"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15,3</w:t>
            </w:r>
          </w:p>
        </w:tc>
        <w:tc>
          <w:tcPr>
            <w:tcW w:w="535" w:type="pct"/>
            <w:noWrap/>
            <w:hideMark/>
          </w:tcPr>
          <w:p w14:paraId="07147A14"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-9,2</w:t>
            </w:r>
          </w:p>
        </w:tc>
        <w:tc>
          <w:tcPr>
            <w:tcW w:w="829" w:type="pct"/>
            <w:noWrap/>
            <w:hideMark/>
          </w:tcPr>
          <w:p w14:paraId="379C0FD5"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18</w:t>
            </w:r>
          </w:p>
        </w:tc>
        <w:tc>
          <w:tcPr>
            <w:tcW w:w="909" w:type="pct"/>
            <w:noWrap/>
            <w:hideMark/>
          </w:tcPr>
          <w:p w14:paraId="79182B8D"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0</w:t>
            </w:r>
          </w:p>
        </w:tc>
        <w:tc>
          <w:tcPr>
            <w:tcW w:w="1234" w:type="pct"/>
            <w:noWrap/>
            <w:hideMark/>
          </w:tcPr>
          <w:p w14:paraId="2F4BC3DF"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AA1AD3" w:rsidRPr="000A2DEF" w14:paraId="3EEE6BF7"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85C024B"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Consorcio Aletas</w:t>
            </w:r>
          </w:p>
        </w:tc>
        <w:tc>
          <w:tcPr>
            <w:tcW w:w="682" w:type="pct"/>
            <w:noWrap/>
            <w:hideMark/>
          </w:tcPr>
          <w:p w14:paraId="2CD0F8F3"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14,5</w:t>
            </w:r>
          </w:p>
        </w:tc>
        <w:tc>
          <w:tcPr>
            <w:tcW w:w="1364" w:type="pct"/>
            <w:gridSpan w:val="2"/>
            <w:noWrap/>
            <w:hideMark/>
          </w:tcPr>
          <w:p w14:paraId="67EB45DC"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7E402FB"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11532CE8"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4A85E621"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BB0B899"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lastRenderedPageBreak/>
              <w:t>Fundación Canaria Puerto LP</w:t>
            </w:r>
          </w:p>
        </w:tc>
        <w:tc>
          <w:tcPr>
            <w:tcW w:w="682" w:type="pct"/>
            <w:noWrap/>
            <w:hideMark/>
          </w:tcPr>
          <w:p w14:paraId="25A6A591"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12,3</w:t>
            </w:r>
          </w:p>
        </w:tc>
        <w:tc>
          <w:tcPr>
            <w:tcW w:w="1364" w:type="pct"/>
            <w:gridSpan w:val="2"/>
            <w:noWrap/>
            <w:hideMark/>
          </w:tcPr>
          <w:p w14:paraId="052A794E"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497C5FB4"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43706956"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61E0B4A3" w14:textId="77777777" w:rsidTr="00AA1A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DDA4A52" w14:textId="25575C43"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 xml:space="preserve">F. Valle </w:t>
            </w:r>
            <w:r w:rsidR="00967CE0" w:rsidRPr="000A2DEF">
              <w:rPr>
                <w:rFonts w:ascii="Calibri" w:eastAsia="Times New Roman" w:hAnsi="Calibri" w:cs="Calibri"/>
                <w:color w:val="000000"/>
                <w:sz w:val="18"/>
                <w:szCs w:val="18"/>
              </w:rPr>
              <w:t>Caídos</w:t>
            </w:r>
          </w:p>
        </w:tc>
        <w:tc>
          <w:tcPr>
            <w:tcW w:w="682" w:type="pct"/>
            <w:noWrap/>
            <w:hideMark/>
          </w:tcPr>
          <w:p w14:paraId="0A61E676" w14:textId="77777777" w:rsidR="000A2DEF" w:rsidRPr="000A2DEF" w:rsidRDefault="000A2DEF" w:rsidP="000A2DE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3,9</w:t>
            </w:r>
          </w:p>
        </w:tc>
        <w:tc>
          <w:tcPr>
            <w:tcW w:w="1364" w:type="pct"/>
            <w:gridSpan w:val="2"/>
            <w:noWrap/>
            <w:hideMark/>
          </w:tcPr>
          <w:p w14:paraId="68D2F8F5"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0A5C2C6"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722DCB64" w14:textId="77777777" w:rsidR="000A2DEF" w:rsidRPr="000A2DEF" w:rsidRDefault="000A2DEF" w:rsidP="000A2DE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A1AD3" w:rsidRPr="000A2DEF" w14:paraId="3B414CD1" w14:textId="77777777" w:rsidTr="00AA1AD3">
        <w:trPr>
          <w:trHeight w:val="300"/>
        </w:trPr>
        <w:tc>
          <w:tcPr>
            <w:cnfStyle w:val="001000000000" w:firstRow="0" w:lastRow="0" w:firstColumn="1" w:lastColumn="0" w:oddVBand="0" w:evenVBand="0" w:oddHBand="0" w:evenHBand="0" w:firstRowFirstColumn="0" w:firstRowLastColumn="0" w:lastRowFirstColumn="0" w:lastRowLastColumn="0"/>
            <w:tcW w:w="811" w:type="pct"/>
            <w:noWrap/>
            <w:hideMark/>
          </w:tcPr>
          <w:p w14:paraId="047EB998" w14:textId="77777777" w:rsidR="000A2DEF" w:rsidRPr="000A2DEF" w:rsidRDefault="000A2DEF" w:rsidP="000A2DEF">
            <w:pPr>
              <w:jc w:val="left"/>
              <w:rPr>
                <w:rFonts w:ascii="Calibri" w:eastAsia="Times New Roman" w:hAnsi="Calibri" w:cs="Calibri"/>
                <w:color w:val="000000"/>
                <w:sz w:val="18"/>
                <w:szCs w:val="18"/>
              </w:rPr>
            </w:pPr>
            <w:r w:rsidRPr="000A2DEF">
              <w:rPr>
                <w:rFonts w:ascii="Calibri" w:eastAsia="Times New Roman" w:hAnsi="Calibri" w:cs="Calibri"/>
                <w:color w:val="000000"/>
                <w:sz w:val="18"/>
                <w:szCs w:val="18"/>
              </w:rPr>
              <w:t>CZF Tenerife</w:t>
            </w:r>
          </w:p>
        </w:tc>
        <w:tc>
          <w:tcPr>
            <w:tcW w:w="682" w:type="pct"/>
            <w:noWrap/>
            <w:hideMark/>
          </w:tcPr>
          <w:p w14:paraId="0CA2B0AC" w14:textId="77777777" w:rsidR="000A2DEF" w:rsidRPr="000A2DEF" w:rsidRDefault="000A2DEF" w:rsidP="000A2DE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3,2</w:t>
            </w:r>
          </w:p>
        </w:tc>
        <w:tc>
          <w:tcPr>
            <w:tcW w:w="1364" w:type="pct"/>
            <w:gridSpan w:val="2"/>
            <w:noWrap/>
            <w:hideMark/>
          </w:tcPr>
          <w:p w14:paraId="58606FA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0A2DEF">
              <w:rPr>
                <w:rFonts w:ascii="Calibri" w:eastAsia="Times New Roman" w:hAnsi="Calibri" w:cs="Calibri"/>
                <w:color w:val="000000"/>
                <w:sz w:val="18"/>
                <w:szCs w:val="18"/>
              </w:rPr>
              <w:t>Primera Evaluación</w:t>
            </w:r>
          </w:p>
        </w:tc>
        <w:tc>
          <w:tcPr>
            <w:tcW w:w="909" w:type="pct"/>
            <w:noWrap/>
            <w:hideMark/>
          </w:tcPr>
          <w:p w14:paraId="06A84A37"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1234" w:type="pct"/>
            <w:noWrap/>
            <w:hideMark/>
          </w:tcPr>
          <w:p w14:paraId="0133CCB8" w14:textId="77777777" w:rsidR="000A2DEF" w:rsidRPr="000A2DEF" w:rsidRDefault="000A2DEF" w:rsidP="000A2DE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bl>
    <w:p w14:paraId="08D6E332" w14:textId="77777777" w:rsidR="000A2DEF" w:rsidRDefault="000A2DEF">
      <w:pPr>
        <w:jc w:val="left"/>
        <w:rPr>
          <w:rFonts w:ascii="Mulish" w:eastAsia="Times New Roman" w:hAnsi="Mulish" w:cs="Times New Roman"/>
          <w:b/>
          <w:color w:val="438086" w:themeColor="accent2"/>
          <w:sz w:val="30"/>
          <w:szCs w:val="30"/>
          <w:lang w:eastAsia="en-US"/>
        </w:rPr>
      </w:pPr>
    </w:p>
    <w:p w14:paraId="65B9DA1C" w14:textId="77777777" w:rsidR="000A2DEF" w:rsidRDefault="000A2DEF">
      <w:pPr>
        <w:jc w:val="left"/>
        <w:rPr>
          <w:rFonts w:ascii="Mulish" w:eastAsia="Times New Roman" w:hAnsi="Mulish" w:cs="Times New Roman"/>
          <w:b/>
          <w:color w:val="438086" w:themeColor="accent2"/>
          <w:sz w:val="30"/>
          <w:szCs w:val="30"/>
          <w:lang w:eastAsia="en-US"/>
        </w:rPr>
      </w:pPr>
    </w:p>
    <w:p w14:paraId="26ADBC01" w14:textId="36D6B3BB" w:rsidR="00DB1A75" w:rsidRDefault="00DB1A75">
      <w:pPr>
        <w:jc w:val="left"/>
        <w:rPr>
          <w:rFonts w:ascii="Mulish" w:eastAsia="Times New Roman" w:hAnsi="Mulish" w:cs="Times New Roman"/>
          <w:b/>
          <w:color w:val="438086" w:themeColor="accent2"/>
          <w:sz w:val="30"/>
          <w:szCs w:val="30"/>
          <w:lang w:eastAsia="en-US"/>
        </w:rPr>
      </w:pPr>
      <w:r>
        <w:rPr>
          <w:rFonts w:ascii="Mulish" w:eastAsia="Times New Roman" w:hAnsi="Mulish" w:cs="Times New Roman"/>
          <w:b/>
          <w:color w:val="438086" w:themeColor="accent2"/>
          <w:sz w:val="30"/>
          <w:szCs w:val="30"/>
          <w:lang w:eastAsia="en-US"/>
        </w:rPr>
        <w:br w:type="page"/>
      </w:r>
    </w:p>
    <w:p w14:paraId="43701387" w14:textId="3681A543" w:rsidR="00794A50" w:rsidRDefault="009C1649" w:rsidP="009C1649">
      <w:pPr>
        <w:spacing w:line="240" w:lineRule="auto"/>
        <w:jc w:val="center"/>
        <w:rPr>
          <w:rFonts w:ascii="Mulish" w:eastAsia="Times New Roman" w:hAnsi="Mulish" w:cs="Times New Roman"/>
          <w:b/>
          <w:color w:val="438086" w:themeColor="accent2"/>
          <w:sz w:val="30"/>
          <w:szCs w:val="30"/>
          <w:lang w:eastAsia="en-US"/>
        </w:rPr>
      </w:pPr>
      <w:r w:rsidRPr="009C1649">
        <w:rPr>
          <w:rFonts w:ascii="Mulish" w:eastAsia="Times New Roman" w:hAnsi="Mulish" w:cs="Times New Roman"/>
          <w:b/>
          <w:color w:val="438086" w:themeColor="accent2"/>
          <w:sz w:val="30"/>
          <w:szCs w:val="30"/>
          <w:lang w:eastAsia="en-US"/>
        </w:rPr>
        <w:lastRenderedPageBreak/>
        <w:t>Anexo II</w:t>
      </w:r>
      <w:r>
        <w:rPr>
          <w:rFonts w:ascii="Mulish" w:eastAsia="Times New Roman" w:hAnsi="Mulish" w:cs="Times New Roman"/>
          <w:b/>
          <w:color w:val="438086" w:themeColor="accent2"/>
          <w:sz w:val="30"/>
          <w:szCs w:val="30"/>
          <w:lang w:eastAsia="en-US"/>
        </w:rPr>
        <w:t xml:space="preserve">: </w:t>
      </w:r>
      <w:r w:rsidR="00F71997">
        <w:rPr>
          <w:rFonts w:ascii="Mulish" w:eastAsia="Times New Roman" w:hAnsi="Mulish" w:cs="Times New Roman"/>
          <w:b/>
          <w:color w:val="438086" w:themeColor="accent2"/>
          <w:sz w:val="32"/>
          <w:szCs w:val="32"/>
          <w:lang w:eastAsia="en-US"/>
        </w:rPr>
        <w:t>T</w:t>
      </w:r>
      <w:r w:rsidR="00B20C0F" w:rsidRPr="00B20C0F">
        <w:rPr>
          <w:rFonts w:ascii="Mulish" w:eastAsia="Times New Roman" w:hAnsi="Mulish" w:cs="Times New Roman"/>
          <w:b/>
          <w:color w:val="438086" w:themeColor="accent2"/>
          <w:sz w:val="32"/>
          <w:szCs w:val="32"/>
          <w:lang w:eastAsia="en-US"/>
        </w:rPr>
        <w:t>ransparencia voluntaria en las entidades evaluadas por primera vez en 202</w:t>
      </w:r>
      <w:r w:rsidR="003E7A3A" w:rsidRPr="00B20C0F">
        <w:rPr>
          <w:rFonts w:ascii="Mulish" w:eastAsia="Times New Roman" w:hAnsi="Mulish" w:cs="Times New Roman"/>
          <w:b/>
          <w:color w:val="438086" w:themeColor="accent2"/>
          <w:sz w:val="32"/>
          <w:szCs w:val="32"/>
          <w:lang w:eastAsia="en-US"/>
        </w:rPr>
        <w:t>4</w:t>
      </w:r>
    </w:p>
    <w:tbl>
      <w:tblPr>
        <w:tblStyle w:val="Tabladelista3-nfasis2"/>
        <w:tblW w:w="0" w:type="auto"/>
        <w:tblLook w:val="04A0" w:firstRow="1" w:lastRow="0" w:firstColumn="1" w:lastColumn="0" w:noHBand="0" w:noVBand="1"/>
      </w:tblPr>
      <w:tblGrid>
        <w:gridCol w:w="4106"/>
        <w:gridCol w:w="4955"/>
      </w:tblGrid>
      <w:tr w:rsidR="003E7A3A" w:rsidRPr="003E7A3A" w14:paraId="00B8B0B4" w14:textId="77777777" w:rsidTr="003E7A3A">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4106" w:type="dxa"/>
            <w:noWrap/>
            <w:hideMark/>
          </w:tcPr>
          <w:p w14:paraId="46021A37" w14:textId="77777777" w:rsidR="009C1649" w:rsidRPr="003E7A3A" w:rsidRDefault="009C1649" w:rsidP="009C1649">
            <w:pPr>
              <w:rPr>
                <w:rFonts w:ascii="Mulish" w:eastAsia="Times New Roman" w:hAnsi="Mulish" w:cs="Times New Roman"/>
                <w:sz w:val="20"/>
                <w:lang w:eastAsia="en-US"/>
              </w:rPr>
            </w:pPr>
            <w:r w:rsidRPr="003E7A3A">
              <w:rPr>
                <w:rFonts w:ascii="Mulish" w:eastAsia="Times New Roman" w:hAnsi="Mulish" w:cs="Times New Roman"/>
                <w:sz w:val="20"/>
                <w:lang w:eastAsia="en-US"/>
              </w:rPr>
              <w:t>Información</w:t>
            </w:r>
          </w:p>
        </w:tc>
        <w:tc>
          <w:tcPr>
            <w:tcW w:w="4955" w:type="dxa"/>
            <w:noWrap/>
            <w:hideMark/>
          </w:tcPr>
          <w:p w14:paraId="59B49B5A" w14:textId="77777777" w:rsidR="009C1649" w:rsidRPr="003E7A3A" w:rsidRDefault="009C1649" w:rsidP="003E7A3A">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Entidades</w:t>
            </w:r>
          </w:p>
        </w:tc>
      </w:tr>
      <w:tr w:rsidR="009C1649" w:rsidRPr="009C1649" w14:paraId="627138F3" w14:textId="77777777" w:rsidTr="003E7A3A">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85F972C"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Código ético o de conducta</w:t>
            </w:r>
          </w:p>
        </w:tc>
        <w:tc>
          <w:tcPr>
            <w:tcW w:w="4955" w:type="dxa"/>
            <w:noWrap/>
            <w:hideMark/>
          </w:tcPr>
          <w:p w14:paraId="16374C27"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ADIF, AESF, AP Alicante, AP Bilbao, AP Algeciras, AP Motril, AP Pasaia, CIS, CUD-AGA, Consorcio Laboratorio de Canfranc, IDAE, EMFESA, ETSA, F. Biodiversidad, F. Thyssen Bornesmiza, F. EOI, FUNDAE, IBERMUTUA, Instituto Cervantes, ICO, TURESPAÑA, INVIED, Mercados Centrales Abastecimiento Asturias, Mercalgeciras, Mutua Universal, Mutual Midat Cyclops, ACUAES, Unión de Mutuas, Vigo Activo, World Trade Center Barcelona</w:t>
            </w:r>
          </w:p>
        </w:tc>
      </w:tr>
      <w:tr w:rsidR="009C1649" w:rsidRPr="009C1649" w14:paraId="0C3748AA" w14:textId="77777777" w:rsidTr="00F000BD">
        <w:trPr>
          <w:trHeight w:val="1549"/>
        </w:trPr>
        <w:tc>
          <w:tcPr>
            <w:cnfStyle w:val="001000000000" w:firstRow="0" w:lastRow="0" w:firstColumn="1" w:lastColumn="0" w:oddVBand="0" w:evenVBand="0" w:oddHBand="0" w:evenHBand="0" w:firstRowFirstColumn="0" w:firstRowLastColumn="0" w:lastRowFirstColumn="0" w:lastRowLastColumn="0"/>
            <w:tcW w:w="4106" w:type="dxa"/>
            <w:noWrap/>
            <w:hideMark/>
          </w:tcPr>
          <w:p w14:paraId="2CA2B8BE"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Política de cumplimiento/ Planes o Protocolos de riesgos penales/Política anticorrupción</w:t>
            </w:r>
          </w:p>
        </w:tc>
        <w:tc>
          <w:tcPr>
            <w:tcW w:w="4955" w:type="dxa"/>
            <w:noWrap/>
            <w:hideMark/>
          </w:tcPr>
          <w:p w14:paraId="79960B2A"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ADIF, AP Alicante, AP Avilés, AP Bilbao, AP Algeciras, AP Motril, Consorcio Laboratorio de Canfranc, RED.es, ETSA, F. EOI, IBERMUTUA, ICO, TURESPAÑA, Mercalgeciras, Mutua Universal, ACUAES, Vigo Activo, World Trade Center Barcelona</w:t>
            </w:r>
          </w:p>
        </w:tc>
      </w:tr>
      <w:tr w:rsidR="009C1649" w:rsidRPr="009C1649" w14:paraId="4BCEC4EE" w14:textId="77777777" w:rsidTr="00F000BD">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FEB65B8"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Relaciones de Puestos de Trabajo/ofertas de empleo</w:t>
            </w:r>
          </w:p>
        </w:tc>
        <w:tc>
          <w:tcPr>
            <w:tcW w:w="4955" w:type="dxa"/>
            <w:noWrap/>
            <w:hideMark/>
          </w:tcPr>
          <w:p w14:paraId="44AA1404"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AEMPS, CIS, Consorcio Laboratorio de Canfranc, EMFESA, IAC, INCIBE, INGESA, INAEM, INTA, Puertos del Estado, SELAE, ACUAES, UIMP</w:t>
            </w:r>
          </w:p>
        </w:tc>
      </w:tr>
      <w:tr w:rsidR="009C1649" w:rsidRPr="009C1649" w14:paraId="3F7B6CF8" w14:textId="77777777" w:rsidTr="003E7A3A">
        <w:trPr>
          <w:trHeight w:val="96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5665B261"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Información estadística sobre actividades</w:t>
            </w:r>
          </w:p>
        </w:tc>
        <w:tc>
          <w:tcPr>
            <w:tcW w:w="4955" w:type="dxa"/>
            <w:noWrap/>
            <w:hideMark/>
          </w:tcPr>
          <w:p w14:paraId="16791DDD"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ADIF, F. Thyssen Bornesmiza, F. EOI, FUNDAE, FIIAPP, F. Residencia de Estudiantes, IBERMUTUA, Instituto Cervantes, INCIBE, Mutual Midat Cyclops, SELAE, ACUAES</w:t>
            </w:r>
          </w:p>
        </w:tc>
      </w:tr>
      <w:tr w:rsidR="009C1649" w:rsidRPr="009C1649" w14:paraId="06A77AAF" w14:textId="77777777" w:rsidTr="00F000BD">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D103D15"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Subvenciones y ayudas públicas percibidas/ Patrocinios</w:t>
            </w:r>
          </w:p>
        </w:tc>
        <w:tc>
          <w:tcPr>
            <w:tcW w:w="4955" w:type="dxa"/>
            <w:noWrap/>
            <w:hideMark/>
          </w:tcPr>
          <w:p w14:paraId="73044A68"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AEMPS, AP Alicante, AP Bilbao, IAC, INCIBE, UIMP</w:t>
            </w:r>
          </w:p>
        </w:tc>
      </w:tr>
      <w:tr w:rsidR="009C1649" w:rsidRPr="009C1649" w14:paraId="66E524B6" w14:textId="77777777" w:rsidTr="003E7A3A">
        <w:trPr>
          <w:trHeight w:val="69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21A4BA3"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 xml:space="preserve">Planificación estratégica y operativa </w:t>
            </w:r>
          </w:p>
        </w:tc>
        <w:tc>
          <w:tcPr>
            <w:tcW w:w="4955" w:type="dxa"/>
            <w:noWrap/>
            <w:hideMark/>
          </w:tcPr>
          <w:p w14:paraId="25D491AB"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F. Thyssen Bornesmiza, F. EOI, FUNDAE, FIIAPP, INCIBE</w:t>
            </w:r>
          </w:p>
        </w:tc>
      </w:tr>
      <w:tr w:rsidR="009C1649" w:rsidRPr="009C1649" w14:paraId="20E7C866" w14:textId="77777777" w:rsidTr="003E7A3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FBE40EA"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Normas internas de funcionamiento/ Modelo de gestión</w:t>
            </w:r>
          </w:p>
        </w:tc>
        <w:tc>
          <w:tcPr>
            <w:tcW w:w="4955" w:type="dxa"/>
            <w:noWrap/>
            <w:hideMark/>
          </w:tcPr>
          <w:p w14:paraId="40CD594D"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RED.es, F. Thyssen Bornesmiza , ICO, Mercados Centrales Abastecimiento Asturias, Mercalgeciras</w:t>
            </w:r>
          </w:p>
        </w:tc>
      </w:tr>
      <w:tr w:rsidR="009C1649" w:rsidRPr="009C1649" w14:paraId="448781EA" w14:textId="77777777" w:rsidTr="00F000BD">
        <w:trPr>
          <w:trHeight w:val="589"/>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6FFBA55"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Ejecución presupuestaria</w:t>
            </w:r>
          </w:p>
        </w:tc>
        <w:tc>
          <w:tcPr>
            <w:tcW w:w="4955" w:type="dxa"/>
            <w:noWrap/>
            <w:hideMark/>
          </w:tcPr>
          <w:p w14:paraId="4B9C4172"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Consorcio UNED Ciudad Real, F. Thyssen Bornesmiza, F. EOI, FUNDAE, SELAE</w:t>
            </w:r>
          </w:p>
        </w:tc>
      </w:tr>
      <w:tr w:rsidR="009C1649" w:rsidRPr="009C1649" w14:paraId="70D584E3" w14:textId="77777777" w:rsidTr="003E7A3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D8FBD22"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Actas, acuerdos, dictámenes</w:t>
            </w:r>
          </w:p>
        </w:tc>
        <w:tc>
          <w:tcPr>
            <w:tcW w:w="4955" w:type="dxa"/>
            <w:noWrap/>
            <w:hideMark/>
          </w:tcPr>
          <w:p w14:paraId="2E579400"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CH Cantábrico, Consorcio UNED Ciudad Real</w:t>
            </w:r>
          </w:p>
        </w:tc>
      </w:tr>
      <w:tr w:rsidR="009C1649" w:rsidRPr="009C1649" w14:paraId="4F9CD526" w14:textId="77777777" w:rsidTr="003E7A3A">
        <w:trPr>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A57DDD8"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Bienes Inmuebles</w:t>
            </w:r>
          </w:p>
        </w:tc>
        <w:tc>
          <w:tcPr>
            <w:tcW w:w="4955" w:type="dxa"/>
            <w:noWrap/>
            <w:hideMark/>
          </w:tcPr>
          <w:p w14:paraId="27E6782B"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F. EOI, ACUAES</w:t>
            </w:r>
          </w:p>
        </w:tc>
      </w:tr>
      <w:tr w:rsidR="009C1649" w:rsidRPr="009C1649" w14:paraId="0244062E" w14:textId="77777777" w:rsidTr="003E7A3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EA9F03D"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Información sobre personas eventual</w:t>
            </w:r>
          </w:p>
        </w:tc>
        <w:tc>
          <w:tcPr>
            <w:tcW w:w="4955" w:type="dxa"/>
            <w:noWrap/>
            <w:hideMark/>
          </w:tcPr>
          <w:p w14:paraId="68724167"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AP Alicante, AP Bilbao</w:t>
            </w:r>
          </w:p>
        </w:tc>
      </w:tr>
      <w:tr w:rsidR="009C1649" w:rsidRPr="009C1649" w14:paraId="4AC7D843" w14:textId="77777777" w:rsidTr="003E7A3A">
        <w:trPr>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6ADCC8F"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Registro de Actividades de Tratamiento</w:t>
            </w:r>
          </w:p>
        </w:tc>
        <w:tc>
          <w:tcPr>
            <w:tcW w:w="4955" w:type="dxa"/>
            <w:noWrap/>
            <w:hideMark/>
          </w:tcPr>
          <w:p w14:paraId="548D461E"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INCIBE, Vigo Activo</w:t>
            </w:r>
          </w:p>
        </w:tc>
      </w:tr>
      <w:tr w:rsidR="009C1649" w:rsidRPr="009C1649" w14:paraId="131C2315" w14:textId="77777777" w:rsidTr="003E7A3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FC0580E"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Periodo medio de pago a proveedores</w:t>
            </w:r>
          </w:p>
        </w:tc>
        <w:tc>
          <w:tcPr>
            <w:tcW w:w="4955" w:type="dxa"/>
            <w:noWrap/>
            <w:hideMark/>
          </w:tcPr>
          <w:p w14:paraId="40FF097F"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Puertos del Estado</w:t>
            </w:r>
          </w:p>
        </w:tc>
      </w:tr>
      <w:tr w:rsidR="009C1649" w:rsidRPr="009C1649" w14:paraId="60BB03F0" w14:textId="77777777" w:rsidTr="00F000BD">
        <w:trPr>
          <w:trHeight w:val="754"/>
        </w:trPr>
        <w:tc>
          <w:tcPr>
            <w:cnfStyle w:val="001000000000" w:firstRow="0" w:lastRow="0" w:firstColumn="1" w:lastColumn="0" w:oddVBand="0" w:evenVBand="0" w:oddHBand="0" w:evenHBand="0" w:firstRowFirstColumn="0" w:firstRowLastColumn="0" w:lastRowFirstColumn="0" w:lastRowLastColumn="0"/>
            <w:tcW w:w="4106" w:type="dxa"/>
            <w:noWrap/>
            <w:hideMark/>
          </w:tcPr>
          <w:p w14:paraId="397A9D38"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Informes de cumplimiento de obligaciones económico-financieras/Información sobre endeudamiento</w:t>
            </w:r>
          </w:p>
        </w:tc>
        <w:tc>
          <w:tcPr>
            <w:tcW w:w="4955" w:type="dxa"/>
            <w:noWrap/>
            <w:hideMark/>
          </w:tcPr>
          <w:p w14:paraId="2FEE36DA"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 xml:space="preserve">F. Thyssen Bornesmiza </w:t>
            </w:r>
          </w:p>
        </w:tc>
      </w:tr>
      <w:tr w:rsidR="009C1649" w:rsidRPr="009C1649" w14:paraId="60E8EEA1" w14:textId="77777777" w:rsidTr="003E7A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192F79E"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lastRenderedPageBreak/>
              <w:t xml:space="preserve">Instrucción en relación con la selección de personal de alta dirección </w:t>
            </w:r>
          </w:p>
        </w:tc>
        <w:tc>
          <w:tcPr>
            <w:tcW w:w="4955" w:type="dxa"/>
            <w:noWrap/>
            <w:hideMark/>
          </w:tcPr>
          <w:p w14:paraId="7E320B50"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RED.es</w:t>
            </w:r>
          </w:p>
        </w:tc>
      </w:tr>
      <w:tr w:rsidR="009C1649" w:rsidRPr="009C1649" w14:paraId="483C6114" w14:textId="77777777" w:rsidTr="003E7A3A">
        <w:trPr>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63177186"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Resultados de planes y programas</w:t>
            </w:r>
          </w:p>
        </w:tc>
        <w:tc>
          <w:tcPr>
            <w:tcW w:w="4955" w:type="dxa"/>
            <w:noWrap/>
            <w:hideMark/>
          </w:tcPr>
          <w:p w14:paraId="156B161F" w14:textId="77777777" w:rsidR="009C1649" w:rsidRPr="003E7A3A" w:rsidRDefault="009C1649" w:rsidP="009C1649">
            <w:pPr>
              <w:cnfStyle w:val="000000000000" w:firstRow="0" w:lastRow="0" w:firstColumn="0" w:lastColumn="0" w:oddVBand="0" w:evenVBand="0" w:oddHBand="0"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 xml:space="preserve">F. Thyssen Bornesmiza </w:t>
            </w:r>
          </w:p>
        </w:tc>
      </w:tr>
      <w:tr w:rsidR="009C1649" w:rsidRPr="009C1649" w14:paraId="0408D147" w14:textId="77777777" w:rsidTr="003E7A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4F65107C" w14:textId="77777777" w:rsidR="009C1649" w:rsidRPr="003E7A3A" w:rsidRDefault="009C1649" w:rsidP="009C1649">
            <w:pPr>
              <w:rPr>
                <w:rFonts w:ascii="Mulish" w:eastAsia="Times New Roman" w:hAnsi="Mulish" w:cs="Times New Roman"/>
                <w:b w:val="0"/>
                <w:bCs w:val="0"/>
                <w:sz w:val="20"/>
                <w:lang w:eastAsia="en-US"/>
              </w:rPr>
            </w:pPr>
            <w:r w:rsidRPr="003E7A3A">
              <w:rPr>
                <w:rFonts w:ascii="Mulish" w:eastAsia="Times New Roman" w:hAnsi="Mulish" w:cs="Times New Roman"/>
                <w:b w:val="0"/>
                <w:bCs w:val="0"/>
                <w:sz w:val="20"/>
                <w:lang w:eastAsia="en-US"/>
              </w:rPr>
              <w:t>Encomiendas de Gestión</w:t>
            </w:r>
          </w:p>
        </w:tc>
        <w:tc>
          <w:tcPr>
            <w:tcW w:w="4955" w:type="dxa"/>
            <w:noWrap/>
            <w:hideMark/>
          </w:tcPr>
          <w:p w14:paraId="7336452D" w14:textId="77777777" w:rsidR="009C1649" w:rsidRPr="003E7A3A" w:rsidRDefault="009C1649" w:rsidP="009C1649">
            <w:pPr>
              <w:cnfStyle w:val="000000100000" w:firstRow="0" w:lastRow="0" w:firstColumn="0" w:lastColumn="0" w:oddVBand="0" w:evenVBand="0" w:oddHBand="1" w:evenHBand="0" w:firstRowFirstColumn="0" w:firstRowLastColumn="0" w:lastRowFirstColumn="0" w:lastRowLastColumn="0"/>
              <w:rPr>
                <w:rFonts w:ascii="Mulish" w:eastAsia="Times New Roman" w:hAnsi="Mulish" w:cs="Times New Roman"/>
                <w:sz w:val="20"/>
                <w:lang w:eastAsia="en-US"/>
              </w:rPr>
            </w:pPr>
            <w:r w:rsidRPr="003E7A3A">
              <w:rPr>
                <w:rFonts w:ascii="Mulish" w:eastAsia="Times New Roman" w:hAnsi="Mulish" w:cs="Times New Roman"/>
                <w:sz w:val="20"/>
                <w:lang w:eastAsia="en-US"/>
              </w:rPr>
              <w:t>Mercados Centrales Abastecimiento Asturias</w:t>
            </w:r>
          </w:p>
        </w:tc>
      </w:tr>
    </w:tbl>
    <w:p w14:paraId="645475FE" w14:textId="173F8D22" w:rsidR="009C1649" w:rsidRDefault="009C1649" w:rsidP="009C1649">
      <w:pPr>
        <w:spacing w:line="240" w:lineRule="auto"/>
        <w:rPr>
          <w:rFonts w:ascii="Mulish" w:eastAsia="Times New Roman" w:hAnsi="Mulish" w:cs="Times New Roman"/>
          <w:b/>
          <w:color w:val="438086" w:themeColor="accent2"/>
          <w:sz w:val="30"/>
          <w:szCs w:val="30"/>
          <w:lang w:eastAsia="en-US"/>
        </w:rPr>
      </w:pPr>
    </w:p>
    <w:p w14:paraId="7C160E7D" w14:textId="77777777" w:rsidR="009C1649" w:rsidRDefault="009C1649" w:rsidP="009C1649">
      <w:pPr>
        <w:spacing w:line="240" w:lineRule="auto"/>
        <w:jc w:val="center"/>
        <w:rPr>
          <w:rFonts w:ascii="Mulish" w:eastAsia="Times New Roman" w:hAnsi="Mulish" w:cs="Times New Roman"/>
          <w:b/>
          <w:color w:val="438086" w:themeColor="accent2"/>
          <w:sz w:val="30"/>
          <w:szCs w:val="30"/>
          <w:lang w:eastAsia="en-US"/>
        </w:rPr>
      </w:pPr>
    </w:p>
    <w:p w14:paraId="450E3CF6" w14:textId="554BDBB6" w:rsidR="00F000BD" w:rsidRDefault="00F000BD">
      <w:pPr>
        <w:jc w:val="left"/>
        <w:rPr>
          <w:rFonts w:ascii="Mulish" w:eastAsia="Times New Roman" w:hAnsi="Mulish" w:cs="Times New Roman"/>
          <w:b/>
          <w:color w:val="438086" w:themeColor="accent2"/>
          <w:sz w:val="30"/>
          <w:szCs w:val="30"/>
          <w:lang w:eastAsia="en-US"/>
        </w:rPr>
      </w:pPr>
      <w:r>
        <w:rPr>
          <w:rFonts w:ascii="Mulish" w:eastAsia="Times New Roman" w:hAnsi="Mulish" w:cs="Times New Roman"/>
          <w:b/>
          <w:color w:val="438086" w:themeColor="accent2"/>
          <w:sz w:val="30"/>
          <w:szCs w:val="30"/>
          <w:lang w:eastAsia="en-US"/>
        </w:rPr>
        <w:br w:type="page"/>
      </w:r>
    </w:p>
    <w:p w14:paraId="4D19795F" w14:textId="1FD91B5A" w:rsidR="00F000BD" w:rsidRDefault="00F000BD" w:rsidP="00F000BD">
      <w:pPr>
        <w:spacing w:line="240" w:lineRule="auto"/>
        <w:jc w:val="center"/>
        <w:rPr>
          <w:rFonts w:ascii="Mulish" w:eastAsia="Times New Roman" w:hAnsi="Mulish" w:cs="Times New Roman"/>
          <w:b/>
          <w:color w:val="438086" w:themeColor="accent2"/>
          <w:sz w:val="30"/>
          <w:szCs w:val="30"/>
          <w:lang w:eastAsia="en-US"/>
        </w:rPr>
      </w:pPr>
      <w:r w:rsidRPr="009C1649">
        <w:rPr>
          <w:rFonts w:ascii="Mulish" w:eastAsia="Times New Roman" w:hAnsi="Mulish" w:cs="Times New Roman"/>
          <w:b/>
          <w:color w:val="438086" w:themeColor="accent2"/>
          <w:sz w:val="30"/>
          <w:szCs w:val="30"/>
          <w:lang w:eastAsia="en-US"/>
        </w:rPr>
        <w:lastRenderedPageBreak/>
        <w:t xml:space="preserve">Anexo </w:t>
      </w:r>
      <w:r w:rsidR="00F71997">
        <w:rPr>
          <w:rFonts w:ascii="Mulish" w:eastAsia="Times New Roman" w:hAnsi="Mulish" w:cs="Times New Roman"/>
          <w:b/>
          <w:color w:val="438086" w:themeColor="accent2"/>
          <w:sz w:val="30"/>
          <w:szCs w:val="30"/>
          <w:lang w:eastAsia="en-US"/>
        </w:rPr>
        <w:t>I</w:t>
      </w:r>
      <w:r w:rsidRPr="009C1649">
        <w:rPr>
          <w:rFonts w:ascii="Mulish" w:eastAsia="Times New Roman" w:hAnsi="Mulish" w:cs="Times New Roman"/>
          <w:b/>
          <w:color w:val="438086" w:themeColor="accent2"/>
          <w:sz w:val="30"/>
          <w:szCs w:val="30"/>
          <w:lang w:eastAsia="en-US"/>
        </w:rPr>
        <w:t>II</w:t>
      </w:r>
      <w:r>
        <w:rPr>
          <w:rFonts w:ascii="Mulish" w:eastAsia="Times New Roman" w:hAnsi="Mulish" w:cs="Times New Roman"/>
          <w:b/>
          <w:color w:val="438086" w:themeColor="accent2"/>
          <w:sz w:val="30"/>
          <w:szCs w:val="30"/>
          <w:lang w:eastAsia="en-US"/>
        </w:rPr>
        <w:t xml:space="preserve">: </w:t>
      </w:r>
      <w:r w:rsidR="00F71997">
        <w:rPr>
          <w:rFonts w:ascii="Mulish" w:eastAsia="Times New Roman" w:hAnsi="Mulish" w:cs="Times New Roman"/>
          <w:b/>
          <w:color w:val="438086" w:themeColor="accent2"/>
          <w:sz w:val="30"/>
          <w:szCs w:val="30"/>
          <w:lang w:eastAsia="en-US"/>
        </w:rPr>
        <w:t>Buenas prácticas</w:t>
      </w:r>
      <w:r w:rsidR="00F71997" w:rsidRPr="003E7A3A">
        <w:rPr>
          <w:rFonts w:ascii="Mulish" w:eastAsia="Times New Roman" w:hAnsi="Mulish" w:cs="Times New Roman"/>
          <w:b/>
          <w:color w:val="438086" w:themeColor="accent2"/>
          <w:sz w:val="30"/>
          <w:szCs w:val="30"/>
          <w:lang w:eastAsia="en-US"/>
        </w:rPr>
        <w:t xml:space="preserve"> en las entidades evaluadas por primera vez en 202</w:t>
      </w:r>
      <w:r w:rsidR="00F71997">
        <w:rPr>
          <w:rFonts w:ascii="Mulish" w:eastAsia="Times New Roman" w:hAnsi="Mulish" w:cs="Times New Roman"/>
          <w:b/>
          <w:color w:val="438086" w:themeColor="accent2"/>
          <w:sz w:val="30"/>
          <w:szCs w:val="30"/>
          <w:lang w:eastAsia="en-US"/>
        </w:rPr>
        <w:t>4</w:t>
      </w:r>
    </w:p>
    <w:tbl>
      <w:tblPr>
        <w:tblStyle w:val="Tabladelista3-nfasis2"/>
        <w:tblW w:w="9209" w:type="dxa"/>
        <w:tblLook w:val="04A0" w:firstRow="1" w:lastRow="0" w:firstColumn="1" w:lastColumn="0" w:noHBand="0" w:noVBand="1"/>
      </w:tblPr>
      <w:tblGrid>
        <w:gridCol w:w="4390"/>
        <w:gridCol w:w="4819"/>
      </w:tblGrid>
      <w:tr w:rsidR="00A33ED2" w:rsidRPr="00A33ED2" w14:paraId="7242631A" w14:textId="77777777" w:rsidTr="00A33ED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4390" w:type="dxa"/>
            <w:noWrap/>
            <w:hideMark/>
          </w:tcPr>
          <w:p w14:paraId="24D8C229" w14:textId="77777777" w:rsidR="00A33ED2" w:rsidRPr="00A33ED2" w:rsidRDefault="00A33ED2" w:rsidP="00A33ED2">
            <w:pPr>
              <w:jc w:val="center"/>
              <w:rPr>
                <w:rFonts w:ascii="Mulish" w:eastAsia="Times New Roman" w:hAnsi="Mulish" w:cs="Calibri"/>
                <w:color w:val="FFFFFF"/>
                <w:sz w:val="20"/>
              </w:rPr>
            </w:pPr>
            <w:r w:rsidRPr="00A33ED2">
              <w:rPr>
                <w:rFonts w:ascii="Mulish" w:eastAsia="Times New Roman" w:hAnsi="Mulish" w:cs="Calibri"/>
                <w:color w:val="FFFFFF"/>
                <w:sz w:val="20"/>
              </w:rPr>
              <w:t>Buena Práctica</w:t>
            </w:r>
          </w:p>
        </w:tc>
        <w:tc>
          <w:tcPr>
            <w:tcW w:w="4819" w:type="dxa"/>
            <w:noWrap/>
            <w:hideMark/>
          </w:tcPr>
          <w:p w14:paraId="2A9D5E96" w14:textId="77777777" w:rsidR="00A33ED2" w:rsidRPr="00A33ED2" w:rsidRDefault="00A33ED2" w:rsidP="00A33ED2">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Calibri"/>
                <w:color w:val="FFFFFF"/>
                <w:sz w:val="20"/>
              </w:rPr>
            </w:pPr>
            <w:r w:rsidRPr="00A33ED2">
              <w:rPr>
                <w:rFonts w:ascii="Mulish" w:eastAsia="Times New Roman" w:hAnsi="Mulish" w:cs="Calibri"/>
                <w:color w:val="FFFFFF"/>
                <w:sz w:val="20"/>
              </w:rPr>
              <w:t>Entidades</w:t>
            </w:r>
          </w:p>
        </w:tc>
      </w:tr>
      <w:tr w:rsidR="00A33ED2" w:rsidRPr="00A33ED2" w14:paraId="52B1E87A" w14:textId="77777777" w:rsidTr="00A33ED2">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4390" w:type="dxa"/>
            <w:noWrap/>
            <w:hideMark/>
          </w:tcPr>
          <w:p w14:paraId="77E0C8A4" w14:textId="77777777" w:rsidR="00A33ED2" w:rsidRPr="00A33ED2" w:rsidRDefault="00A33ED2" w:rsidP="00A33ED2">
            <w:pPr>
              <w:rPr>
                <w:rFonts w:ascii="Mulish" w:eastAsia="Times New Roman" w:hAnsi="Mulish" w:cs="Calibri"/>
                <w:b w:val="0"/>
                <w:bCs w:val="0"/>
                <w:color w:val="000000"/>
                <w:sz w:val="20"/>
              </w:rPr>
            </w:pPr>
            <w:r w:rsidRPr="00A33ED2">
              <w:rPr>
                <w:rFonts w:ascii="Mulish" w:eastAsia="Times New Roman" w:hAnsi="Mulish" w:cs="Calibri"/>
                <w:b w:val="0"/>
                <w:bCs w:val="0"/>
                <w:color w:val="000000"/>
                <w:sz w:val="20"/>
              </w:rPr>
              <w:t>Disponibilidad de un espacio específico para la presentación de solicitudes de acceso a información pública</w:t>
            </w:r>
          </w:p>
        </w:tc>
        <w:tc>
          <w:tcPr>
            <w:tcW w:w="4819" w:type="dxa"/>
            <w:noWrap/>
            <w:hideMark/>
          </w:tcPr>
          <w:p w14:paraId="057E2083" w14:textId="7A23FA88" w:rsidR="00A33ED2" w:rsidRPr="00A33ED2" w:rsidRDefault="00A33ED2" w:rsidP="00A33ED2">
            <w:pPr>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20"/>
              </w:rPr>
            </w:pPr>
            <w:r w:rsidRPr="00A33ED2">
              <w:rPr>
                <w:rFonts w:ascii="Mulish" w:eastAsia="Times New Roman" w:hAnsi="Mulish" w:cs="Calibri"/>
                <w:color w:val="000000"/>
                <w:sz w:val="20"/>
              </w:rPr>
              <w:t>AP Algeciras, CILSA, Consorcio Laboratorio de Canfranc, Correos Express, CTISA, ETSA, F. Biodiversidad, F. Thyssen Bornesmiza, FUNDAE, FIIAPP, IAC, ICO, Mercados Centrales Abastecimiento Asturias, Mercalgeciras, Mutua Universal, Puertos del Estado, SAINSEL, ACUAES, Unión de Mutuas, World Trade Center Barcelona</w:t>
            </w:r>
          </w:p>
        </w:tc>
      </w:tr>
      <w:tr w:rsidR="00A33ED2" w:rsidRPr="00A33ED2" w14:paraId="1A0AAADF" w14:textId="77777777" w:rsidTr="00A33ED2">
        <w:trPr>
          <w:trHeight w:val="776"/>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E307494" w14:textId="77777777" w:rsidR="00A33ED2" w:rsidRPr="00A33ED2" w:rsidRDefault="00A33ED2" w:rsidP="00A33ED2">
            <w:pPr>
              <w:rPr>
                <w:rFonts w:ascii="Mulish" w:eastAsia="Times New Roman" w:hAnsi="Mulish" w:cs="Calibri"/>
                <w:b w:val="0"/>
                <w:bCs w:val="0"/>
                <w:color w:val="000000"/>
                <w:sz w:val="20"/>
              </w:rPr>
            </w:pPr>
            <w:r w:rsidRPr="00A33ED2">
              <w:rPr>
                <w:rFonts w:ascii="Mulish" w:eastAsia="Times New Roman" w:hAnsi="Mulish" w:cs="Calibri"/>
                <w:b w:val="0"/>
                <w:bCs w:val="0"/>
                <w:color w:val="000000"/>
                <w:sz w:val="20"/>
              </w:rPr>
              <w:t>Incorporación de textos descriptivos de los contenidos del Portal</w:t>
            </w:r>
          </w:p>
        </w:tc>
        <w:tc>
          <w:tcPr>
            <w:tcW w:w="4819" w:type="dxa"/>
            <w:noWrap/>
            <w:hideMark/>
          </w:tcPr>
          <w:p w14:paraId="73F50696" w14:textId="77777777" w:rsidR="00A33ED2" w:rsidRPr="00A33ED2" w:rsidRDefault="00A33ED2" w:rsidP="00A33ED2">
            <w:pPr>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20"/>
              </w:rPr>
            </w:pPr>
            <w:r w:rsidRPr="00A33ED2">
              <w:rPr>
                <w:rFonts w:ascii="Mulish" w:eastAsia="Times New Roman" w:hAnsi="Mulish" w:cs="Calibri"/>
                <w:color w:val="000000"/>
                <w:sz w:val="20"/>
              </w:rPr>
              <w:t>ADIF, CIS, CH Cantábrico, Consorcio Laboratorio de Canfranc, Consorcio UNED Provincia de Barcelona, RED.es, ETSA, F. EOI, INCIBE, ACUAES</w:t>
            </w:r>
          </w:p>
        </w:tc>
      </w:tr>
      <w:tr w:rsidR="00A33ED2" w:rsidRPr="00A33ED2" w14:paraId="6E88ACF4" w14:textId="77777777" w:rsidTr="00A33ED2">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390" w:type="dxa"/>
            <w:noWrap/>
            <w:hideMark/>
          </w:tcPr>
          <w:p w14:paraId="2649E296" w14:textId="77777777" w:rsidR="00A33ED2" w:rsidRPr="00A33ED2" w:rsidRDefault="00A33ED2" w:rsidP="00A33ED2">
            <w:pPr>
              <w:rPr>
                <w:rFonts w:ascii="Mulish" w:eastAsia="Times New Roman" w:hAnsi="Mulish" w:cs="Calibri"/>
                <w:b w:val="0"/>
                <w:bCs w:val="0"/>
                <w:color w:val="000000"/>
                <w:sz w:val="20"/>
              </w:rPr>
            </w:pPr>
            <w:r w:rsidRPr="00A33ED2">
              <w:rPr>
                <w:rFonts w:ascii="Mulish" w:eastAsia="Times New Roman" w:hAnsi="Mulish" w:cs="Calibri"/>
                <w:b w:val="0"/>
                <w:bCs w:val="0"/>
                <w:color w:val="000000"/>
                <w:sz w:val="20"/>
              </w:rPr>
              <w:t>Inclusión de referencias a las fechas en que se actualizan los contenidos del Portal</w:t>
            </w:r>
          </w:p>
        </w:tc>
        <w:tc>
          <w:tcPr>
            <w:tcW w:w="4819" w:type="dxa"/>
            <w:noWrap/>
            <w:hideMark/>
          </w:tcPr>
          <w:p w14:paraId="7B866975" w14:textId="77777777" w:rsidR="00A33ED2" w:rsidRPr="00A33ED2" w:rsidRDefault="00A33ED2" w:rsidP="00A33ED2">
            <w:pPr>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20"/>
              </w:rPr>
            </w:pPr>
            <w:r w:rsidRPr="00A33ED2">
              <w:rPr>
                <w:rFonts w:ascii="Mulish" w:eastAsia="Times New Roman" w:hAnsi="Mulish" w:cs="Calibri"/>
                <w:color w:val="000000"/>
                <w:sz w:val="20"/>
              </w:rPr>
              <w:t>F. EOI, Unión de Mutuas</w:t>
            </w:r>
          </w:p>
        </w:tc>
      </w:tr>
      <w:tr w:rsidR="00A33ED2" w:rsidRPr="00A33ED2" w14:paraId="3C0B2FDF" w14:textId="77777777" w:rsidTr="00A33ED2">
        <w:trPr>
          <w:trHeight w:val="284"/>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C600BCC" w14:textId="77777777" w:rsidR="00A33ED2" w:rsidRPr="00A33ED2" w:rsidRDefault="00A33ED2" w:rsidP="00A33ED2">
            <w:pPr>
              <w:rPr>
                <w:rFonts w:ascii="Mulish" w:eastAsia="Times New Roman" w:hAnsi="Mulish" w:cs="Calibri"/>
                <w:b w:val="0"/>
                <w:bCs w:val="0"/>
                <w:color w:val="000000"/>
                <w:sz w:val="20"/>
              </w:rPr>
            </w:pPr>
            <w:r w:rsidRPr="00A33ED2">
              <w:rPr>
                <w:rFonts w:ascii="Mulish" w:eastAsia="Times New Roman" w:hAnsi="Mulish" w:cs="Calibri"/>
                <w:b w:val="0"/>
                <w:bCs w:val="0"/>
                <w:color w:val="000000"/>
                <w:sz w:val="20"/>
              </w:rPr>
              <w:t>Información sobre derecho de acceso</w:t>
            </w:r>
          </w:p>
        </w:tc>
        <w:tc>
          <w:tcPr>
            <w:tcW w:w="4819" w:type="dxa"/>
            <w:noWrap/>
            <w:hideMark/>
          </w:tcPr>
          <w:p w14:paraId="5BB14E06" w14:textId="77777777" w:rsidR="00A33ED2" w:rsidRPr="00A33ED2" w:rsidRDefault="00A33ED2" w:rsidP="00A33ED2">
            <w:pPr>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20"/>
              </w:rPr>
            </w:pPr>
            <w:r w:rsidRPr="00A33ED2">
              <w:rPr>
                <w:rFonts w:ascii="Mulish" w:eastAsia="Times New Roman" w:hAnsi="Mulish" w:cs="Calibri"/>
                <w:color w:val="000000"/>
                <w:sz w:val="20"/>
              </w:rPr>
              <w:t>F. EOI</w:t>
            </w:r>
          </w:p>
        </w:tc>
      </w:tr>
      <w:tr w:rsidR="00A33ED2" w:rsidRPr="00A33ED2" w14:paraId="7F8FA7A6" w14:textId="77777777" w:rsidTr="00A33ED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390" w:type="dxa"/>
            <w:noWrap/>
            <w:hideMark/>
          </w:tcPr>
          <w:p w14:paraId="143842E0" w14:textId="77777777" w:rsidR="00A33ED2" w:rsidRPr="00A33ED2" w:rsidRDefault="00A33ED2" w:rsidP="00A33ED2">
            <w:pPr>
              <w:rPr>
                <w:rFonts w:ascii="Mulish" w:eastAsia="Times New Roman" w:hAnsi="Mulish" w:cs="Calibri"/>
                <w:b w:val="0"/>
                <w:bCs w:val="0"/>
                <w:color w:val="000000"/>
                <w:sz w:val="20"/>
              </w:rPr>
            </w:pPr>
            <w:r w:rsidRPr="00A33ED2">
              <w:rPr>
                <w:rFonts w:ascii="Mulish" w:eastAsia="Times New Roman" w:hAnsi="Mulish" w:cs="Calibri"/>
                <w:b w:val="0"/>
                <w:bCs w:val="0"/>
                <w:color w:val="000000"/>
                <w:sz w:val="20"/>
              </w:rPr>
              <w:t>Información estadística sobre solicitudes de acceso a información pública</w:t>
            </w:r>
          </w:p>
        </w:tc>
        <w:tc>
          <w:tcPr>
            <w:tcW w:w="4819" w:type="dxa"/>
            <w:noWrap/>
            <w:hideMark/>
          </w:tcPr>
          <w:p w14:paraId="4D6A3C14" w14:textId="77777777" w:rsidR="00A33ED2" w:rsidRPr="00A33ED2" w:rsidRDefault="00A33ED2" w:rsidP="00A33ED2">
            <w:pPr>
              <w:jc w:val="lef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20"/>
              </w:rPr>
            </w:pPr>
            <w:r w:rsidRPr="00A33ED2">
              <w:rPr>
                <w:rFonts w:ascii="Mulish" w:eastAsia="Times New Roman" w:hAnsi="Mulish" w:cs="Calibri"/>
                <w:color w:val="000000"/>
                <w:sz w:val="20"/>
              </w:rPr>
              <w:t>AP Bilbao</w:t>
            </w:r>
          </w:p>
        </w:tc>
      </w:tr>
    </w:tbl>
    <w:p w14:paraId="5A38BED7" w14:textId="77777777" w:rsidR="009C1649" w:rsidRDefault="009C1649" w:rsidP="009C1649">
      <w:pPr>
        <w:spacing w:line="240" w:lineRule="auto"/>
        <w:jc w:val="center"/>
        <w:rPr>
          <w:rFonts w:ascii="Mulish" w:eastAsia="Times New Roman" w:hAnsi="Mulish" w:cs="Times New Roman"/>
          <w:b/>
          <w:color w:val="438086" w:themeColor="accent2"/>
          <w:sz w:val="30"/>
          <w:szCs w:val="30"/>
          <w:lang w:eastAsia="en-US"/>
        </w:rPr>
      </w:pPr>
    </w:p>
    <w:p w14:paraId="5A2C4C6B" w14:textId="707C8C1F" w:rsidR="009C1649" w:rsidRDefault="009C1649" w:rsidP="009C1649">
      <w:pPr>
        <w:spacing w:line="240" w:lineRule="auto"/>
        <w:jc w:val="center"/>
        <w:rPr>
          <w:rFonts w:ascii="Mulish" w:eastAsia="Times New Roman" w:hAnsi="Mulish" w:cs="Times New Roman"/>
          <w:b/>
          <w:color w:val="438086" w:themeColor="accent2"/>
          <w:sz w:val="30"/>
          <w:szCs w:val="30"/>
          <w:lang w:eastAsia="en-US"/>
        </w:rPr>
      </w:pPr>
    </w:p>
    <w:p w14:paraId="751866A3" w14:textId="44267247" w:rsidR="009C1649" w:rsidRDefault="009C1649" w:rsidP="009C1649">
      <w:pPr>
        <w:spacing w:line="240" w:lineRule="auto"/>
        <w:jc w:val="center"/>
        <w:rPr>
          <w:rFonts w:ascii="Mulish" w:eastAsia="Times New Roman" w:hAnsi="Mulish" w:cs="Times New Roman"/>
          <w:b/>
          <w:color w:val="438086" w:themeColor="accent2"/>
          <w:sz w:val="30"/>
          <w:szCs w:val="30"/>
          <w:lang w:eastAsia="en-US"/>
        </w:rPr>
      </w:pPr>
    </w:p>
    <w:p w14:paraId="11FAD966" w14:textId="15737A6A" w:rsidR="009C1649" w:rsidRPr="009C1649" w:rsidRDefault="009C1649" w:rsidP="009C1649">
      <w:pPr>
        <w:spacing w:line="240" w:lineRule="auto"/>
        <w:jc w:val="center"/>
        <w:rPr>
          <w:rFonts w:ascii="Mulish" w:eastAsia="Times New Roman" w:hAnsi="Mulish" w:cs="Times New Roman"/>
          <w:b/>
          <w:color w:val="438086" w:themeColor="accent2"/>
          <w:sz w:val="30"/>
          <w:szCs w:val="30"/>
          <w:lang w:eastAsia="en-US"/>
        </w:rPr>
      </w:pPr>
    </w:p>
    <w:sectPr w:rsidR="009C1649" w:rsidRPr="009C1649">
      <w:headerReference w:type="even" r:id="rId22"/>
      <w:headerReference w:type="default" r:id="rId23"/>
      <w:footerReference w:type="even" r:id="rId24"/>
      <w:footerReference w:type="default" r:id="rId25"/>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D740" w14:textId="77777777" w:rsidR="0053625D" w:rsidRDefault="0053625D">
      <w:pPr>
        <w:spacing w:after="0" w:line="240" w:lineRule="auto"/>
      </w:pPr>
      <w:r>
        <w:separator/>
      </w:r>
    </w:p>
  </w:endnote>
  <w:endnote w:type="continuationSeparator" w:id="0">
    <w:p w14:paraId="328E69A8" w14:textId="77777777" w:rsidR="0053625D" w:rsidRDefault="0053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5EF" w14:textId="77777777" w:rsidR="0053625D" w:rsidRDefault="0053625D">
    <w:r>
      <w:fldChar w:fldCharType="begin"/>
    </w:r>
    <w:r>
      <w:instrText>PAGE   \* MERGEFORMAT</w:instrText>
    </w:r>
    <w:r>
      <w:fldChar w:fldCharType="separate"/>
    </w:r>
    <w:r w:rsidR="004C7E3A">
      <w:rPr>
        <w:noProof/>
      </w:rPr>
      <w:t>30</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569"/>
      <w:gridCol w:w="969"/>
    </w:tblGrid>
    <w:tr w:rsidR="0053625D" w14:paraId="5BDFDB21" w14:textId="77777777">
      <w:trPr>
        <w:trHeight w:hRule="exact" w:val="72"/>
      </w:trPr>
      <w:tc>
        <w:tcPr>
          <w:tcW w:w="2718" w:type="dxa"/>
          <w:tcBorders>
            <w:top w:val="single" w:sz="12" w:space="0" w:color="438086" w:themeColor="accent2"/>
            <w:bottom w:val="single" w:sz="2" w:space="0" w:color="438086" w:themeColor="accent2"/>
          </w:tcBorders>
        </w:tcPr>
        <w:p w14:paraId="7C145BCF" w14:textId="77777777" w:rsidR="0053625D" w:rsidRDefault="0053625D">
          <w:pPr>
            <w:pStyle w:val="Sinespaciado"/>
          </w:pPr>
        </w:p>
      </w:tc>
      <w:tc>
        <w:tcPr>
          <w:tcW w:w="1017" w:type="dxa"/>
          <w:tcBorders>
            <w:bottom w:val="single" w:sz="2" w:space="0" w:color="438086" w:themeColor="accent2"/>
          </w:tcBorders>
        </w:tcPr>
        <w:p w14:paraId="34131A2C" w14:textId="77777777" w:rsidR="0053625D" w:rsidRDefault="0053625D">
          <w:pPr>
            <w:pStyle w:val="Sinespaciado"/>
          </w:pPr>
        </w:p>
      </w:tc>
    </w:tr>
  </w:tbl>
  <w:p w14:paraId="35E67654" w14:textId="77777777" w:rsidR="0053625D" w:rsidRDefault="005362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2F33" w14:textId="77777777" w:rsidR="0053625D" w:rsidRPr="008876B2" w:rsidRDefault="0053625D">
    <w:pPr>
      <w:jc w:val="right"/>
    </w:pPr>
    <w:r w:rsidRPr="008876B2">
      <w:fldChar w:fldCharType="begin"/>
    </w:r>
    <w:r w:rsidRPr="008876B2">
      <w:instrText>PAGE   \* MERGEFORMAT</w:instrText>
    </w:r>
    <w:r w:rsidRPr="008876B2">
      <w:fldChar w:fldCharType="separate"/>
    </w:r>
    <w:r w:rsidR="004C7E3A">
      <w:rPr>
        <w:noProof/>
      </w:rPr>
      <w:t>29</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22"/>
      <w:gridCol w:w="2516"/>
    </w:tblGrid>
    <w:tr w:rsidR="0053625D" w14:paraId="4903A5EF" w14:textId="77777777">
      <w:trPr>
        <w:trHeight w:hRule="exact" w:val="72"/>
        <w:jc w:val="right"/>
      </w:trPr>
      <w:tc>
        <w:tcPr>
          <w:tcW w:w="1098" w:type="dxa"/>
          <w:tcBorders>
            <w:bottom w:val="single" w:sz="2" w:space="0" w:color="438086" w:themeColor="accent2"/>
          </w:tcBorders>
        </w:tcPr>
        <w:p w14:paraId="61C59C28" w14:textId="77777777" w:rsidR="0053625D" w:rsidRDefault="0053625D">
          <w:pPr>
            <w:pStyle w:val="Sinespaciado"/>
          </w:pPr>
        </w:p>
      </w:tc>
      <w:tc>
        <w:tcPr>
          <w:tcW w:w="2732" w:type="dxa"/>
          <w:tcBorders>
            <w:top w:val="single" w:sz="12" w:space="0" w:color="438086" w:themeColor="accent2"/>
            <w:bottom w:val="single" w:sz="2" w:space="0" w:color="438086" w:themeColor="accent2"/>
          </w:tcBorders>
        </w:tcPr>
        <w:p w14:paraId="75048232" w14:textId="77777777" w:rsidR="0053625D" w:rsidRDefault="0053625D">
          <w:pPr>
            <w:pStyle w:val="Sinespaciado"/>
          </w:pPr>
        </w:p>
      </w:tc>
    </w:tr>
  </w:tbl>
  <w:p w14:paraId="2C019FB6" w14:textId="77777777" w:rsidR="0053625D" w:rsidRDefault="005362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11C2" w14:textId="77777777" w:rsidR="0053625D" w:rsidRDefault="0053625D">
      <w:pPr>
        <w:spacing w:after="0" w:line="240" w:lineRule="auto"/>
      </w:pPr>
      <w:r>
        <w:separator/>
      </w:r>
    </w:p>
  </w:footnote>
  <w:footnote w:type="continuationSeparator" w:id="0">
    <w:p w14:paraId="4948E6DD" w14:textId="77777777" w:rsidR="0053625D" w:rsidRDefault="0053625D">
      <w:pPr>
        <w:spacing w:after="0" w:line="240" w:lineRule="auto"/>
      </w:pPr>
      <w:r>
        <w:continuationSeparator/>
      </w:r>
    </w:p>
  </w:footnote>
  <w:footnote w:id="1">
    <w:p w14:paraId="6B0900DE" w14:textId="77777777" w:rsidR="0053625D" w:rsidRPr="006233AE" w:rsidRDefault="0053625D" w:rsidP="0014410F">
      <w:pPr>
        <w:pStyle w:val="Textonotapie"/>
        <w:rPr>
          <w:rFonts w:ascii="Mulish" w:hAnsi="Mulish"/>
          <w:sz w:val="18"/>
          <w:szCs w:val="18"/>
        </w:rPr>
      </w:pPr>
      <w:r>
        <w:rPr>
          <w:rStyle w:val="Refdenotaalpie"/>
        </w:rPr>
        <w:footnoteRef/>
      </w:r>
      <w:r>
        <w:t xml:space="preserve"> </w:t>
      </w:r>
      <w:r w:rsidRPr="006233AE">
        <w:rPr>
          <w:rFonts w:ascii="Mulish" w:hAnsi="Mulish"/>
          <w:sz w:val="18"/>
          <w:szCs w:val="18"/>
        </w:rPr>
        <w:t>Estas diferencias son estadísticamente significativas con un nivel de confianza del 95%.</w:t>
      </w:r>
    </w:p>
  </w:footnote>
  <w:footnote w:id="2">
    <w:p w14:paraId="53733869" w14:textId="77777777" w:rsidR="0053625D" w:rsidRPr="006233AE" w:rsidRDefault="0053625D">
      <w:pPr>
        <w:pStyle w:val="Textonotapie"/>
        <w:rPr>
          <w:rFonts w:ascii="Mulish" w:hAnsi="Mulish"/>
          <w:sz w:val="18"/>
          <w:szCs w:val="18"/>
        </w:rPr>
      </w:pPr>
      <w:r w:rsidRPr="006233AE">
        <w:rPr>
          <w:rStyle w:val="Refdenotaalpie"/>
          <w:rFonts w:ascii="Mulish" w:hAnsi="Mulish"/>
          <w:sz w:val="18"/>
          <w:szCs w:val="18"/>
        </w:rPr>
        <w:footnoteRef/>
      </w:r>
      <w:r w:rsidRPr="006233AE">
        <w:rPr>
          <w:rFonts w:ascii="Mulish" w:hAnsi="Mulish"/>
          <w:sz w:val="18"/>
          <w:szCs w:val="18"/>
        </w:rPr>
        <w:t xml:space="preserve"> Estas obligaciones no son aplicables a las Sociedades Mercantiles y a las Fundaciones Públicas.</w:t>
      </w:r>
    </w:p>
  </w:footnote>
  <w:footnote w:id="3">
    <w:p w14:paraId="0648066A" w14:textId="77777777" w:rsidR="0053625D" w:rsidRPr="006233AE" w:rsidRDefault="0053625D">
      <w:pPr>
        <w:pStyle w:val="Textonotapie"/>
        <w:rPr>
          <w:rFonts w:ascii="Mulish" w:hAnsi="Mulish"/>
          <w:sz w:val="18"/>
          <w:szCs w:val="18"/>
        </w:rPr>
      </w:pPr>
      <w:r w:rsidRPr="006233AE">
        <w:rPr>
          <w:rStyle w:val="Refdenotaalpie"/>
          <w:rFonts w:ascii="Mulish" w:hAnsi="Mulish"/>
          <w:sz w:val="18"/>
          <w:szCs w:val="18"/>
        </w:rPr>
        <w:footnoteRef/>
      </w:r>
      <w:r w:rsidRPr="006233AE">
        <w:rPr>
          <w:rFonts w:ascii="Mulish" w:hAnsi="Mulish"/>
          <w:sz w:val="18"/>
          <w:szCs w:val="18"/>
        </w:rPr>
        <w:t xml:space="preserve"> Esta obligación no es aplicable a las MATEPSS y a las Sociedades Mercantiles.</w:t>
      </w:r>
    </w:p>
  </w:footnote>
  <w:footnote w:id="4">
    <w:p w14:paraId="142AC410" w14:textId="77777777" w:rsidR="0053625D" w:rsidRPr="00F40147" w:rsidRDefault="0053625D">
      <w:pPr>
        <w:pStyle w:val="Textonotapie"/>
        <w:rPr>
          <w:rFonts w:ascii="Mulish" w:hAnsi="Mulish"/>
          <w:sz w:val="16"/>
          <w:szCs w:val="16"/>
        </w:rPr>
      </w:pPr>
      <w:r>
        <w:rPr>
          <w:rStyle w:val="Refdenotaalpie"/>
        </w:rPr>
        <w:footnoteRef/>
      </w:r>
      <w:r>
        <w:t xml:space="preserve"> </w:t>
      </w:r>
      <w:bookmarkStart w:id="9" w:name="_Hlk168931394"/>
      <w:r w:rsidRPr="00F40147">
        <w:rPr>
          <w:rFonts w:ascii="Mulish" w:hAnsi="Mulish"/>
          <w:sz w:val="16"/>
          <w:szCs w:val="16"/>
        </w:rPr>
        <w:t>Esta diferencia es estadísticamente significativa con un nivel de confianza del 95%.</w:t>
      </w:r>
    </w:p>
    <w:bookmarkEnd w:id="9"/>
  </w:footnote>
  <w:footnote w:id="5">
    <w:p w14:paraId="47B04C17" w14:textId="77777777" w:rsidR="0053625D" w:rsidRPr="00F40147" w:rsidRDefault="0053625D">
      <w:pPr>
        <w:pStyle w:val="Textonotapie"/>
        <w:rPr>
          <w:rFonts w:ascii="Mulish" w:hAnsi="Mulish"/>
          <w:sz w:val="18"/>
          <w:szCs w:val="18"/>
        </w:rPr>
      </w:pPr>
      <w:r w:rsidRPr="00F40147">
        <w:rPr>
          <w:rStyle w:val="Refdenotaalpie"/>
          <w:rFonts w:ascii="Mulish" w:hAnsi="Mulish"/>
          <w:sz w:val="16"/>
          <w:szCs w:val="16"/>
        </w:rPr>
        <w:footnoteRef/>
      </w:r>
      <w:r w:rsidRPr="00F40147">
        <w:rPr>
          <w:rFonts w:ascii="Mulish" w:hAnsi="Mulish"/>
          <w:sz w:val="16"/>
          <w:szCs w:val="16"/>
        </w:rPr>
        <w:t xml:space="preserve"> La información</w:t>
      </w:r>
      <w:r w:rsidRPr="00F40147">
        <w:rPr>
          <w:rFonts w:ascii="Mulish" w:hAnsi="Mulish"/>
          <w:sz w:val="18"/>
          <w:szCs w:val="18"/>
        </w:rPr>
        <w:t xml:space="preserve"> de relevancia jurídica no es aplicable a las Fundaciones Públicas, a las Sociedades Mercantiles y a las MATEPSS ya que, en este último caso, las competencias vinculadas a este bloque de obligaciones corresponden a la Dirección General de Ordenación de la Seguridad Social. Además alguna de las informaciones obligatorias de este grupo no resultan de aplicación a algunos organismos en concreto, por la naturaleza de las funciones que desempeñan.</w:t>
      </w:r>
    </w:p>
  </w:footnote>
  <w:footnote w:id="6">
    <w:p w14:paraId="4DDF9C7F" w14:textId="77777777" w:rsidR="00F45DA6" w:rsidRPr="0030286C" w:rsidRDefault="00F45DA6" w:rsidP="00F45DA6">
      <w:pPr>
        <w:pStyle w:val="Textonotapie"/>
        <w:rPr>
          <w:sz w:val="16"/>
          <w:szCs w:val="16"/>
        </w:rPr>
      </w:pPr>
      <w:r>
        <w:rPr>
          <w:rStyle w:val="Refdenotaalpie"/>
        </w:rPr>
        <w:footnoteRef/>
      </w:r>
      <w:r>
        <w:t xml:space="preserve"> </w:t>
      </w:r>
      <w:r w:rsidRPr="0030286C">
        <w:rPr>
          <w:sz w:val="16"/>
          <w:szCs w:val="16"/>
        </w:rPr>
        <w:t>Esta diferencia es estadísticamente significativa con un nivel de confianza del 95%.</w:t>
      </w:r>
    </w:p>
    <w:p w14:paraId="77055BEF" w14:textId="168392A0" w:rsidR="00F45DA6" w:rsidRDefault="00F45DA6">
      <w:pPr>
        <w:pStyle w:val="Textonotapie"/>
      </w:pPr>
    </w:p>
  </w:footnote>
  <w:footnote w:id="7">
    <w:p w14:paraId="5FA57C9F" w14:textId="4B3A59EA" w:rsidR="0075739E" w:rsidRDefault="0075739E">
      <w:pPr>
        <w:pStyle w:val="Textonotapie"/>
      </w:pPr>
      <w:r>
        <w:rPr>
          <w:rStyle w:val="Refdenotaalpie"/>
        </w:rPr>
        <w:footnoteRef/>
      </w:r>
      <w:r>
        <w:t xml:space="preserve"> </w:t>
      </w:r>
      <w:r w:rsidRPr="0030286C">
        <w:rPr>
          <w:sz w:val="16"/>
          <w:szCs w:val="16"/>
        </w:rPr>
        <w:t>Esta diferencia es estadísticamente significativa con un nivel de confianza del 95%.</w:t>
      </w:r>
    </w:p>
  </w:footnote>
  <w:footnote w:id="8">
    <w:p w14:paraId="5163E3A0" w14:textId="77777777" w:rsidR="0053625D" w:rsidRPr="003E5190" w:rsidRDefault="0053625D">
      <w:pPr>
        <w:pStyle w:val="Textonotapie"/>
        <w:rPr>
          <w:sz w:val="16"/>
          <w:szCs w:val="16"/>
        </w:rPr>
      </w:pPr>
      <w:r>
        <w:rPr>
          <w:rStyle w:val="Refdenotaalpie"/>
        </w:rPr>
        <w:footnoteRef/>
      </w:r>
      <w:r>
        <w:t xml:space="preserve"> </w:t>
      </w:r>
      <w:r w:rsidRPr="003E5190">
        <w:rPr>
          <w:sz w:val="16"/>
          <w:szCs w:val="16"/>
        </w:rPr>
        <w:t>Esta obligación no es aplicable a las Fundaciones Públicas y a las Sociedades Mercantiles.</w:t>
      </w:r>
    </w:p>
  </w:footnote>
  <w:footnote w:id="9">
    <w:p w14:paraId="630A913A" w14:textId="4F3AE44A" w:rsidR="004F0703" w:rsidRPr="004F0703" w:rsidRDefault="004F0703">
      <w:pPr>
        <w:pStyle w:val="Textonotapie"/>
        <w:rPr>
          <w:rFonts w:ascii="Mulish" w:hAnsi="Mulish"/>
        </w:rPr>
      </w:pPr>
      <w:r>
        <w:rPr>
          <w:rStyle w:val="Refdenotaalpie"/>
        </w:rPr>
        <w:footnoteRef/>
      </w:r>
      <w:r>
        <w:t xml:space="preserve"> </w:t>
      </w:r>
      <w:r w:rsidRPr="00790D71">
        <w:rPr>
          <w:rFonts w:ascii="Mulish" w:hAnsi="Mulish"/>
          <w:sz w:val="18"/>
          <w:szCs w:val="18"/>
        </w:rPr>
        <w:t>Con un nivel de confianza del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14:paraId="45CB2321" w14:textId="77777777" w:rsidR="0053625D" w:rsidRDefault="0053625D" w:rsidP="006219DA">
        <w:pPr>
          <w:pStyle w:val="Encabezado"/>
          <w:pBdr>
            <w:bottom w:val="single" w:sz="4" w:space="0" w:color="auto"/>
          </w:pBdr>
          <w:jc w:val="right"/>
        </w:pPr>
        <w:r>
          <w:t>Consejo de Transparencia y Buen Gobierno.</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11C" w14:textId="28DECA9B" w:rsidR="0053625D" w:rsidRDefault="0053625D" w:rsidP="00360C44">
    <w:pPr>
      <w:pStyle w:val="Listaconvietas"/>
      <w:numPr>
        <w:ilvl w:val="0"/>
        <w:numId w:val="0"/>
      </w:numPr>
      <w:pBdr>
        <w:bottom w:val="single" w:sz="4" w:space="1" w:color="auto"/>
      </w:pBdr>
      <w:ind w:left="360"/>
    </w:pPr>
    <w:r w:rsidRPr="008876B2">
      <w:t>Plan de e</w:t>
    </w:r>
    <w:r>
      <w:t>valuación 202</w:t>
    </w:r>
    <w:r w:rsidR="00941553">
      <w:t>4</w:t>
    </w:r>
    <w:r>
      <w:t xml:space="preserve">. Evaluación de las entidades integrantes del Sector </w:t>
    </w:r>
  </w:p>
  <w:p w14:paraId="25D64137" w14:textId="77777777" w:rsidR="0053625D" w:rsidRDefault="0053625D" w:rsidP="00360C44">
    <w:pPr>
      <w:pStyle w:val="Listaconvietas"/>
      <w:numPr>
        <w:ilvl w:val="0"/>
        <w:numId w:val="0"/>
      </w:numPr>
      <w:pBdr>
        <w:bottom w:val="single" w:sz="4" w:space="1" w:color="auto"/>
      </w:pBdr>
      <w:ind w:left="360"/>
    </w:pPr>
    <w:r>
      <w:t xml:space="preserve">Público Institucional </w:t>
    </w:r>
    <w:r w:rsidRPr="008876B2">
      <w:t xml:space="preserve"> </w:t>
    </w:r>
  </w:p>
  <w:p w14:paraId="2790A024" w14:textId="77777777" w:rsidR="0053625D" w:rsidRPr="008876B2" w:rsidRDefault="0053625D" w:rsidP="00D74601">
    <w:pPr>
      <w:pStyle w:val="Listaconvietas"/>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29_"/>
      </v:shape>
    </w:pict>
  </w:numPicBullet>
  <w:numPicBullet w:numPicBulletId="1">
    <w:pict>
      <v:shape id="_x0000_i1027" type="#_x0000_t75" style="width:11.4pt;height:11.4pt" o:bullet="t">
        <v:imagedata r:id="rId2" o:title="BD14529_"/>
      </v:shape>
    </w:pict>
  </w:numPicBullet>
  <w:abstractNum w:abstractNumId="0" w15:restartNumberingAfterBreak="0">
    <w:nsid w:val="FFFFFF89"/>
    <w:multiLevelType w:val="singleLevel"/>
    <w:tmpl w:val="4FD4F5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024478"/>
    <w:multiLevelType w:val="hybridMultilevel"/>
    <w:tmpl w:val="066A65CA"/>
    <w:lvl w:ilvl="0" w:tplc="AA644D84">
      <w:start w:val="1"/>
      <w:numFmt w:val="bullet"/>
      <w:lvlText w:val=""/>
      <w:lvlPicBulletId w:val="1"/>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3" w15:restartNumberingAfterBreak="0">
    <w:nsid w:val="12796372"/>
    <w:multiLevelType w:val="hybridMultilevel"/>
    <w:tmpl w:val="D1821594"/>
    <w:lvl w:ilvl="0" w:tplc="AA644D8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550593"/>
    <w:multiLevelType w:val="hybridMultilevel"/>
    <w:tmpl w:val="1E423E76"/>
    <w:lvl w:ilvl="0" w:tplc="AA644D8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1221D8"/>
    <w:multiLevelType w:val="hybridMultilevel"/>
    <w:tmpl w:val="24368AFC"/>
    <w:lvl w:ilvl="0" w:tplc="AA644D84">
      <w:start w:val="1"/>
      <w:numFmt w:val="bullet"/>
      <w:lvlText w:val=""/>
      <w:lvlPicBulletId w:val="1"/>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7" w15:restartNumberingAfterBreak="0">
    <w:nsid w:val="3F1C5459"/>
    <w:multiLevelType w:val="hybridMultilevel"/>
    <w:tmpl w:val="36F26FCE"/>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303F17"/>
    <w:multiLevelType w:val="hybridMultilevel"/>
    <w:tmpl w:val="4000B040"/>
    <w:lvl w:ilvl="0" w:tplc="A6C45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4C1FC0"/>
    <w:multiLevelType w:val="hybridMultilevel"/>
    <w:tmpl w:val="65444FB2"/>
    <w:lvl w:ilvl="0" w:tplc="AA644D84">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C70A48"/>
    <w:multiLevelType w:val="hybridMultilevel"/>
    <w:tmpl w:val="60F65B56"/>
    <w:lvl w:ilvl="0" w:tplc="59F6C5FA">
      <w:start w:val="5"/>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33505FE"/>
    <w:multiLevelType w:val="hybridMultilevel"/>
    <w:tmpl w:val="41F4AC88"/>
    <w:lvl w:ilvl="0" w:tplc="AA644D8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6"/>
  </w:num>
  <w:num w:numId="5">
    <w:abstractNumId w:val="4"/>
  </w:num>
  <w:num w:numId="6">
    <w:abstractNumId w:val="3"/>
  </w:num>
  <w:num w:numId="7">
    <w:abstractNumId w:val="11"/>
  </w:num>
  <w:num w:numId="8">
    <w:abstractNumId w:val="10"/>
  </w:num>
  <w:num w:numId="9">
    <w:abstractNumId w:val="8"/>
  </w:num>
  <w:num w:numId="10">
    <w:abstractNumId w:val="9"/>
  </w:num>
  <w:num w:numId="11">
    <w:abstractNumId w:val="7"/>
  </w:num>
  <w:num w:numId="12">
    <w:abstractNumId w:val="5"/>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B2"/>
    <w:rsid w:val="00000068"/>
    <w:rsid w:val="0000250A"/>
    <w:rsid w:val="00004C5D"/>
    <w:rsid w:val="0000702C"/>
    <w:rsid w:val="00016E25"/>
    <w:rsid w:val="000200DB"/>
    <w:rsid w:val="00020673"/>
    <w:rsid w:val="00022692"/>
    <w:rsid w:val="0002330D"/>
    <w:rsid w:val="0002440D"/>
    <w:rsid w:val="00026A1D"/>
    <w:rsid w:val="00026FF9"/>
    <w:rsid w:val="000302F6"/>
    <w:rsid w:val="00032714"/>
    <w:rsid w:val="00033C6B"/>
    <w:rsid w:val="000401B0"/>
    <w:rsid w:val="00040795"/>
    <w:rsid w:val="000449CB"/>
    <w:rsid w:val="0004614D"/>
    <w:rsid w:val="000467A9"/>
    <w:rsid w:val="00047055"/>
    <w:rsid w:val="00047DDB"/>
    <w:rsid w:val="00047ECA"/>
    <w:rsid w:val="00052B05"/>
    <w:rsid w:val="00053BF4"/>
    <w:rsid w:val="00065A52"/>
    <w:rsid w:val="00071449"/>
    <w:rsid w:val="00077CDF"/>
    <w:rsid w:val="0008061C"/>
    <w:rsid w:val="00090A3E"/>
    <w:rsid w:val="00095E18"/>
    <w:rsid w:val="000A0D75"/>
    <w:rsid w:val="000A2DEF"/>
    <w:rsid w:val="000A353A"/>
    <w:rsid w:val="000B5A54"/>
    <w:rsid w:val="000C0689"/>
    <w:rsid w:val="000C37F6"/>
    <w:rsid w:val="000C4A0A"/>
    <w:rsid w:val="000D057F"/>
    <w:rsid w:val="000D2D73"/>
    <w:rsid w:val="000D2D9C"/>
    <w:rsid w:val="000D3C84"/>
    <w:rsid w:val="000D5243"/>
    <w:rsid w:val="000E0645"/>
    <w:rsid w:val="000E1511"/>
    <w:rsid w:val="000F02B2"/>
    <w:rsid w:val="000F0A16"/>
    <w:rsid w:val="000F22B5"/>
    <w:rsid w:val="000F3CFB"/>
    <w:rsid w:val="000F5663"/>
    <w:rsid w:val="000F6C27"/>
    <w:rsid w:val="000F7251"/>
    <w:rsid w:val="00100FDC"/>
    <w:rsid w:val="001015E0"/>
    <w:rsid w:val="001048E0"/>
    <w:rsid w:val="00115E70"/>
    <w:rsid w:val="00120441"/>
    <w:rsid w:val="00124108"/>
    <w:rsid w:val="00124764"/>
    <w:rsid w:val="001274F7"/>
    <w:rsid w:val="00131645"/>
    <w:rsid w:val="00135C13"/>
    <w:rsid w:val="00141DBA"/>
    <w:rsid w:val="0014410F"/>
    <w:rsid w:val="00144B18"/>
    <w:rsid w:val="00144DA6"/>
    <w:rsid w:val="00146232"/>
    <w:rsid w:val="00146504"/>
    <w:rsid w:val="0014740D"/>
    <w:rsid w:val="00152FBA"/>
    <w:rsid w:val="00153111"/>
    <w:rsid w:val="001551A7"/>
    <w:rsid w:val="001616EE"/>
    <w:rsid w:val="00162C20"/>
    <w:rsid w:val="00167E4C"/>
    <w:rsid w:val="001712BA"/>
    <w:rsid w:val="00174861"/>
    <w:rsid w:val="00181303"/>
    <w:rsid w:val="00183185"/>
    <w:rsid w:val="001832B6"/>
    <w:rsid w:val="00190901"/>
    <w:rsid w:val="0019120F"/>
    <w:rsid w:val="00195B99"/>
    <w:rsid w:val="001963A1"/>
    <w:rsid w:val="00196E57"/>
    <w:rsid w:val="001A62CF"/>
    <w:rsid w:val="001B45B7"/>
    <w:rsid w:val="001C07E7"/>
    <w:rsid w:val="001C0ECE"/>
    <w:rsid w:val="001C49CB"/>
    <w:rsid w:val="001C5432"/>
    <w:rsid w:val="001D364C"/>
    <w:rsid w:val="001D5FAD"/>
    <w:rsid w:val="001E62B5"/>
    <w:rsid w:val="001E7F43"/>
    <w:rsid w:val="001F0A3E"/>
    <w:rsid w:val="001F13E7"/>
    <w:rsid w:val="001F3962"/>
    <w:rsid w:val="00200544"/>
    <w:rsid w:val="00205084"/>
    <w:rsid w:val="00207254"/>
    <w:rsid w:val="002136D7"/>
    <w:rsid w:val="00216D63"/>
    <w:rsid w:val="0021780C"/>
    <w:rsid w:val="00222E00"/>
    <w:rsid w:val="0022471D"/>
    <w:rsid w:val="00227493"/>
    <w:rsid w:val="002313A7"/>
    <w:rsid w:val="0023218E"/>
    <w:rsid w:val="00235A5B"/>
    <w:rsid w:val="00241544"/>
    <w:rsid w:val="002456B0"/>
    <w:rsid w:val="00246847"/>
    <w:rsid w:val="00247E8E"/>
    <w:rsid w:val="00252074"/>
    <w:rsid w:val="0025449D"/>
    <w:rsid w:val="00255EC4"/>
    <w:rsid w:val="0026084F"/>
    <w:rsid w:val="0026153E"/>
    <w:rsid w:val="002652DB"/>
    <w:rsid w:val="00272767"/>
    <w:rsid w:val="0027311B"/>
    <w:rsid w:val="002752D5"/>
    <w:rsid w:val="00277C4C"/>
    <w:rsid w:val="00283DCC"/>
    <w:rsid w:val="0028680F"/>
    <w:rsid w:val="002B3243"/>
    <w:rsid w:val="002B5A11"/>
    <w:rsid w:val="002B5BB5"/>
    <w:rsid w:val="002C5AAC"/>
    <w:rsid w:val="002D1782"/>
    <w:rsid w:val="002D79CB"/>
    <w:rsid w:val="002D79EE"/>
    <w:rsid w:val="002F2CAA"/>
    <w:rsid w:val="002F4D73"/>
    <w:rsid w:val="002F71A3"/>
    <w:rsid w:val="0030286C"/>
    <w:rsid w:val="0031284F"/>
    <w:rsid w:val="003220BF"/>
    <w:rsid w:val="003223E2"/>
    <w:rsid w:val="003256DE"/>
    <w:rsid w:val="00333D50"/>
    <w:rsid w:val="00337289"/>
    <w:rsid w:val="00341355"/>
    <w:rsid w:val="00342EA2"/>
    <w:rsid w:val="0034357D"/>
    <w:rsid w:val="0034378B"/>
    <w:rsid w:val="0034381D"/>
    <w:rsid w:val="00345ABD"/>
    <w:rsid w:val="00347B88"/>
    <w:rsid w:val="0035203D"/>
    <w:rsid w:val="00352180"/>
    <w:rsid w:val="003530A1"/>
    <w:rsid w:val="003549D0"/>
    <w:rsid w:val="00355F1A"/>
    <w:rsid w:val="00360C44"/>
    <w:rsid w:val="0036134E"/>
    <w:rsid w:val="00364FCA"/>
    <w:rsid w:val="0037448E"/>
    <w:rsid w:val="00374F71"/>
    <w:rsid w:val="00375B00"/>
    <w:rsid w:val="0037618E"/>
    <w:rsid w:val="00377787"/>
    <w:rsid w:val="00381193"/>
    <w:rsid w:val="003836A1"/>
    <w:rsid w:val="00384774"/>
    <w:rsid w:val="00391F22"/>
    <w:rsid w:val="00395F26"/>
    <w:rsid w:val="003A55CA"/>
    <w:rsid w:val="003A5C81"/>
    <w:rsid w:val="003A5E4A"/>
    <w:rsid w:val="003A61D2"/>
    <w:rsid w:val="003A6B5E"/>
    <w:rsid w:val="003B18E0"/>
    <w:rsid w:val="003B1BAB"/>
    <w:rsid w:val="003C3FCE"/>
    <w:rsid w:val="003C4162"/>
    <w:rsid w:val="003C79BF"/>
    <w:rsid w:val="003D5617"/>
    <w:rsid w:val="003D5691"/>
    <w:rsid w:val="003E0D12"/>
    <w:rsid w:val="003E4333"/>
    <w:rsid w:val="003E4C36"/>
    <w:rsid w:val="003E5190"/>
    <w:rsid w:val="003E71A0"/>
    <w:rsid w:val="003E7A3A"/>
    <w:rsid w:val="003F10D6"/>
    <w:rsid w:val="003F1417"/>
    <w:rsid w:val="003F3298"/>
    <w:rsid w:val="0040196E"/>
    <w:rsid w:val="00406C3D"/>
    <w:rsid w:val="00406DDA"/>
    <w:rsid w:val="004076A8"/>
    <w:rsid w:val="00412C7A"/>
    <w:rsid w:val="00412D99"/>
    <w:rsid w:val="00413C4E"/>
    <w:rsid w:val="00415CDA"/>
    <w:rsid w:val="00416CC3"/>
    <w:rsid w:val="00417966"/>
    <w:rsid w:val="00436708"/>
    <w:rsid w:val="00444142"/>
    <w:rsid w:val="004452FC"/>
    <w:rsid w:val="004518F0"/>
    <w:rsid w:val="00453226"/>
    <w:rsid w:val="0046145E"/>
    <w:rsid w:val="00461AB0"/>
    <w:rsid w:val="00463BE8"/>
    <w:rsid w:val="004660F8"/>
    <w:rsid w:val="00470683"/>
    <w:rsid w:val="0047212C"/>
    <w:rsid w:val="00473D85"/>
    <w:rsid w:val="004756CA"/>
    <w:rsid w:val="00475A84"/>
    <w:rsid w:val="00483ABF"/>
    <w:rsid w:val="00484A60"/>
    <w:rsid w:val="004856CF"/>
    <w:rsid w:val="00485D13"/>
    <w:rsid w:val="00497839"/>
    <w:rsid w:val="004A427E"/>
    <w:rsid w:val="004A60E2"/>
    <w:rsid w:val="004B360B"/>
    <w:rsid w:val="004B39EF"/>
    <w:rsid w:val="004B5A06"/>
    <w:rsid w:val="004B5C13"/>
    <w:rsid w:val="004C21D3"/>
    <w:rsid w:val="004C3E5C"/>
    <w:rsid w:val="004C740B"/>
    <w:rsid w:val="004C792C"/>
    <w:rsid w:val="004C7E3A"/>
    <w:rsid w:val="004D2478"/>
    <w:rsid w:val="004D2B7C"/>
    <w:rsid w:val="004E0D63"/>
    <w:rsid w:val="004E1A4F"/>
    <w:rsid w:val="004E63FC"/>
    <w:rsid w:val="004E7A7C"/>
    <w:rsid w:val="004F0703"/>
    <w:rsid w:val="004F6249"/>
    <w:rsid w:val="00513EC7"/>
    <w:rsid w:val="005140D7"/>
    <w:rsid w:val="0051614E"/>
    <w:rsid w:val="0051764C"/>
    <w:rsid w:val="00520912"/>
    <w:rsid w:val="005249AC"/>
    <w:rsid w:val="0052794A"/>
    <w:rsid w:val="0053007B"/>
    <w:rsid w:val="0053157A"/>
    <w:rsid w:val="00535CD6"/>
    <w:rsid w:val="0053625D"/>
    <w:rsid w:val="0054337E"/>
    <w:rsid w:val="00547E59"/>
    <w:rsid w:val="00550FCC"/>
    <w:rsid w:val="00554AE4"/>
    <w:rsid w:val="00561567"/>
    <w:rsid w:val="00561E73"/>
    <w:rsid w:val="0056329E"/>
    <w:rsid w:val="00563483"/>
    <w:rsid w:val="00563729"/>
    <w:rsid w:val="005646C3"/>
    <w:rsid w:val="00570F7A"/>
    <w:rsid w:val="005718D7"/>
    <w:rsid w:val="00574F00"/>
    <w:rsid w:val="005915F6"/>
    <w:rsid w:val="00591E4A"/>
    <w:rsid w:val="00596EDD"/>
    <w:rsid w:val="005A1673"/>
    <w:rsid w:val="005A1B1B"/>
    <w:rsid w:val="005A2346"/>
    <w:rsid w:val="005B7C64"/>
    <w:rsid w:val="005C01DB"/>
    <w:rsid w:val="005C4D90"/>
    <w:rsid w:val="005C5DC1"/>
    <w:rsid w:val="005C658E"/>
    <w:rsid w:val="005C74FB"/>
    <w:rsid w:val="005E0C13"/>
    <w:rsid w:val="005E14EF"/>
    <w:rsid w:val="005E6AD8"/>
    <w:rsid w:val="005F0168"/>
    <w:rsid w:val="005F0A2F"/>
    <w:rsid w:val="005F586A"/>
    <w:rsid w:val="0060160C"/>
    <w:rsid w:val="00604BD2"/>
    <w:rsid w:val="006205CF"/>
    <w:rsid w:val="006219DA"/>
    <w:rsid w:val="006233AE"/>
    <w:rsid w:val="006256A9"/>
    <w:rsid w:val="0062716C"/>
    <w:rsid w:val="00632B6E"/>
    <w:rsid w:val="006350B7"/>
    <w:rsid w:val="00643A29"/>
    <w:rsid w:val="00646612"/>
    <w:rsid w:val="006469F3"/>
    <w:rsid w:val="00651737"/>
    <w:rsid w:val="0065420F"/>
    <w:rsid w:val="00656CBC"/>
    <w:rsid w:val="0066692E"/>
    <w:rsid w:val="00670C8C"/>
    <w:rsid w:val="006754EF"/>
    <w:rsid w:val="006831C1"/>
    <w:rsid w:val="00683852"/>
    <w:rsid w:val="00693529"/>
    <w:rsid w:val="006A2316"/>
    <w:rsid w:val="006A30D2"/>
    <w:rsid w:val="006A42D4"/>
    <w:rsid w:val="006A64EB"/>
    <w:rsid w:val="006A6513"/>
    <w:rsid w:val="006A6D95"/>
    <w:rsid w:val="006A7B1F"/>
    <w:rsid w:val="006B577E"/>
    <w:rsid w:val="006C0613"/>
    <w:rsid w:val="006C216F"/>
    <w:rsid w:val="006C3C82"/>
    <w:rsid w:val="006C4499"/>
    <w:rsid w:val="006C4A36"/>
    <w:rsid w:val="006D0307"/>
    <w:rsid w:val="006D7EE4"/>
    <w:rsid w:val="006E01D9"/>
    <w:rsid w:val="006E749A"/>
    <w:rsid w:val="006F0AAD"/>
    <w:rsid w:val="006F7A35"/>
    <w:rsid w:val="007009D5"/>
    <w:rsid w:val="00702E60"/>
    <w:rsid w:val="007109F5"/>
    <w:rsid w:val="007160E2"/>
    <w:rsid w:val="007175CC"/>
    <w:rsid w:val="00723C9E"/>
    <w:rsid w:val="00724D28"/>
    <w:rsid w:val="007320EA"/>
    <w:rsid w:val="00743995"/>
    <w:rsid w:val="007462DD"/>
    <w:rsid w:val="00746B31"/>
    <w:rsid w:val="0075372C"/>
    <w:rsid w:val="00757000"/>
    <w:rsid w:val="0075739E"/>
    <w:rsid w:val="007601C2"/>
    <w:rsid w:val="00765F43"/>
    <w:rsid w:val="00770643"/>
    <w:rsid w:val="00771C12"/>
    <w:rsid w:val="0077256F"/>
    <w:rsid w:val="00777DE9"/>
    <w:rsid w:val="00790AF9"/>
    <w:rsid w:val="00790D71"/>
    <w:rsid w:val="00793758"/>
    <w:rsid w:val="00794A50"/>
    <w:rsid w:val="007A29CF"/>
    <w:rsid w:val="007A7474"/>
    <w:rsid w:val="007B2E5B"/>
    <w:rsid w:val="007B30CF"/>
    <w:rsid w:val="007B3E8B"/>
    <w:rsid w:val="007C562B"/>
    <w:rsid w:val="007D1395"/>
    <w:rsid w:val="007D3316"/>
    <w:rsid w:val="007D7BE3"/>
    <w:rsid w:val="007E1A62"/>
    <w:rsid w:val="007E1A7A"/>
    <w:rsid w:val="007E5B71"/>
    <w:rsid w:val="007E7BDA"/>
    <w:rsid w:val="00801472"/>
    <w:rsid w:val="00802233"/>
    <w:rsid w:val="00806A6E"/>
    <w:rsid w:val="008072B3"/>
    <w:rsid w:val="00811019"/>
    <w:rsid w:val="00811B08"/>
    <w:rsid w:val="008176A6"/>
    <w:rsid w:val="008220D7"/>
    <w:rsid w:val="00822E13"/>
    <w:rsid w:val="008234D9"/>
    <w:rsid w:val="00827F78"/>
    <w:rsid w:val="00834870"/>
    <w:rsid w:val="00841717"/>
    <w:rsid w:val="00841A00"/>
    <w:rsid w:val="008469AD"/>
    <w:rsid w:val="0085057F"/>
    <w:rsid w:val="0085543A"/>
    <w:rsid w:val="0085636B"/>
    <w:rsid w:val="00883BE5"/>
    <w:rsid w:val="008876B2"/>
    <w:rsid w:val="00890296"/>
    <w:rsid w:val="008929EF"/>
    <w:rsid w:val="00893D4A"/>
    <w:rsid w:val="008A7D3B"/>
    <w:rsid w:val="008B6B8D"/>
    <w:rsid w:val="008C4C57"/>
    <w:rsid w:val="008D3772"/>
    <w:rsid w:val="008D5F41"/>
    <w:rsid w:val="008E0D35"/>
    <w:rsid w:val="008F03C4"/>
    <w:rsid w:val="008F0A3A"/>
    <w:rsid w:val="008F0FDF"/>
    <w:rsid w:val="008F1A8D"/>
    <w:rsid w:val="008F5ED1"/>
    <w:rsid w:val="009005BB"/>
    <w:rsid w:val="00900909"/>
    <w:rsid w:val="00901E5F"/>
    <w:rsid w:val="00902A11"/>
    <w:rsid w:val="00904C1B"/>
    <w:rsid w:val="00917A1F"/>
    <w:rsid w:val="00925637"/>
    <w:rsid w:val="00925B4F"/>
    <w:rsid w:val="00931024"/>
    <w:rsid w:val="009318F3"/>
    <w:rsid w:val="00933B4C"/>
    <w:rsid w:val="009348AA"/>
    <w:rsid w:val="00941553"/>
    <w:rsid w:val="00941581"/>
    <w:rsid w:val="009417A3"/>
    <w:rsid w:val="009505E3"/>
    <w:rsid w:val="00954BE4"/>
    <w:rsid w:val="00954EA4"/>
    <w:rsid w:val="00956AEB"/>
    <w:rsid w:val="00961C65"/>
    <w:rsid w:val="00962B08"/>
    <w:rsid w:val="00967CE0"/>
    <w:rsid w:val="00967D72"/>
    <w:rsid w:val="00971688"/>
    <w:rsid w:val="00973C9C"/>
    <w:rsid w:val="0097407B"/>
    <w:rsid w:val="009769D3"/>
    <w:rsid w:val="00976AE5"/>
    <w:rsid w:val="009832A4"/>
    <w:rsid w:val="00984881"/>
    <w:rsid w:val="00990975"/>
    <w:rsid w:val="00990AB6"/>
    <w:rsid w:val="00990C33"/>
    <w:rsid w:val="00994C96"/>
    <w:rsid w:val="009A0015"/>
    <w:rsid w:val="009A150C"/>
    <w:rsid w:val="009A1DDA"/>
    <w:rsid w:val="009B165E"/>
    <w:rsid w:val="009B2880"/>
    <w:rsid w:val="009B4CF8"/>
    <w:rsid w:val="009B529F"/>
    <w:rsid w:val="009C1436"/>
    <w:rsid w:val="009C1649"/>
    <w:rsid w:val="009C6BBC"/>
    <w:rsid w:val="009C7B1E"/>
    <w:rsid w:val="009D2DD9"/>
    <w:rsid w:val="009D61D8"/>
    <w:rsid w:val="009D7EB3"/>
    <w:rsid w:val="009D7F2E"/>
    <w:rsid w:val="009E3455"/>
    <w:rsid w:val="009E5841"/>
    <w:rsid w:val="009F1F97"/>
    <w:rsid w:val="009F2E34"/>
    <w:rsid w:val="009F5AAA"/>
    <w:rsid w:val="00A0382A"/>
    <w:rsid w:val="00A06568"/>
    <w:rsid w:val="00A07909"/>
    <w:rsid w:val="00A07AF5"/>
    <w:rsid w:val="00A1364B"/>
    <w:rsid w:val="00A222AC"/>
    <w:rsid w:val="00A239A9"/>
    <w:rsid w:val="00A2528F"/>
    <w:rsid w:val="00A25618"/>
    <w:rsid w:val="00A301DD"/>
    <w:rsid w:val="00A32599"/>
    <w:rsid w:val="00A331DE"/>
    <w:rsid w:val="00A33ED2"/>
    <w:rsid w:val="00A36403"/>
    <w:rsid w:val="00A375F8"/>
    <w:rsid w:val="00A4246A"/>
    <w:rsid w:val="00A50607"/>
    <w:rsid w:val="00A526BF"/>
    <w:rsid w:val="00A5659C"/>
    <w:rsid w:val="00A61B8E"/>
    <w:rsid w:val="00A718A4"/>
    <w:rsid w:val="00A73F3F"/>
    <w:rsid w:val="00A83A56"/>
    <w:rsid w:val="00A84A48"/>
    <w:rsid w:val="00A8796B"/>
    <w:rsid w:val="00A91A9B"/>
    <w:rsid w:val="00AA1AD3"/>
    <w:rsid w:val="00AA2D83"/>
    <w:rsid w:val="00AA4B11"/>
    <w:rsid w:val="00AB0ABE"/>
    <w:rsid w:val="00AB5A48"/>
    <w:rsid w:val="00AC149D"/>
    <w:rsid w:val="00AC680F"/>
    <w:rsid w:val="00AC7031"/>
    <w:rsid w:val="00AD2FF6"/>
    <w:rsid w:val="00AD6D80"/>
    <w:rsid w:val="00AE32D7"/>
    <w:rsid w:val="00AF02EB"/>
    <w:rsid w:val="00AF218E"/>
    <w:rsid w:val="00AF32A5"/>
    <w:rsid w:val="00AF627B"/>
    <w:rsid w:val="00AF6549"/>
    <w:rsid w:val="00B0364B"/>
    <w:rsid w:val="00B044F3"/>
    <w:rsid w:val="00B057CB"/>
    <w:rsid w:val="00B1253D"/>
    <w:rsid w:val="00B13AD7"/>
    <w:rsid w:val="00B144A5"/>
    <w:rsid w:val="00B14C7B"/>
    <w:rsid w:val="00B17F38"/>
    <w:rsid w:val="00B20C0F"/>
    <w:rsid w:val="00B305DD"/>
    <w:rsid w:val="00B352C0"/>
    <w:rsid w:val="00B529FF"/>
    <w:rsid w:val="00B56352"/>
    <w:rsid w:val="00B5699D"/>
    <w:rsid w:val="00B654C0"/>
    <w:rsid w:val="00B67FA2"/>
    <w:rsid w:val="00B7117C"/>
    <w:rsid w:val="00B725B8"/>
    <w:rsid w:val="00B7453A"/>
    <w:rsid w:val="00B80784"/>
    <w:rsid w:val="00B82CC0"/>
    <w:rsid w:val="00B842CF"/>
    <w:rsid w:val="00B86CD2"/>
    <w:rsid w:val="00BA4C51"/>
    <w:rsid w:val="00BA54C2"/>
    <w:rsid w:val="00BA7223"/>
    <w:rsid w:val="00BB55B0"/>
    <w:rsid w:val="00BB5FFF"/>
    <w:rsid w:val="00BB66BB"/>
    <w:rsid w:val="00BC1DB0"/>
    <w:rsid w:val="00BC6A56"/>
    <w:rsid w:val="00BD3DF5"/>
    <w:rsid w:val="00BD4A9E"/>
    <w:rsid w:val="00BD4F6E"/>
    <w:rsid w:val="00BE52F3"/>
    <w:rsid w:val="00BE68CD"/>
    <w:rsid w:val="00BE7047"/>
    <w:rsid w:val="00BE7255"/>
    <w:rsid w:val="00BF01F5"/>
    <w:rsid w:val="00BF08C1"/>
    <w:rsid w:val="00BF3DBE"/>
    <w:rsid w:val="00BF3F82"/>
    <w:rsid w:val="00BF557E"/>
    <w:rsid w:val="00C0265F"/>
    <w:rsid w:val="00C02989"/>
    <w:rsid w:val="00C02ADF"/>
    <w:rsid w:val="00C05C6E"/>
    <w:rsid w:val="00C05F20"/>
    <w:rsid w:val="00C060B9"/>
    <w:rsid w:val="00C12FE5"/>
    <w:rsid w:val="00C227BE"/>
    <w:rsid w:val="00C25E98"/>
    <w:rsid w:val="00C31F9B"/>
    <w:rsid w:val="00C326DD"/>
    <w:rsid w:val="00C36A3A"/>
    <w:rsid w:val="00C46EF1"/>
    <w:rsid w:val="00C57C6F"/>
    <w:rsid w:val="00C65FC5"/>
    <w:rsid w:val="00C71377"/>
    <w:rsid w:val="00C773FD"/>
    <w:rsid w:val="00C95495"/>
    <w:rsid w:val="00CA11C5"/>
    <w:rsid w:val="00CA1FF0"/>
    <w:rsid w:val="00CA722F"/>
    <w:rsid w:val="00CB2499"/>
    <w:rsid w:val="00CB2785"/>
    <w:rsid w:val="00CB65E7"/>
    <w:rsid w:val="00CB6D6C"/>
    <w:rsid w:val="00CC3142"/>
    <w:rsid w:val="00CC4021"/>
    <w:rsid w:val="00CD6E1B"/>
    <w:rsid w:val="00CE0AAA"/>
    <w:rsid w:val="00CE1E32"/>
    <w:rsid w:val="00CE43A8"/>
    <w:rsid w:val="00CE6190"/>
    <w:rsid w:val="00CE75D5"/>
    <w:rsid w:val="00CF325D"/>
    <w:rsid w:val="00D001DB"/>
    <w:rsid w:val="00D01F89"/>
    <w:rsid w:val="00D05FA5"/>
    <w:rsid w:val="00D10882"/>
    <w:rsid w:val="00D1724E"/>
    <w:rsid w:val="00D1755C"/>
    <w:rsid w:val="00D21232"/>
    <w:rsid w:val="00D23563"/>
    <w:rsid w:val="00D2461E"/>
    <w:rsid w:val="00D24B74"/>
    <w:rsid w:val="00D25D1E"/>
    <w:rsid w:val="00D33380"/>
    <w:rsid w:val="00D3350E"/>
    <w:rsid w:val="00D438E9"/>
    <w:rsid w:val="00D46714"/>
    <w:rsid w:val="00D4753B"/>
    <w:rsid w:val="00D55EB5"/>
    <w:rsid w:val="00D61324"/>
    <w:rsid w:val="00D631CC"/>
    <w:rsid w:val="00D67951"/>
    <w:rsid w:val="00D70FFA"/>
    <w:rsid w:val="00D7253E"/>
    <w:rsid w:val="00D74601"/>
    <w:rsid w:val="00D836EF"/>
    <w:rsid w:val="00D85775"/>
    <w:rsid w:val="00D930A9"/>
    <w:rsid w:val="00D956D2"/>
    <w:rsid w:val="00D97EF9"/>
    <w:rsid w:val="00DA7486"/>
    <w:rsid w:val="00DA75A9"/>
    <w:rsid w:val="00DB1A75"/>
    <w:rsid w:val="00DB52E9"/>
    <w:rsid w:val="00DB5307"/>
    <w:rsid w:val="00DE07FC"/>
    <w:rsid w:val="00DE364B"/>
    <w:rsid w:val="00DE5408"/>
    <w:rsid w:val="00DF323D"/>
    <w:rsid w:val="00DF7C00"/>
    <w:rsid w:val="00E1247F"/>
    <w:rsid w:val="00E12B1A"/>
    <w:rsid w:val="00E1322B"/>
    <w:rsid w:val="00E21B76"/>
    <w:rsid w:val="00E41BEC"/>
    <w:rsid w:val="00E43106"/>
    <w:rsid w:val="00E5462D"/>
    <w:rsid w:val="00E664A9"/>
    <w:rsid w:val="00E66846"/>
    <w:rsid w:val="00E719EF"/>
    <w:rsid w:val="00E72C72"/>
    <w:rsid w:val="00E74D60"/>
    <w:rsid w:val="00E750B6"/>
    <w:rsid w:val="00E838E6"/>
    <w:rsid w:val="00E84BCE"/>
    <w:rsid w:val="00E924EF"/>
    <w:rsid w:val="00EA0FD2"/>
    <w:rsid w:val="00EA1027"/>
    <w:rsid w:val="00EB1F5F"/>
    <w:rsid w:val="00EB204B"/>
    <w:rsid w:val="00EB5F00"/>
    <w:rsid w:val="00EB61B2"/>
    <w:rsid w:val="00EC5048"/>
    <w:rsid w:val="00EC5B11"/>
    <w:rsid w:val="00EC677C"/>
    <w:rsid w:val="00ED4ED1"/>
    <w:rsid w:val="00EE04EB"/>
    <w:rsid w:val="00EE20F1"/>
    <w:rsid w:val="00EE3C20"/>
    <w:rsid w:val="00EF3A76"/>
    <w:rsid w:val="00EF4390"/>
    <w:rsid w:val="00EF50AC"/>
    <w:rsid w:val="00F000BD"/>
    <w:rsid w:val="00F0704B"/>
    <w:rsid w:val="00F07996"/>
    <w:rsid w:val="00F10784"/>
    <w:rsid w:val="00F109A0"/>
    <w:rsid w:val="00F16D98"/>
    <w:rsid w:val="00F20DF6"/>
    <w:rsid w:val="00F222E8"/>
    <w:rsid w:val="00F22E36"/>
    <w:rsid w:val="00F23B80"/>
    <w:rsid w:val="00F23BD7"/>
    <w:rsid w:val="00F243B1"/>
    <w:rsid w:val="00F245CD"/>
    <w:rsid w:val="00F2504E"/>
    <w:rsid w:val="00F279CA"/>
    <w:rsid w:val="00F27CB0"/>
    <w:rsid w:val="00F307A7"/>
    <w:rsid w:val="00F30A2C"/>
    <w:rsid w:val="00F358D1"/>
    <w:rsid w:val="00F35E2B"/>
    <w:rsid w:val="00F40147"/>
    <w:rsid w:val="00F422E6"/>
    <w:rsid w:val="00F43FB5"/>
    <w:rsid w:val="00F446FB"/>
    <w:rsid w:val="00F45DA6"/>
    <w:rsid w:val="00F47130"/>
    <w:rsid w:val="00F513D9"/>
    <w:rsid w:val="00F53FF2"/>
    <w:rsid w:val="00F5684C"/>
    <w:rsid w:val="00F57644"/>
    <w:rsid w:val="00F62A7C"/>
    <w:rsid w:val="00F71997"/>
    <w:rsid w:val="00F73923"/>
    <w:rsid w:val="00F8258D"/>
    <w:rsid w:val="00F920A1"/>
    <w:rsid w:val="00F931F3"/>
    <w:rsid w:val="00F95BEE"/>
    <w:rsid w:val="00F95EE9"/>
    <w:rsid w:val="00F96677"/>
    <w:rsid w:val="00FA0139"/>
    <w:rsid w:val="00FA377A"/>
    <w:rsid w:val="00FA5D07"/>
    <w:rsid w:val="00FB31C5"/>
    <w:rsid w:val="00FB32A8"/>
    <w:rsid w:val="00FB4BBF"/>
    <w:rsid w:val="00FB7457"/>
    <w:rsid w:val="00FC3BD8"/>
    <w:rsid w:val="00FC70AB"/>
    <w:rsid w:val="00FD0975"/>
    <w:rsid w:val="00FD588F"/>
    <w:rsid w:val="00FE11BD"/>
    <w:rsid w:val="00FE1478"/>
    <w:rsid w:val="00FF20A2"/>
    <w:rsid w:val="00FF5B42"/>
    <w:rsid w:val="00FF5F43"/>
    <w:rsid w:val="00FF72DE"/>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14:docId w14:val="2F9433E3"/>
  <w15:docId w15:val="{C0FCA225-5D15-49C1-970A-A3552D5F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E719EF"/>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E719EF"/>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2"/>
      </w:numPr>
    </w:pPr>
  </w:style>
  <w:style w:type="numbering" w:customStyle="1" w:styleId="Listanumeradaurbana">
    <w:name w:val="Lista numerada urbana"/>
    <w:uiPriority w:val="99"/>
    <w:pPr>
      <w:numPr>
        <w:numId w:val="3"/>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4"/>
      </w:numPr>
      <w:spacing w:after="0"/>
    </w:pPr>
  </w:style>
  <w:style w:type="paragraph" w:customStyle="1" w:styleId="Vieta2">
    <w:name w:val="Viñeta 2"/>
    <w:basedOn w:val="Prrafodelista"/>
    <w:uiPriority w:val="38"/>
    <w:qFormat/>
    <w:pPr>
      <w:numPr>
        <w:ilvl w:val="1"/>
        <w:numId w:val="4"/>
      </w:numPr>
      <w:spacing w:after="0"/>
    </w:pPr>
  </w:style>
  <w:style w:type="paragraph" w:customStyle="1" w:styleId="Vieta3">
    <w:name w:val="Viñeta 3"/>
    <w:basedOn w:val="Prrafodelista"/>
    <w:uiPriority w:val="38"/>
    <w:qFormat/>
    <w:pPr>
      <w:numPr>
        <w:ilvl w:val="2"/>
        <w:numId w:val="4"/>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Descripcin">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paragraph" w:styleId="Listaconvietas">
    <w:name w:val="List Bullet"/>
    <w:basedOn w:val="Normal"/>
    <w:uiPriority w:val="99"/>
    <w:unhideWhenUsed/>
    <w:rsid w:val="00D74601"/>
    <w:pPr>
      <w:numPr>
        <w:numId w:val="1"/>
      </w:numPr>
      <w:contextualSpacing/>
    </w:pPr>
  </w:style>
  <w:style w:type="table" w:styleId="Listaclara-nfasis2">
    <w:name w:val="Light List Accent 2"/>
    <w:basedOn w:val="Tablanormal"/>
    <w:uiPriority w:val="42"/>
    <w:rsid w:val="00141DBA"/>
    <w:pPr>
      <w:spacing w:after="0" w:line="240" w:lineRule="auto"/>
    </w:pPr>
    <w:tblPr>
      <w:tblStyleRowBandSize w:val="1"/>
      <w:tblStyleColBandSize w:val="1"/>
      <w:tblBorders>
        <w:top w:val="single" w:sz="8" w:space="0" w:color="438086" w:themeColor="accent2"/>
        <w:left w:val="single" w:sz="8" w:space="0" w:color="438086" w:themeColor="accent2"/>
        <w:bottom w:val="single" w:sz="8" w:space="0" w:color="438086" w:themeColor="accent2"/>
        <w:right w:val="single" w:sz="8" w:space="0" w:color="438086" w:themeColor="accent2"/>
      </w:tblBorders>
    </w:tblPr>
    <w:tblStylePr w:type="firstRow">
      <w:pPr>
        <w:spacing w:before="0" w:after="0" w:line="240" w:lineRule="auto"/>
      </w:pPr>
      <w:rPr>
        <w:b/>
        <w:bCs/>
        <w:color w:val="FFFFFF" w:themeColor="background1"/>
      </w:rPr>
      <w:tblPr/>
      <w:tcPr>
        <w:shd w:val="clear" w:color="auto" w:fill="438086" w:themeFill="accent2"/>
      </w:tcPr>
    </w:tblStylePr>
    <w:tblStylePr w:type="lastRow">
      <w:pPr>
        <w:spacing w:before="0" w:after="0" w:line="240" w:lineRule="auto"/>
      </w:pPr>
      <w:rPr>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tcBorders>
      </w:tcPr>
    </w:tblStylePr>
    <w:tblStylePr w:type="firstCol">
      <w:rPr>
        <w:b/>
        <w:bCs/>
      </w:rPr>
    </w:tblStylePr>
    <w:tblStylePr w:type="lastCol">
      <w:rPr>
        <w:b/>
        <w:bCs/>
      </w:r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style>
  <w:style w:type="paragraph" w:styleId="Textonotaalfinal">
    <w:name w:val="endnote text"/>
    <w:basedOn w:val="Normal"/>
    <w:link w:val="TextonotaalfinalCar"/>
    <w:uiPriority w:val="99"/>
    <w:semiHidden/>
    <w:unhideWhenUsed/>
    <w:rsid w:val="00360C44"/>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360C44"/>
    <w:rPr>
      <w:rFonts w:ascii="Century Gothic" w:hAnsi="Century Gothic"/>
      <w:sz w:val="20"/>
      <w:szCs w:val="20"/>
    </w:rPr>
  </w:style>
  <w:style w:type="character" w:styleId="Refdenotaalfinal">
    <w:name w:val="endnote reference"/>
    <w:basedOn w:val="Fuentedeprrafopredeter"/>
    <w:uiPriority w:val="99"/>
    <w:semiHidden/>
    <w:unhideWhenUsed/>
    <w:rsid w:val="00360C44"/>
    <w:rPr>
      <w:vertAlign w:val="superscript"/>
    </w:rPr>
  </w:style>
  <w:style w:type="table" w:styleId="Cuadrculamedia3-nfasis2">
    <w:name w:val="Medium Grid 3 Accent 2"/>
    <w:basedOn w:val="Tablanormal"/>
    <w:uiPriority w:val="42"/>
    <w:rsid w:val="00AB5A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 w:type="table" w:customStyle="1" w:styleId="Sombreadomedio1-nfasis51">
    <w:name w:val="Sombreado medio 1 - Énfasis 51"/>
    <w:basedOn w:val="Tablanormal"/>
    <w:next w:val="Sombreadomedio1-nfasis5"/>
    <w:uiPriority w:val="63"/>
    <w:rsid w:val="00632B6E"/>
    <w:pPr>
      <w:spacing w:after="0" w:line="240" w:lineRule="auto"/>
    </w:pPr>
    <w:rPr>
      <w:lang w:eastAsia="en-US"/>
    </w:rPr>
    <w:tblPr>
      <w:tblStyleRowBandSize w:val="1"/>
      <w:tblStyleColBandSize w:val="1"/>
      <w:tblBorders>
        <w:top w:val="single" w:sz="8" w:space="0" w:color="226860"/>
        <w:left w:val="single" w:sz="8" w:space="0" w:color="226860"/>
        <w:bottom w:val="single" w:sz="8" w:space="0" w:color="226860"/>
        <w:right w:val="single" w:sz="8" w:space="0" w:color="226860"/>
        <w:insideH w:val="single" w:sz="8" w:space="0" w:color="226860"/>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5">
    <w:name w:val="Medium Shading 1 Accent 5"/>
    <w:basedOn w:val="Tablanormal"/>
    <w:uiPriority w:val="45"/>
    <w:rsid w:val="00632B6E"/>
    <w:pPr>
      <w:spacing w:after="0" w:line="240" w:lineRule="auto"/>
    </w:pPr>
    <w:tblPr>
      <w:tblStyleRowBandSize w:val="1"/>
      <w:tblStyleColBandSize w:val="1"/>
      <w:tbl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single" w:sz="8" w:space="0" w:color="B8825D" w:themeColor="accent5" w:themeTint="BF"/>
      </w:tblBorders>
    </w:tblPr>
    <w:tblStylePr w:type="firstRow">
      <w:pPr>
        <w:spacing w:before="0" w:after="0" w:line="240" w:lineRule="auto"/>
      </w:pPr>
      <w:rPr>
        <w:b/>
        <w:bCs/>
        <w:color w:val="FFFFFF" w:themeColor="background1"/>
      </w:rPr>
      <w:tblPr/>
      <w:tcPr>
        <w:tc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shd w:val="clear" w:color="auto" w:fill="8B5D3D" w:themeFill="accent5"/>
      </w:tcPr>
    </w:tblStylePr>
    <w:tblStylePr w:type="lastRow">
      <w:pPr>
        <w:spacing w:before="0" w:after="0" w:line="240" w:lineRule="auto"/>
      </w:pPr>
      <w:rPr>
        <w:b/>
        <w:bCs/>
      </w:rPr>
      <w:tblPr/>
      <w:tcPr>
        <w:tcBorders>
          <w:top w:val="double" w:sz="6"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5C9" w:themeFill="accent5" w:themeFillTint="3F"/>
      </w:tcPr>
    </w:tblStylePr>
    <w:tblStylePr w:type="band1Horz">
      <w:tblPr/>
      <w:tcPr>
        <w:tcBorders>
          <w:insideH w:val="nil"/>
          <w:insideV w:val="nil"/>
        </w:tcBorders>
        <w:shd w:val="clear" w:color="auto" w:fill="E7D5C9" w:themeFill="accent5" w:themeFillTint="3F"/>
      </w:tcPr>
    </w:tblStylePr>
    <w:tblStylePr w:type="band2Horz">
      <w:tblPr/>
      <w:tcPr>
        <w:tcBorders>
          <w:insideH w:val="nil"/>
          <w:insideV w:val="nil"/>
        </w:tcBorders>
      </w:tcPr>
    </w:tblStylePr>
  </w:style>
  <w:style w:type="table" w:styleId="Tabladelista3-nfasis2">
    <w:name w:val="List Table 3 Accent 2"/>
    <w:basedOn w:val="Tablanormal"/>
    <w:uiPriority w:val="48"/>
    <w:rsid w:val="00153111"/>
    <w:pPr>
      <w:spacing w:after="0" w:line="240" w:lineRule="auto"/>
    </w:pPr>
    <w:tblPr>
      <w:tblStyleRowBandSize w:val="1"/>
      <w:tblStyleColBandSize w:val="1"/>
      <w:tblBorders>
        <w:top w:val="single" w:sz="4" w:space="0" w:color="438086" w:themeColor="accent2"/>
        <w:left w:val="single" w:sz="4" w:space="0" w:color="438086" w:themeColor="accent2"/>
        <w:bottom w:val="single" w:sz="4" w:space="0" w:color="438086" w:themeColor="accent2"/>
        <w:right w:val="single" w:sz="4" w:space="0" w:color="438086" w:themeColor="accent2"/>
      </w:tblBorders>
    </w:tblPr>
    <w:tblStylePr w:type="firstRow">
      <w:rPr>
        <w:b/>
        <w:bCs/>
        <w:color w:val="FFFFFF" w:themeColor="background1"/>
      </w:rPr>
      <w:tblPr/>
      <w:tcPr>
        <w:shd w:val="clear" w:color="auto" w:fill="438086" w:themeFill="accent2"/>
      </w:tcPr>
    </w:tblStylePr>
    <w:tblStylePr w:type="lastRow">
      <w:rPr>
        <w:b/>
        <w:bCs/>
      </w:rPr>
      <w:tblPr/>
      <w:tcPr>
        <w:tcBorders>
          <w:top w:val="double" w:sz="4" w:space="0" w:color="4380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8086" w:themeColor="accent2"/>
          <w:right w:val="single" w:sz="4" w:space="0" w:color="438086" w:themeColor="accent2"/>
        </w:tcBorders>
      </w:tcPr>
    </w:tblStylePr>
    <w:tblStylePr w:type="band1Horz">
      <w:tblPr/>
      <w:tcPr>
        <w:tcBorders>
          <w:top w:val="single" w:sz="4" w:space="0" w:color="438086" w:themeColor="accent2"/>
          <w:bottom w:val="single" w:sz="4" w:space="0" w:color="4380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8086" w:themeColor="accent2"/>
          <w:left w:val="nil"/>
        </w:tcBorders>
      </w:tcPr>
    </w:tblStylePr>
    <w:tblStylePr w:type="swCell">
      <w:tblPr/>
      <w:tcPr>
        <w:tcBorders>
          <w:top w:val="double" w:sz="4" w:space="0" w:color="438086"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9456">
      <w:bodyDiv w:val="1"/>
      <w:marLeft w:val="0"/>
      <w:marRight w:val="0"/>
      <w:marTop w:val="0"/>
      <w:marBottom w:val="0"/>
      <w:divBdr>
        <w:top w:val="none" w:sz="0" w:space="0" w:color="auto"/>
        <w:left w:val="none" w:sz="0" w:space="0" w:color="auto"/>
        <w:bottom w:val="none" w:sz="0" w:space="0" w:color="auto"/>
        <w:right w:val="none" w:sz="0" w:space="0" w:color="auto"/>
      </w:divBdr>
    </w:div>
    <w:div w:id="259800059">
      <w:bodyDiv w:val="1"/>
      <w:marLeft w:val="0"/>
      <w:marRight w:val="0"/>
      <w:marTop w:val="0"/>
      <w:marBottom w:val="0"/>
      <w:divBdr>
        <w:top w:val="none" w:sz="0" w:space="0" w:color="auto"/>
        <w:left w:val="none" w:sz="0" w:space="0" w:color="auto"/>
        <w:bottom w:val="none" w:sz="0" w:space="0" w:color="auto"/>
        <w:right w:val="none" w:sz="0" w:space="0" w:color="auto"/>
      </w:divBdr>
    </w:div>
    <w:div w:id="316766114">
      <w:bodyDiv w:val="1"/>
      <w:marLeft w:val="0"/>
      <w:marRight w:val="0"/>
      <w:marTop w:val="0"/>
      <w:marBottom w:val="0"/>
      <w:divBdr>
        <w:top w:val="none" w:sz="0" w:space="0" w:color="auto"/>
        <w:left w:val="none" w:sz="0" w:space="0" w:color="auto"/>
        <w:bottom w:val="none" w:sz="0" w:space="0" w:color="auto"/>
        <w:right w:val="none" w:sz="0" w:space="0" w:color="auto"/>
      </w:divBdr>
    </w:div>
    <w:div w:id="328563262">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446237854">
      <w:bodyDiv w:val="1"/>
      <w:marLeft w:val="0"/>
      <w:marRight w:val="0"/>
      <w:marTop w:val="0"/>
      <w:marBottom w:val="0"/>
      <w:divBdr>
        <w:top w:val="none" w:sz="0" w:space="0" w:color="auto"/>
        <w:left w:val="none" w:sz="0" w:space="0" w:color="auto"/>
        <w:bottom w:val="none" w:sz="0" w:space="0" w:color="auto"/>
        <w:right w:val="none" w:sz="0" w:space="0" w:color="auto"/>
      </w:divBdr>
    </w:div>
    <w:div w:id="498038257">
      <w:bodyDiv w:val="1"/>
      <w:marLeft w:val="0"/>
      <w:marRight w:val="0"/>
      <w:marTop w:val="0"/>
      <w:marBottom w:val="0"/>
      <w:divBdr>
        <w:top w:val="none" w:sz="0" w:space="0" w:color="auto"/>
        <w:left w:val="none" w:sz="0" w:space="0" w:color="auto"/>
        <w:bottom w:val="none" w:sz="0" w:space="0" w:color="auto"/>
        <w:right w:val="none" w:sz="0" w:space="0" w:color="auto"/>
      </w:divBdr>
    </w:div>
    <w:div w:id="500042847">
      <w:bodyDiv w:val="1"/>
      <w:marLeft w:val="0"/>
      <w:marRight w:val="0"/>
      <w:marTop w:val="0"/>
      <w:marBottom w:val="0"/>
      <w:divBdr>
        <w:top w:val="none" w:sz="0" w:space="0" w:color="auto"/>
        <w:left w:val="none" w:sz="0" w:space="0" w:color="auto"/>
        <w:bottom w:val="none" w:sz="0" w:space="0" w:color="auto"/>
        <w:right w:val="none" w:sz="0" w:space="0" w:color="auto"/>
      </w:divBdr>
    </w:div>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1011882995">
      <w:bodyDiv w:val="1"/>
      <w:marLeft w:val="0"/>
      <w:marRight w:val="0"/>
      <w:marTop w:val="0"/>
      <w:marBottom w:val="0"/>
      <w:divBdr>
        <w:top w:val="none" w:sz="0" w:space="0" w:color="auto"/>
        <w:left w:val="none" w:sz="0" w:space="0" w:color="auto"/>
        <w:bottom w:val="none" w:sz="0" w:space="0" w:color="auto"/>
        <w:right w:val="none" w:sz="0" w:space="0" w:color="auto"/>
      </w:divBdr>
    </w:div>
    <w:div w:id="1217160110">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 w:id="2056195303">
      <w:bodyDiv w:val="1"/>
      <w:marLeft w:val="0"/>
      <w:marRight w:val="0"/>
      <w:marTop w:val="0"/>
      <w:marBottom w:val="0"/>
      <w:divBdr>
        <w:top w:val="none" w:sz="0" w:space="0" w:color="auto"/>
        <w:left w:val="none" w:sz="0" w:space="0" w:color="auto"/>
        <w:bottom w:val="none" w:sz="0" w:space="0" w:color="auto"/>
        <w:right w:val="none" w:sz="0" w:space="0" w:color="auto"/>
      </w:divBdr>
    </w:div>
    <w:div w:id="20692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DSIC.ES\sscc\550Grupos\ctbg-sgtbg\14%20MEMORIA\MEMORIA%202024\Sector%20P&#250;blico%20Institucional\Gr&#225;ficos%20informe.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DSIC.ES\sscc\550Grupos\ctbg-sgtbg\14%20MEMORIA\MEMORIA%202024\Sector%20P&#250;blico%20Institucional\Tablas%20cumplimiento%20SPI%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IC.ES\sscc\550Grupos\ctbg-sgtbg\14%20MEMORIA\MEMORIA%202024\Sector%20P&#250;blico%20Institucional\Gr&#225;ficos%20informe.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Hoja1!$O$3:$O$9</c:f>
              <c:strCache>
                <c:ptCount val="7"/>
                <c:pt idx="0">
                  <c:v>0%</c:v>
                </c:pt>
                <c:pt idx="1">
                  <c:v>1-19,9%</c:v>
                </c:pt>
                <c:pt idx="2">
                  <c:v>20-39,9%</c:v>
                </c:pt>
                <c:pt idx="3">
                  <c:v>40-59,9%</c:v>
                </c:pt>
                <c:pt idx="4">
                  <c:v>60-79,9%</c:v>
                </c:pt>
                <c:pt idx="5">
                  <c:v>80-99,9%</c:v>
                </c:pt>
                <c:pt idx="6">
                  <c:v>100%</c:v>
                </c:pt>
              </c:strCache>
            </c:strRef>
          </c:cat>
          <c:val>
            <c:numRef>
              <c:f>Hoja1!$P$3:$P$9</c:f>
              <c:numCache>
                <c:formatCode>0.0%</c:formatCode>
                <c:ptCount val="7"/>
                <c:pt idx="0">
                  <c:v>0.14035087719298245</c:v>
                </c:pt>
                <c:pt idx="1">
                  <c:v>0.14035087719298245</c:v>
                </c:pt>
                <c:pt idx="2">
                  <c:v>0.12280701754385964</c:v>
                </c:pt>
                <c:pt idx="3">
                  <c:v>7.0175438596491224E-2</c:v>
                </c:pt>
                <c:pt idx="4">
                  <c:v>0.24561403508771928</c:v>
                </c:pt>
                <c:pt idx="5">
                  <c:v>0.22807017543859648</c:v>
                </c:pt>
                <c:pt idx="6">
                  <c:v>5.2631578947368418E-2</c:v>
                </c:pt>
              </c:numCache>
            </c:numRef>
          </c:val>
          <c:extLst>
            <c:ext xmlns:c16="http://schemas.microsoft.com/office/drawing/2014/chart" uri="{C3380CC4-5D6E-409C-BE32-E72D297353CC}">
              <c16:uniqueId val="{00000000-7314-424C-BB70-9B7E0AE74846}"/>
            </c:ext>
          </c:extLst>
        </c:ser>
        <c:dLbls>
          <c:showLegendKey val="0"/>
          <c:showVal val="0"/>
          <c:showCatName val="0"/>
          <c:showSerName val="0"/>
          <c:showPercent val="0"/>
          <c:showBubbleSize val="0"/>
        </c:dLbls>
        <c:gapWidth val="150"/>
        <c:axId val="162513280"/>
        <c:axId val="165721600"/>
      </c:barChart>
      <c:catAx>
        <c:axId val="162513280"/>
        <c:scaling>
          <c:orientation val="minMax"/>
        </c:scaling>
        <c:delete val="0"/>
        <c:axPos val="b"/>
        <c:title>
          <c:tx>
            <c:rich>
              <a:bodyPr/>
              <a:lstStyle/>
              <a:p>
                <a:pPr>
                  <a:defRPr/>
                </a:pPr>
                <a:r>
                  <a:rPr lang="es-ES"/>
                  <a:t>% de recomendaciones aplicadas</a:t>
                </a:r>
              </a:p>
            </c:rich>
          </c:tx>
          <c:overlay val="0"/>
        </c:title>
        <c:numFmt formatCode="General" sourceLinked="0"/>
        <c:majorTickMark val="out"/>
        <c:minorTickMark val="none"/>
        <c:tickLblPos val="nextTo"/>
        <c:crossAx val="165721600"/>
        <c:crosses val="autoZero"/>
        <c:auto val="1"/>
        <c:lblAlgn val="ctr"/>
        <c:lblOffset val="100"/>
        <c:noMultiLvlLbl val="0"/>
      </c:catAx>
      <c:valAx>
        <c:axId val="165721600"/>
        <c:scaling>
          <c:orientation val="minMax"/>
        </c:scaling>
        <c:delete val="1"/>
        <c:axPos val="l"/>
        <c:title>
          <c:tx>
            <c:rich>
              <a:bodyPr rot="-5400000" vert="horz"/>
              <a:lstStyle/>
              <a:p>
                <a:pPr>
                  <a:defRPr/>
                </a:pPr>
                <a:r>
                  <a:rPr lang="es-ES" b="1"/>
                  <a:t>% d</a:t>
                </a:r>
                <a:r>
                  <a:rPr lang="es-ES"/>
                  <a:t>e entidades</a:t>
                </a:r>
              </a:p>
            </c:rich>
          </c:tx>
          <c:layout>
            <c:manualLayout>
              <c:xMode val="edge"/>
              <c:yMode val="edge"/>
              <c:x val="3.6111111111111108E-2"/>
              <c:y val="0.26545895304753575"/>
            </c:manualLayout>
          </c:layout>
          <c:overlay val="0"/>
        </c:title>
        <c:numFmt formatCode="#,##0" sourceLinked="0"/>
        <c:majorTickMark val="out"/>
        <c:minorTickMark val="none"/>
        <c:tickLblPos val="nextTo"/>
        <c:crossAx val="162513280"/>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wdDn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SPI'!$B$29:$I$29</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'Total SPI'!$B$30:$I$30</c:f>
              <c:numCache>
                <c:formatCode>0.0%</c:formatCode>
                <c:ptCount val="8"/>
                <c:pt idx="0">
                  <c:v>0.46237156398104262</c:v>
                </c:pt>
                <c:pt idx="1">
                  <c:v>0.44955671406003156</c:v>
                </c:pt>
                <c:pt idx="2">
                  <c:v>0.48668151658767772</c:v>
                </c:pt>
                <c:pt idx="3">
                  <c:v>0.4476609794628752</c:v>
                </c:pt>
                <c:pt idx="4">
                  <c:v>0.48731342812006317</c:v>
                </c:pt>
                <c:pt idx="5">
                  <c:v>0.47104170616113744</c:v>
                </c:pt>
                <c:pt idx="6">
                  <c:v>0.35476998420221167</c:v>
                </c:pt>
                <c:pt idx="7">
                  <c:v>0.45134227036786279</c:v>
                </c:pt>
              </c:numCache>
            </c:numRef>
          </c:val>
          <c:extLst>
            <c:ext xmlns:c16="http://schemas.microsoft.com/office/drawing/2014/chart" uri="{C3380CC4-5D6E-409C-BE32-E72D297353CC}">
              <c16:uniqueId val="{00000000-69E7-4685-A4AC-CA7E624E26D7}"/>
            </c:ext>
          </c:extLst>
        </c:ser>
        <c:dLbls>
          <c:showLegendKey val="0"/>
          <c:showVal val="0"/>
          <c:showCatName val="0"/>
          <c:showSerName val="0"/>
          <c:showPercent val="0"/>
          <c:showBubbleSize val="0"/>
        </c:dLbls>
        <c:gapWidth val="150"/>
        <c:axId val="235841024"/>
        <c:axId val="235842560"/>
      </c:barChart>
      <c:catAx>
        <c:axId val="235841024"/>
        <c:scaling>
          <c:orientation val="minMax"/>
        </c:scaling>
        <c:delete val="0"/>
        <c:axPos val="b"/>
        <c:numFmt formatCode="General" sourceLinked="0"/>
        <c:majorTickMark val="out"/>
        <c:minorTickMark val="none"/>
        <c:tickLblPos val="nextTo"/>
        <c:crossAx val="235842560"/>
        <c:crosses val="autoZero"/>
        <c:auto val="1"/>
        <c:lblAlgn val="ctr"/>
        <c:lblOffset val="100"/>
        <c:noMultiLvlLbl val="0"/>
      </c:catAx>
      <c:valAx>
        <c:axId val="235842560"/>
        <c:scaling>
          <c:orientation val="minMax"/>
          <c:max val="1"/>
        </c:scaling>
        <c:delete val="0"/>
        <c:axPos val="l"/>
        <c:numFmt formatCode="0%" sourceLinked="0"/>
        <c:majorTickMark val="out"/>
        <c:minorTickMark val="none"/>
        <c:tickLblPos val="nextTo"/>
        <c:crossAx val="235841024"/>
        <c:crosses val="autoZero"/>
        <c:crossBetween val="between"/>
        <c:majorUnit val="0.2"/>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rgbClr val="438086"/>
              </a:solidFill>
            </c:spPr>
            <c:extLst>
              <c:ext xmlns:c16="http://schemas.microsoft.com/office/drawing/2014/chart" uri="{C3380CC4-5D6E-409C-BE32-E72D297353CC}">
                <c16:uniqueId val="{00000002-2D66-4A76-A294-07F67D3DA55B}"/>
              </c:ext>
            </c:extLst>
          </c:dPt>
          <c:dPt>
            <c:idx val="1"/>
            <c:invertIfNegative val="0"/>
            <c:bubble3D val="0"/>
            <c:spPr>
              <a:solidFill>
                <a:srgbClr val="438086">
                  <a:lumMod val="60000"/>
                  <a:lumOff val="40000"/>
                </a:srgbClr>
              </a:solidFill>
            </c:spPr>
            <c:extLst>
              <c:ext xmlns:c16="http://schemas.microsoft.com/office/drawing/2014/chart" uri="{C3380CC4-5D6E-409C-BE32-E72D297353CC}">
                <c16:uniqueId val="{00000003-2D66-4A76-A294-07F67D3DA55B}"/>
              </c:ext>
            </c:extLst>
          </c:dPt>
          <c:dPt>
            <c:idx val="2"/>
            <c:invertIfNegative val="0"/>
            <c:bubble3D val="0"/>
            <c:spPr>
              <a:solidFill>
                <a:srgbClr val="438086">
                  <a:lumMod val="60000"/>
                  <a:lumOff val="40000"/>
                </a:srgbClr>
              </a:solidFill>
            </c:spPr>
            <c:extLst>
              <c:ext xmlns:c16="http://schemas.microsoft.com/office/drawing/2014/chart" uri="{C3380CC4-5D6E-409C-BE32-E72D297353CC}">
                <c16:uniqueId val="{00000004-2D66-4A76-A294-07F67D3DA55B}"/>
              </c:ext>
            </c:extLst>
          </c:dPt>
          <c:dPt>
            <c:idx val="3"/>
            <c:invertIfNegative val="0"/>
            <c:bubble3D val="0"/>
            <c:spPr>
              <a:pattFill prst="wdDnDiag">
                <a:fgClr>
                  <a:srgbClr val="438086"/>
                </a:fgClr>
                <a:bgClr>
                  <a:sysClr val="window" lastClr="FFFFFF"/>
                </a:bgClr>
              </a:pattFill>
            </c:spPr>
            <c:extLst>
              <c:ext xmlns:c16="http://schemas.microsoft.com/office/drawing/2014/chart" uri="{C3380CC4-5D6E-409C-BE32-E72D297353CC}">
                <c16:uniqueId val="{00000005-2D66-4A76-A294-07F67D3DA55B}"/>
              </c:ext>
            </c:extLst>
          </c:dPt>
          <c:dPt>
            <c:idx val="4"/>
            <c:invertIfNegative val="0"/>
            <c:bubble3D val="0"/>
            <c:spPr>
              <a:solidFill>
                <a:srgbClr val="438086">
                  <a:lumMod val="40000"/>
                  <a:lumOff val="60000"/>
                </a:srgbClr>
              </a:solidFill>
            </c:spPr>
            <c:extLst>
              <c:ext xmlns:c16="http://schemas.microsoft.com/office/drawing/2014/chart" uri="{C3380CC4-5D6E-409C-BE32-E72D297353CC}">
                <c16:uniqueId val="{00000006-2D66-4A76-A294-07F67D3DA55B}"/>
              </c:ext>
            </c:extLst>
          </c:dPt>
          <c:dPt>
            <c:idx val="5"/>
            <c:invertIfNegative val="0"/>
            <c:bubble3D val="0"/>
            <c:spPr>
              <a:solidFill>
                <a:srgbClr val="438086">
                  <a:lumMod val="20000"/>
                  <a:lumOff val="80000"/>
                </a:srgbClr>
              </a:solidFill>
            </c:spPr>
            <c:extLst>
              <c:ext xmlns:c16="http://schemas.microsoft.com/office/drawing/2014/chart" uri="{C3380CC4-5D6E-409C-BE32-E72D297353CC}">
                <c16:uniqueId val="{00000007-2D66-4A76-A294-07F67D3DA55B}"/>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Hoja1!$B$44:$B$49</c:f>
              <c:strCache>
                <c:ptCount val="6"/>
                <c:pt idx="0">
                  <c:v>Mutuas</c:v>
                </c:pt>
                <c:pt idx="1">
                  <c:v>Sociedades Mercantiles Estatales</c:v>
                </c:pt>
                <c:pt idx="2">
                  <c:v>Fundaciones Públicas</c:v>
                </c:pt>
                <c:pt idx="3">
                  <c:v>SPI Total</c:v>
                </c:pt>
                <c:pt idx="4">
                  <c:v>Entidades de Derecho Público</c:v>
                </c:pt>
                <c:pt idx="5">
                  <c:v>Agencias Estatales, OOAA, EPES</c:v>
                </c:pt>
              </c:strCache>
            </c:strRef>
          </c:cat>
          <c:val>
            <c:numRef>
              <c:f>Hoja1!$D$44:$D$49</c:f>
              <c:numCache>
                <c:formatCode>0.0%</c:formatCode>
                <c:ptCount val="6"/>
                <c:pt idx="0">
                  <c:v>0.62873395445134572</c:v>
                </c:pt>
                <c:pt idx="1">
                  <c:v>0.49258250452079561</c:v>
                </c:pt>
                <c:pt idx="2">
                  <c:v>0.46210466269841266</c:v>
                </c:pt>
                <c:pt idx="3">
                  <c:v>0.45134227036786279</c:v>
                </c:pt>
                <c:pt idx="4">
                  <c:v>0.44820365605958029</c:v>
                </c:pt>
                <c:pt idx="5">
                  <c:v>0.40349782726778927</c:v>
                </c:pt>
              </c:numCache>
            </c:numRef>
          </c:val>
          <c:extLst>
            <c:ext xmlns:c16="http://schemas.microsoft.com/office/drawing/2014/chart" uri="{C3380CC4-5D6E-409C-BE32-E72D297353CC}">
              <c16:uniqueId val="{00000000-2D66-4A76-A294-07F67D3DA55B}"/>
            </c:ext>
          </c:extLst>
        </c:ser>
        <c:dLbls>
          <c:showLegendKey val="0"/>
          <c:showVal val="0"/>
          <c:showCatName val="0"/>
          <c:showSerName val="0"/>
          <c:showPercent val="0"/>
          <c:showBubbleSize val="0"/>
        </c:dLbls>
        <c:gapWidth val="150"/>
        <c:axId val="231068800"/>
        <c:axId val="231070336"/>
      </c:barChart>
      <c:catAx>
        <c:axId val="231068800"/>
        <c:scaling>
          <c:orientation val="minMax"/>
        </c:scaling>
        <c:delete val="0"/>
        <c:axPos val="b"/>
        <c:numFmt formatCode="General" sourceLinked="0"/>
        <c:majorTickMark val="out"/>
        <c:minorTickMark val="none"/>
        <c:tickLblPos val="nextTo"/>
        <c:crossAx val="231070336"/>
        <c:crosses val="autoZero"/>
        <c:auto val="1"/>
        <c:lblAlgn val="ctr"/>
        <c:lblOffset val="100"/>
        <c:noMultiLvlLbl val="0"/>
      </c:catAx>
      <c:valAx>
        <c:axId val="231070336"/>
        <c:scaling>
          <c:orientation val="minMax"/>
          <c:max val="1"/>
        </c:scaling>
        <c:delete val="0"/>
        <c:axPos val="l"/>
        <c:numFmt formatCode="0%" sourceLinked="0"/>
        <c:majorTickMark val="out"/>
        <c:minorTickMark val="none"/>
        <c:tickLblPos val="nextTo"/>
        <c:crossAx val="231068800"/>
        <c:crosses val="autoZero"/>
        <c:crossBetween val="between"/>
      </c:valAx>
    </c:plotArea>
    <c:plotVisOnly val="1"/>
    <c:dispBlanksAs val="gap"/>
    <c:showDLblsOverMax val="0"/>
  </c:chart>
  <c:txPr>
    <a:bodyPr/>
    <a:lstStyle/>
    <a:p>
      <a:pPr>
        <a:defRPr>
          <a:latin typeface="Mulish" pitchFamily="2"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95DA-4D1F-8C08-9FDD203AD56E}"/>
              </c:ext>
            </c:extLst>
          </c:dPt>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4-95DA-4D1F-8C08-9FDD203AD56E}"/>
              </c:ext>
            </c:extLst>
          </c:dPt>
          <c:dPt>
            <c:idx val="2"/>
            <c:invertIfNegative val="0"/>
            <c:bubble3D val="0"/>
            <c:spPr>
              <a:solidFill>
                <a:schemeClr val="accent2">
                  <a:lumMod val="60000"/>
                  <a:lumOff val="40000"/>
                </a:schemeClr>
              </a:solidFill>
            </c:spPr>
            <c:extLst>
              <c:ext xmlns:c16="http://schemas.microsoft.com/office/drawing/2014/chart" uri="{C3380CC4-5D6E-409C-BE32-E72D297353CC}">
                <c16:uniqueId val="{00000005-95DA-4D1F-8C08-9FDD203AD56E}"/>
              </c:ext>
            </c:extLst>
          </c:dPt>
          <c:dPt>
            <c:idx val="3"/>
            <c:invertIfNegative val="0"/>
            <c:bubble3D val="0"/>
            <c:spPr>
              <a:pattFill prst="wdDnDiag">
                <a:fgClr>
                  <a:schemeClr val="accent2"/>
                </a:fgClr>
                <a:bgClr>
                  <a:schemeClr val="bg1"/>
                </a:bgClr>
              </a:pattFill>
            </c:spPr>
            <c:extLst>
              <c:ext xmlns:c16="http://schemas.microsoft.com/office/drawing/2014/chart" uri="{C3380CC4-5D6E-409C-BE32-E72D297353CC}">
                <c16:uniqueId val="{00000008-95DA-4D1F-8C08-9FDD203AD56E}"/>
              </c:ext>
            </c:extLst>
          </c:dPt>
          <c:dPt>
            <c:idx val="4"/>
            <c:invertIfNegative val="0"/>
            <c:bubble3D val="0"/>
            <c:spPr>
              <a:solidFill>
                <a:schemeClr val="accent2">
                  <a:lumMod val="20000"/>
                  <a:lumOff val="80000"/>
                </a:schemeClr>
              </a:solidFill>
            </c:spPr>
            <c:extLst>
              <c:ext xmlns:c16="http://schemas.microsoft.com/office/drawing/2014/chart" uri="{C3380CC4-5D6E-409C-BE32-E72D297353CC}">
                <c16:uniqueId val="{00000006-95DA-4D1F-8C08-9FDD203AD56E}"/>
              </c:ext>
            </c:extLst>
          </c:dPt>
          <c:dPt>
            <c:idx val="5"/>
            <c:invertIfNegative val="0"/>
            <c:bubble3D val="0"/>
            <c:spPr>
              <a:solidFill>
                <a:schemeClr val="accent2">
                  <a:lumMod val="20000"/>
                  <a:lumOff val="80000"/>
                </a:schemeClr>
              </a:solidFill>
            </c:spPr>
            <c:extLst>
              <c:ext xmlns:c16="http://schemas.microsoft.com/office/drawing/2014/chart" uri="{C3380CC4-5D6E-409C-BE32-E72D297353CC}">
                <c16:uniqueId val="{00000007-95DA-4D1F-8C08-9FDD203AD56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Hoja2!$B$23:$B$28</c:f>
              <c:strCache>
                <c:ptCount val="6"/>
                <c:pt idx="0">
                  <c:v>Mutuas</c:v>
                </c:pt>
                <c:pt idx="1">
                  <c:v>Fundaciones Públicas</c:v>
                </c:pt>
                <c:pt idx="2">
                  <c:v>Sociedades Mercantiles Estatales</c:v>
                </c:pt>
                <c:pt idx="3">
                  <c:v>SPI Total</c:v>
                </c:pt>
                <c:pt idx="4">
                  <c:v> Agencias Estatales, OOAA, EPES</c:v>
                </c:pt>
                <c:pt idx="5">
                  <c:v>Entidades de Derecho Público</c:v>
                </c:pt>
              </c:strCache>
            </c:strRef>
          </c:cat>
          <c:val>
            <c:numRef>
              <c:f>Hoja2!$C$23:$C$28</c:f>
              <c:numCache>
                <c:formatCode>0.0%</c:formatCode>
                <c:ptCount val="6"/>
                <c:pt idx="0">
                  <c:v>0.84259259259259256</c:v>
                </c:pt>
                <c:pt idx="1">
                  <c:v>0.76530612244897955</c:v>
                </c:pt>
                <c:pt idx="2">
                  <c:v>0.72938144329896903</c:v>
                </c:pt>
                <c:pt idx="3">
                  <c:v>0.69725836431226762</c:v>
                </c:pt>
                <c:pt idx="4">
                  <c:v>0.69256756756756754</c:v>
                </c:pt>
                <c:pt idx="5">
                  <c:v>0.64444444444444449</c:v>
                </c:pt>
              </c:numCache>
            </c:numRef>
          </c:val>
          <c:extLst>
            <c:ext xmlns:c16="http://schemas.microsoft.com/office/drawing/2014/chart" uri="{C3380CC4-5D6E-409C-BE32-E72D297353CC}">
              <c16:uniqueId val="{00000002-95DA-4D1F-8C08-9FDD203AD56E}"/>
            </c:ext>
          </c:extLst>
        </c:ser>
        <c:dLbls>
          <c:showLegendKey val="0"/>
          <c:showVal val="0"/>
          <c:showCatName val="0"/>
          <c:showSerName val="0"/>
          <c:showPercent val="0"/>
          <c:showBubbleSize val="0"/>
        </c:dLbls>
        <c:gapWidth val="150"/>
        <c:axId val="231199104"/>
        <c:axId val="231200640"/>
      </c:barChart>
      <c:catAx>
        <c:axId val="231199104"/>
        <c:scaling>
          <c:orientation val="minMax"/>
        </c:scaling>
        <c:delete val="0"/>
        <c:axPos val="b"/>
        <c:numFmt formatCode="General" sourceLinked="0"/>
        <c:majorTickMark val="out"/>
        <c:minorTickMark val="none"/>
        <c:tickLblPos val="nextTo"/>
        <c:crossAx val="231200640"/>
        <c:crosses val="autoZero"/>
        <c:auto val="1"/>
        <c:lblAlgn val="ctr"/>
        <c:lblOffset val="100"/>
        <c:noMultiLvlLbl val="0"/>
      </c:catAx>
      <c:valAx>
        <c:axId val="231200640"/>
        <c:scaling>
          <c:orientation val="minMax"/>
          <c:max val="1"/>
        </c:scaling>
        <c:delete val="0"/>
        <c:axPos val="l"/>
        <c:numFmt formatCode="0%" sourceLinked="0"/>
        <c:majorTickMark val="out"/>
        <c:minorTickMark val="none"/>
        <c:tickLblPos val="nextTo"/>
        <c:crossAx val="231199104"/>
        <c:crosses val="autoZero"/>
        <c:crossBetween val="between"/>
        <c:majorUnit val="0.1"/>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wdDn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SPI'!$L$18:$S$18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'Total SPI'!$L$19:$S$19</c:f>
              <c:numCache>
                <c:formatCode>0.0%</c:formatCode>
                <c:ptCount val="8"/>
                <c:pt idx="0">
                  <c:v>0.69725836431226762</c:v>
                </c:pt>
                <c:pt idx="1">
                  <c:v>0.73559479553903351</c:v>
                </c:pt>
                <c:pt idx="2">
                  <c:v>0.73420074349442377</c:v>
                </c:pt>
                <c:pt idx="3">
                  <c:v>0.73373605947955389</c:v>
                </c:pt>
                <c:pt idx="4">
                  <c:v>0.73513011152416352</c:v>
                </c:pt>
                <c:pt idx="5">
                  <c:v>0.69656133828996281</c:v>
                </c:pt>
                <c:pt idx="6">
                  <c:v>0.37964684014869887</c:v>
                </c:pt>
                <c:pt idx="7">
                  <c:v>0.67316117896972916</c:v>
                </c:pt>
              </c:numCache>
            </c:numRef>
          </c:val>
          <c:extLst>
            <c:ext xmlns:c16="http://schemas.microsoft.com/office/drawing/2014/chart" uri="{C3380CC4-5D6E-409C-BE32-E72D297353CC}">
              <c16:uniqueId val="{00000000-4C33-45E2-BDA3-C062921F4F7B}"/>
            </c:ext>
          </c:extLst>
        </c:ser>
        <c:dLbls>
          <c:showLegendKey val="0"/>
          <c:showVal val="0"/>
          <c:showCatName val="0"/>
          <c:showSerName val="0"/>
          <c:showPercent val="0"/>
          <c:showBubbleSize val="0"/>
        </c:dLbls>
        <c:gapWidth val="150"/>
        <c:axId val="235651840"/>
        <c:axId val="235653376"/>
      </c:barChart>
      <c:catAx>
        <c:axId val="235651840"/>
        <c:scaling>
          <c:orientation val="minMax"/>
        </c:scaling>
        <c:delete val="0"/>
        <c:axPos val="b"/>
        <c:numFmt formatCode="General" sourceLinked="0"/>
        <c:majorTickMark val="out"/>
        <c:minorTickMark val="none"/>
        <c:tickLblPos val="nextTo"/>
        <c:crossAx val="235653376"/>
        <c:crosses val="autoZero"/>
        <c:auto val="1"/>
        <c:lblAlgn val="ctr"/>
        <c:lblOffset val="100"/>
        <c:noMultiLvlLbl val="0"/>
      </c:catAx>
      <c:valAx>
        <c:axId val="235653376"/>
        <c:scaling>
          <c:orientation val="minMax"/>
          <c:max val="1"/>
        </c:scaling>
        <c:delete val="0"/>
        <c:axPos val="l"/>
        <c:numFmt formatCode="0%" sourceLinked="0"/>
        <c:majorTickMark val="out"/>
        <c:minorTickMark val="none"/>
        <c:tickLblPos val="nextTo"/>
        <c:spPr>
          <a:pattFill prst="pct5">
            <a:fgClr>
              <a:schemeClr val="tx1"/>
            </a:fgClr>
            <a:bgClr>
              <a:schemeClr val="bg1"/>
            </a:bgClr>
          </a:pattFill>
        </c:spPr>
        <c:crossAx val="235651840"/>
        <c:crosses val="autoZero"/>
        <c:crossBetween val="between"/>
        <c:majorUnit val="0.2"/>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lumMod val="60000"/>
                <a:lumOff val="40000"/>
              </a:srgbClr>
            </a:solidFill>
          </c:spPr>
          <c:invertIfNegative val="0"/>
          <c:dPt>
            <c:idx val="0"/>
            <c:invertIfNegative val="0"/>
            <c:bubble3D val="0"/>
            <c:spPr>
              <a:solidFill>
                <a:srgbClr val="438086"/>
              </a:solidFill>
            </c:spPr>
            <c:extLst>
              <c:ext xmlns:c16="http://schemas.microsoft.com/office/drawing/2014/chart" uri="{C3380CC4-5D6E-409C-BE32-E72D297353CC}">
                <c16:uniqueId val="{00000002-3B58-4DF8-855E-3AE5A55C5B7F}"/>
              </c:ext>
            </c:extLst>
          </c:dPt>
          <c:dPt>
            <c:idx val="3"/>
            <c:invertIfNegative val="0"/>
            <c:bubble3D val="0"/>
            <c:spPr>
              <a:pattFill prst="wdDnDiag">
                <a:fgClr>
                  <a:srgbClr val="438086"/>
                </a:fgClr>
                <a:bgClr>
                  <a:sysClr val="window" lastClr="FFFFFF"/>
                </a:bgClr>
              </a:pattFill>
            </c:spPr>
            <c:extLst>
              <c:ext xmlns:c16="http://schemas.microsoft.com/office/drawing/2014/chart" uri="{C3380CC4-5D6E-409C-BE32-E72D297353CC}">
                <c16:uniqueId val="{00000005-3B58-4DF8-855E-3AE5A55C5B7F}"/>
              </c:ext>
            </c:extLst>
          </c:dPt>
          <c:dPt>
            <c:idx val="4"/>
            <c:invertIfNegative val="0"/>
            <c:bubble3D val="0"/>
            <c:spPr>
              <a:solidFill>
                <a:srgbClr val="438086">
                  <a:lumMod val="20000"/>
                  <a:lumOff val="80000"/>
                </a:srgbClr>
              </a:solidFill>
            </c:spPr>
            <c:extLst>
              <c:ext xmlns:c16="http://schemas.microsoft.com/office/drawing/2014/chart" uri="{C3380CC4-5D6E-409C-BE32-E72D297353CC}">
                <c16:uniqueId val="{00000006-3B58-4DF8-855E-3AE5A55C5B7F}"/>
              </c:ext>
            </c:extLst>
          </c:dPt>
          <c:dPt>
            <c:idx val="5"/>
            <c:invertIfNegative val="0"/>
            <c:bubble3D val="0"/>
            <c:spPr>
              <a:solidFill>
                <a:srgbClr val="438086">
                  <a:lumMod val="20000"/>
                  <a:lumOff val="80000"/>
                </a:srgbClr>
              </a:solidFill>
            </c:spPr>
            <c:extLst>
              <c:ext xmlns:c16="http://schemas.microsoft.com/office/drawing/2014/chart" uri="{C3380CC4-5D6E-409C-BE32-E72D297353CC}">
                <c16:uniqueId val="{00000007-3B58-4DF8-855E-3AE5A55C5B7F}"/>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Hoja2!$B$40:$B$45</c:f>
              <c:strCache>
                <c:ptCount val="6"/>
                <c:pt idx="0">
                  <c:v>Mutuas</c:v>
                </c:pt>
                <c:pt idx="1">
                  <c:v>Sociedades Mercantiles</c:v>
                </c:pt>
                <c:pt idx="2">
                  <c:v>Fundaciones Públicas</c:v>
                </c:pt>
                <c:pt idx="3">
                  <c:v>SPI Total</c:v>
                </c:pt>
                <c:pt idx="4">
                  <c:v> Agencias Estatales, OOAA, EPES</c:v>
                </c:pt>
                <c:pt idx="5">
                  <c:v>Entidades de Derecho Público</c:v>
                </c:pt>
              </c:strCache>
            </c:strRef>
          </c:cat>
          <c:val>
            <c:numRef>
              <c:f>Hoja2!$C$40:$C$45</c:f>
              <c:numCache>
                <c:formatCode>0.0%</c:formatCode>
                <c:ptCount val="6"/>
                <c:pt idx="0">
                  <c:v>0.81084656084656082</c:v>
                </c:pt>
                <c:pt idx="1">
                  <c:v>0.7187039764359352</c:v>
                </c:pt>
                <c:pt idx="2">
                  <c:v>0.70772594752186591</c:v>
                </c:pt>
                <c:pt idx="3">
                  <c:v>0.67316117896972916</c:v>
                </c:pt>
                <c:pt idx="4">
                  <c:v>0.66650579150579148</c:v>
                </c:pt>
                <c:pt idx="5">
                  <c:v>0.6253968253968254</c:v>
                </c:pt>
              </c:numCache>
            </c:numRef>
          </c:val>
          <c:extLst>
            <c:ext xmlns:c16="http://schemas.microsoft.com/office/drawing/2014/chart" uri="{C3380CC4-5D6E-409C-BE32-E72D297353CC}">
              <c16:uniqueId val="{00000000-3B58-4DF8-855E-3AE5A55C5B7F}"/>
            </c:ext>
          </c:extLst>
        </c:ser>
        <c:dLbls>
          <c:showLegendKey val="0"/>
          <c:showVal val="0"/>
          <c:showCatName val="0"/>
          <c:showSerName val="0"/>
          <c:showPercent val="0"/>
          <c:showBubbleSize val="0"/>
        </c:dLbls>
        <c:gapWidth val="150"/>
        <c:axId val="231220736"/>
        <c:axId val="231222272"/>
      </c:barChart>
      <c:catAx>
        <c:axId val="231220736"/>
        <c:scaling>
          <c:orientation val="minMax"/>
        </c:scaling>
        <c:delete val="0"/>
        <c:axPos val="b"/>
        <c:numFmt formatCode="General" sourceLinked="0"/>
        <c:majorTickMark val="out"/>
        <c:minorTickMark val="none"/>
        <c:tickLblPos val="nextTo"/>
        <c:crossAx val="231222272"/>
        <c:crosses val="autoZero"/>
        <c:auto val="1"/>
        <c:lblAlgn val="ctr"/>
        <c:lblOffset val="100"/>
        <c:noMultiLvlLbl val="0"/>
      </c:catAx>
      <c:valAx>
        <c:axId val="231222272"/>
        <c:scaling>
          <c:orientation val="minMax"/>
          <c:max val="1"/>
        </c:scaling>
        <c:delete val="0"/>
        <c:axPos val="l"/>
        <c:numFmt formatCode="0%" sourceLinked="0"/>
        <c:majorTickMark val="out"/>
        <c:minorTickMark val="none"/>
        <c:tickLblPos val="nextTo"/>
        <c:crossAx val="231220736"/>
        <c:crosses val="autoZero"/>
        <c:crossBetween val="between"/>
      </c:valAx>
    </c:plotArea>
    <c:plotVisOnly val="1"/>
    <c:dispBlanksAs val="gap"/>
    <c:showDLblsOverMax val="0"/>
  </c:chart>
  <c:txPr>
    <a:bodyPr/>
    <a:lstStyle/>
    <a:p>
      <a:pPr>
        <a:defRPr>
          <a:latin typeface="Mulish" pitchFamily="2"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wdDn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SPI'!$L$39:$S$39</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'Total SPI'!$L$40:$S$40</c:f>
              <c:numCache>
                <c:formatCode>0.0%</c:formatCode>
                <c:ptCount val="8"/>
                <c:pt idx="0">
                  <c:v>0.5</c:v>
                </c:pt>
                <c:pt idx="1">
                  <c:v>0.5</c:v>
                </c:pt>
                <c:pt idx="2">
                  <c:v>0.5</c:v>
                </c:pt>
                <c:pt idx="3">
                  <c:v>0.46511627906976744</c:v>
                </c:pt>
                <c:pt idx="4">
                  <c:v>0.5</c:v>
                </c:pt>
                <c:pt idx="5">
                  <c:v>0.5</c:v>
                </c:pt>
                <c:pt idx="6">
                  <c:v>0.37790697674418605</c:v>
                </c:pt>
                <c:pt idx="7">
                  <c:v>0.47757475083056478</c:v>
                </c:pt>
              </c:numCache>
            </c:numRef>
          </c:val>
          <c:extLst>
            <c:ext xmlns:c16="http://schemas.microsoft.com/office/drawing/2014/chart" uri="{C3380CC4-5D6E-409C-BE32-E72D297353CC}">
              <c16:uniqueId val="{00000000-6799-4D40-A71F-F5E0B5B52B23}"/>
            </c:ext>
          </c:extLst>
        </c:ser>
        <c:dLbls>
          <c:showLegendKey val="0"/>
          <c:showVal val="0"/>
          <c:showCatName val="0"/>
          <c:showSerName val="0"/>
          <c:showPercent val="0"/>
          <c:showBubbleSize val="0"/>
        </c:dLbls>
        <c:gapWidth val="150"/>
        <c:axId val="237635456"/>
        <c:axId val="237636992"/>
      </c:barChart>
      <c:catAx>
        <c:axId val="237635456"/>
        <c:scaling>
          <c:orientation val="minMax"/>
        </c:scaling>
        <c:delete val="0"/>
        <c:axPos val="b"/>
        <c:numFmt formatCode="General" sourceLinked="0"/>
        <c:majorTickMark val="out"/>
        <c:minorTickMark val="none"/>
        <c:tickLblPos val="nextTo"/>
        <c:crossAx val="237636992"/>
        <c:crosses val="autoZero"/>
        <c:auto val="1"/>
        <c:lblAlgn val="ctr"/>
        <c:lblOffset val="100"/>
        <c:noMultiLvlLbl val="0"/>
      </c:catAx>
      <c:valAx>
        <c:axId val="237636992"/>
        <c:scaling>
          <c:orientation val="minMax"/>
          <c:max val="1"/>
        </c:scaling>
        <c:delete val="0"/>
        <c:axPos val="l"/>
        <c:numFmt formatCode="0%" sourceLinked="0"/>
        <c:majorTickMark val="out"/>
        <c:minorTickMark val="none"/>
        <c:tickLblPos val="nextTo"/>
        <c:crossAx val="237635456"/>
        <c:crosses val="autoZero"/>
        <c:crossBetween val="between"/>
        <c:majorUnit val="0.2"/>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2-888F-46F7-9F92-21D499C86835}"/>
              </c:ext>
            </c:extLst>
          </c:dPt>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3-888F-46F7-9F92-21D499C86835}"/>
              </c:ext>
            </c:extLst>
          </c:dPt>
          <c:dPt>
            <c:idx val="2"/>
            <c:invertIfNegative val="0"/>
            <c:bubble3D val="0"/>
            <c:spPr>
              <a:solidFill>
                <a:schemeClr val="accent2">
                  <a:lumMod val="60000"/>
                  <a:lumOff val="40000"/>
                </a:schemeClr>
              </a:solidFill>
            </c:spPr>
            <c:extLst>
              <c:ext xmlns:c16="http://schemas.microsoft.com/office/drawing/2014/chart" uri="{C3380CC4-5D6E-409C-BE32-E72D297353CC}">
                <c16:uniqueId val="{00000004-888F-46F7-9F92-21D499C86835}"/>
              </c:ext>
            </c:extLst>
          </c:dPt>
          <c:dPt>
            <c:idx val="3"/>
            <c:invertIfNegative val="0"/>
            <c:bubble3D val="0"/>
            <c:spPr>
              <a:pattFill prst="wdDnDiag">
                <a:fgClr>
                  <a:schemeClr val="accent2"/>
                </a:fgClr>
                <a:bgClr>
                  <a:schemeClr val="bg1"/>
                </a:bgClr>
              </a:pattFill>
            </c:spPr>
            <c:extLst>
              <c:ext xmlns:c16="http://schemas.microsoft.com/office/drawing/2014/chart" uri="{C3380CC4-5D6E-409C-BE32-E72D297353CC}">
                <c16:uniqueId val="{00000005-888F-46F7-9F92-21D499C86835}"/>
              </c:ext>
            </c:extLst>
          </c:dPt>
          <c:dPt>
            <c:idx val="4"/>
            <c:invertIfNegative val="0"/>
            <c:bubble3D val="0"/>
            <c:spPr>
              <a:solidFill>
                <a:schemeClr val="accent2">
                  <a:lumMod val="40000"/>
                  <a:lumOff val="60000"/>
                </a:schemeClr>
              </a:solidFill>
            </c:spPr>
            <c:extLst>
              <c:ext xmlns:c16="http://schemas.microsoft.com/office/drawing/2014/chart" uri="{C3380CC4-5D6E-409C-BE32-E72D297353CC}">
                <c16:uniqueId val="{00000006-888F-46F7-9F92-21D499C86835}"/>
              </c:ext>
            </c:extLst>
          </c:dPt>
          <c:dPt>
            <c:idx val="5"/>
            <c:invertIfNegative val="0"/>
            <c:bubble3D val="0"/>
            <c:spPr>
              <a:solidFill>
                <a:schemeClr val="accent2">
                  <a:lumMod val="20000"/>
                  <a:lumOff val="80000"/>
                </a:schemeClr>
              </a:solidFill>
            </c:spPr>
            <c:extLst>
              <c:ext xmlns:c16="http://schemas.microsoft.com/office/drawing/2014/chart" uri="{C3380CC4-5D6E-409C-BE32-E72D297353CC}">
                <c16:uniqueId val="{00000007-888F-46F7-9F92-21D499C86835}"/>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Hoja1!$B$15:$B$20</c:f>
              <c:strCache>
                <c:ptCount val="6"/>
                <c:pt idx="0">
                  <c:v>Mutuas</c:v>
                </c:pt>
                <c:pt idx="1">
                  <c:v>Sociedades Mercantiles Estatales</c:v>
                </c:pt>
                <c:pt idx="2">
                  <c:v>Entidades de Derecho Público</c:v>
                </c:pt>
                <c:pt idx="3">
                  <c:v>Total SPI</c:v>
                </c:pt>
                <c:pt idx="4">
                  <c:v>Fundaciones Públicas</c:v>
                </c:pt>
                <c:pt idx="5">
                  <c:v> Agencias Estatales, OOAA, EPES</c:v>
                </c:pt>
              </c:strCache>
            </c:strRef>
          </c:cat>
          <c:val>
            <c:numRef>
              <c:f>Hoja1!$C$15:$C$20</c:f>
              <c:numCache>
                <c:formatCode>0.0%</c:formatCode>
                <c:ptCount val="6"/>
                <c:pt idx="0">
                  <c:v>0.49175641025641026</c:v>
                </c:pt>
                <c:pt idx="1">
                  <c:v>0.3714269406392694</c:v>
                </c:pt>
                <c:pt idx="2">
                  <c:v>0.3450305958132045</c:v>
                </c:pt>
                <c:pt idx="3">
                  <c:v>0.33081827622014542</c:v>
                </c:pt>
                <c:pt idx="4">
                  <c:v>0.32685789473684207</c:v>
                </c:pt>
                <c:pt idx="5">
                  <c:v>0.26668781302170286</c:v>
                </c:pt>
              </c:numCache>
            </c:numRef>
          </c:val>
          <c:extLst>
            <c:ext xmlns:c16="http://schemas.microsoft.com/office/drawing/2014/chart" uri="{C3380CC4-5D6E-409C-BE32-E72D297353CC}">
              <c16:uniqueId val="{00000000-888F-46F7-9F92-21D499C86835}"/>
            </c:ext>
          </c:extLst>
        </c:ser>
        <c:dLbls>
          <c:showLegendKey val="0"/>
          <c:showVal val="0"/>
          <c:showCatName val="0"/>
          <c:showSerName val="0"/>
          <c:showPercent val="0"/>
          <c:showBubbleSize val="0"/>
        </c:dLbls>
        <c:gapWidth val="150"/>
        <c:axId val="167381632"/>
        <c:axId val="231018880"/>
      </c:barChart>
      <c:catAx>
        <c:axId val="167381632"/>
        <c:scaling>
          <c:orientation val="minMax"/>
        </c:scaling>
        <c:delete val="0"/>
        <c:axPos val="b"/>
        <c:numFmt formatCode="General" sourceLinked="0"/>
        <c:majorTickMark val="out"/>
        <c:minorTickMark val="none"/>
        <c:tickLblPos val="nextTo"/>
        <c:crossAx val="231018880"/>
        <c:crosses val="autoZero"/>
        <c:auto val="1"/>
        <c:lblAlgn val="ctr"/>
        <c:lblOffset val="100"/>
        <c:noMultiLvlLbl val="0"/>
      </c:catAx>
      <c:valAx>
        <c:axId val="231018880"/>
        <c:scaling>
          <c:orientation val="minMax"/>
          <c:max val="1"/>
        </c:scaling>
        <c:delete val="0"/>
        <c:axPos val="l"/>
        <c:numFmt formatCode="0%" sourceLinked="0"/>
        <c:majorTickMark val="out"/>
        <c:minorTickMark val="none"/>
        <c:tickLblPos val="nextTo"/>
        <c:crossAx val="167381632"/>
        <c:crosses val="autoZero"/>
        <c:crossBetween val="between"/>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wdDnDiag">
              <a:fgClr>
                <a:schemeClr val="accent2"/>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SPI'!$L$61:$S$61</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'Total SPI'!$L$62:$S$62</c:f>
              <c:numCache>
                <c:formatCode>0.0%</c:formatCode>
                <c:ptCount val="8"/>
                <c:pt idx="0">
                  <c:v>0.33081827622014542</c:v>
                </c:pt>
                <c:pt idx="1">
                  <c:v>0.2883421599169263</c:v>
                </c:pt>
                <c:pt idx="2">
                  <c:v>0.3501282450674974</c:v>
                </c:pt>
                <c:pt idx="3">
                  <c:v>0.28782294911734163</c:v>
                </c:pt>
                <c:pt idx="4">
                  <c:v>0.35064745586708207</c:v>
                </c:pt>
                <c:pt idx="5">
                  <c:v>0.34545534787123572</c:v>
                </c:pt>
                <c:pt idx="6">
                  <c:v>0.34441692627206649</c:v>
                </c:pt>
                <c:pt idx="7">
                  <c:v>0.32823305147604215</c:v>
                </c:pt>
              </c:numCache>
            </c:numRef>
          </c:val>
          <c:extLst>
            <c:ext xmlns:c16="http://schemas.microsoft.com/office/drawing/2014/chart" uri="{C3380CC4-5D6E-409C-BE32-E72D297353CC}">
              <c16:uniqueId val="{00000000-10BF-4A37-9A9E-F543DB4D4A14}"/>
            </c:ext>
          </c:extLst>
        </c:ser>
        <c:dLbls>
          <c:showLegendKey val="0"/>
          <c:showVal val="0"/>
          <c:showCatName val="0"/>
          <c:showSerName val="0"/>
          <c:showPercent val="0"/>
          <c:showBubbleSize val="0"/>
        </c:dLbls>
        <c:gapWidth val="150"/>
        <c:axId val="237681664"/>
        <c:axId val="237687552"/>
      </c:barChart>
      <c:catAx>
        <c:axId val="237681664"/>
        <c:scaling>
          <c:orientation val="minMax"/>
        </c:scaling>
        <c:delete val="0"/>
        <c:axPos val="b"/>
        <c:numFmt formatCode="General" sourceLinked="0"/>
        <c:majorTickMark val="out"/>
        <c:minorTickMark val="none"/>
        <c:tickLblPos val="nextTo"/>
        <c:crossAx val="237687552"/>
        <c:crosses val="autoZero"/>
        <c:auto val="1"/>
        <c:lblAlgn val="ctr"/>
        <c:lblOffset val="100"/>
        <c:noMultiLvlLbl val="0"/>
      </c:catAx>
      <c:valAx>
        <c:axId val="237687552"/>
        <c:scaling>
          <c:orientation val="minMax"/>
          <c:max val="1"/>
        </c:scaling>
        <c:delete val="0"/>
        <c:axPos val="l"/>
        <c:numFmt formatCode="0%" sourceLinked="0"/>
        <c:majorTickMark val="out"/>
        <c:minorTickMark val="none"/>
        <c:tickLblPos val="nextTo"/>
        <c:crossAx val="237681664"/>
        <c:crosses val="autoZero"/>
        <c:crossBetween val="between"/>
        <c:majorUnit val="0.2"/>
      </c:valAx>
    </c:plotArea>
    <c:plotVisOnly val="1"/>
    <c:dispBlanksAs val="gap"/>
    <c:showDLblsOverMax val="0"/>
  </c:chart>
  <c:txPr>
    <a:bodyPr/>
    <a:lstStyle/>
    <a:p>
      <a:pPr>
        <a:defRPr>
          <a:latin typeface="Mulish" pitchFamily="2"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rgbClr val="438086"/>
              </a:solidFill>
            </c:spPr>
            <c:extLst>
              <c:ext xmlns:c16="http://schemas.microsoft.com/office/drawing/2014/chart" uri="{C3380CC4-5D6E-409C-BE32-E72D297353CC}">
                <c16:uniqueId val="{00000002-84FF-44CC-8A31-FD5FC9CA969B}"/>
              </c:ext>
            </c:extLst>
          </c:dPt>
          <c:dPt>
            <c:idx val="1"/>
            <c:invertIfNegative val="0"/>
            <c:bubble3D val="0"/>
            <c:spPr>
              <a:solidFill>
                <a:srgbClr val="438086">
                  <a:lumMod val="60000"/>
                  <a:lumOff val="40000"/>
                </a:srgbClr>
              </a:solidFill>
            </c:spPr>
            <c:extLst>
              <c:ext xmlns:c16="http://schemas.microsoft.com/office/drawing/2014/chart" uri="{C3380CC4-5D6E-409C-BE32-E72D297353CC}">
                <c16:uniqueId val="{00000003-84FF-44CC-8A31-FD5FC9CA969B}"/>
              </c:ext>
            </c:extLst>
          </c:dPt>
          <c:dPt>
            <c:idx val="2"/>
            <c:invertIfNegative val="0"/>
            <c:bubble3D val="0"/>
            <c:spPr>
              <a:solidFill>
                <a:srgbClr val="438086">
                  <a:lumMod val="40000"/>
                  <a:lumOff val="60000"/>
                </a:srgbClr>
              </a:solidFill>
            </c:spPr>
            <c:extLst>
              <c:ext xmlns:c16="http://schemas.microsoft.com/office/drawing/2014/chart" uri="{C3380CC4-5D6E-409C-BE32-E72D297353CC}">
                <c16:uniqueId val="{00000004-84FF-44CC-8A31-FD5FC9CA969B}"/>
              </c:ext>
            </c:extLst>
          </c:dPt>
          <c:dPt>
            <c:idx val="3"/>
            <c:invertIfNegative val="0"/>
            <c:bubble3D val="0"/>
            <c:spPr>
              <a:solidFill>
                <a:srgbClr val="438086">
                  <a:lumMod val="40000"/>
                  <a:lumOff val="60000"/>
                </a:srgbClr>
              </a:solidFill>
            </c:spPr>
            <c:extLst>
              <c:ext xmlns:c16="http://schemas.microsoft.com/office/drawing/2014/chart" uri="{C3380CC4-5D6E-409C-BE32-E72D297353CC}">
                <c16:uniqueId val="{00000005-84FF-44CC-8A31-FD5FC9CA969B}"/>
              </c:ext>
            </c:extLst>
          </c:dPt>
          <c:dPt>
            <c:idx val="4"/>
            <c:invertIfNegative val="0"/>
            <c:bubble3D val="0"/>
            <c:spPr>
              <a:pattFill prst="wdDnDiag">
                <a:fgClr>
                  <a:srgbClr val="438086"/>
                </a:fgClr>
                <a:bgClr>
                  <a:sysClr val="window" lastClr="FFFFFF"/>
                </a:bgClr>
              </a:pattFill>
            </c:spPr>
            <c:extLst>
              <c:ext xmlns:c16="http://schemas.microsoft.com/office/drawing/2014/chart" uri="{C3380CC4-5D6E-409C-BE32-E72D297353CC}">
                <c16:uniqueId val="{00000006-84FF-44CC-8A31-FD5FC9CA969B}"/>
              </c:ext>
            </c:extLst>
          </c:dPt>
          <c:dPt>
            <c:idx val="5"/>
            <c:invertIfNegative val="0"/>
            <c:bubble3D val="0"/>
            <c:spPr>
              <a:solidFill>
                <a:srgbClr val="438086">
                  <a:lumMod val="20000"/>
                  <a:lumOff val="80000"/>
                </a:srgbClr>
              </a:solidFill>
            </c:spPr>
            <c:extLst>
              <c:ext xmlns:c16="http://schemas.microsoft.com/office/drawing/2014/chart" uri="{C3380CC4-5D6E-409C-BE32-E72D297353CC}">
                <c16:uniqueId val="{00000007-84FF-44CC-8A31-FD5FC9CA969B}"/>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Hoja1!$B$30:$B$35</c:f>
              <c:strCache>
                <c:ptCount val="6"/>
                <c:pt idx="0">
                  <c:v>Mutuas</c:v>
                </c:pt>
                <c:pt idx="1">
                  <c:v>Sociedades Mercantiles Estatales</c:v>
                </c:pt>
                <c:pt idx="2">
                  <c:v>Entidades de Derecho Público</c:v>
                </c:pt>
                <c:pt idx="3">
                  <c:v>Fundaciones Públicas</c:v>
                </c:pt>
                <c:pt idx="4">
                  <c:v>SPI Total</c:v>
                </c:pt>
                <c:pt idx="5">
                  <c:v>Agencias Estatales, OOAA, EPES</c:v>
                </c:pt>
              </c:strCache>
            </c:strRef>
          </c:cat>
          <c:val>
            <c:numRef>
              <c:f>Hoja1!$C$30:$C$35</c:f>
              <c:numCache>
                <c:formatCode>0.0%</c:formatCode>
                <c:ptCount val="6"/>
                <c:pt idx="0">
                  <c:v>0.47867582417582411</c:v>
                </c:pt>
                <c:pt idx="1">
                  <c:v>0.39242824527071102</c:v>
                </c:pt>
                <c:pt idx="2">
                  <c:v>0.33885070163331033</c:v>
                </c:pt>
                <c:pt idx="3">
                  <c:v>0.33541578947368417</c:v>
                </c:pt>
                <c:pt idx="4">
                  <c:v>0.32823305147604215</c:v>
                </c:pt>
                <c:pt idx="5">
                  <c:v>0.24841593131409495</c:v>
                </c:pt>
              </c:numCache>
            </c:numRef>
          </c:val>
          <c:extLst>
            <c:ext xmlns:c16="http://schemas.microsoft.com/office/drawing/2014/chart" uri="{C3380CC4-5D6E-409C-BE32-E72D297353CC}">
              <c16:uniqueId val="{00000000-84FF-44CC-8A31-FD5FC9CA969B}"/>
            </c:ext>
          </c:extLst>
        </c:ser>
        <c:dLbls>
          <c:showLegendKey val="0"/>
          <c:showVal val="0"/>
          <c:showCatName val="0"/>
          <c:showSerName val="0"/>
          <c:showPercent val="0"/>
          <c:showBubbleSize val="0"/>
        </c:dLbls>
        <c:gapWidth val="150"/>
        <c:axId val="231051264"/>
        <c:axId val="231052800"/>
      </c:barChart>
      <c:catAx>
        <c:axId val="231051264"/>
        <c:scaling>
          <c:orientation val="minMax"/>
        </c:scaling>
        <c:delete val="0"/>
        <c:axPos val="b"/>
        <c:numFmt formatCode="General" sourceLinked="0"/>
        <c:majorTickMark val="out"/>
        <c:minorTickMark val="none"/>
        <c:tickLblPos val="nextTo"/>
        <c:crossAx val="231052800"/>
        <c:crosses val="autoZero"/>
        <c:auto val="1"/>
        <c:lblAlgn val="ctr"/>
        <c:lblOffset val="100"/>
        <c:noMultiLvlLbl val="0"/>
      </c:catAx>
      <c:valAx>
        <c:axId val="231052800"/>
        <c:scaling>
          <c:orientation val="minMax"/>
        </c:scaling>
        <c:delete val="0"/>
        <c:axPos val="l"/>
        <c:numFmt formatCode="0.0%" sourceLinked="1"/>
        <c:majorTickMark val="out"/>
        <c:minorTickMark val="none"/>
        <c:tickLblPos val="nextTo"/>
        <c:crossAx val="231051264"/>
        <c:crosses val="autoZero"/>
        <c:crossBetween val="between"/>
      </c:valAx>
    </c:plotArea>
    <c:plotVisOnly val="1"/>
    <c:dispBlanksAs val="gap"/>
    <c:showDLblsOverMax val="0"/>
  </c:chart>
  <c:txPr>
    <a:bodyPr/>
    <a:lstStyle/>
    <a:p>
      <a:pPr>
        <a:defRPr>
          <a:latin typeface="Mulish" pitchFamily="2" charset="0"/>
        </a:defRPr>
      </a:pPr>
      <a:endParaRPr lang="es-E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pattFill prst="wdDnDiag">
              <a:fgClr>
                <a:srgbClr val="438086"/>
              </a:fgClr>
              <a:bgClr>
                <a:sysClr val="window" lastClr="FFFFFF"/>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SPI'!$L$82:$S$82</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'Total SPI'!$L$83:$S$83</c:f>
              <c:numCache>
                <c:formatCode>0.0%</c:formatCode>
                <c:ptCount val="8"/>
                <c:pt idx="0">
                  <c:v>0.42857142857142855</c:v>
                </c:pt>
                <c:pt idx="1">
                  <c:v>0.42857142857142855</c:v>
                </c:pt>
                <c:pt idx="2">
                  <c:v>0.42857142857142855</c:v>
                </c:pt>
                <c:pt idx="3">
                  <c:v>0.42857142857142855</c:v>
                </c:pt>
                <c:pt idx="4">
                  <c:v>0.42857142857142855</c:v>
                </c:pt>
                <c:pt idx="5">
                  <c:v>0.42857142857142855</c:v>
                </c:pt>
                <c:pt idx="6">
                  <c:v>0.24025974025974026</c:v>
                </c:pt>
                <c:pt idx="7">
                  <c:v>0.40166975881261596</c:v>
                </c:pt>
              </c:numCache>
            </c:numRef>
          </c:val>
          <c:extLst>
            <c:ext xmlns:c16="http://schemas.microsoft.com/office/drawing/2014/chart" uri="{C3380CC4-5D6E-409C-BE32-E72D297353CC}">
              <c16:uniqueId val="{00000000-BF4A-4FB2-836E-304D3CAFEF6D}"/>
            </c:ext>
          </c:extLst>
        </c:ser>
        <c:dLbls>
          <c:showLegendKey val="0"/>
          <c:showVal val="0"/>
          <c:showCatName val="0"/>
          <c:showSerName val="0"/>
          <c:showPercent val="0"/>
          <c:showBubbleSize val="0"/>
        </c:dLbls>
        <c:gapWidth val="150"/>
        <c:axId val="235819392"/>
        <c:axId val="235820928"/>
      </c:barChart>
      <c:catAx>
        <c:axId val="235819392"/>
        <c:scaling>
          <c:orientation val="minMax"/>
        </c:scaling>
        <c:delete val="0"/>
        <c:axPos val="b"/>
        <c:numFmt formatCode="General" sourceLinked="0"/>
        <c:majorTickMark val="out"/>
        <c:minorTickMark val="none"/>
        <c:tickLblPos val="nextTo"/>
        <c:crossAx val="235820928"/>
        <c:crosses val="autoZero"/>
        <c:auto val="1"/>
        <c:lblAlgn val="ctr"/>
        <c:lblOffset val="100"/>
        <c:noMultiLvlLbl val="0"/>
      </c:catAx>
      <c:valAx>
        <c:axId val="235820928"/>
        <c:scaling>
          <c:orientation val="minMax"/>
          <c:max val="1"/>
        </c:scaling>
        <c:delete val="0"/>
        <c:axPos val="l"/>
        <c:numFmt formatCode="0%" sourceLinked="0"/>
        <c:majorTickMark val="out"/>
        <c:minorTickMark val="none"/>
        <c:tickLblPos val="nextTo"/>
        <c:crossAx val="235819392"/>
        <c:crosses val="autoZero"/>
        <c:crossBetween val="between"/>
        <c:majorUnit val="0.2"/>
      </c:valAx>
    </c:plotArea>
    <c:plotVisOnly val="1"/>
    <c:dispBlanksAs val="gap"/>
    <c:showDLblsOverMax val="0"/>
  </c:chart>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8D88FC93-65B2-481F-B2CD-00DBAC7EF2C9}">
  <ds:schemaRefs>
    <ds:schemaRef ds:uri="http://schemas.openxmlformats.org/officeDocument/2006/bibliography"/>
  </ds:schemaRefs>
</ds:datastoreItem>
</file>

<file path=customXml/itemProps2.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3.xml><?xml version="1.0" encoding="utf-8"?>
<ds:datastoreItem xmlns:ds="http://schemas.openxmlformats.org/officeDocument/2006/customXml" ds:itemID="{BB12CF13-A6E2-4B52-A065-C287D308AFE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UrbanReport.dotx</Template>
  <TotalTime>963</TotalTime>
  <Pages>36</Pages>
  <Words>9221</Words>
  <Characters>50719</Characters>
  <Application>Microsoft Office Word</Application>
  <DocSecurity>0</DocSecurity>
  <Lines>422</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las entidades integrantes del Sector Público Institucional.</vt:lpstr>
      <vt:lpstr/>
    </vt:vector>
  </TitlesOfParts>
  <Company>SGAD</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las entidades integrantes del Sector Público Institucional.</dc:title>
  <dc:subject>Evaluaciones 2024.CTBG</dc:subject>
  <dc:creator>Consejo de Transparencia y Buen Gobierno.</dc:creator>
  <cp:keywords/>
  <dc:description/>
  <cp:lastModifiedBy>ROSA BLANCA</cp:lastModifiedBy>
  <cp:revision>15</cp:revision>
  <dcterms:created xsi:type="dcterms:W3CDTF">2024-06-07T09:34:00Z</dcterms:created>
  <dcterms:modified xsi:type="dcterms:W3CDTF">2024-07-29T12:19:00Z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