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AB30" w14:textId="36619F37" w:rsidR="00BA4068" w:rsidRPr="00B80115" w:rsidRDefault="00B3521D" w:rsidP="00A666AD">
      <w:pPr>
        <w:pStyle w:val="Textoindependiente"/>
        <w:spacing w:before="88" w:line="276" w:lineRule="auto"/>
        <w:ind w:right="21"/>
        <w:rPr>
          <w:color w:val="0C0C0C" w:themeColor="text1"/>
          <w:sz w:val="22"/>
          <w:szCs w:val="22"/>
          <w:u w:val="single"/>
        </w:rPr>
      </w:pPr>
      <w:r>
        <w:rPr>
          <w:color w:val="0C0C0C" w:themeColor="text1"/>
          <w:sz w:val="22"/>
          <w:szCs w:val="22"/>
          <w:u w:val="single"/>
        </w:rPr>
        <w:t xml:space="preserve">Publicado el </w:t>
      </w:r>
      <w:r w:rsidR="00AA0900">
        <w:rPr>
          <w:color w:val="0C0C0C" w:themeColor="text1"/>
          <w:sz w:val="22"/>
          <w:szCs w:val="22"/>
          <w:u w:val="single"/>
        </w:rPr>
        <w:t>Informe de evaluación 2024</w:t>
      </w:r>
      <w:r>
        <w:rPr>
          <w:color w:val="0C0C0C" w:themeColor="text1"/>
          <w:sz w:val="22"/>
          <w:szCs w:val="22"/>
          <w:u w:val="single"/>
        </w:rPr>
        <w:t xml:space="preserve"> del CTBG de las</w:t>
      </w:r>
      <w:r w:rsidR="00AA0900">
        <w:rPr>
          <w:color w:val="0C0C0C" w:themeColor="text1"/>
          <w:sz w:val="22"/>
          <w:szCs w:val="22"/>
          <w:u w:val="single"/>
        </w:rPr>
        <w:t xml:space="preserve"> entidades integrantes del sector público institucional estatal </w:t>
      </w:r>
    </w:p>
    <w:p w14:paraId="5B11E2F9" w14:textId="77777777" w:rsidR="00BA4068" w:rsidRPr="00B80115" w:rsidRDefault="00BA4068" w:rsidP="00A666AD">
      <w:pPr>
        <w:pStyle w:val="Textoindependiente"/>
        <w:spacing w:before="88" w:line="276" w:lineRule="auto"/>
        <w:ind w:right="21"/>
        <w:rPr>
          <w:color w:val="0C0C0C" w:themeColor="text1"/>
          <w:sz w:val="22"/>
          <w:szCs w:val="22"/>
        </w:rPr>
      </w:pPr>
    </w:p>
    <w:p w14:paraId="22CAA2E0" w14:textId="589E5C11" w:rsidR="00A666AD" w:rsidRDefault="00AA0900" w:rsidP="00A666AD">
      <w:pPr>
        <w:tabs>
          <w:tab w:val="left" w:pos="2535"/>
        </w:tabs>
        <w:rPr>
          <w:rFonts w:ascii="Mulish" w:eastAsia="Mulish" w:hAnsi="Mulish" w:cs="Mulish"/>
          <w:b/>
          <w:bCs/>
          <w:color w:val="0C0C0C" w:themeColor="text1"/>
          <w:lang w:eastAsia="es-ES" w:bidi="es-ES"/>
        </w:rPr>
      </w:pPr>
      <w:r w:rsidRPr="00AA0900">
        <w:rPr>
          <w:rFonts w:ascii="Mulish" w:eastAsia="Mulish" w:hAnsi="Mulish" w:cs="Mulish"/>
          <w:b/>
          <w:bCs/>
          <w:color w:val="0C0C0C" w:themeColor="text1"/>
          <w:lang w:eastAsia="es-ES" w:bidi="es-ES"/>
        </w:rPr>
        <w:t xml:space="preserve">EL ÍNDICE MEDIO DE CUMPLIMIENTO DE LAS OBLIGACIONES DE TRANSPARENCIA POR LAS ENTIDADES DEL SECTOR PÚBLICO </w:t>
      </w:r>
      <w:r w:rsidR="003E58C6">
        <w:rPr>
          <w:rFonts w:ascii="Mulish" w:eastAsia="Mulish" w:hAnsi="Mulish" w:cs="Mulish"/>
          <w:b/>
          <w:bCs/>
          <w:color w:val="0C0C0C" w:themeColor="text1"/>
          <w:lang w:eastAsia="es-ES" w:bidi="es-ES"/>
        </w:rPr>
        <w:t>EVALUADAS</w:t>
      </w:r>
      <w:r w:rsidR="003E58C6" w:rsidRPr="00AA0900">
        <w:rPr>
          <w:rFonts w:ascii="Mulish" w:eastAsia="Mulish" w:hAnsi="Mulish" w:cs="Mulish"/>
          <w:b/>
          <w:bCs/>
          <w:color w:val="0C0C0C" w:themeColor="text1"/>
          <w:lang w:eastAsia="es-ES" w:bidi="es-ES"/>
        </w:rPr>
        <w:t xml:space="preserve"> </w:t>
      </w:r>
      <w:r>
        <w:rPr>
          <w:rFonts w:ascii="Mulish" w:eastAsia="Mulish" w:hAnsi="Mulish" w:cs="Mulish"/>
          <w:b/>
          <w:bCs/>
          <w:color w:val="0C0C0C" w:themeColor="text1"/>
          <w:lang w:eastAsia="es-ES" w:bidi="es-ES"/>
        </w:rPr>
        <w:t>ES SOLO DE</w:t>
      </w:r>
      <w:r w:rsidRPr="00AA0900">
        <w:rPr>
          <w:rFonts w:ascii="Mulish" w:eastAsia="Mulish" w:hAnsi="Mulish" w:cs="Mulish"/>
          <w:b/>
          <w:bCs/>
          <w:color w:val="0C0C0C" w:themeColor="text1"/>
          <w:lang w:eastAsia="es-ES" w:bidi="es-ES"/>
        </w:rPr>
        <w:t>L 4</w:t>
      </w:r>
      <w:r>
        <w:rPr>
          <w:rFonts w:ascii="Mulish" w:eastAsia="Mulish" w:hAnsi="Mulish" w:cs="Mulish"/>
          <w:b/>
          <w:bCs/>
          <w:color w:val="0C0C0C" w:themeColor="text1"/>
          <w:lang w:eastAsia="es-ES" w:bidi="es-ES"/>
        </w:rPr>
        <w:t>5</w:t>
      </w:r>
      <w:r w:rsidRPr="00AA0900">
        <w:rPr>
          <w:rFonts w:ascii="Mulish" w:eastAsia="Mulish" w:hAnsi="Mulish" w:cs="Mulish"/>
          <w:b/>
          <w:bCs/>
          <w:color w:val="0C0C0C" w:themeColor="text1"/>
          <w:lang w:eastAsia="es-ES" w:bidi="es-ES"/>
        </w:rPr>
        <w:t>,</w:t>
      </w:r>
      <w:r>
        <w:rPr>
          <w:rFonts w:ascii="Mulish" w:eastAsia="Mulish" w:hAnsi="Mulish" w:cs="Mulish"/>
          <w:b/>
          <w:bCs/>
          <w:color w:val="0C0C0C" w:themeColor="text1"/>
          <w:lang w:eastAsia="es-ES" w:bidi="es-ES"/>
        </w:rPr>
        <w:t>1</w:t>
      </w:r>
      <w:r w:rsidRPr="00AA0900">
        <w:rPr>
          <w:rFonts w:ascii="Mulish" w:eastAsia="Mulish" w:hAnsi="Mulish" w:cs="Mulish"/>
          <w:b/>
          <w:bCs/>
          <w:color w:val="0C0C0C" w:themeColor="text1"/>
          <w:lang w:eastAsia="es-ES" w:bidi="es-ES"/>
        </w:rPr>
        <w:t>%</w:t>
      </w:r>
    </w:p>
    <w:p w14:paraId="6B5902FB" w14:textId="77777777" w:rsidR="009C1C4B" w:rsidRDefault="009C1C4B" w:rsidP="007101D5">
      <w:pPr>
        <w:tabs>
          <w:tab w:val="left" w:pos="2535"/>
        </w:tabs>
        <w:spacing w:after="120"/>
        <w:rPr>
          <w:rFonts w:ascii="Mulish" w:eastAsia="Mulish" w:hAnsi="Mulish" w:cs="Mulish"/>
          <w:b/>
          <w:bCs/>
          <w:color w:val="0C0C0C" w:themeColor="text1"/>
          <w:lang w:eastAsia="es-ES" w:bidi="es-ES"/>
        </w:rPr>
      </w:pPr>
    </w:p>
    <w:p w14:paraId="42BE471D" w14:textId="33E8ECFE" w:rsidR="00AA0900" w:rsidRDefault="00A666AD" w:rsidP="00BA4068">
      <w:pPr>
        <w:pStyle w:val="Prrafodelista"/>
        <w:numPr>
          <w:ilvl w:val="0"/>
          <w:numId w:val="1"/>
        </w:numPr>
        <w:tabs>
          <w:tab w:val="left" w:pos="2535"/>
        </w:tabs>
        <w:ind w:left="714" w:hanging="357"/>
        <w:contextualSpacing w:val="0"/>
        <w:jc w:val="both"/>
        <w:rPr>
          <w:rFonts w:ascii="Mulish" w:eastAsia="Mulish" w:hAnsi="Mulish" w:cs="Mulish"/>
          <w:color w:val="0C0C0C" w:themeColor="text1"/>
          <w:lang w:eastAsia="es-ES" w:bidi="es-ES"/>
        </w:rPr>
      </w:pPr>
      <w:r>
        <w:rPr>
          <w:rFonts w:ascii="Mulish" w:eastAsia="Mulish" w:hAnsi="Mulish" w:cs="Mulish"/>
          <w:color w:val="0C0C0C" w:themeColor="text1"/>
          <w:lang w:eastAsia="es-ES" w:bidi="es-ES"/>
        </w:rPr>
        <w:t>E</w:t>
      </w:r>
      <w:r w:rsidR="00AA0900">
        <w:rPr>
          <w:rFonts w:ascii="Mulish" w:eastAsia="Mulish" w:hAnsi="Mulish" w:cs="Mulish"/>
          <w:color w:val="0C0C0C" w:themeColor="text1"/>
          <w:lang w:eastAsia="es-ES" w:bidi="es-ES"/>
        </w:rPr>
        <w:t xml:space="preserve">l Consejo de Transparencia y Buen Gobierno (CTBG) ha evaluado el cumplimiento de las obligaciones de publicidad activa </w:t>
      </w:r>
      <w:r w:rsidR="00B3521D">
        <w:rPr>
          <w:rFonts w:ascii="Mulish" w:eastAsia="Mulish" w:hAnsi="Mulish" w:cs="Mulish"/>
          <w:color w:val="0C0C0C" w:themeColor="text1"/>
          <w:lang w:eastAsia="es-ES" w:bidi="es-ES"/>
        </w:rPr>
        <w:t xml:space="preserve">por </w:t>
      </w:r>
      <w:r w:rsidR="00AA0900">
        <w:rPr>
          <w:rFonts w:ascii="Mulish" w:eastAsia="Mulish" w:hAnsi="Mulish" w:cs="Mulish"/>
          <w:color w:val="0C0C0C" w:themeColor="text1"/>
          <w:lang w:eastAsia="es-ES" w:bidi="es-ES"/>
        </w:rPr>
        <w:t>128 entidades seleccionadas mediante muestreo aleatorio; el 57% de ellas se evaluaban por primera vez.</w:t>
      </w:r>
    </w:p>
    <w:p w14:paraId="32184E3B" w14:textId="09D8A49E" w:rsidR="00285BCA" w:rsidRDefault="00285BCA" w:rsidP="00BA4068">
      <w:pPr>
        <w:pStyle w:val="Prrafodelista"/>
        <w:numPr>
          <w:ilvl w:val="0"/>
          <w:numId w:val="1"/>
        </w:numPr>
        <w:tabs>
          <w:tab w:val="left" w:pos="2535"/>
        </w:tabs>
        <w:ind w:left="714" w:hanging="357"/>
        <w:contextualSpacing w:val="0"/>
        <w:jc w:val="both"/>
        <w:rPr>
          <w:rFonts w:ascii="Mulish" w:eastAsia="Mulish" w:hAnsi="Mulish" w:cs="Mulish"/>
          <w:color w:val="0C0C0C" w:themeColor="text1"/>
          <w:lang w:eastAsia="es-ES" w:bidi="es-ES"/>
        </w:rPr>
      </w:pPr>
      <w:r>
        <w:rPr>
          <w:rFonts w:ascii="Mulish" w:eastAsia="Mulish" w:hAnsi="Mulish" w:cs="Mulish"/>
          <w:color w:val="0C0C0C" w:themeColor="text1"/>
          <w:lang w:eastAsia="es-ES" w:bidi="es-ES"/>
        </w:rPr>
        <w:t>El Consejo analiza si las entidades publican la información de interés público que están obligadas a publicar en sus páginas web, y si lo hacen adecuadamente conforme</w:t>
      </w:r>
      <w:r w:rsidR="00EF7F60">
        <w:rPr>
          <w:rFonts w:ascii="Mulish" w:eastAsia="Mulish" w:hAnsi="Mulish" w:cs="Mulish"/>
          <w:color w:val="0C0C0C" w:themeColor="text1"/>
          <w:lang w:eastAsia="es-ES" w:bidi="es-ES"/>
        </w:rPr>
        <w:t xml:space="preserve"> a</w:t>
      </w:r>
      <w:r>
        <w:rPr>
          <w:rFonts w:ascii="Mulish" w:eastAsia="Mulish" w:hAnsi="Mulish" w:cs="Mulish"/>
          <w:color w:val="0C0C0C" w:themeColor="text1"/>
          <w:lang w:eastAsia="es-ES" w:bidi="es-ES"/>
        </w:rPr>
        <w:t xml:space="preserve"> la Ley de Transparencia. </w:t>
      </w:r>
    </w:p>
    <w:p w14:paraId="3EC4D1E3" w14:textId="1CDE4AA2" w:rsidR="00BA4068" w:rsidRPr="00FC7309" w:rsidRDefault="00AA0900" w:rsidP="00FC7309">
      <w:pPr>
        <w:pStyle w:val="Prrafodelista"/>
        <w:numPr>
          <w:ilvl w:val="0"/>
          <w:numId w:val="1"/>
        </w:numPr>
        <w:tabs>
          <w:tab w:val="left" w:pos="2535"/>
        </w:tabs>
        <w:ind w:left="714" w:hanging="357"/>
        <w:contextualSpacing w:val="0"/>
        <w:jc w:val="both"/>
        <w:rPr>
          <w:rFonts w:ascii="Mulish" w:eastAsia="Mulish" w:hAnsi="Mulish" w:cs="Mulish"/>
          <w:color w:val="0C0C0C" w:themeColor="text1"/>
          <w:lang w:eastAsia="es-ES" w:bidi="es-ES"/>
        </w:rPr>
      </w:pPr>
      <w:r>
        <w:rPr>
          <w:rFonts w:ascii="Mulish" w:eastAsia="Mulish" w:hAnsi="Mulish" w:cs="Mulish"/>
          <w:color w:val="0C0C0C" w:themeColor="text1"/>
          <w:lang w:eastAsia="es-ES" w:bidi="es-ES"/>
        </w:rPr>
        <w:t>Aunque los resultados de la evaluación muestran notables diferencias, el Índice Medio de Cumplimiento de la Información Obligatoria (ICIO)</w:t>
      </w:r>
      <w:r w:rsidR="003C3727">
        <w:rPr>
          <w:rFonts w:ascii="Mulish" w:eastAsia="Mulish" w:hAnsi="Mulish" w:cs="Mulish"/>
          <w:color w:val="0C0C0C" w:themeColor="text1"/>
          <w:lang w:eastAsia="es-ES" w:bidi="es-ES"/>
        </w:rPr>
        <w:t xml:space="preserve"> </w:t>
      </w:r>
      <w:r>
        <w:rPr>
          <w:rFonts w:ascii="Mulish" w:eastAsia="Mulish" w:hAnsi="Mulish" w:cs="Mulish"/>
          <w:color w:val="0C0C0C" w:themeColor="text1"/>
          <w:lang w:eastAsia="es-ES" w:bidi="es-ES"/>
        </w:rPr>
        <w:t xml:space="preserve">de este grupo de sujetos obligados </w:t>
      </w:r>
      <w:r w:rsidR="00FC7309">
        <w:rPr>
          <w:rFonts w:ascii="Mulish" w:eastAsia="Mulish" w:hAnsi="Mulish" w:cs="Mulish"/>
          <w:color w:val="0C0C0C" w:themeColor="text1"/>
          <w:lang w:eastAsia="es-ES" w:bidi="es-ES"/>
        </w:rPr>
        <w:t>es solo d</w:t>
      </w:r>
      <w:r w:rsidRPr="00FC7309">
        <w:rPr>
          <w:rFonts w:ascii="Mulish" w:eastAsia="Mulish" w:hAnsi="Mulish" w:cs="Mulish"/>
          <w:color w:val="0C0C0C" w:themeColor="text1"/>
          <w:lang w:eastAsia="es-ES" w:bidi="es-ES"/>
        </w:rPr>
        <w:t xml:space="preserve">el 45,1%. </w:t>
      </w:r>
      <w:r w:rsidR="003C3727" w:rsidRPr="00FC7309">
        <w:rPr>
          <w:rFonts w:ascii="Mulish" w:eastAsia="Mulish" w:hAnsi="Mulish" w:cs="Mulish"/>
          <w:color w:val="0C0C0C" w:themeColor="text1"/>
          <w:lang w:eastAsia="es-ES" w:bidi="es-ES"/>
        </w:rPr>
        <w:t xml:space="preserve">La muestra es altamente representativa, lo que evidencia que aún existe un elevado </w:t>
      </w:r>
      <w:r w:rsidR="003E58C6">
        <w:rPr>
          <w:rFonts w:ascii="Mulish" w:eastAsia="Mulish" w:hAnsi="Mulish" w:cs="Mulish"/>
          <w:color w:val="0C0C0C" w:themeColor="text1"/>
          <w:lang w:eastAsia="es-ES" w:bidi="es-ES"/>
        </w:rPr>
        <w:t xml:space="preserve">grado de </w:t>
      </w:r>
      <w:r w:rsidR="003C3727" w:rsidRPr="00FC7309">
        <w:rPr>
          <w:rFonts w:ascii="Mulish" w:eastAsia="Mulish" w:hAnsi="Mulish" w:cs="Mulish"/>
          <w:color w:val="0C0C0C" w:themeColor="text1"/>
          <w:lang w:eastAsia="es-ES" w:bidi="es-ES"/>
        </w:rPr>
        <w:t xml:space="preserve">incumplimiento de las obligaciones legales. </w:t>
      </w:r>
    </w:p>
    <w:p w14:paraId="0513E131" w14:textId="7334BCAD" w:rsidR="003C3727" w:rsidRDefault="003C3727" w:rsidP="00BA4068">
      <w:pPr>
        <w:pStyle w:val="Prrafodelista"/>
        <w:numPr>
          <w:ilvl w:val="0"/>
          <w:numId w:val="1"/>
        </w:numPr>
        <w:tabs>
          <w:tab w:val="left" w:pos="2535"/>
        </w:tabs>
        <w:ind w:left="714" w:hanging="357"/>
        <w:contextualSpacing w:val="0"/>
        <w:jc w:val="both"/>
        <w:rPr>
          <w:rFonts w:ascii="Mulish" w:eastAsia="Mulish" w:hAnsi="Mulish" w:cs="Mulish"/>
          <w:color w:val="0C0C0C" w:themeColor="text1"/>
          <w:lang w:eastAsia="es-ES" w:bidi="es-ES"/>
        </w:rPr>
      </w:pPr>
      <w:r>
        <w:rPr>
          <w:rFonts w:ascii="Mulish" w:eastAsia="Mulish" w:hAnsi="Mulish" w:cs="Mulish"/>
          <w:color w:val="0C0C0C" w:themeColor="text1"/>
          <w:lang w:eastAsia="es-ES" w:bidi="es-ES"/>
        </w:rPr>
        <w:t xml:space="preserve">El CTBG recuerda a los responsables de las entidades públicas que no han alcanzado el pleno cumplimiento que se trata de obligaciones legales de carácter vinculante y les insta a cumplir con la Ley de Transparencia sin dilación. Para </w:t>
      </w:r>
      <w:r w:rsidR="00B3521D">
        <w:rPr>
          <w:rFonts w:ascii="Mulish" w:eastAsia="Mulish" w:hAnsi="Mulish" w:cs="Mulish"/>
          <w:color w:val="0C0C0C" w:themeColor="text1"/>
          <w:lang w:eastAsia="es-ES" w:bidi="es-ES"/>
        </w:rPr>
        <w:t>facilitarles la tarea</w:t>
      </w:r>
      <w:r>
        <w:rPr>
          <w:rFonts w:ascii="Mulish" w:eastAsia="Mulish" w:hAnsi="Mulish" w:cs="Mulish"/>
          <w:color w:val="0C0C0C" w:themeColor="text1"/>
          <w:lang w:eastAsia="es-ES" w:bidi="es-ES"/>
        </w:rPr>
        <w:t xml:space="preserve"> les proporciona una serie de recomendaciones específicas</w:t>
      </w:r>
      <w:r w:rsidR="00B3521D">
        <w:rPr>
          <w:rFonts w:ascii="Mulish" w:eastAsia="Mulish" w:hAnsi="Mulish" w:cs="Mulish"/>
          <w:color w:val="0C0C0C" w:themeColor="text1"/>
          <w:lang w:eastAsia="es-ES" w:bidi="es-ES"/>
        </w:rPr>
        <w:t xml:space="preserve">. </w:t>
      </w:r>
    </w:p>
    <w:p w14:paraId="2F5CEE42" w14:textId="1E46F82E" w:rsidR="003C3727" w:rsidRPr="00B80115" w:rsidRDefault="003C3727" w:rsidP="00BA4068">
      <w:pPr>
        <w:pStyle w:val="Prrafodelista"/>
        <w:numPr>
          <w:ilvl w:val="0"/>
          <w:numId w:val="1"/>
        </w:numPr>
        <w:tabs>
          <w:tab w:val="left" w:pos="2535"/>
        </w:tabs>
        <w:ind w:left="714" w:hanging="357"/>
        <w:contextualSpacing w:val="0"/>
        <w:jc w:val="both"/>
        <w:rPr>
          <w:rFonts w:ascii="Mulish" w:eastAsia="Mulish" w:hAnsi="Mulish" w:cs="Mulish"/>
          <w:color w:val="0C0C0C" w:themeColor="text1"/>
          <w:lang w:eastAsia="es-ES" w:bidi="es-ES"/>
        </w:rPr>
      </w:pPr>
      <w:r>
        <w:rPr>
          <w:rFonts w:ascii="Mulish" w:eastAsia="Mulish" w:hAnsi="Mulish" w:cs="Mulish"/>
          <w:color w:val="0C0C0C" w:themeColor="text1"/>
          <w:lang w:eastAsia="es-ES" w:bidi="es-ES"/>
        </w:rPr>
        <w:t xml:space="preserve">Las entidades evaluadas en 2023 y revisadas en 2024 mejoran su índice de cumplimiento un 47,6%, al haber aplicado parte de las recomendaciones realizadas por el Consejo en la evaluación anterior. </w:t>
      </w:r>
    </w:p>
    <w:p w14:paraId="6F769704" w14:textId="77777777" w:rsidR="00BA4068" w:rsidRPr="00B80115" w:rsidRDefault="00BA4068" w:rsidP="00BA4068">
      <w:pPr>
        <w:spacing w:after="0"/>
        <w:jc w:val="both"/>
        <w:rPr>
          <w:rFonts w:ascii="Mulish" w:eastAsia="Mulish" w:hAnsi="Mulish" w:cs="Mulish"/>
          <w:color w:val="0C0C0C" w:themeColor="text1"/>
          <w:lang w:eastAsia="es-ES" w:bidi="es-ES"/>
        </w:rPr>
      </w:pPr>
    </w:p>
    <w:p w14:paraId="7A5D4569" w14:textId="2EFAAE8A" w:rsidR="0093132C" w:rsidRPr="00AA0900" w:rsidRDefault="00BA4068" w:rsidP="0093132C">
      <w:pPr>
        <w:spacing w:after="0"/>
        <w:jc w:val="both"/>
        <w:rPr>
          <w:rFonts w:ascii="Mulish" w:eastAsia="Mulish" w:hAnsi="Mulish" w:cs="Mulish"/>
          <w:color w:val="0C0C0C" w:themeColor="text1"/>
          <w:lang w:eastAsia="es-ES" w:bidi="es-ES"/>
        </w:rPr>
      </w:pPr>
      <w:r w:rsidRPr="00B80115">
        <w:rPr>
          <w:rFonts w:ascii="Mulish" w:eastAsia="Mulish" w:hAnsi="Mulish" w:cs="Mulish"/>
          <w:color w:val="0C0C0C" w:themeColor="text1"/>
          <w:u w:val="single"/>
          <w:lang w:eastAsia="es-ES" w:bidi="es-ES"/>
        </w:rPr>
        <w:t>Madrid</w:t>
      </w:r>
      <w:r w:rsidR="00C23867">
        <w:rPr>
          <w:rFonts w:ascii="Mulish" w:eastAsia="Mulish" w:hAnsi="Mulish" w:cs="Mulish"/>
          <w:color w:val="0C0C0C" w:themeColor="text1"/>
          <w:u w:val="single"/>
          <w:lang w:eastAsia="es-ES" w:bidi="es-ES"/>
        </w:rPr>
        <w:t>, 23</w:t>
      </w:r>
      <w:r w:rsidRPr="00B80115">
        <w:rPr>
          <w:rFonts w:ascii="Mulish" w:eastAsia="Mulish" w:hAnsi="Mulish" w:cs="Mulish"/>
          <w:color w:val="0C0C0C" w:themeColor="text1"/>
          <w:u w:val="single"/>
          <w:lang w:eastAsia="es-ES" w:bidi="es-ES"/>
        </w:rPr>
        <w:t xml:space="preserve"> de </w:t>
      </w:r>
      <w:r w:rsidR="00A666AD">
        <w:rPr>
          <w:rFonts w:ascii="Mulish" w:eastAsia="Mulish" w:hAnsi="Mulish" w:cs="Mulish"/>
          <w:color w:val="0C0C0C" w:themeColor="text1"/>
          <w:u w:val="single"/>
          <w:lang w:eastAsia="es-ES" w:bidi="es-ES"/>
        </w:rPr>
        <w:t>julio</w:t>
      </w:r>
      <w:r w:rsidRPr="00B80115">
        <w:rPr>
          <w:rFonts w:ascii="Mulish" w:eastAsia="Mulish" w:hAnsi="Mulish" w:cs="Mulish"/>
          <w:color w:val="0C0C0C" w:themeColor="text1"/>
          <w:u w:val="single"/>
          <w:lang w:eastAsia="es-ES" w:bidi="es-ES"/>
        </w:rPr>
        <w:t xml:space="preserve"> de 202</w:t>
      </w:r>
      <w:r w:rsidR="00A666AD">
        <w:rPr>
          <w:rFonts w:ascii="Mulish" w:eastAsia="Mulish" w:hAnsi="Mulish" w:cs="Mulish"/>
          <w:color w:val="0C0C0C" w:themeColor="text1"/>
          <w:u w:val="single"/>
          <w:lang w:eastAsia="es-ES" w:bidi="es-ES"/>
        </w:rPr>
        <w:t>4</w:t>
      </w:r>
      <w:r w:rsidRPr="00B80115">
        <w:rPr>
          <w:rFonts w:ascii="Mulish" w:eastAsia="Mulish" w:hAnsi="Mulish" w:cs="Mulish"/>
          <w:color w:val="0C0C0C" w:themeColor="text1"/>
          <w:lang w:eastAsia="es-ES" w:bidi="es-ES"/>
        </w:rPr>
        <w:t xml:space="preserve">.- </w:t>
      </w:r>
      <w:r w:rsidR="00AA0900" w:rsidRPr="00AA0900">
        <w:rPr>
          <w:rFonts w:ascii="Mulish" w:eastAsia="Mulish" w:hAnsi="Mulish" w:cs="Mulish"/>
          <w:color w:val="0C0C0C" w:themeColor="text1"/>
          <w:lang w:eastAsia="es-ES" w:bidi="es-ES"/>
        </w:rPr>
        <w:t xml:space="preserve">El Consejo de Transparencia y Buen Gobierno (CTBG) acaba de publicar los resultados de la evaluación </w:t>
      </w:r>
      <w:r w:rsidR="00FC7309">
        <w:rPr>
          <w:rFonts w:ascii="Mulish" w:eastAsia="Mulish" w:hAnsi="Mulish" w:cs="Mulish"/>
          <w:color w:val="0C0C0C" w:themeColor="text1"/>
          <w:lang w:eastAsia="es-ES" w:bidi="es-ES"/>
        </w:rPr>
        <w:t xml:space="preserve">realizada este año </w:t>
      </w:r>
      <w:r w:rsidR="00AA0900" w:rsidRPr="00AA0900">
        <w:rPr>
          <w:rFonts w:ascii="Mulish" w:eastAsia="Mulish" w:hAnsi="Mulish" w:cs="Mulish"/>
          <w:color w:val="0C0C0C" w:themeColor="text1"/>
          <w:lang w:eastAsia="es-ES" w:bidi="es-ES"/>
        </w:rPr>
        <w:t xml:space="preserve">del cumplimiento de las obligaciones de publicidad activa impuestas por Ley de transparencia, acceso a la información pública y buen gobierno (LTAIBG) </w:t>
      </w:r>
      <w:r w:rsidR="00DF52D8" w:rsidRPr="007101D5">
        <w:rPr>
          <w:rFonts w:ascii="Mulish" w:eastAsia="Mulish" w:hAnsi="Mulish" w:cs="Mulish"/>
          <w:b/>
          <w:bCs/>
          <w:color w:val="0C0C0C" w:themeColor="text1"/>
          <w:lang w:eastAsia="es-ES" w:bidi="es-ES"/>
        </w:rPr>
        <w:t>por</w:t>
      </w:r>
      <w:r w:rsidR="00FC7309" w:rsidRPr="007101D5">
        <w:rPr>
          <w:rFonts w:ascii="Mulish" w:eastAsia="Mulish" w:hAnsi="Mulish" w:cs="Mulish"/>
          <w:b/>
          <w:bCs/>
          <w:color w:val="0C0C0C" w:themeColor="text1"/>
          <w:lang w:eastAsia="es-ES" w:bidi="es-ES"/>
        </w:rPr>
        <w:t xml:space="preserve"> parte de</w:t>
      </w:r>
      <w:r w:rsidR="00DF52D8" w:rsidRPr="007101D5">
        <w:rPr>
          <w:rFonts w:ascii="Mulish" w:eastAsia="Mulish" w:hAnsi="Mulish" w:cs="Mulish"/>
          <w:b/>
          <w:bCs/>
          <w:color w:val="0C0C0C" w:themeColor="text1"/>
          <w:lang w:eastAsia="es-ES" w:bidi="es-ES"/>
        </w:rPr>
        <w:t xml:space="preserve"> 128 </w:t>
      </w:r>
      <w:r w:rsidR="00AA0900" w:rsidRPr="007101D5">
        <w:rPr>
          <w:rFonts w:ascii="Mulish" w:eastAsia="Mulish" w:hAnsi="Mulish" w:cs="Mulish"/>
          <w:b/>
          <w:bCs/>
          <w:color w:val="0C0C0C" w:themeColor="text1"/>
          <w:lang w:eastAsia="es-ES" w:bidi="es-ES"/>
        </w:rPr>
        <w:t xml:space="preserve">entidades integrantes del </w:t>
      </w:r>
      <w:r w:rsidR="00DF52D8" w:rsidRPr="007101D5">
        <w:rPr>
          <w:rFonts w:ascii="Mulish" w:eastAsia="Mulish" w:hAnsi="Mulish" w:cs="Mulish"/>
          <w:b/>
          <w:bCs/>
          <w:color w:val="0C0C0C" w:themeColor="text1"/>
          <w:lang w:eastAsia="es-ES" w:bidi="es-ES"/>
        </w:rPr>
        <w:t>s</w:t>
      </w:r>
      <w:r w:rsidR="00AA0900" w:rsidRPr="007101D5">
        <w:rPr>
          <w:rFonts w:ascii="Mulish" w:eastAsia="Mulish" w:hAnsi="Mulish" w:cs="Mulish"/>
          <w:b/>
          <w:bCs/>
          <w:color w:val="0C0C0C" w:themeColor="text1"/>
          <w:lang w:eastAsia="es-ES" w:bidi="es-ES"/>
        </w:rPr>
        <w:t xml:space="preserve">ector </w:t>
      </w:r>
      <w:r w:rsidR="00DF52D8" w:rsidRPr="007101D5">
        <w:rPr>
          <w:rFonts w:ascii="Mulish" w:eastAsia="Mulish" w:hAnsi="Mulish" w:cs="Mulish"/>
          <w:b/>
          <w:bCs/>
          <w:color w:val="0C0C0C" w:themeColor="text1"/>
          <w:lang w:eastAsia="es-ES" w:bidi="es-ES"/>
        </w:rPr>
        <w:t>p</w:t>
      </w:r>
      <w:r w:rsidR="00AA0900" w:rsidRPr="007101D5">
        <w:rPr>
          <w:rFonts w:ascii="Mulish" w:eastAsia="Mulish" w:hAnsi="Mulish" w:cs="Mulish"/>
          <w:b/>
          <w:bCs/>
          <w:color w:val="0C0C0C" w:themeColor="text1"/>
          <w:lang w:eastAsia="es-ES" w:bidi="es-ES"/>
        </w:rPr>
        <w:t xml:space="preserve">úblico </w:t>
      </w:r>
      <w:r w:rsidR="00DF52D8" w:rsidRPr="007101D5">
        <w:rPr>
          <w:rFonts w:ascii="Mulish" w:eastAsia="Mulish" w:hAnsi="Mulish" w:cs="Mulish"/>
          <w:b/>
          <w:bCs/>
          <w:color w:val="0C0C0C" w:themeColor="text1"/>
          <w:lang w:eastAsia="es-ES" w:bidi="es-ES"/>
        </w:rPr>
        <w:t>i</w:t>
      </w:r>
      <w:r w:rsidR="00AA0900" w:rsidRPr="007101D5">
        <w:rPr>
          <w:rFonts w:ascii="Mulish" w:eastAsia="Mulish" w:hAnsi="Mulish" w:cs="Mulish"/>
          <w:b/>
          <w:bCs/>
          <w:color w:val="0C0C0C" w:themeColor="text1"/>
          <w:lang w:eastAsia="es-ES" w:bidi="es-ES"/>
        </w:rPr>
        <w:t>nstitucional</w:t>
      </w:r>
      <w:r w:rsidR="00DF52D8" w:rsidRPr="007101D5">
        <w:rPr>
          <w:rFonts w:ascii="Mulish" w:eastAsia="Mulish" w:hAnsi="Mulish" w:cs="Mulish"/>
          <w:b/>
          <w:bCs/>
          <w:color w:val="0C0C0C" w:themeColor="text1"/>
          <w:lang w:eastAsia="es-ES" w:bidi="es-ES"/>
        </w:rPr>
        <w:t xml:space="preserve"> e</w:t>
      </w:r>
      <w:r w:rsidR="00AA0900" w:rsidRPr="007101D5">
        <w:rPr>
          <w:rFonts w:ascii="Mulish" w:eastAsia="Mulish" w:hAnsi="Mulish" w:cs="Mulish"/>
          <w:b/>
          <w:bCs/>
          <w:color w:val="0C0C0C" w:themeColor="text1"/>
          <w:lang w:eastAsia="es-ES" w:bidi="es-ES"/>
        </w:rPr>
        <w:t>statal</w:t>
      </w:r>
      <w:r w:rsidR="00FC7309" w:rsidRPr="007101D5">
        <w:rPr>
          <w:rFonts w:ascii="Mulish" w:eastAsia="Mulish" w:hAnsi="Mulish" w:cs="Mulish"/>
          <w:b/>
          <w:bCs/>
          <w:color w:val="0C0C0C" w:themeColor="text1"/>
          <w:lang w:eastAsia="es-ES" w:bidi="es-ES"/>
        </w:rPr>
        <w:t>.</w:t>
      </w:r>
      <w:r w:rsidR="00FC7309">
        <w:rPr>
          <w:rFonts w:ascii="Mulish" w:eastAsia="Mulish" w:hAnsi="Mulish" w:cs="Mulish"/>
          <w:color w:val="0C0C0C" w:themeColor="text1"/>
          <w:lang w:eastAsia="es-ES" w:bidi="es-ES"/>
        </w:rPr>
        <w:t xml:space="preserve"> De ellas, 73 (el 57%) </w:t>
      </w:r>
      <w:r w:rsidR="00B3521D">
        <w:rPr>
          <w:rFonts w:ascii="Mulish" w:eastAsia="Mulish" w:hAnsi="Mulish" w:cs="Mulish"/>
          <w:color w:val="0C0C0C" w:themeColor="text1"/>
          <w:lang w:eastAsia="es-ES" w:bidi="es-ES"/>
        </w:rPr>
        <w:t>han sido</w:t>
      </w:r>
      <w:r w:rsidR="00FC7309">
        <w:rPr>
          <w:rFonts w:ascii="Mulish" w:eastAsia="Mulish" w:hAnsi="Mulish" w:cs="Mulish"/>
          <w:color w:val="0C0C0C" w:themeColor="text1"/>
          <w:lang w:eastAsia="es-ES" w:bidi="es-ES"/>
        </w:rPr>
        <w:t xml:space="preserve"> evaluadas por primera vez. </w:t>
      </w:r>
      <w:r w:rsidR="00AA0900" w:rsidRPr="00AA0900">
        <w:rPr>
          <w:rFonts w:ascii="Mulish" w:eastAsia="Mulish" w:hAnsi="Mulish" w:cs="Mulish"/>
          <w:color w:val="0C0C0C" w:themeColor="text1"/>
          <w:lang w:eastAsia="es-ES" w:bidi="es-ES"/>
        </w:rPr>
        <w:t xml:space="preserve">La selección de las </w:t>
      </w:r>
      <w:r w:rsidR="00DF52D8">
        <w:rPr>
          <w:rFonts w:ascii="Mulish" w:eastAsia="Mulish" w:hAnsi="Mulish" w:cs="Mulish"/>
          <w:color w:val="0C0C0C" w:themeColor="text1"/>
          <w:lang w:eastAsia="es-ES" w:bidi="es-ES"/>
        </w:rPr>
        <w:t xml:space="preserve">entidades </w:t>
      </w:r>
      <w:r w:rsidR="00AA0900" w:rsidRPr="00AA0900">
        <w:rPr>
          <w:rFonts w:ascii="Mulish" w:eastAsia="Mulish" w:hAnsi="Mulish" w:cs="Mulish"/>
          <w:color w:val="0C0C0C" w:themeColor="text1"/>
          <w:lang w:eastAsia="es-ES" w:bidi="es-ES"/>
        </w:rPr>
        <w:t xml:space="preserve">se ha efectuado mediante muestreo aleatorio estratificado según tipología de entidad, a partir del Inventario de Entes del Sector Público (INVENTE) de la Intervención General de la Administración General del Estado. </w:t>
      </w:r>
      <w:r w:rsidR="0093132C" w:rsidRPr="00AA0900">
        <w:rPr>
          <w:rFonts w:ascii="Mulish" w:eastAsia="Mulish" w:hAnsi="Mulish" w:cs="Mulish"/>
          <w:color w:val="0C0C0C" w:themeColor="text1"/>
          <w:lang w:eastAsia="es-ES" w:bidi="es-ES"/>
        </w:rPr>
        <w:t xml:space="preserve">La muestra es representativa del conjunto de estas entidades con un nivel de confianza </w:t>
      </w:r>
      <w:r w:rsidR="0093132C" w:rsidRPr="007B410A">
        <w:rPr>
          <w:rFonts w:ascii="Mulish" w:eastAsia="Mulish" w:hAnsi="Mulish" w:cs="Mulish"/>
          <w:color w:val="0C0C0C" w:themeColor="text1"/>
          <w:lang w:eastAsia="es-ES" w:bidi="es-ES"/>
        </w:rPr>
        <w:t>del 95% y un margen de error del 10%.</w:t>
      </w:r>
    </w:p>
    <w:p w14:paraId="40FC131F" w14:textId="2176516C" w:rsidR="00DF52D8" w:rsidRDefault="00DF52D8" w:rsidP="00AA0900">
      <w:pPr>
        <w:spacing w:after="0"/>
        <w:jc w:val="both"/>
        <w:rPr>
          <w:rFonts w:ascii="Mulish" w:eastAsia="Mulish" w:hAnsi="Mulish" w:cs="Mulish"/>
          <w:color w:val="0C0C0C" w:themeColor="text1"/>
          <w:lang w:eastAsia="es-ES" w:bidi="es-ES"/>
        </w:rPr>
      </w:pPr>
    </w:p>
    <w:p w14:paraId="531E68CF" w14:textId="4E3EE01A" w:rsidR="00DF52D8" w:rsidRPr="00AA0900" w:rsidRDefault="00DF52D8" w:rsidP="00AA0900">
      <w:pPr>
        <w:spacing w:after="0"/>
        <w:jc w:val="both"/>
        <w:rPr>
          <w:rFonts w:ascii="Mulish" w:eastAsia="Mulish" w:hAnsi="Mulish" w:cs="Mulish"/>
          <w:color w:val="0C0C0C" w:themeColor="text1"/>
          <w:lang w:eastAsia="es-ES" w:bidi="es-ES"/>
        </w:rPr>
      </w:pPr>
      <w:r w:rsidRPr="007101D5">
        <w:rPr>
          <w:rFonts w:ascii="Mulish" w:eastAsia="Mulish" w:hAnsi="Mulish" w:cs="Mulish"/>
          <w:b/>
          <w:bCs/>
          <w:color w:val="0C0C0C" w:themeColor="text1"/>
          <w:lang w:eastAsia="es-ES" w:bidi="es-ES"/>
        </w:rPr>
        <w:t>Toda la evaluación</w:t>
      </w:r>
      <w:r w:rsidR="00B3521D" w:rsidRPr="007101D5">
        <w:rPr>
          <w:rFonts w:ascii="Mulish" w:eastAsia="Mulish" w:hAnsi="Mulish" w:cs="Mulish"/>
          <w:b/>
          <w:bCs/>
          <w:color w:val="0C0C0C" w:themeColor="text1"/>
          <w:lang w:eastAsia="es-ES" w:bidi="es-ES"/>
        </w:rPr>
        <w:t xml:space="preserve"> se ha realizado con recursos propios del </w:t>
      </w:r>
      <w:r w:rsidR="007101D5" w:rsidRPr="007101D5">
        <w:rPr>
          <w:rFonts w:ascii="Mulish" w:eastAsia="Mulish" w:hAnsi="Mulish" w:cs="Mulish"/>
          <w:b/>
          <w:bCs/>
          <w:color w:val="0C0C0C" w:themeColor="text1"/>
          <w:lang w:eastAsia="es-ES" w:bidi="es-ES"/>
        </w:rPr>
        <w:t>C</w:t>
      </w:r>
      <w:r w:rsidR="00B3521D" w:rsidRPr="007101D5">
        <w:rPr>
          <w:rFonts w:ascii="Mulish" w:eastAsia="Mulish" w:hAnsi="Mulish" w:cs="Mulish"/>
          <w:b/>
          <w:bCs/>
          <w:color w:val="0C0C0C" w:themeColor="text1"/>
          <w:lang w:eastAsia="es-ES" w:bidi="es-ES"/>
        </w:rPr>
        <w:t>onsejo</w:t>
      </w:r>
      <w:r w:rsidR="00B3521D">
        <w:rPr>
          <w:rFonts w:ascii="Mulish" w:eastAsia="Mulish" w:hAnsi="Mulish" w:cs="Mulish"/>
          <w:color w:val="0C0C0C" w:themeColor="text1"/>
          <w:lang w:eastAsia="es-ES" w:bidi="es-ES"/>
        </w:rPr>
        <w:t xml:space="preserve"> utilizando la metodología MESTA, desarrollada conjuntamente por el CTBG y la extinta A</w:t>
      </w:r>
      <w:r w:rsidR="00CA1CA7">
        <w:rPr>
          <w:rFonts w:ascii="Mulish" w:eastAsia="Mulish" w:hAnsi="Mulish" w:cs="Mulish"/>
          <w:color w:val="0C0C0C" w:themeColor="text1"/>
          <w:lang w:eastAsia="es-ES" w:bidi="es-ES"/>
        </w:rPr>
        <w:t xml:space="preserve">gencia de </w:t>
      </w:r>
      <w:r w:rsidR="00CA1CA7">
        <w:rPr>
          <w:rFonts w:ascii="Mulish" w:eastAsia="Mulish" w:hAnsi="Mulish" w:cs="Mulish"/>
          <w:color w:val="0C0C0C" w:themeColor="text1"/>
          <w:lang w:eastAsia="es-ES" w:bidi="es-ES"/>
        </w:rPr>
        <w:lastRenderedPageBreak/>
        <w:t>Evaluación de las Políticas Públicas (A</w:t>
      </w:r>
      <w:r w:rsidR="00B3521D">
        <w:rPr>
          <w:rFonts w:ascii="Mulish" w:eastAsia="Mulish" w:hAnsi="Mulish" w:cs="Mulish"/>
          <w:color w:val="0C0C0C" w:themeColor="text1"/>
          <w:lang w:eastAsia="es-ES" w:bidi="es-ES"/>
        </w:rPr>
        <w:t>EVAL</w:t>
      </w:r>
      <w:r w:rsidR="00CA1CA7">
        <w:rPr>
          <w:rFonts w:ascii="Mulish" w:eastAsia="Mulish" w:hAnsi="Mulish" w:cs="Mulish"/>
          <w:color w:val="0C0C0C" w:themeColor="text1"/>
          <w:lang w:eastAsia="es-ES" w:bidi="es-ES"/>
        </w:rPr>
        <w:t xml:space="preserve">) al objeto de </w:t>
      </w:r>
      <w:r w:rsidR="00FC7309">
        <w:rPr>
          <w:rFonts w:ascii="Mulish" w:eastAsia="Mulish" w:hAnsi="Mulish" w:cs="Mulish"/>
          <w:color w:val="0C0C0C" w:themeColor="text1"/>
          <w:lang w:eastAsia="es-ES" w:bidi="es-ES"/>
        </w:rPr>
        <w:t>analiza</w:t>
      </w:r>
      <w:r w:rsidR="00CA1CA7">
        <w:rPr>
          <w:rFonts w:ascii="Mulish" w:eastAsia="Mulish" w:hAnsi="Mulish" w:cs="Mulish"/>
          <w:color w:val="0C0C0C" w:themeColor="text1"/>
          <w:lang w:eastAsia="es-ES" w:bidi="es-ES"/>
        </w:rPr>
        <w:t>r</w:t>
      </w:r>
      <w:r w:rsidR="00FC7309">
        <w:rPr>
          <w:rFonts w:ascii="Mulish" w:eastAsia="Mulish" w:hAnsi="Mulish" w:cs="Mulish"/>
          <w:color w:val="0C0C0C" w:themeColor="text1"/>
          <w:lang w:eastAsia="es-ES" w:bidi="es-ES"/>
        </w:rPr>
        <w:t xml:space="preserve"> si las entidades </w:t>
      </w:r>
      <w:r w:rsidR="00CA1CA7">
        <w:rPr>
          <w:rFonts w:ascii="Mulish" w:eastAsia="Mulish" w:hAnsi="Mulish" w:cs="Mulish"/>
          <w:color w:val="0C0C0C" w:themeColor="text1"/>
          <w:lang w:eastAsia="es-ES" w:bidi="es-ES"/>
        </w:rPr>
        <w:t>cumplen con la obligación de publicar</w:t>
      </w:r>
      <w:r w:rsidR="00FC7309">
        <w:rPr>
          <w:rFonts w:ascii="Mulish" w:eastAsia="Mulish" w:hAnsi="Mulish" w:cs="Mulish"/>
          <w:color w:val="0C0C0C" w:themeColor="text1"/>
          <w:lang w:eastAsia="es-ES" w:bidi="es-ES"/>
        </w:rPr>
        <w:t xml:space="preserve"> la información de interés público </w:t>
      </w:r>
      <w:r w:rsidR="00CA1CA7">
        <w:rPr>
          <w:rFonts w:ascii="Mulish" w:eastAsia="Mulish" w:hAnsi="Mulish" w:cs="Mulish"/>
          <w:color w:val="0C0C0C" w:themeColor="text1"/>
          <w:lang w:eastAsia="es-ES" w:bidi="es-ES"/>
        </w:rPr>
        <w:t xml:space="preserve">a la </w:t>
      </w:r>
      <w:r w:rsidR="00FC7309">
        <w:rPr>
          <w:rFonts w:ascii="Mulish" w:eastAsia="Mulish" w:hAnsi="Mulish" w:cs="Mulish"/>
          <w:color w:val="0C0C0C" w:themeColor="text1"/>
          <w:lang w:eastAsia="es-ES" w:bidi="es-ES"/>
        </w:rPr>
        <w:t>que están legalmente obligadas en sus páginas web, y si lo hacen adecuadamente conforme</w:t>
      </w:r>
      <w:r w:rsidR="00CA1CA7">
        <w:rPr>
          <w:rFonts w:ascii="Mulish" w:eastAsia="Mulish" w:hAnsi="Mulish" w:cs="Mulish"/>
          <w:color w:val="0C0C0C" w:themeColor="text1"/>
          <w:lang w:eastAsia="es-ES" w:bidi="es-ES"/>
        </w:rPr>
        <w:t xml:space="preserve"> a</w:t>
      </w:r>
      <w:r w:rsidR="00FC7309">
        <w:rPr>
          <w:rFonts w:ascii="Mulish" w:eastAsia="Mulish" w:hAnsi="Mulish" w:cs="Mulish"/>
          <w:color w:val="0C0C0C" w:themeColor="text1"/>
          <w:lang w:eastAsia="es-ES" w:bidi="es-ES"/>
        </w:rPr>
        <w:t xml:space="preserve"> la LTAIBG</w:t>
      </w:r>
      <w:r w:rsidR="00CA1CA7">
        <w:rPr>
          <w:rFonts w:ascii="Mulish" w:eastAsia="Mulish" w:hAnsi="Mulish" w:cs="Mulish"/>
          <w:color w:val="0C0C0C" w:themeColor="text1"/>
          <w:lang w:eastAsia="es-ES" w:bidi="es-ES"/>
        </w:rPr>
        <w:t xml:space="preserve">. </w:t>
      </w:r>
      <w:r w:rsidR="007101D5">
        <w:rPr>
          <w:rFonts w:ascii="Mulish" w:eastAsia="Mulish" w:hAnsi="Mulish" w:cs="Mulish"/>
          <w:color w:val="0C0C0C" w:themeColor="text1"/>
          <w:lang w:eastAsia="es-ES" w:bidi="es-ES"/>
        </w:rPr>
        <w:t>En su</w:t>
      </w:r>
      <w:r w:rsidR="003E58C6">
        <w:rPr>
          <w:rFonts w:ascii="Mulish" w:eastAsia="Mulish" w:hAnsi="Mulish" w:cs="Mulish"/>
          <w:color w:val="0C0C0C" w:themeColor="text1"/>
          <w:lang w:eastAsia="es-ES" w:bidi="es-ES"/>
        </w:rPr>
        <w:t>s</w:t>
      </w:r>
      <w:r w:rsidR="007101D5">
        <w:rPr>
          <w:rFonts w:ascii="Mulish" w:eastAsia="Mulish" w:hAnsi="Mulish" w:cs="Mulish"/>
          <w:color w:val="0C0C0C" w:themeColor="text1"/>
          <w:lang w:eastAsia="es-ES" w:bidi="es-ES"/>
        </w:rPr>
        <w:t xml:space="preserve"> </w:t>
      </w:r>
      <w:r w:rsidR="003E58C6">
        <w:rPr>
          <w:rFonts w:ascii="Mulish" w:eastAsia="Mulish" w:hAnsi="Mulish" w:cs="Mulish"/>
          <w:color w:val="0C0C0C" w:themeColor="text1"/>
          <w:lang w:eastAsia="es-ES" w:bidi="es-ES"/>
        </w:rPr>
        <w:t xml:space="preserve">informes </w:t>
      </w:r>
      <w:r w:rsidR="007101D5">
        <w:rPr>
          <w:rFonts w:ascii="Mulish" w:eastAsia="Mulish" w:hAnsi="Mulish" w:cs="Mulish"/>
          <w:color w:val="0C0C0C" w:themeColor="text1"/>
          <w:lang w:eastAsia="es-ES" w:bidi="es-ES"/>
        </w:rPr>
        <w:t xml:space="preserve">el Consejo emite recomendaciones para facilitarles mejorar sus índices de cumplimiento. </w:t>
      </w:r>
    </w:p>
    <w:p w14:paraId="4BCEFB95" w14:textId="77777777" w:rsidR="00AA0900" w:rsidRPr="00AA0900" w:rsidRDefault="00AA0900" w:rsidP="00AA0900">
      <w:pPr>
        <w:spacing w:after="0"/>
        <w:jc w:val="both"/>
        <w:rPr>
          <w:rFonts w:ascii="Mulish" w:eastAsia="Mulish" w:hAnsi="Mulish" w:cs="Mulish"/>
          <w:color w:val="0C0C0C" w:themeColor="text1"/>
          <w:lang w:eastAsia="es-ES" w:bidi="es-ES"/>
        </w:rPr>
      </w:pPr>
    </w:p>
    <w:p w14:paraId="409B7829" w14:textId="1DA37515" w:rsidR="00FC7309" w:rsidRDefault="00AA0900" w:rsidP="00AA0900">
      <w:pPr>
        <w:spacing w:after="0"/>
        <w:jc w:val="both"/>
        <w:rPr>
          <w:rFonts w:ascii="Mulish" w:eastAsia="Mulish" w:hAnsi="Mulish" w:cs="Mulish"/>
          <w:color w:val="0C0C0C" w:themeColor="text1"/>
          <w:lang w:eastAsia="es-ES" w:bidi="es-ES"/>
        </w:rPr>
      </w:pPr>
      <w:r w:rsidRPr="00AA0900">
        <w:rPr>
          <w:rFonts w:ascii="Mulish" w:eastAsia="Mulish" w:hAnsi="Mulish" w:cs="Mulish"/>
          <w:color w:val="0C0C0C" w:themeColor="text1"/>
          <w:lang w:eastAsia="es-ES" w:bidi="es-ES"/>
        </w:rPr>
        <w:t xml:space="preserve">El informe agregado </w:t>
      </w:r>
      <w:r w:rsidR="0093132C">
        <w:rPr>
          <w:rFonts w:ascii="Mulish" w:eastAsia="Mulish" w:hAnsi="Mulish" w:cs="Mulish"/>
          <w:color w:val="0C0C0C" w:themeColor="text1"/>
          <w:lang w:eastAsia="es-ES" w:bidi="es-ES"/>
        </w:rPr>
        <w:t xml:space="preserve">con los resultados de la evaluación de las 128 entidades analizadas </w:t>
      </w:r>
      <w:r w:rsidRPr="00AA0900">
        <w:rPr>
          <w:rFonts w:ascii="Mulish" w:eastAsia="Mulish" w:hAnsi="Mulish" w:cs="Mulish"/>
          <w:color w:val="0C0C0C" w:themeColor="text1"/>
          <w:lang w:eastAsia="es-ES" w:bidi="es-ES"/>
        </w:rPr>
        <w:t xml:space="preserve">refleja que, </w:t>
      </w:r>
      <w:r w:rsidRPr="007101D5">
        <w:rPr>
          <w:rFonts w:ascii="Mulish" w:eastAsia="Mulish" w:hAnsi="Mulish" w:cs="Mulish"/>
          <w:b/>
          <w:bCs/>
          <w:color w:val="0C0C0C" w:themeColor="text1"/>
          <w:lang w:eastAsia="es-ES" w:bidi="es-ES"/>
        </w:rPr>
        <w:t xml:space="preserve">si bien existen notables diferencias </w:t>
      </w:r>
      <w:r w:rsidR="0093132C" w:rsidRPr="007101D5">
        <w:rPr>
          <w:rFonts w:ascii="Mulish" w:eastAsia="Mulish" w:hAnsi="Mulish" w:cs="Mulish"/>
          <w:b/>
          <w:bCs/>
          <w:color w:val="0C0C0C" w:themeColor="text1"/>
          <w:lang w:eastAsia="es-ES" w:bidi="es-ES"/>
        </w:rPr>
        <w:t xml:space="preserve">en nivel de cumplimiento de las obligaciones de publicidad activa </w:t>
      </w:r>
      <w:r w:rsidRPr="007101D5">
        <w:rPr>
          <w:rFonts w:ascii="Mulish" w:eastAsia="Mulish" w:hAnsi="Mulish" w:cs="Mulish"/>
          <w:b/>
          <w:bCs/>
          <w:color w:val="0C0C0C" w:themeColor="text1"/>
          <w:lang w:eastAsia="es-ES" w:bidi="es-ES"/>
        </w:rPr>
        <w:t xml:space="preserve">entre </w:t>
      </w:r>
      <w:r w:rsidR="0093132C" w:rsidRPr="007101D5">
        <w:rPr>
          <w:rFonts w:ascii="Mulish" w:eastAsia="Mulish" w:hAnsi="Mulish" w:cs="Mulish"/>
          <w:b/>
          <w:bCs/>
          <w:color w:val="0C0C0C" w:themeColor="text1"/>
          <w:lang w:eastAsia="es-ES" w:bidi="es-ES"/>
        </w:rPr>
        <w:t>ellas</w:t>
      </w:r>
      <w:r w:rsidR="00CA1CA7" w:rsidRPr="007101D5">
        <w:rPr>
          <w:rFonts w:ascii="Mulish" w:eastAsia="Mulish" w:hAnsi="Mulish" w:cs="Mulish"/>
          <w:b/>
          <w:bCs/>
          <w:color w:val="0C0C0C" w:themeColor="text1"/>
          <w:lang w:eastAsia="es-ES" w:bidi="es-ES"/>
        </w:rPr>
        <w:t xml:space="preserve"> (oscila entre el </w:t>
      </w:r>
      <w:r w:rsidR="007101D5" w:rsidRPr="007101D5">
        <w:rPr>
          <w:rFonts w:ascii="Mulish" w:eastAsia="Mulish" w:hAnsi="Mulish" w:cs="Mulish"/>
          <w:b/>
          <w:bCs/>
          <w:color w:val="0C0C0C" w:themeColor="text1"/>
          <w:lang w:eastAsia="es-ES" w:bidi="es-ES"/>
        </w:rPr>
        <w:t>3</w:t>
      </w:r>
      <w:r w:rsidR="00CA1CA7" w:rsidRPr="007101D5">
        <w:rPr>
          <w:rFonts w:ascii="Mulish" w:eastAsia="Mulish" w:hAnsi="Mulish" w:cs="Mulish"/>
          <w:b/>
          <w:bCs/>
          <w:color w:val="0C0C0C" w:themeColor="text1"/>
          <w:lang w:eastAsia="es-ES" w:bidi="es-ES"/>
        </w:rPr>
        <w:t>,</w:t>
      </w:r>
      <w:r w:rsidR="007101D5" w:rsidRPr="007101D5">
        <w:rPr>
          <w:rFonts w:ascii="Mulish" w:eastAsia="Mulish" w:hAnsi="Mulish" w:cs="Mulish"/>
          <w:b/>
          <w:bCs/>
          <w:color w:val="0C0C0C" w:themeColor="text1"/>
          <w:lang w:eastAsia="es-ES" w:bidi="es-ES"/>
        </w:rPr>
        <w:t>2</w:t>
      </w:r>
      <w:r w:rsidR="00CA1CA7" w:rsidRPr="007101D5">
        <w:rPr>
          <w:rFonts w:ascii="Mulish" w:eastAsia="Mulish" w:hAnsi="Mulish" w:cs="Mulish"/>
          <w:b/>
          <w:bCs/>
          <w:color w:val="0C0C0C" w:themeColor="text1"/>
          <w:lang w:eastAsia="es-ES" w:bidi="es-ES"/>
        </w:rPr>
        <w:t>% y el 100% según la entidad)</w:t>
      </w:r>
      <w:r w:rsidR="00DF52D8" w:rsidRPr="007101D5">
        <w:rPr>
          <w:rFonts w:ascii="Mulish" w:eastAsia="Mulish" w:hAnsi="Mulish" w:cs="Mulish"/>
          <w:b/>
          <w:bCs/>
          <w:color w:val="0C0C0C" w:themeColor="text1"/>
          <w:lang w:eastAsia="es-ES" w:bidi="es-ES"/>
        </w:rPr>
        <w:t xml:space="preserve">, </w:t>
      </w:r>
      <w:r w:rsidRPr="007101D5">
        <w:rPr>
          <w:rFonts w:ascii="Mulish" w:eastAsia="Mulish" w:hAnsi="Mulish" w:cs="Mulish"/>
          <w:b/>
          <w:bCs/>
          <w:color w:val="0C0C0C" w:themeColor="text1"/>
          <w:lang w:eastAsia="es-ES" w:bidi="es-ES"/>
        </w:rPr>
        <w:t>el índice medio se sitúa tan solo en el 4</w:t>
      </w:r>
      <w:r w:rsidR="00DF52D8" w:rsidRPr="007101D5">
        <w:rPr>
          <w:rFonts w:ascii="Mulish" w:eastAsia="Mulish" w:hAnsi="Mulish" w:cs="Mulish"/>
          <w:b/>
          <w:bCs/>
          <w:color w:val="0C0C0C" w:themeColor="text1"/>
          <w:lang w:eastAsia="es-ES" w:bidi="es-ES"/>
        </w:rPr>
        <w:t>5</w:t>
      </w:r>
      <w:r w:rsidRPr="007101D5">
        <w:rPr>
          <w:rFonts w:ascii="Mulish" w:eastAsia="Mulish" w:hAnsi="Mulish" w:cs="Mulish"/>
          <w:b/>
          <w:bCs/>
          <w:color w:val="0C0C0C" w:themeColor="text1"/>
          <w:lang w:eastAsia="es-ES" w:bidi="es-ES"/>
        </w:rPr>
        <w:t>,</w:t>
      </w:r>
      <w:r w:rsidR="00DF52D8" w:rsidRPr="007101D5">
        <w:rPr>
          <w:rFonts w:ascii="Mulish" w:eastAsia="Mulish" w:hAnsi="Mulish" w:cs="Mulish"/>
          <w:b/>
          <w:bCs/>
          <w:color w:val="0C0C0C" w:themeColor="text1"/>
          <w:lang w:eastAsia="es-ES" w:bidi="es-ES"/>
        </w:rPr>
        <w:t>1</w:t>
      </w:r>
      <w:r w:rsidRPr="007101D5">
        <w:rPr>
          <w:rFonts w:ascii="Mulish" w:eastAsia="Mulish" w:hAnsi="Mulish" w:cs="Mulish"/>
          <w:b/>
          <w:bCs/>
          <w:color w:val="0C0C0C" w:themeColor="text1"/>
          <w:lang w:eastAsia="es-ES" w:bidi="es-ES"/>
        </w:rPr>
        <w:t>%</w:t>
      </w:r>
      <w:r w:rsidR="00CA1CA7">
        <w:rPr>
          <w:rFonts w:ascii="Mulish" w:eastAsia="Mulish" w:hAnsi="Mulish" w:cs="Mulish"/>
          <w:color w:val="0C0C0C" w:themeColor="text1"/>
          <w:lang w:eastAsia="es-ES" w:bidi="es-ES"/>
        </w:rPr>
        <w:t xml:space="preserve">. </w:t>
      </w:r>
      <w:r w:rsidR="002D6E52">
        <w:rPr>
          <w:rFonts w:ascii="Mulish" w:eastAsia="Mulish" w:hAnsi="Mulish" w:cs="Mulish"/>
          <w:color w:val="0C0C0C" w:themeColor="text1"/>
          <w:lang w:eastAsia="es-ES" w:bidi="es-ES"/>
        </w:rPr>
        <w:t>E</w:t>
      </w:r>
      <w:r w:rsidR="0093132C">
        <w:rPr>
          <w:rFonts w:ascii="Mulish" w:eastAsia="Mulish" w:hAnsi="Mulish" w:cs="Mulish"/>
          <w:color w:val="0C0C0C" w:themeColor="text1"/>
          <w:lang w:eastAsia="es-ES" w:bidi="es-ES"/>
        </w:rPr>
        <w:t xml:space="preserve">ste Índice de </w:t>
      </w:r>
      <w:r w:rsidR="002D6E52">
        <w:rPr>
          <w:rFonts w:ascii="Mulish" w:eastAsia="Mulish" w:hAnsi="Mulish" w:cs="Mulish"/>
          <w:color w:val="0C0C0C" w:themeColor="text1"/>
          <w:lang w:eastAsia="es-ES" w:bidi="es-ES"/>
        </w:rPr>
        <w:t>C</w:t>
      </w:r>
      <w:r w:rsidR="0093132C">
        <w:rPr>
          <w:rFonts w:ascii="Mulish" w:eastAsia="Mulish" w:hAnsi="Mulish" w:cs="Mulish"/>
          <w:color w:val="0C0C0C" w:themeColor="text1"/>
          <w:lang w:eastAsia="es-ES" w:bidi="es-ES"/>
        </w:rPr>
        <w:t xml:space="preserve">umplimiento de la </w:t>
      </w:r>
      <w:r w:rsidR="002D6E52">
        <w:rPr>
          <w:rFonts w:ascii="Mulish" w:eastAsia="Mulish" w:hAnsi="Mulish" w:cs="Mulish"/>
          <w:color w:val="0C0C0C" w:themeColor="text1"/>
          <w:lang w:eastAsia="es-ES" w:bidi="es-ES"/>
        </w:rPr>
        <w:t>I</w:t>
      </w:r>
      <w:r w:rsidR="0093132C">
        <w:rPr>
          <w:rFonts w:ascii="Mulish" w:eastAsia="Mulish" w:hAnsi="Mulish" w:cs="Mulish"/>
          <w:color w:val="0C0C0C" w:themeColor="text1"/>
          <w:lang w:eastAsia="es-ES" w:bidi="es-ES"/>
        </w:rPr>
        <w:t xml:space="preserve">nformación </w:t>
      </w:r>
      <w:r w:rsidR="002D6E52">
        <w:rPr>
          <w:rFonts w:ascii="Mulish" w:eastAsia="Mulish" w:hAnsi="Mulish" w:cs="Mulish"/>
          <w:color w:val="0C0C0C" w:themeColor="text1"/>
          <w:lang w:eastAsia="es-ES" w:bidi="es-ES"/>
        </w:rPr>
        <w:t>O</w:t>
      </w:r>
      <w:r w:rsidR="0093132C">
        <w:rPr>
          <w:rFonts w:ascii="Mulish" w:eastAsia="Mulish" w:hAnsi="Mulish" w:cs="Mulish"/>
          <w:color w:val="0C0C0C" w:themeColor="text1"/>
          <w:lang w:eastAsia="es-ES" w:bidi="es-ES"/>
        </w:rPr>
        <w:t>bligatoria (ICIO)</w:t>
      </w:r>
      <w:r w:rsidR="002D6E52">
        <w:rPr>
          <w:rFonts w:ascii="Mulish" w:eastAsia="Mulish" w:hAnsi="Mulish" w:cs="Mulish"/>
          <w:color w:val="0C0C0C" w:themeColor="text1"/>
          <w:lang w:eastAsia="es-ES" w:bidi="es-ES"/>
        </w:rPr>
        <w:t xml:space="preserve"> constatado en la evaluación de 2024 representa una mejoría </w:t>
      </w:r>
      <w:r w:rsidR="0093132C">
        <w:rPr>
          <w:rFonts w:ascii="Mulish" w:eastAsia="Mulish" w:hAnsi="Mulish" w:cs="Mulish"/>
          <w:color w:val="0C0C0C" w:themeColor="text1"/>
          <w:lang w:eastAsia="es-ES" w:bidi="es-ES"/>
        </w:rPr>
        <w:t xml:space="preserve">de solo </w:t>
      </w:r>
      <w:r w:rsidR="002D6E52">
        <w:rPr>
          <w:rFonts w:ascii="Mulish" w:eastAsia="Mulish" w:hAnsi="Mulish" w:cs="Mulish"/>
          <w:color w:val="0C0C0C" w:themeColor="text1"/>
          <w:lang w:eastAsia="es-ES" w:bidi="es-ES"/>
        </w:rPr>
        <w:t xml:space="preserve">el 4,2% respecto a la evaluación </w:t>
      </w:r>
      <w:r w:rsidR="007101D5">
        <w:rPr>
          <w:rFonts w:ascii="Mulish" w:eastAsia="Mulish" w:hAnsi="Mulish" w:cs="Mulish"/>
          <w:color w:val="0C0C0C" w:themeColor="text1"/>
          <w:lang w:eastAsia="es-ES" w:bidi="es-ES"/>
        </w:rPr>
        <w:t xml:space="preserve">practicada al grupo de sujetos del sector público institucional en </w:t>
      </w:r>
      <w:r w:rsidR="002D6E52">
        <w:rPr>
          <w:rFonts w:ascii="Mulish" w:eastAsia="Mulish" w:hAnsi="Mulish" w:cs="Mulish"/>
          <w:color w:val="0C0C0C" w:themeColor="text1"/>
          <w:lang w:eastAsia="es-ES" w:bidi="es-ES"/>
        </w:rPr>
        <w:t xml:space="preserve">2023, </w:t>
      </w:r>
    </w:p>
    <w:p w14:paraId="4DCE0C10" w14:textId="77777777" w:rsidR="00FC7309" w:rsidRDefault="00FC7309" w:rsidP="00AA0900">
      <w:pPr>
        <w:spacing w:after="0"/>
        <w:jc w:val="both"/>
        <w:rPr>
          <w:rFonts w:ascii="Mulish" w:eastAsia="Mulish" w:hAnsi="Mulish" w:cs="Mulish"/>
          <w:color w:val="0C0C0C" w:themeColor="text1"/>
          <w:lang w:eastAsia="es-ES" w:bidi="es-ES"/>
        </w:rPr>
      </w:pPr>
    </w:p>
    <w:p w14:paraId="5E965F37" w14:textId="26D15BCD" w:rsidR="00AA0900" w:rsidRDefault="00AA0900" w:rsidP="00AA0900">
      <w:pPr>
        <w:spacing w:after="0"/>
        <w:jc w:val="both"/>
        <w:rPr>
          <w:rFonts w:ascii="Mulish" w:eastAsia="Mulish" w:hAnsi="Mulish" w:cs="Mulish"/>
          <w:color w:val="0C0C0C" w:themeColor="text1"/>
          <w:lang w:eastAsia="es-ES" w:bidi="es-ES"/>
        </w:rPr>
      </w:pPr>
      <w:r w:rsidRPr="00AA0900">
        <w:rPr>
          <w:rFonts w:ascii="Mulish" w:eastAsia="Mulish" w:hAnsi="Mulish" w:cs="Mulish"/>
          <w:color w:val="0C0C0C" w:themeColor="text1"/>
          <w:lang w:eastAsia="es-ES" w:bidi="es-ES"/>
        </w:rPr>
        <w:t>E</w:t>
      </w:r>
      <w:r w:rsidR="007101D5">
        <w:rPr>
          <w:rFonts w:ascii="Mulish" w:eastAsia="Mulish" w:hAnsi="Mulish" w:cs="Mulish"/>
          <w:color w:val="0C0C0C" w:themeColor="text1"/>
          <w:lang w:eastAsia="es-ES" w:bidi="es-ES"/>
        </w:rPr>
        <w:t>l</w:t>
      </w:r>
      <w:r w:rsidR="0093132C">
        <w:rPr>
          <w:rFonts w:ascii="Mulish" w:eastAsia="Mulish" w:hAnsi="Mulish" w:cs="Mulish"/>
          <w:color w:val="0C0C0C" w:themeColor="text1"/>
          <w:lang w:eastAsia="es-ES" w:bidi="es-ES"/>
        </w:rPr>
        <w:t xml:space="preserve"> baj</w:t>
      </w:r>
      <w:r w:rsidRPr="00AA0900">
        <w:rPr>
          <w:rFonts w:ascii="Mulish" w:eastAsia="Mulish" w:hAnsi="Mulish" w:cs="Mulish"/>
          <w:color w:val="0C0C0C" w:themeColor="text1"/>
          <w:lang w:eastAsia="es-ES" w:bidi="es-ES"/>
        </w:rPr>
        <w:t xml:space="preserve">o </w:t>
      </w:r>
      <w:r w:rsidR="0093132C">
        <w:rPr>
          <w:rFonts w:ascii="Mulish" w:eastAsia="Mulish" w:hAnsi="Mulish" w:cs="Mulish"/>
          <w:color w:val="0C0C0C" w:themeColor="text1"/>
          <w:lang w:eastAsia="es-ES" w:bidi="es-ES"/>
        </w:rPr>
        <w:t xml:space="preserve">grado </w:t>
      </w:r>
      <w:r w:rsidRPr="00AA0900">
        <w:rPr>
          <w:rFonts w:ascii="Mulish" w:eastAsia="Mulish" w:hAnsi="Mulish" w:cs="Mulish"/>
          <w:color w:val="0C0C0C" w:themeColor="text1"/>
          <w:lang w:eastAsia="es-ES" w:bidi="es-ES"/>
        </w:rPr>
        <w:t xml:space="preserve">de cumplimiento </w:t>
      </w:r>
      <w:r w:rsidR="007101D5">
        <w:rPr>
          <w:rFonts w:ascii="Mulish" w:eastAsia="Mulish" w:hAnsi="Mulish" w:cs="Mulish"/>
          <w:color w:val="0C0C0C" w:themeColor="text1"/>
          <w:lang w:eastAsia="es-ES" w:bidi="es-ES"/>
        </w:rPr>
        <w:t xml:space="preserve">registrado </w:t>
      </w:r>
      <w:r w:rsidRPr="00AA0900">
        <w:rPr>
          <w:rFonts w:ascii="Mulish" w:eastAsia="Mulish" w:hAnsi="Mulish" w:cs="Mulish"/>
          <w:color w:val="0C0C0C" w:themeColor="text1"/>
          <w:lang w:eastAsia="es-ES" w:bidi="es-ES"/>
        </w:rPr>
        <w:t>se debe principalmente a la falta de publicación de las informaciones obligatorias, habiéndose constatado que, en total, aún no se publica el 5</w:t>
      </w:r>
      <w:r w:rsidR="002D6E52">
        <w:rPr>
          <w:rFonts w:ascii="Mulish" w:eastAsia="Mulish" w:hAnsi="Mulish" w:cs="Mulish"/>
          <w:color w:val="0C0C0C" w:themeColor="text1"/>
          <w:lang w:eastAsia="es-ES" w:bidi="es-ES"/>
        </w:rPr>
        <w:t>3</w:t>
      </w:r>
      <w:r w:rsidRPr="00AA0900">
        <w:rPr>
          <w:rFonts w:ascii="Mulish" w:eastAsia="Mulish" w:hAnsi="Mulish" w:cs="Mulish"/>
          <w:color w:val="0C0C0C" w:themeColor="text1"/>
          <w:lang w:eastAsia="es-ES" w:bidi="es-ES"/>
        </w:rPr>
        <w:t>,</w:t>
      </w:r>
      <w:r w:rsidR="002D6E52">
        <w:rPr>
          <w:rFonts w:ascii="Mulish" w:eastAsia="Mulish" w:hAnsi="Mulish" w:cs="Mulish"/>
          <w:color w:val="0C0C0C" w:themeColor="text1"/>
          <w:lang w:eastAsia="es-ES" w:bidi="es-ES"/>
        </w:rPr>
        <w:t>8</w:t>
      </w:r>
      <w:r w:rsidRPr="00AA0900">
        <w:rPr>
          <w:rFonts w:ascii="Mulish" w:eastAsia="Mulish" w:hAnsi="Mulish" w:cs="Mulish"/>
          <w:color w:val="0C0C0C" w:themeColor="text1"/>
          <w:lang w:eastAsia="es-ES" w:bidi="es-ES"/>
        </w:rPr>
        <w:t xml:space="preserve"> % de las exigidas por la LTAIBG. Junto a ello, cabe destacar que el CTBG considera inapropiada la práctica frecuente de remitir a fuentes centralizadas, como la Plataforma de Contratación del Sector Público o la Base de Datos Nacional de Subvenciones, dado que limita la accesibilidad a la información a las personas no familiarizadas con estas complejas herramientas de búsqueda. </w:t>
      </w:r>
      <w:r w:rsidR="002D6E52">
        <w:rPr>
          <w:rFonts w:ascii="Mulish" w:eastAsia="Mulish" w:hAnsi="Mulish" w:cs="Mulish"/>
          <w:color w:val="0C0C0C" w:themeColor="text1"/>
          <w:lang w:eastAsia="es-ES" w:bidi="es-ES"/>
        </w:rPr>
        <w:t>Otro</w:t>
      </w:r>
      <w:r w:rsidR="007101D5">
        <w:rPr>
          <w:rFonts w:ascii="Mulish" w:eastAsia="Mulish" w:hAnsi="Mulish" w:cs="Mulish"/>
          <w:color w:val="0C0C0C" w:themeColor="text1"/>
          <w:lang w:eastAsia="es-ES" w:bidi="es-ES"/>
        </w:rPr>
        <w:t xml:space="preserve"> elemento a </w:t>
      </w:r>
      <w:r w:rsidR="003E58C6">
        <w:rPr>
          <w:rFonts w:ascii="Mulish" w:eastAsia="Mulish" w:hAnsi="Mulish" w:cs="Mulish"/>
          <w:color w:val="0C0C0C" w:themeColor="text1"/>
          <w:lang w:eastAsia="es-ES" w:bidi="es-ES"/>
        </w:rPr>
        <w:t xml:space="preserve">subrayar </w:t>
      </w:r>
      <w:r w:rsidR="002D6E52">
        <w:rPr>
          <w:rFonts w:ascii="Mulish" w:eastAsia="Mulish" w:hAnsi="Mulish" w:cs="Mulish"/>
          <w:color w:val="0C0C0C" w:themeColor="text1"/>
          <w:lang w:eastAsia="es-ES" w:bidi="es-ES"/>
        </w:rPr>
        <w:t xml:space="preserve">es la carencia de referencias que permitan a los usuarios conocer el grado de actualización de la información publicada. </w:t>
      </w:r>
    </w:p>
    <w:p w14:paraId="48CB8191" w14:textId="42367D94" w:rsidR="007B410A" w:rsidRDefault="007B410A" w:rsidP="00AA0900">
      <w:pPr>
        <w:spacing w:after="0"/>
        <w:jc w:val="both"/>
        <w:rPr>
          <w:rFonts w:ascii="Mulish" w:eastAsia="Mulish" w:hAnsi="Mulish" w:cs="Mulish"/>
          <w:color w:val="0C0C0C" w:themeColor="text1"/>
          <w:lang w:eastAsia="es-ES" w:bidi="es-ES"/>
        </w:rPr>
      </w:pPr>
    </w:p>
    <w:p w14:paraId="7CB703D2" w14:textId="1587D124" w:rsidR="007B410A" w:rsidRPr="007B410A" w:rsidRDefault="007B410A" w:rsidP="007B410A">
      <w:pPr>
        <w:jc w:val="both"/>
        <w:rPr>
          <w:rFonts w:ascii="Mulish" w:eastAsia="Mulish" w:hAnsi="Mulish" w:cs="Mulish"/>
          <w:color w:val="0C0C0C" w:themeColor="text1"/>
          <w:lang w:eastAsia="es-ES" w:bidi="es-ES"/>
        </w:rPr>
      </w:pPr>
      <w:r w:rsidRPr="007B410A">
        <w:rPr>
          <w:rFonts w:ascii="Mulish" w:eastAsia="Mulish" w:hAnsi="Mulish" w:cs="Mulish"/>
          <w:color w:val="0C0C0C" w:themeColor="text1"/>
          <w:lang w:eastAsia="es-ES" w:bidi="es-ES"/>
        </w:rPr>
        <w:t>El</w:t>
      </w:r>
      <w:r w:rsidR="007101D5">
        <w:rPr>
          <w:rFonts w:ascii="Mulish" w:eastAsia="Mulish" w:hAnsi="Mulish" w:cs="Mulish"/>
          <w:color w:val="0C0C0C" w:themeColor="text1"/>
          <w:lang w:eastAsia="es-ES" w:bidi="es-ES"/>
        </w:rPr>
        <w:t xml:space="preserve"> análisis realizado pone de relieve que el</w:t>
      </w:r>
      <w:r w:rsidRPr="007B410A">
        <w:rPr>
          <w:rFonts w:ascii="Mulish" w:eastAsia="Mulish" w:hAnsi="Mulish" w:cs="Mulish"/>
          <w:color w:val="0C0C0C" w:themeColor="text1"/>
          <w:lang w:eastAsia="es-ES" w:bidi="es-ES"/>
        </w:rPr>
        <w:t xml:space="preserve"> 77,3% de las entidades evaluadas dispone de un Portal de Transparencia en su web institucional. </w:t>
      </w:r>
      <w:r w:rsidRPr="007101D5">
        <w:rPr>
          <w:rFonts w:ascii="Mulish" w:eastAsia="Mulish" w:hAnsi="Mulish" w:cs="Mulish"/>
          <w:b/>
          <w:bCs/>
          <w:color w:val="0C0C0C" w:themeColor="text1"/>
          <w:lang w:eastAsia="es-ES" w:bidi="es-ES"/>
        </w:rPr>
        <w:t>Casi el 23% de las entidades carece de un espacio específico para la publicación de las informaciones obligatorias</w:t>
      </w:r>
      <w:r w:rsidRPr="007B410A">
        <w:rPr>
          <w:rFonts w:ascii="Mulish" w:eastAsia="Mulish" w:hAnsi="Mulish" w:cs="Mulish"/>
          <w:color w:val="0C0C0C" w:themeColor="text1"/>
          <w:lang w:eastAsia="es-ES" w:bidi="es-ES"/>
        </w:rPr>
        <w:t xml:space="preserve">, lo que obliga a recorrer los distintos accesos y apartados de sus webs institucionales para localizar </w:t>
      </w:r>
      <w:r w:rsidR="007101D5">
        <w:rPr>
          <w:rFonts w:ascii="Mulish" w:eastAsia="Mulish" w:hAnsi="Mulish" w:cs="Mulish"/>
          <w:color w:val="0C0C0C" w:themeColor="text1"/>
          <w:lang w:eastAsia="es-ES" w:bidi="es-ES"/>
        </w:rPr>
        <w:t>la</w:t>
      </w:r>
      <w:r w:rsidRPr="007B410A">
        <w:rPr>
          <w:rFonts w:ascii="Mulish" w:eastAsia="Mulish" w:hAnsi="Mulish" w:cs="Mulish"/>
          <w:color w:val="0C0C0C" w:themeColor="text1"/>
          <w:lang w:eastAsia="es-ES" w:bidi="es-ES"/>
        </w:rPr>
        <w:t xml:space="preserve"> información</w:t>
      </w:r>
      <w:r w:rsidR="003E58C6">
        <w:rPr>
          <w:rFonts w:ascii="Mulish" w:eastAsia="Mulish" w:hAnsi="Mulish" w:cs="Mulish"/>
          <w:color w:val="0C0C0C" w:themeColor="text1"/>
          <w:lang w:eastAsia="es-ES" w:bidi="es-ES"/>
        </w:rPr>
        <w:t>, muchas veces incompleta</w:t>
      </w:r>
      <w:r w:rsidRPr="007B410A">
        <w:rPr>
          <w:rFonts w:ascii="Mulish" w:eastAsia="Mulish" w:hAnsi="Mulish" w:cs="Mulish"/>
          <w:color w:val="0C0C0C" w:themeColor="text1"/>
          <w:lang w:eastAsia="es-ES" w:bidi="es-ES"/>
        </w:rPr>
        <w:t xml:space="preserve">. </w:t>
      </w:r>
    </w:p>
    <w:p w14:paraId="3DCF0C50" w14:textId="385E2049" w:rsidR="00AA0900" w:rsidRPr="00AA0900" w:rsidRDefault="00AA0900" w:rsidP="00AA0900">
      <w:pPr>
        <w:spacing w:after="0"/>
        <w:jc w:val="both"/>
        <w:rPr>
          <w:rFonts w:ascii="Mulish" w:eastAsia="Mulish" w:hAnsi="Mulish" w:cs="Mulish"/>
          <w:color w:val="0C0C0C" w:themeColor="text1"/>
          <w:lang w:eastAsia="es-ES" w:bidi="es-ES"/>
        </w:rPr>
      </w:pPr>
      <w:r w:rsidRPr="00AA0900">
        <w:rPr>
          <w:rFonts w:ascii="Mulish" w:eastAsia="Mulish" w:hAnsi="Mulish" w:cs="Mulish"/>
          <w:color w:val="0C0C0C" w:themeColor="text1"/>
          <w:lang w:eastAsia="es-ES" w:bidi="es-ES"/>
        </w:rPr>
        <w:t xml:space="preserve">Resulta significativo que los índices de </w:t>
      </w:r>
      <w:r w:rsidRPr="002D6E52">
        <w:rPr>
          <w:rFonts w:ascii="Mulish" w:eastAsia="Mulish" w:hAnsi="Mulish" w:cs="Mulish"/>
          <w:color w:val="0C0C0C" w:themeColor="text1"/>
          <w:lang w:eastAsia="es-ES" w:bidi="es-ES"/>
        </w:rPr>
        <w:t>cumplimiento de las entidades evaluadas por primera vez en 202</w:t>
      </w:r>
      <w:r w:rsidR="002D6E52" w:rsidRPr="002D6E52">
        <w:rPr>
          <w:rFonts w:ascii="Mulish" w:eastAsia="Mulish" w:hAnsi="Mulish" w:cs="Mulish"/>
          <w:color w:val="0C0C0C" w:themeColor="text1"/>
          <w:lang w:eastAsia="es-ES" w:bidi="es-ES"/>
        </w:rPr>
        <w:t>4</w:t>
      </w:r>
      <w:r w:rsidRPr="002D6E52">
        <w:rPr>
          <w:rFonts w:ascii="Mulish" w:eastAsia="Mulish" w:hAnsi="Mulish" w:cs="Mulish"/>
          <w:color w:val="0C0C0C" w:themeColor="text1"/>
          <w:lang w:eastAsia="es-ES" w:bidi="es-ES"/>
        </w:rPr>
        <w:t xml:space="preserve"> se sitúan de media en el </w:t>
      </w:r>
      <w:r w:rsidR="002D6E52" w:rsidRPr="002D6E52">
        <w:rPr>
          <w:rFonts w:ascii="Mulish" w:eastAsia="Mulish" w:hAnsi="Mulish" w:cs="Mulish"/>
          <w:color w:val="0C0C0C" w:themeColor="text1"/>
          <w:lang w:eastAsia="es-ES" w:bidi="es-ES"/>
        </w:rPr>
        <w:t>39,8</w:t>
      </w:r>
      <w:r w:rsidRPr="002D6E52">
        <w:rPr>
          <w:rFonts w:ascii="Mulish" w:eastAsia="Mulish" w:hAnsi="Mulish" w:cs="Mulish"/>
          <w:color w:val="0C0C0C" w:themeColor="text1"/>
          <w:lang w:eastAsia="es-ES" w:bidi="es-ES"/>
        </w:rPr>
        <w:t>%, en tanto</w:t>
      </w:r>
      <w:r w:rsidRPr="00AA0900">
        <w:rPr>
          <w:rFonts w:ascii="Mulish" w:eastAsia="Mulish" w:hAnsi="Mulish" w:cs="Mulish"/>
          <w:color w:val="0C0C0C" w:themeColor="text1"/>
          <w:lang w:eastAsia="es-ES" w:bidi="es-ES"/>
        </w:rPr>
        <w:t xml:space="preserve"> que el de las que ya fueron evaluadas </w:t>
      </w:r>
      <w:r w:rsidR="002D6E52">
        <w:rPr>
          <w:rFonts w:ascii="Mulish" w:eastAsia="Mulish" w:hAnsi="Mulish" w:cs="Mulish"/>
          <w:color w:val="0C0C0C" w:themeColor="text1"/>
          <w:lang w:eastAsia="es-ES" w:bidi="es-ES"/>
        </w:rPr>
        <w:t>con anterioridad</w:t>
      </w:r>
      <w:r w:rsidRPr="00AA0900">
        <w:rPr>
          <w:rFonts w:ascii="Mulish" w:eastAsia="Mulish" w:hAnsi="Mulish" w:cs="Mulish"/>
          <w:color w:val="0C0C0C" w:themeColor="text1"/>
          <w:lang w:eastAsia="es-ES" w:bidi="es-ES"/>
        </w:rPr>
        <w:t xml:space="preserve"> y ahora reevaluadas alcanzan el 59,6%, en parte al haber aplicado </w:t>
      </w:r>
      <w:r w:rsidRPr="002D6E52">
        <w:rPr>
          <w:rFonts w:ascii="Mulish" w:eastAsia="Mulish" w:hAnsi="Mulish" w:cs="Mulish"/>
          <w:color w:val="0C0C0C" w:themeColor="text1"/>
          <w:lang w:eastAsia="es-ES" w:bidi="es-ES"/>
        </w:rPr>
        <w:t xml:space="preserve">un </w:t>
      </w:r>
      <w:r w:rsidR="002D6E52" w:rsidRPr="002D6E52">
        <w:rPr>
          <w:rFonts w:ascii="Mulish" w:eastAsia="Mulish" w:hAnsi="Mulish" w:cs="Mulish"/>
          <w:color w:val="0C0C0C" w:themeColor="text1"/>
          <w:lang w:eastAsia="es-ES" w:bidi="es-ES"/>
        </w:rPr>
        <w:t>45</w:t>
      </w:r>
      <w:r w:rsidRPr="002D6E52">
        <w:rPr>
          <w:rFonts w:ascii="Mulish" w:eastAsia="Mulish" w:hAnsi="Mulish" w:cs="Mulish"/>
          <w:color w:val="0C0C0C" w:themeColor="text1"/>
          <w:lang w:eastAsia="es-ES" w:bidi="es-ES"/>
        </w:rPr>
        <w:t>,</w:t>
      </w:r>
      <w:r w:rsidR="002D6E52" w:rsidRPr="002D6E52">
        <w:rPr>
          <w:rFonts w:ascii="Mulish" w:eastAsia="Mulish" w:hAnsi="Mulish" w:cs="Mulish"/>
          <w:color w:val="0C0C0C" w:themeColor="text1"/>
          <w:lang w:eastAsia="es-ES" w:bidi="es-ES"/>
        </w:rPr>
        <w:t>4</w:t>
      </w:r>
      <w:r w:rsidRPr="002D6E52">
        <w:rPr>
          <w:rFonts w:ascii="Mulish" w:eastAsia="Mulish" w:hAnsi="Mulish" w:cs="Mulish"/>
          <w:color w:val="0C0C0C" w:themeColor="text1"/>
          <w:lang w:eastAsia="es-ES" w:bidi="es-ES"/>
        </w:rPr>
        <w:t>% de las</w:t>
      </w:r>
      <w:r w:rsidRPr="00AA0900">
        <w:rPr>
          <w:rFonts w:ascii="Mulish" w:eastAsia="Mulish" w:hAnsi="Mulish" w:cs="Mulish"/>
          <w:color w:val="0C0C0C" w:themeColor="text1"/>
          <w:lang w:eastAsia="es-ES" w:bidi="es-ES"/>
        </w:rPr>
        <w:t xml:space="preserve"> recomendaciones que se les han formulado. El CTBG se congratula de que sus indicaciones hayan contribuido a avanzar en el cumplimiento de la Ley de Transparencia</w:t>
      </w:r>
      <w:r w:rsidR="002D6E52">
        <w:rPr>
          <w:rFonts w:ascii="Mulish" w:eastAsia="Mulish" w:hAnsi="Mulish" w:cs="Mulish"/>
          <w:color w:val="0C0C0C" w:themeColor="text1"/>
          <w:lang w:eastAsia="es-ES" w:bidi="es-ES"/>
        </w:rPr>
        <w:t>,</w:t>
      </w:r>
      <w:r w:rsidRPr="00AA0900">
        <w:rPr>
          <w:rFonts w:ascii="Mulish" w:eastAsia="Mulish" w:hAnsi="Mulish" w:cs="Mulish"/>
          <w:color w:val="0C0C0C" w:themeColor="text1"/>
          <w:lang w:eastAsia="es-ES" w:bidi="es-ES"/>
        </w:rPr>
        <w:t xml:space="preserve"> pero aún considera insuficiente el esfuerzo realizado por algunos de los destinatarios</w:t>
      </w:r>
      <w:r w:rsidR="002D6E52">
        <w:rPr>
          <w:rFonts w:ascii="Mulish" w:eastAsia="Mulish" w:hAnsi="Mulish" w:cs="Mulish"/>
          <w:color w:val="0C0C0C" w:themeColor="text1"/>
          <w:lang w:eastAsia="es-ES" w:bidi="es-ES"/>
        </w:rPr>
        <w:t xml:space="preserve"> (el 28% de las entidades que fueron evaluadas en 2023 no aplicaron ninguna de las recomendaciones o menos del 20% de ellas; mientras que idéntico porcentaje aplicó al menos el 80% de las recomendaciones). </w:t>
      </w:r>
    </w:p>
    <w:p w14:paraId="4B183287" w14:textId="77777777" w:rsidR="00AA0900" w:rsidRPr="00AA0900" w:rsidRDefault="00AA0900" w:rsidP="00AA0900">
      <w:pPr>
        <w:spacing w:after="0"/>
        <w:jc w:val="both"/>
        <w:rPr>
          <w:rFonts w:ascii="Mulish" w:eastAsia="Mulish" w:hAnsi="Mulish" w:cs="Mulish"/>
          <w:color w:val="0C0C0C" w:themeColor="text1"/>
          <w:lang w:eastAsia="es-ES" w:bidi="es-ES"/>
        </w:rPr>
      </w:pPr>
    </w:p>
    <w:p w14:paraId="7A573A3C" w14:textId="3B1B36EF" w:rsidR="00AA0900" w:rsidRPr="00AA0900" w:rsidRDefault="00AA0900" w:rsidP="00AA0900">
      <w:pPr>
        <w:spacing w:after="0"/>
        <w:jc w:val="both"/>
        <w:rPr>
          <w:rFonts w:ascii="Mulish" w:eastAsia="Mulish" w:hAnsi="Mulish" w:cs="Mulish"/>
          <w:color w:val="0C0C0C" w:themeColor="text1"/>
          <w:lang w:eastAsia="es-ES" w:bidi="es-ES"/>
        </w:rPr>
      </w:pPr>
      <w:r w:rsidRPr="00AA0900">
        <w:rPr>
          <w:rFonts w:ascii="Mulish" w:eastAsia="Mulish" w:hAnsi="Mulish" w:cs="Mulish"/>
          <w:color w:val="0C0C0C" w:themeColor="text1"/>
          <w:lang w:eastAsia="es-ES" w:bidi="es-ES"/>
        </w:rPr>
        <w:t xml:space="preserve">Por otra parte, el CTBG valora positivamente que varias entidades hayan realizado mejoras durante el período de evaluación y deja constancia expresa de ello cuando se ha producido, si bien se advierte que estas mejoras sobrevenidas no pueden ser computadas </w:t>
      </w:r>
      <w:r w:rsidRPr="00AA0900">
        <w:rPr>
          <w:rFonts w:ascii="Mulish" w:eastAsia="Mulish" w:hAnsi="Mulish" w:cs="Mulish"/>
          <w:color w:val="0C0C0C" w:themeColor="text1"/>
          <w:lang w:eastAsia="es-ES" w:bidi="es-ES"/>
        </w:rPr>
        <w:lastRenderedPageBreak/>
        <w:t xml:space="preserve">en el índice de cumplimiento de este informe porque ello obligaría a un proceso de </w:t>
      </w:r>
      <w:r w:rsidR="003E58C6">
        <w:rPr>
          <w:rFonts w:ascii="Mulish" w:eastAsia="Mulish" w:hAnsi="Mulish" w:cs="Mulish"/>
          <w:color w:val="0C0C0C" w:themeColor="text1"/>
          <w:lang w:eastAsia="es-ES" w:bidi="es-ES"/>
        </w:rPr>
        <w:t>re</w:t>
      </w:r>
      <w:r w:rsidRPr="00AA0900">
        <w:rPr>
          <w:rFonts w:ascii="Mulish" w:eastAsia="Mulish" w:hAnsi="Mulish" w:cs="Mulish"/>
          <w:color w:val="0C0C0C" w:themeColor="text1"/>
          <w:lang w:eastAsia="es-ES" w:bidi="es-ES"/>
        </w:rPr>
        <w:t xml:space="preserve">evaluación continua incompatible con la ejecución del Plan de Evaluación en los plazos establecidos.   </w:t>
      </w:r>
    </w:p>
    <w:p w14:paraId="7F61FDCA" w14:textId="77777777" w:rsidR="00AA0900" w:rsidRPr="00AA0900" w:rsidRDefault="00AA0900" w:rsidP="00AA0900">
      <w:pPr>
        <w:spacing w:after="0"/>
        <w:jc w:val="both"/>
        <w:rPr>
          <w:rFonts w:ascii="Mulish" w:eastAsia="Mulish" w:hAnsi="Mulish" w:cs="Mulish"/>
          <w:color w:val="0C0C0C" w:themeColor="text1"/>
          <w:lang w:eastAsia="es-ES" w:bidi="es-ES"/>
        </w:rPr>
      </w:pPr>
    </w:p>
    <w:p w14:paraId="6D522118" w14:textId="77777777" w:rsidR="00AA0900" w:rsidRPr="00AA0900" w:rsidRDefault="00AA0900" w:rsidP="00AA0900">
      <w:pPr>
        <w:spacing w:after="0"/>
        <w:jc w:val="both"/>
        <w:rPr>
          <w:rFonts w:ascii="Mulish" w:eastAsia="Mulish" w:hAnsi="Mulish" w:cs="Mulish"/>
          <w:color w:val="0C0C0C" w:themeColor="text1"/>
          <w:lang w:eastAsia="es-ES" w:bidi="es-ES"/>
        </w:rPr>
      </w:pPr>
      <w:r w:rsidRPr="007101D5">
        <w:rPr>
          <w:rFonts w:ascii="Mulish" w:eastAsia="Mulish" w:hAnsi="Mulish" w:cs="Mulish"/>
          <w:b/>
          <w:bCs/>
          <w:color w:val="0C0C0C" w:themeColor="text1"/>
          <w:lang w:eastAsia="es-ES" w:bidi="es-ES"/>
        </w:rPr>
        <w:t>El CTBG recuerda</w:t>
      </w:r>
      <w:r w:rsidRPr="00AA0900">
        <w:rPr>
          <w:rFonts w:ascii="Mulish" w:eastAsia="Mulish" w:hAnsi="Mulish" w:cs="Mulish"/>
          <w:color w:val="0C0C0C" w:themeColor="text1"/>
          <w:lang w:eastAsia="es-ES" w:bidi="es-ES"/>
        </w:rPr>
        <w:t xml:space="preserve"> a los responsables de las entidades públicas que no han alcanzado el pleno cumplimiento de los mandatos de transparencia contenidos en la LTAIBG </w:t>
      </w:r>
      <w:r w:rsidRPr="007101D5">
        <w:rPr>
          <w:rFonts w:ascii="Mulish" w:eastAsia="Mulish" w:hAnsi="Mulish" w:cs="Mulish"/>
          <w:b/>
          <w:bCs/>
          <w:color w:val="0C0C0C" w:themeColor="text1"/>
          <w:lang w:eastAsia="es-ES" w:bidi="es-ES"/>
        </w:rPr>
        <w:t>que se trata de obligaciones legales de carácter vinculante</w:t>
      </w:r>
      <w:r w:rsidRPr="00AA0900">
        <w:rPr>
          <w:rFonts w:ascii="Mulish" w:eastAsia="Mulish" w:hAnsi="Mulish" w:cs="Mulish"/>
          <w:color w:val="0C0C0C" w:themeColor="text1"/>
          <w:lang w:eastAsia="es-ES" w:bidi="es-ES"/>
        </w:rPr>
        <w:t xml:space="preserve"> que están </w:t>
      </w:r>
      <w:r w:rsidRPr="006E6BAE">
        <w:rPr>
          <w:rFonts w:ascii="Mulish" w:eastAsia="Mulish" w:hAnsi="Mulish" w:cs="Mulish"/>
          <w:b/>
          <w:bCs/>
          <w:color w:val="0C0C0C" w:themeColor="text1"/>
          <w:lang w:eastAsia="es-ES" w:bidi="es-ES"/>
        </w:rPr>
        <w:t>vigentes desde</w:t>
      </w:r>
      <w:r w:rsidRPr="00AA0900">
        <w:rPr>
          <w:rFonts w:ascii="Mulish" w:eastAsia="Mulish" w:hAnsi="Mulish" w:cs="Mulish"/>
          <w:color w:val="0C0C0C" w:themeColor="text1"/>
          <w:lang w:eastAsia="es-ES" w:bidi="es-ES"/>
        </w:rPr>
        <w:t xml:space="preserve"> el 10 de diciembre del año </w:t>
      </w:r>
      <w:r w:rsidRPr="007101D5">
        <w:rPr>
          <w:rFonts w:ascii="Mulish" w:eastAsia="Mulish" w:hAnsi="Mulish" w:cs="Mulish"/>
          <w:b/>
          <w:bCs/>
          <w:color w:val="0C0C0C" w:themeColor="text1"/>
          <w:lang w:eastAsia="es-ES" w:bidi="es-ES"/>
        </w:rPr>
        <w:t>2014 y les exhorta a cumplir con la ley sin dilación</w:t>
      </w:r>
      <w:r w:rsidRPr="00AA0900">
        <w:rPr>
          <w:rFonts w:ascii="Mulish" w:eastAsia="Mulish" w:hAnsi="Mulish" w:cs="Mulish"/>
          <w:color w:val="0C0C0C" w:themeColor="text1"/>
          <w:lang w:eastAsia="es-ES" w:bidi="es-ES"/>
        </w:rPr>
        <w:t xml:space="preserve">, proporcionándoles una serie de recomendaciones específicas para facilitar la tarea.     </w:t>
      </w:r>
    </w:p>
    <w:p w14:paraId="02CC9986" w14:textId="77777777" w:rsidR="00AA0900" w:rsidRPr="00AA0900" w:rsidRDefault="00AA0900" w:rsidP="00AA0900">
      <w:pPr>
        <w:spacing w:after="0"/>
        <w:jc w:val="both"/>
        <w:rPr>
          <w:rFonts w:ascii="Mulish" w:eastAsia="Mulish" w:hAnsi="Mulish" w:cs="Mulish"/>
          <w:color w:val="0C0C0C" w:themeColor="text1"/>
          <w:lang w:eastAsia="es-ES" w:bidi="es-ES"/>
        </w:rPr>
      </w:pPr>
    </w:p>
    <w:p w14:paraId="7E2A4A45" w14:textId="1E173615" w:rsidR="00AA0900" w:rsidRDefault="00AA0900" w:rsidP="00AA0900">
      <w:pPr>
        <w:spacing w:after="0"/>
        <w:jc w:val="both"/>
        <w:rPr>
          <w:rFonts w:ascii="Mulish" w:eastAsia="Mulish" w:hAnsi="Mulish" w:cs="Mulish"/>
          <w:color w:val="0C0C0C" w:themeColor="text1"/>
          <w:lang w:eastAsia="es-ES" w:bidi="es-ES"/>
        </w:rPr>
      </w:pPr>
      <w:r w:rsidRPr="00AA0900">
        <w:rPr>
          <w:rFonts w:ascii="Mulish" w:eastAsia="Mulish" w:hAnsi="Mulish" w:cs="Mulish"/>
          <w:color w:val="0C0C0C" w:themeColor="text1"/>
          <w:lang w:eastAsia="es-ES" w:bidi="es-ES"/>
        </w:rPr>
        <w:t>A continuación</w:t>
      </w:r>
      <w:r w:rsidR="003E58C6">
        <w:rPr>
          <w:rFonts w:ascii="Mulish" w:eastAsia="Mulish" w:hAnsi="Mulish" w:cs="Mulish"/>
          <w:color w:val="0C0C0C" w:themeColor="text1"/>
          <w:lang w:eastAsia="es-ES" w:bidi="es-ES"/>
        </w:rPr>
        <w:t>,</w:t>
      </w:r>
      <w:r w:rsidRPr="00AA0900">
        <w:rPr>
          <w:rFonts w:ascii="Mulish" w:eastAsia="Mulish" w:hAnsi="Mulish" w:cs="Mulish"/>
          <w:color w:val="0C0C0C" w:themeColor="text1"/>
          <w:lang w:eastAsia="es-ES" w:bidi="es-ES"/>
        </w:rPr>
        <w:t xml:space="preserve"> se recoge una tabla con los datos básicos de cada una de las entidades evaluadas, ordenadas por grado de cumplimiento. El informe agregado de la evaluación del </w:t>
      </w:r>
      <w:r w:rsidR="0077727F">
        <w:rPr>
          <w:rFonts w:ascii="Mulish" w:eastAsia="Mulish" w:hAnsi="Mulish" w:cs="Mulish"/>
          <w:color w:val="0C0C0C" w:themeColor="text1"/>
          <w:lang w:eastAsia="es-ES" w:bidi="es-ES"/>
        </w:rPr>
        <w:t>s</w:t>
      </w:r>
      <w:r w:rsidRPr="00AA0900">
        <w:rPr>
          <w:rFonts w:ascii="Mulish" w:eastAsia="Mulish" w:hAnsi="Mulish" w:cs="Mulish"/>
          <w:color w:val="0C0C0C" w:themeColor="text1"/>
          <w:lang w:eastAsia="es-ES" w:bidi="es-ES"/>
        </w:rPr>
        <w:t xml:space="preserve">ector </w:t>
      </w:r>
      <w:r w:rsidR="0077727F">
        <w:rPr>
          <w:rFonts w:ascii="Mulish" w:eastAsia="Mulish" w:hAnsi="Mulish" w:cs="Mulish"/>
          <w:color w:val="0C0C0C" w:themeColor="text1"/>
          <w:lang w:eastAsia="es-ES" w:bidi="es-ES"/>
        </w:rPr>
        <w:t>p</w:t>
      </w:r>
      <w:r w:rsidRPr="00AA0900">
        <w:rPr>
          <w:rFonts w:ascii="Mulish" w:eastAsia="Mulish" w:hAnsi="Mulish" w:cs="Mulish"/>
          <w:color w:val="0C0C0C" w:themeColor="text1"/>
          <w:lang w:eastAsia="es-ES" w:bidi="es-ES"/>
        </w:rPr>
        <w:t xml:space="preserve">úblico </w:t>
      </w:r>
      <w:r w:rsidR="0077727F">
        <w:rPr>
          <w:rFonts w:ascii="Mulish" w:eastAsia="Mulish" w:hAnsi="Mulish" w:cs="Mulish"/>
          <w:color w:val="0C0C0C" w:themeColor="text1"/>
          <w:lang w:eastAsia="es-ES" w:bidi="es-ES"/>
        </w:rPr>
        <w:t>i</w:t>
      </w:r>
      <w:r w:rsidRPr="00AA0900">
        <w:rPr>
          <w:rFonts w:ascii="Mulish" w:eastAsia="Mulish" w:hAnsi="Mulish" w:cs="Mulish"/>
          <w:color w:val="0C0C0C" w:themeColor="text1"/>
          <w:lang w:eastAsia="es-ES" w:bidi="es-ES"/>
        </w:rPr>
        <w:t xml:space="preserve">nstitucional </w:t>
      </w:r>
      <w:r w:rsidR="0077727F">
        <w:rPr>
          <w:rFonts w:ascii="Mulish" w:eastAsia="Mulish" w:hAnsi="Mulish" w:cs="Mulish"/>
          <w:color w:val="0C0C0C" w:themeColor="text1"/>
          <w:lang w:eastAsia="es-ES" w:bidi="es-ES"/>
        </w:rPr>
        <w:t xml:space="preserve">estatal </w:t>
      </w:r>
      <w:r w:rsidRPr="00AA0900">
        <w:rPr>
          <w:rFonts w:ascii="Mulish" w:eastAsia="Mulish" w:hAnsi="Mulish" w:cs="Mulish"/>
          <w:color w:val="0C0C0C" w:themeColor="text1"/>
          <w:lang w:eastAsia="es-ES" w:bidi="es-ES"/>
        </w:rPr>
        <w:t xml:space="preserve">y los </w:t>
      </w:r>
      <w:r w:rsidR="00FC7309">
        <w:rPr>
          <w:rFonts w:ascii="Mulish" w:eastAsia="Mulish" w:hAnsi="Mulish" w:cs="Mulish"/>
          <w:color w:val="0C0C0C" w:themeColor="text1"/>
          <w:lang w:eastAsia="es-ES" w:bidi="es-ES"/>
        </w:rPr>
        <w:t xml:space="preserve">128 </w:t>
      </w:r>
      <w:r w:rsidRPr="00AA0900">
        <w:rPr>
          <w:rFonts w:ascii="Mulish" w:eastAsia="Mulish" w:hAnsi="Mulish" w:cs="Mulish"/>
          <w:color w:val="0C0C0C" w:themeColor="text1"/>
          <w:lang w:eastAsia="es-ES" w:bidi="es-ES"/>
        </w:rPr>
        <w:t xml:space="preserve">informes individuales de cada una de las entidades evaluadas, junto con las observaciones que, en su caso, han formulado y </w:t>
      </w:r>
      <w:r w:rsidR="00FC7309">
        <w:rPr>
          <w:rFonts w:ascii="Mulish" w:eastAsia="Mulish" w:hAnsi="Mulish" w:cs="Mulish"/>
          <w:color w:val="0C0C0C" w:themeColor="text1"/>
          <w:lang w:eastAsia="es-ES" w:bidi="es-ES"/>
        </w:rPr>
        <w:t xml:space="preserve">los informes de </w:t>
      </w:r>
      <w:r w:rsidRPr="00AA0900">
        <w:rPr>
          <w:rFonts w:ascii="Mulish" w:eastAsia="Mulish" w:hAnsi="Mulish" w:cs="Mulish"/>
          <w:color w:val="0C0C0C" w:themeColor="text1"/>
          <w:lang w:eastAsia="es-ES" w:bidi="es-ES"/>
        </w:rPr>
        <w:t xml:space="preserve">contestación del CTBG </w:t>
      </w:r>
      <w:r w:rsidR="00FC7309">
        <w:rPr>
          <w:rFonts w:ascii="Mulish" w:eastAsia="Mulish" w:hAnsi="Mulish" w:cs="Mulish"/>
          <w:color w:val="0C0C0C" w:themeColor="text1"/>
          <w:lang w:eastAsia="es-ES" w:bidi="es-ES"/>
        </w:rPr>
        <w:t xml:space="preserve">a estas alegaciones, </w:t>
      </w:r>
      <w:r w:rsidRPr="00AA0900">
        <w:rPr>
          <w:rFonts w:ascii="Mulish" w:eastAsia="Mulish" w:hAnsi="Mulish" w:cs="Mulish"/>
          <w:color w:val="0C0C0C" w:themeColor="text1"/>
          <w:lang w:eastAsia="es-ES" w:bidi="es-ES"/>
        </w:rPr>
        <w:t>están publicados en la web</w:t>
      </w:r>
      <w:r w:rsidR="0077727F">
        <w:rPr>
          <w:rFonts w:ascii="Mulish" w:eastAsia="Mulish" w:hAnsi="Mulish" w:cs="Mulish"/>
          <w:color w:val="0C0C0C" w:themeColor="text1"/>
          <w:lang w:eastAsia="es-ES" w:bidi="es-ES"/>
        </w:rPr>
        <w:t xml:space="preserve"> en el siguiente enlace</w:t>
      </w:r>
      <w:r w:rsidR="00FC7309">
        <w:rPr>
          <w:rFonts w:ascii="Mulish" w:eastAsia="Mulish" w:hAnsi="Mulish" w:cs="Mulish"/>
          <w:color w:val="0C0C0C" w:themeColor="text1"/>
          <w:lang w:eastAsia="es-ES" w:bidi="es-ES"/>
        </w:rPr>
        <w:t xml:space="preserve">: </w:t>
      </w:r>
    </w:p>
    <w:p w14:paraId="35FE2C14" w14:textId="72EDDE9E" w:rsidR="00FC7309" w:rsidRDefault="00FC7309" w:rsidP="00AA0900">
      <w:pPr>
        <w:spacing w:after="0"/>
        <w:jc w:val="both"/>
        <w:rPr>
          <w:rFonts w:ascii="Mulish" w:eastAsia="Mulish" w:hAnsi="Mulish" w:cs="Mulish"/>
          <w:color w:val="0C0C0C" w:themeColor="text1"/>
          <w:lang w:eastAsia="es-ES" w:bidi="es-ES"/>
        </w:rPr>
      </w:pPr>
    </w:p>
    <w:p w14:paraId="304377B9" w14:textId="2642E064" w:rsidR="00EF73FE" w:rsidRDefault="00D70DAE" w:rsidP="00AA0900">
      <w:pPr>
        <w:spacing w:after="0"/>
        <w:jc w:val="both"/>
        <w:rPr>
          <w:rFonts w:ascii="Mulish" w:eastAsia="Mulish" w:hAnsi="Mulish" w:cs="Mulish"/>
          <w:color w:val="0C0C0C" w:themeColor="text1"/>
          <w:lang w:eastAsia="es-ES" w:bidi="es-ES"/>
        </w:rPr>
      </w:pPr>
      <w:hyperlink r:id="rId8" w:history="1">
        <w:r w:rsidRPr="00CE1C0F">
          <w:rPr>
            <w:rStyle w:val="Hipervnculo"/>
            <w:rFonts w:ascii="Mulish" w:eastAsia="Mulish" w:hAnsi="Mulish" w:cs="Mulish"/>
            <w:lang w:eastAsia="es-ES" w:bidi="es-ES"/>
          </w:rPr>
          <w:t>https://www.consejodetransparencia.es/ct_Home/Actividad/Evaluaciones/Evaluacion2024/2024/SPI.html</w:t>
        </w:r>
      </w:hyperlink>
    </w:p>
    <w:p w14:paraId="68F86F31" w14:textId="77777777" w:rsidR="00D70DAE" w:rsidRDefault="00D70DAE" w:rsidP="00AA0900">
      <w:pPr>
        <w:spacing w:after="0"/>
        <w:jc w:val="both"/>
        <w:rPr>
          <w:rFonts w:ascii="Mulish" w:eastAsia="Mulish" w:hAnsi="Mulish" w:cs="Mulish"/>
          <w:color w:val="0C0C0C" w:themeColor="text1"/>
          <w:lang w:eastAsia="es-ES" w:bidi="es-ES"/>
        </w:rPr>
      </w:pPr>
    </w:p>
    <w:p w14:paraId="039C4CA2" w14:textId="73B90CDD" w:rsidR="00EF73FE" w:rsidRPr="0077727F" w:rsidRDefault="00D70DAE" w:rsidP="00EF73FE">
      <w:pPr>
        <w:rPr>
          <w:rFonts w:ascii="Mulish" w:eastAsia="Times New Roman" w:hAnsi="Mulish" w:cs="Times New Roman"/>
          <w:bCs/>
          <w:color w:val="CB9700" w:themeColor="accent2"/>
        </w:rPr>
      </w:pPr>
      <w:sdt>
        <w:sdtPr>
          <w:rPr>
            <w:rFonts w:ascii="Mulish" w:eastAsia="Times New Roman" w:hAnsi="Mulish" w:cs="Times New Roman"/>
            <w:bCs/>
            <w:color w:val="CB9700" w:themeColor="accent2"/>
            <w:sz w:val="26"/>
            <w:szCs w:val="26"/>
          </w:rPr>
          <w:id w:val="-2053380632"/>
        </w:sdtPr>
        <w:sdtEndPr>
          <w:rPr>
            <w:color w:val="auto"/>
            <w:sz w:val="22"/>
            <w:szCs w:val="22"/>
          </w:rPr>
        </w:sdtEndPr>
        <w:sdtContent>
          <w:r w:rsidR="00EF73FE" w:rsidRPr="0077727F">
            <w:rPr>
              <w:rFonts w:ascii="Mulish" w:hAnsi="Mulish"/>
              <w:bCs/>
              <w:color w:val="004037" w:themeColor="accent5" w:themeShade="80"/>
            </w:rPr>
            <w:t>Índices de Cumplimiento de la Información Obligatoria en 2024, evolución y grado de aplicación de las recomendaciones derivadas de la evaluación 2023</w:t>
          </w:r>
        </w:sdtContent>
      </w:sdt>
    </w:p>
    <w:tbl>
      <w:tblPr>
        <w:tblStyle w:val="Tabladelista3-nfasis2"/>
        <w:tblW w:w="6024" w:type="pct"/>
        <w:tblInd w:w="-856" w:type="dxa"/>
        <w:tblLayout w:type="fixed"/>
        <w:tblLook w:val="04A0" w:firstRow="1" w:lastRow="0" w:firstColumn="1" w:lastColumn="0" w:noHBand="0" w:noVBand="1"/>
      </w:tblPr>
      <w:tblGrid>
        <w:gridCol w:w="1770"/>
        <w:gridCol w:w="1349"/>
        <w:gridCol w:w="1308"/>
        <w:gridCol w:w="1810"/>
        <w:gridCol w:w="1984"/>
        <w:gridCol w:w="2694"/>
      </w:tblGrid>
      <w:tr w:rsidR="00EF73FE" w:rsidRPr="00AA1AD3" w14:paraId="53843D90" w14:textId="77777777" w:rsidTr="00F34666">
        <w:trPr>
          <w:cnfStyle w:val="100000000000" w:firstRow="1" w:lastRow="0" w:firstColumn="0" w:lastColumn="0" w:oddVBand="0" w:evenVBand="0" w:oddHBand="0" w:evenHBand="0" w:firstRowFirstColumn="0" w:firstRowLastColumn="0" w:lastRowFirstColumn="0" w:lastRowLastColumn="0"/>
          <w:trHeight w:val="1449"/>
          <w:tblHeader/>
        </w:trPr>
        <w:tc>
          <w:tcPr>
            <w:cnfStyle w:val="001000000100" w:firstRow="0" w:lastRow="0" w:firstColumn="1" w:lastColumn="0" w:oddVBand="0" w:evenVBand="0" w:oddHBand="0" w:evenHBand="0" w:firstRowFirstColumn="1" w:firstRowLastColumn="0" w:lastRowFirstColumn="0" w:lastRowLastColumn="0"/>
            <w:tcW w:w="811" w:type="pct"/>
            <w:shd w:val="clear" w:color="auto" w:fill="005F52" w:themeFill="accent5" w:themeFillShade="BF"/>
            <w:noWrap/>
            <w:hideMark/>
          </w:tcPr>
          <w:p w14:paraId="1E349FC5" w14:textId="77777777" w:rsidR="00EF73FE" w:rsidRPr="000A2DEF" w:rsidRDefault="00EF73FE" w:rsidP="00AE1ABE">
            <w:pPr>
              <w:rPr>
                <w:rFonts w:eastAsia="Times New Roman" w:cs="Calibri"/>
                <w:color w:val="FFFFFF"/>
                <w:sz w:val="18"/>
                <w:szCs w:val="18"/>
              </w:rPr>
            </w:pPr>
            <w:r w:rsidRPr="000A2DEF">
              <w:rPr>
                <w:rFonts w:eastAsia="Times New Roman" w:cs="Calibri"/>
                <w:sz w:val="18"/>
                <w:szCs w:val="18"/>
              </w:rPr>
              <w:t>Entidad</w:t>
            </w:r>
          </w:p>
        </w:tc>
        <w:tc>
          <w:tcPr>
            <w:tcW w:w="618" w:type="pct"/>
            <w:shd w:val="clear" w:color="auto" w:fill="005F52" w:themeFill="accent5" w:themeFillShade="BF"/>
            <w:noWrap/>
            <w:hideMark/>
          </w:tcPr>
          <w:p w14:paraId="63E215E4" w14:textId="77777777" w:rsidR="00EF73FE" w:rsidRPr="000A2DEF" w:rsidRDefault="00EF73FE" w:rsidP="00AE1ABE">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8"/>
                <w:szCs w:val="18"/>
              </w:rPr>
            </w:pPr>
            <w:r w:rsidRPr="000A2DEF">
              <w:rPr>
                <w:rFonts w:eastAsia="Times New Roman" w:cs="Calibri"/>
                <w:sz w:val="18"/>
                <w:szCs w:val="18"/>
              </w:rPr>
              <w:t>Cumplimiento</w:t>
            </w:r>
          </w:p>
        </w:tc>
        <w:tc>
          <w:tcPr>
            <w:tcW w:w="599" w:type="pct"/>
            <w:shd w:val="clear" w:color="auto" w:fill="005F52" w:themeFill="accent5" w:themeFillShade="BF"/>
            <w:noWrap/>
            <w:hideMark/>
          </w:tcPr>
          <w:p w14:paraId="736EB70C" w14:textId="77777777" w:rsidR="00EF73FE" w:rsidRPr="000A2DEF" w:rsidRDefault="00EF73FE" w:rsidP="00AE1ABE">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8"/>
                <w:szCs w:val="18"/>
              </w:rPr>
            </w:pPr>
            <w:r w:rsidRPr="000A2DEF">
              <w:rPr>
                <w:rFonts w:eastAsia="Times New Roman" w:cs="Calibri"/>
                <w:sz w:val="18"/>
                <w:szCs w:val="18"/>
              </w:rPr>
              <w:t>Diferencia respecto de 2023 (puntos porcentuales)</w:t>
            </w:r>
          </w:p>
        </w:tc>
        <w:tc>
          <w:tcPr>
            <w:tcW w:w="829" w:type="pct"/>
            <w:shd w:val="clear" w:color="auto" w:fill="005F52" w:themeFill="accent5" w:themeFillShade="BF"/>
            <w:noWrap/>
            <w:hideMark/>
          </w:tcPr>
          <w:p w14:paraId="797144C9" w14:textId="77777777" w:rsidR="00EF73FE" w:rsidRPr="000A2DEF" w:rsidRDefault="00EF73FE" w:rsidP="00AE1ABE">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8"/>
                <w:szCs w:val="18"/>
              </w:rPr>
            </w:pPr>
            <w:r w:rsidRPr="000A2DEF">
              <w:rPr>
                <w:rFonts w:eastAsia="Times New Roman" w:cs="Calibri"/>
                <w:sz w:val="18"/>
                <w:szCs w:val="18"/>
              </w:rPr>
              <w:t>Recomendaciones efectuadas</w:t>
            </w:r>
          </w:p>
        </w:tc>
        <w:tc>
          <w:tcPr>
            <w:tcW w:w="909" w:type="pct"/>
            <w:shd w:val="clear" w:color="auto" w:fill="005F52" w:themeFill="accent5" w:themeFillShade="BF"/>
            <w:noWrap/>
            <w:hideMark/>
          </w:tcPr>
          <w:p w14:paraId="0968D5EC" w14:textId="77777777" w:rsidR="00EF73FE" w:rsidRPr="000A2DEF" w:rsidRDefault="00EF73FE" w:rsidP="00AE1ABE">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8"/>
                <w:szCs w:val="18"/>
              </w:rPr>
            </w:pPr>
            <w:r w:rsidRPr="000A2DEF">
              <w:rPr>
                <w:rFonts w:eastAsia="Times New Roman" w:cs="Calibri"/>
                <w:sz w:val="18"/>
                <w:szCs w:val="18"/>
              </w:rPr>
              <w:t>Recomendaciones aplicadas</w:t>
            </w:r>
          </w:p>
        </w:tc>
        <w:tc>
          <w:tcPr>
            <w:tcW w:w="1234" w:type="pct"/>
            <w:shd w:val="clear" w:color="auto" w:fill="005F52" w:themeFill="accent5" w:themeFillShade="BF"/>
            <w:noWrap/>
            <w:hideMark/>
          </w:tcPr>
          <w:p w14:paraId="15E37ECD" w14:textId="77777777" w:rsidR="00EF73FE" w:rsidRPr="000A2DEF" w:rsidRDefault="00EF73FE" w:rsidP="00AE1ABE">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8"/>
                <w:szCs w:val="18"/>
              </w:rPr>
            </w:pPr>
            <w:r w:rsidRPr="000A2DEF">
              <w:rPr>
                <w:rFonts w:eastAsia="Times New Roman" w:cs="Calibri"/>
                <w:sz w:val="18"/>
                <w:szCs w:val="18"/>
              </w:rPr>
              <w:t>Recomendaciones o Mejoras implantadas durante el periodo de observaciones</w:t>
            </w:r>
          </w:p>
        </w:tc>
      </w:tr>
      <w:tr w:rsidR="00EF73FE" w:rsidRPr="000A2DEF" w14:paraId="56300D6C"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33A94E8"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ISDEFE</w:t>
            </w:r>
          </w:p>
        </w:tc>
        <w:tc>
          <w:tcPr>
            <w:tcW w:w="618" w:type="pct"/>
            <w:noWrap/>
            <w:hideMark/>
          </w:tcPr>
          <w:p w14:paraId="496F48B8"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100,0</w:t>
            </w:r>
          </w:p>
        </w:tc>
        <w:tc>
          <w:tcPr>
            <w:tcW w:w="599" w:type="pct"/>
            <w:noWrap/>
            <w:hideMark/>
          </w:tcPr>
          <w:p w14:paraId="4D459CC6"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32,5</w:t>
            </w:r>
          </w:p>
        </w:tc>
        <w:tc>
          <w:tcPr>
            <w:tcW w:w="829" w:type="pct"/>
            <w:noWrap/>
            <w:hideMark/>
          </w:tcPr>
          <w:p w14:paraId="029C4148"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w:t>
            </w:r>
          </w:p>
        </w:tc>
        <w:tc>
          <w:tcPr>
            <w:tcW w:w="909" w:type="pct"/>
            <w:noWrap/>
            <w:hideMark/>
          </w:tcPr>
          <w:p w14:paraId="3F812978"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w:t>
            </w:r>
          </w:p>
        </w:tc>
        <w:tc>
          <w:tcPr>
            <w:tcW w:w="1234" w:type="pct"/>
            <w:noWrap/>
            <w:hideMark/>
          </w:tcPr>
          <w:p w14:paraId="5920B0EB"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483B0B4D"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C7FD136"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Valencia</w:t>
            </w:r>
          </w:p>
        </w:tc>
        <w:tc>
          <w:tcPr>
            <w:tcW w:w="618" w:type="pct"/>
            <w:noWrap/>
            <w:hideMark/>
          </w:tcPr>
          <w:p w14:paraId="1E89CA74"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100,0</w:t>
            </w:r>
          </w:p>
        </w:tc>
        <w:tc>
          <w:tcPr>
            <w:tcW w:w="599" w:type="pct"/>
            <w:noWrap/>
            <w:hideMark/>
          </w:tcPr>
          <w:p w14:paraId="272882B5"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829" w:type="pct"/>
            <w:noWrap/>
            <w:hideMark/>
          </w:tcPr>
          <w:p w14:paraId="582B26E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909" w:type="pct"/>
            <w:noWrap/>
            <w:hideMark/>
          </w:tcPr>
          <w:p w14:paraId="0A8155C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1234" w:type="pct"/>
            <w:noWrap/>
            <w:hideMark/>
          </w:tcPr>
          <w:p w14:paraId="1EC35FB3"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71AF05A4"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C2D686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ENSA</w:t>
            </w:r>
          </w:p>
        </w:tc>
        <w:tc>
          <w:tcPr>
            <w:tcW w:w="618" w:type="pct"/>
            <w:noWrap/>
            <w:hideMark/>
          </w:tcPr>
          <w:p w14:paraId="150C2D8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96,6</w:t>
            </w:r>
          </w:p>
        </w:tc>
        <w:tc>
          <w:tcPr>
            <w:tcW w:w="599" w:type="pct"/>
            <w:noWrap/>
            <w:hideMark/>
          </w:tcPr>
          <w:p w14:paraId="0F3BB7FD"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58,7</w:t>
            </w:r>
          </w:p>
        </w:tc>
        <w:tc>
          <w:tcPr>
            <w:tcW w:w="829" w:type="pct"/>
            <w:noWrap/>
            <w:hideMark/>
          </w:tcPr>
          <w:p w14:paraId="010E28E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909" w:type="pct"/>
            <w:noWrap/>
            <w:hideMark/>
          </w:tcPr>
          <w:p w14:paraId="1742C33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w:t>
            </w:r>
          </w:p>
        </w:tc>
        <w:tc>
          <w:tcPr>
            <w:tcW w:w="1234" w:type="pct"/>
            <w:noWrap/>
            <w:hideMark/>
          </w:tcPr>
          <w:p w14:paraId="7746C98C"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6609B9A7"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2785DE3"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COFIVACASA</w:t>
            </w:r>
          </w:p>
        </w:tc>
        <w:tc>
          <w:tcPr>
            <w:tcW w:w="618" w:type="pct"/>
            <w:noWrap/>
            <w:hideMark/>
          </w:tcPr>
          <w:p w14:paraId="3EB6AA4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92,7</w:t>
            </w:r>
          </w:p>
        </w:tc>
        <w:tc>
          <w:tcPr>
            <w:tcW w:w="599" w:type="pct"/>
            <w:noWrap/>
            <w:hideMark/>
          </w:tcPr>
          <w:p w14:paraId="00B027D7"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39,7</w:t>
            </w:r>
          </w:p>
        </w:tc>
        <w:tc>
          <w:tcPr>
            <w:tcW w:w="829" w:type="pct"/>
            <w:noWrap/>
            <w:hideMark/>
          </w:tcPr>
          <w:p w14:paraId="00F50AB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909" w:type="pct"/>
            <w:noWrap/>
            <w:hideMark/>
          </w:tcPr>
          <w:p w14:paraId="53A9F83C"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w:t>
            </w:r>
          </w:p>
        </w:tc>
        <w:tc>
          <w:tcPr>
            <w:tcW w:w="1234" w:type="pct"/>
            <w:noWrap/>
            <w:hideMark/>
          </w:tcPr>
          <w:p w14:paraId="3AA4F9A3"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1CCF4F04"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E243AE6"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ICEX</w:t>
            </w:r>
          </w:p>
        </w:tc>
        <w:tc>
          <w:tcPr>
            <w:tcW w:w="618" w:type="pct"/>
            <w:noWrap/>
            <w:hideMark/>
          </w:tcPr>
          <w:p w14:paraId="6EF44D5D"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92,6</w:t>
            </w:r>
          </w:p>
        </w:tc>
        <w:tc>
          <w:tcPr>
            <w:tcW w:w="599" w:type="pct"/>
            <w:noWrap/>
            <w:hideMark/>
          </w:tcPr>
          <w:p w14:paraId="2D48D163"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19,6</w:t>
            </w:r>
          </w:p>
        </w:tc>
        <w:tc>
          <w:tcPr>
            <w:tcW w:w="829" w:type="pct"/>
            <w:noWrap/>
            <w:hideMark/>
          </w:tcPr>
          <w:p w14:paraId="5D958C51"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909" w:type="pct"/>
            <w:noWrap/>
            <w:hideMark/>
          </w:tcPr>
          <w:p w14:paraId="4D34F8F6"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c>
          <w:tcPr>
            <w:tcW w:w="1234" w:type="pct"/>
            <w:noWrap/>
            <w:hideMark/>
          </w:tcPr>
          <w:p w14:paraId="043FC0AD"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6F07A7FA"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8171FB3"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F. Instituto Iberoamericano de Valores</w:t>
            </w:r>
          </w:p>
        </w:tc>
        <w:tc>
          <w:tcPr>
            <w:tcW w:w="618" w:type="pct"/>
            <w:noWrap/>
            <w:hideMark/>
          </w:tcPr>
          <w:p w14:paraId="0A27E84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92,0</w:t>
            </w:r>
          </w:p>
        </w:tc>
        <w:tc>
          <w:tcPr>
            <w:tcW w:w="599" w:type="pct"/>
            <w:noWrap/>
            <w:hideMark/>
          </w:tcPr>
          <w:p w14:paraId="3807966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27,3</w:t>
            </w:r>
          </w:p>
        </w:tc>
        <w:tc>
          <w:tcPr>
            <w:tcW w:w="829" w:type="pct"/>
            <w:noWrap/>
            <w:hideMark/>
          </w:tcPr>
          <w:p w14:paraId="16210139"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909" w:type="pct"/>
            <w:noWrap/>
            <w:hideMark/>
          </w:tcPr>
          <w:p w14:paraId="0B38B67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1234" w:type="pct"/>
            <w:noWrap/>
            <w:hideMark/>
          </w:tcPr>
          <w:p w14:paraId="19BC7CA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46B1BFAD"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3C40554"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Almería AV</w:t>
            </w:r>
          </w:p>
        </w:tc>
        <w:tc>
          <w:tcPr>
            <w:tcW w:w="618" w:type="pct"/>
            <w:noWrap/>
            <w:hideMark/>
          </w:tcPr>
          <w:p w14:paraId="620D236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91,9</w:t>
            </w:r>
          </w:p>
        </w:tc>
        <w:tc>
          <w:tcPr>
            <w:tcW w:w="599" w:type="pct"/>
            <w:noWrap/>
            <w:hideMark/>
          </w:tcPr>
          <w:p w14:paraId="2D134576"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47,9</w:t>
            </w:r>
          </w:p>
        </w:tc>
        <w:tc>
          <w:tcPr>
            <w:tcW w:w="829" w:type="pct"/>
            <w:noWrap/>
            <w:hideMark/>
          </w:tcPr>
          <w:p w14:paraId="575C980F"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c>
          <w:tcPr>
            <w:tcW w:w="909" w:type="pct"/>
            <w:noWrap/>
            <w:hideMark/>
          </w:tcPr>
          <w:p w14:paraId="16424946"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c>
          <w:tcPr>
            <w:tcW w:w="1234" w:type="pct"/>
            <w:noWrap/>
            <w:hideMark/>
          </w:tcPr>
          <w:p w14:paraId="0801C36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512918E7"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C131C5A"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LOGIRAIL</w:t>
            </w:r>
          </w:p>
        </w:tc>
        <w:tc>
          <w:tcPr>
            <w:tcW w:w="618" w:type="pct"/>
            <w:noWrap/>
            <w:hideMark/>
          </w:tcPr>
          <w:p w14:paraId="74336DA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89,7</w:t>
            </w:r>
          </w:p>
        </w:tc>
        <w:tc>
          <w:tcPr>
            <w:tcW w:w="599" w:type="pct"/>
            <w:noWrap/>
            <w:hideMark/>
          </w:tcPr>
          <w:p w14:paraId="74019785"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78,6</w:t>
            </w:r>
          </w:p>
        </w:tc>
        <w:tc>
          <w:tcPr>
            <w:tcW w:w="829" w:type="pct"/>
            <w:noWrap/>
            <w:hideMark/>
          </w:tcPr>
          <w:p w14:paraId="7C1EC804"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43EC47A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1234" w:type="pct"/>
            <w:noWrap/>
            <w:hideMark/>
          </w:tcPr>
          <w:p w14:paraId="5A85916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03F7BD91"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0AD3DF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SEGITTUR</w:t>
            </w:r>
          </w:p>
        </w:tc>
        <w:tc>
          <w:tcPr>
            <w:tcW w:w="618" w:type="pct"/>
            <w:noWrap/>
            <w:hideMark/>
          </w:tcPr>
          <w:p w14:paraId="01301E9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89,5</w:t>
            </w:r>
          </w:p>
        </w:tc>
        <w:tc>
          <w:tcPr>
            <w:tcW w:w="599" w:type="pct"/>
            <w:noWrap/>
            <w:hideMark/>
          </w:tcPr>
          <w:p w14:paraId="2E11DD6C"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29,9</w:t>
            </w:r>
          </w:p>
        </w:tc>
        <w:tc>
          <w:tcPr>
            <w:tcW w:w="829" w:type="pct"/>
            <w:noWrap/>
            <w:hideMark/>
          </w:tcPr>
          <w:p w14:paraId="7E6840E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w:t>
            </w:r>
          </w:p>
        </w:tc>
        <w:tc>
          <w:tcPr>
            <w:tcW w:w="909" w:type="pct"/>
            <w:noWrap/>
            <w:hideMark/>
          </w:tcPr>
          <w:p w14:paraId="008F3DB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1234" w:type="pct"/>
            <w:noWrap/>
            <w:hideMark/>
          </w:tcPr>
          <w:p w14:paraId="123E8818"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r>
      <w:tr w:rsidR="00EF73FE" w:rsidRPr="000A2DEF" w14:paraId="29259EEC"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2300F2C"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CNIC</w:t>
            </w:r>
          </w:p>
        </w:tc>
        <w:tc>
          <w:tcPr>
            <w:tcW w:w="618" w:type="pct"/>
            <w:noWrap/>
            <w:hideMark/>
          </w:tcPr>
          <w:p w14:paraId="18C2E29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88,7</w:t>
            </w:r>
          </w:p>
        </w:tc>
        <w:tc>
          <w:tcPr>
            <w:tcW w:w="599" w:type="pct"/>
            <w:noWrap/>
            <w:hideMark/>
          </w:tcPr>
          <w:p w14:paraId="077C781B"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22,9</w:t>
            </w:r>
          </w:p>
        </w:tc>
        <w:tc>
          <w:tcPr>
            <w:tcW w:w="829" w:type="pct"/>
            <w:noWrap/>
            <w:hideMark/>
          </w:tcPr>
          <w:p w14:paraId="4D1859D5"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w:t>
            </w:r>
          </w:p>
        </w:tc>
        <w:tc>
          <w:tcPr>
            <w:tcW w:w="909" w:type="pct"/>
            <w:noWrap/>
            <w:hideMark/>
          </w:tcPr>
          <w:p w14:paraId="3A3B18CC"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c>
          <w:tcPr>
            <w:tcW w:w="1234" w:type="pct"/>
            <w:noWrap/>
            <w:hideMark/>
          </w:tcPr>
          <w:p w14:paraId="08330A7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r>
      <w:tr w:rsidR="00EF73FE" w:rsidRPr="000A2DEF" w14:paraId="4DA614DB"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34E8AD8"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UNED</w:t>
            </w:r>
          </w:p>
        </w:tc>
        <w:tc>
          <w:tcPr>
            <w:tcW w:w="618" w:type="pct"/>
            <w:noWrap/>
            <w:hideMark/>
          </w:tcPr>
          <w:p w14:paraId="17314269"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85,1</w:t>
            </w:r>
          </w:p>
        </w:tc>
        <w:tc>
          <w:tcPr>
            <w:tcW w:w="599" w:type="pct"/>
            <w:noWrap/>
            <w:hideMark/>
          </w:tcPr>
          <w:p w14:paraId="57CD63A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30,8</w:t>
            </w:r>
          </w:p>
        </w:tc>
        <w:tc>
          <w:tcPr>
            <w:tcW w:w="829" w:type="pct"/>
            <w:noWrap/>
            <w:hideMark/>
          </w:tcPr>
          <w:p w14:paraId="7D73D4C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w:t>
            </w:r>
          </w:p>
        </w:tc>
        <w:tc>
          <w:tcPr>
            <w:tcW w:w="909" w:type="pct"/>
            <w:noWrap/>
            <w:hideMark/>
          </w:tcPr>
          <w:p w14:paraId="5FB6C676"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c>
          <w:tcPr>
            <w:tcW w:w="1234" w:type="pct"/>
            <w:noWrap/>
            <w:hideMark/>
          </w:tcPr>
          <w:p w14:paraId="01E8739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4F588465"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77B0294"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CUD-AGM</w:t>
            </w:r>
          </w:p>
        </w:tc>
        <w:tc>
          <w:tcPr>
            <w:tcW w:w="618" w:type="pct"/>
            <w:noWrap/>
            <w:hideMark/>
          </w:tcPr>
          <w:p w14:paraId="451EE39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84,7</w:t>
            </w:r>
          </w:p>
        </w:tc>
        <w:tc>
          <w:tcPr>
            <w:tcW w:w="599" w:type="pct"/>
            <w:noWrap/>
            <w:hideMark/>
          </w:tcPr>
          <w:p w14:paraId="4D0F2E57"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35,4</w:t>
            </w:r>
          </w:p>
        </w:tc>
        <w:tc>
          <w:tcPr>
            <w:tcW w:w="829" w:type="pct"/>
            <w:noWrap/>
            <w:hideMark/>
          </w:tcPr>
          <w:p w14:paraId="5A71A8C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909" w:type="pct"/>
            <w:noWrap/>
            <w:hideMark/>
          </w:tcPr>
          <w:p w14:paraId="5565C193"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c>
          <w:tcPr>
            <w:tcW w:w="1234" w:type="pct"/>
            <w:noWrap/>
            <w:hideMark/>
          </w:tcPr>
          <w:p w14:paraId="3BBFFCF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r>
      <w:tr w:rsidR="00EF73FE" w:rsidRPr="000A2DEF" w14:paraId="35F720BF"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1DBE96A"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INECO</w:t>
            </w:r>
          </w:p>
        </w:tc>
        <w:tc>
          <w:tcPr>
            <w:tcW w:w="618" w:type="pct"/>
            <w:noWrap/>
            <w:hideMark/>
          </w:tcPr>
          <w:p w14:paraId="3C964F5D"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84,5</w:t>
            </w:r>
          </w:p>
        </w:tc>
        <w:tc>
          <w:tcPr>
            <w:tcW w:w="599" w:type="pct"/>
            <w:noWrap/>
            <w:hideMark/>
          </w:tcPr>
          <w:p w14:paraId="6D6F840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27,8</w:t>
            </w:r>
          </w:p>
        </w:tc>
        <w:tc>
          <w:tcPr>
            <w:tcW w:w="829" w:type="pct"/>
            <w:noWrap/>
            <w:hideMark/>
          </w:tcPr>
          <w:p w14:paraId="6A296AFE"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c>
          <w:tcPr>
            <w:tcW w:w="909" w:type="pct"/>
            <w:noWrap/>
            <w:hideMark/>
          </w:tcPr>
          <w:p w14:paraId="51FA79C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1234" w:type="pct"/>
            <w:noWrap/>
            <w:hideMark/>
          </w:tcPr>
          <w:p w14:paraId="111D8EAC"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0221FF33"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4B00511"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de la Zona Franca de Cádiz</w:t>
            </w:r>
          </w:p>
        </w:tc>
        <w:tc>
          <w:tcPr>
            <w:tcW w:w="618" w:type="pct"/>
            <w:noWrap/>
            <w:hideMark/>
          </w:tcPr>
          <w:p w14:paraId="4FBF5A8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84,4</w:t>
            </w:r>
          </w:p>
        </w:tc>
        <w:tc>
          <w:tcPr>
            <w:tcW w:w="599" w:type="pct"/>
            <w:noWrap/>
            <w:hideMark/>
          </w:tcPr>
          <w:p w14:paraId="7B00E8D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5,2</w:t>
            </w:r>
          </w:p>
        </w:tc>
        <w:tc>
          <w:tcPr>
            <w:tcW w:w="829" w:type="pct"/>
            <w:noWrap/>
            <w:hideMark/>
          </w:tcPr>
          <w:p w14:paraId="6CF0C33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c>
          <w:tcPr>
            <w:tcW w:w="909" w:type="pct"/>
            <w:noWrap/>
            <w:hideMark/>
          </w:tcPr>
          <w:p w14:paraId="6B7CEED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1234" w:type="pct"/>
            <w:noWrap/>
            <w:hideMark/>
          </w:tcPr>
          <w:p w14:paraId="32E479D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r>
      <w:tr w:rsidR="00EF73FE" w:rsidRPr="000A2DEF" w14:paraId="5DDFBC75"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D480AC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lastRenderedPageBreak/>
              <w:t>Mutua Montañesa</w:t>
            </w:r>
          </w:p>
        </w:tc>
        <w:tc>
          <w:tcPr>
            <w:tcW w:w="618" w:type="pct"/>
            <w:noWrap/>
            <w:hideMark/>
          </w:tcPr>
          <w:p w14:paraId="7FD3ABBF"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83,3</w:t>
            </w:r>
          </w:p>
        </w:tc>
        <w:tc>
          <w:tcPr>
            <w:tcW w:w="599" w:type="pct"/>
            <w:noWrap/>
            <w:hideMark/>
          </w:tcPr>
          <w:p w14:paraId="7670BB9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4,7</w:t>
            </w:r>
          </w:p>
        </w:tc>
        <w:tc>
          <w:tcPr>
            <w:tcW w:w="829" w:type="pct"/>
            <w:noWrap/>
            <w:hideMark/>
          </w:tcPr>
          <w:p w14:paraId="5DD97DC6"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c>
          <w:tcPr>
            <w:tcW w:w="909" w:type="pct"/>
            <w:noWrap/>
            <w:hideMark/>
          </w:tcPr>
          <w:p w14:paraId="7BBB00C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c>
          <w:tcPr>
            <w:tcW w:w="1234" w:type="pct"/>
            <w:noWrap/>
            <w:hideMark/>
          </w:tcPr>
          <w:p w14:paraId="5018AE33"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r>
      <w:tr w:rsidR="00EF73FE" w:rsidRPr="000A2DEF" w14:paraId="0430C656"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B4DBDDA"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CEMFI</w:t>
            </w:r>
          </w:p>
        </w:tc>
        <w:tc>
          <w:tcPr>
            <w:tcW w:w="618" w:type="pct"/>
            <w:noWrap/>
            <w:hideMark/>
          </w:tcPr>
          <w:p w14:paraId="20793CD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82,7</w:t>
            </w:r>
          </w:p>
        </w:tc>
        <w:tc>
          <w:tcPr>
            <w:tcW w:w="599" w:type="pct"/>
            <w:noWrap/>
            <w:hideMark/>
          </w:tcPr>
          <w:p w14:paraId="6621076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26</w:t>
            </w:r>
          </w:p>
        </w:tc>
        <w:tc>
          <w:tcPr>
            <w:tcW w:w="829" w:type="pct"/>
            <w:noWrap/>
            <w:hideMark/>
          </w:tcPr>
          <w:p w14:paraId="1C261D2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909" w:type="pct"/>
            <w:noWrap/>
            <w:hideMark/>
          </w:tcPr>
          <w:p w14:paraId="7D399BD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1234" w:type="pct"/>
            <w:noWrap/>
            <w:hideMark/>
          </w:tcPr>
          <w:p w14:paraId="261B665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r>
      <w:tr w:rsidR="00EF73FE" w:rsidRPr="000A2DEF" w14:paraId="1A1AA4CE"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E35785A"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Valencia Parque Central</w:t>
            </w:r>
          </w:p>
        </w:tc>
        <w:tc>
          <w:tcPr>
            <w:tcW w:w="618" w:type="pct"/>
            <w:noWrap/>
            <w:hideMark/>
          </w:tcPr>
          <w:p w14:paraId="44570DDB"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81,5</w:t>
            </w:r>
          </w:p>
        </w:tc>
        <w:tc>
          <w:tcPr>
            <w:tcW w:w="599" w:type="pct"/>
            <w:noWrap/>
            <w:hideMark/>
          </w:tcPr>
          <w:p w14:paraId="5ABB596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45,5</w:t>
            </w:r>
          </w:p>
        </w:tc>
        <w:tc>
          <w:tcPr>
            <w:tcW w:w="829" w:type="pct"/>
            <w:noWrap/>
            <w:hideMark/>
          </w:tcPr>
          <w:p w14:paraId="6060E1BC"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w:t>
            </w:r>
          </w:p>
        </w:tc>
        <w:tc>
          <w:tcPr>
            <w:tcW w:w="909" w:type="pct"/>
            <w:noWrap/>
            <w:hideMark/>
          </w:tcPr>
          <w:p w14:paraId="7FC0E10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c>
          <w:tcPr>
            <w:tcW w:w="1234" w:type="pct"/>
            <w:noWrap/>
            <w:hideMark/>
          </w:tcPr>
          <w:p w14:paraId="2585D3C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r>
      <w:tr w:rsidR="00EF73FE" w:rsidRPr="000A2DEF" w14:paraId="4F81C2B4"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B314410"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Bilbao</w:t>
            </w:r>
          </w:p>
        </w:tc>
        <w:tc>
          <w:tcPr>
            <w:tcW w:w="618" w:type="pct"/>
            <w:noWrap/>
            <w:hideMark/>
          </w:tcPr>
          <w:p w14:paraId="7C0CC963"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81,3</w:t>
            </w:r>
          </w:p>
        </w:tc>
        <w:tc>
          <w:tcPr>
            <w:tcW w:w="1428" w:type="pct"/>
            <w:gridSpan w:val="2"/>
            <w:noWrap/>
            <w:hideMark/>
          </w:tcPr>
          <w:p w14:paraId="1196E848"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559DBCF"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352833E"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37E67193"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01763C9"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Agencia EFE</w:t>
            </w:r>
          </w:p>
        </w:tc>
        <w:tc>
          <w:tcPr>
            <w:tcW w:w="618" w:type="pct"/>
            <w:noWrap/>
            <w:hideMark/>
          </w:tcPr>
          <w:p w14:paraId="5C5BDB2D"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81,1</w:t>
            </w:r>
          </w:p>
        </w:tc>
        <w:tc>
          <w:tcPr>
            <w:tcW w:w="599" w:type="pct"/>
            <w:noWrap/>
            <w:hideMark/>
          </w:tcPr>
          <w:p w14:paraId="4AF4404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43,6</w:t>
            </w:r>
          </w:p>
        </w:tc>
        <w:tc>
          <w:tcPr>
            <w:tcW w:w="829" w:type="pct"/>
            <w:noWrap/>
            <w:hideMark/>
          </w:tcPr>
          <w:p w14:paraId="175322C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w:t>
            </w:r>
          </w:p>
        </w:tc>
        <w:tc>
          <w:tcPr>
            <w:tcW w:w="909" w:type="pct"/>
            <w:noWrap/>
            <w:hideMark/>
          </w:tcPr>
          <w:p w14:paraId="6B6A52EE"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1234" w:type="pct"/>
            <w:noWrap/>
            <w:hideMark/>
          </w:tcPr>
          <w:p w14:paraId="68FC7376"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r>
      <w:tr w:rsidR="00EF73FE" w:rsidRPr="000A2DEF" w14:paraId="619AE37F"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E9FE9F9"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Las Palmas</w:t>
            </w:r>
          </w:p>
        </w:tc>
        <w:tc>
          <w:tcPr>
            <w:tcW w:w="618" w:type="pct"/>
            <w:noWrap/>
            <w:hideMark/>
          </w:tcPr>
          <w:p w14:paraId="77DFB99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81,0</w:t>
            </w:r>
          </w:p>
        </w:tc>
        <w:tc>
          <w:tcPr>
            <w:tcW w:w="599" w:type="pct"/>
            <w:noWrap/>
            <w:hideMark/>
          </w:tcPr>
          <w:p w14:paraId="5CDECDC9"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38</w:t>
            </w:r>
          </w:p>
        </w:tc>
        <w:tc>
          <w:tcPr>
            <w:tcW w:w="829" w:type="pct"/>
            <w:noWrap/>
            <w:hideMark/>
          </w:tcPr>
          <w:p w14:paraId="6A89774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w:t>
            </w:r>
          </w:p>
        </w:tc>
        <w:tc>
          <w:tcPr>
            <w:tcW w:w="909" w:type="pct"/>
            <w:noWrap/>
            <w:hideMark/>
          </w:tcPr>
          <w:p w14:paraId="36B0CD4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1234" w:type="pct"/>
            <w:noWrap/>
            <w:hideMark/>
          </w:tcPr>
          <w:p w14:paraId="37C026B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2A1B0F54"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E1659E1"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Unión de Mutuas</w:t>
            </w:r>
          </w:p>
        </w:tc>
        <w:tc>
          <w:tcPr>
            <w:tcW w:w="618" w:type="pct"/>
            <w:noWrap/>
            <w:hideMark/>
          </w:tcPr>
          <w:p w14:paraId="0A82BEF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79,8</w:t>
            </w:r>
          </w:p>
        </w:tc>
        <w:tc>
          <w:tcPr>
            <w:tcW w:w="1428" w:type="pct"/>
            <w:gridSpan w:val="2"/>
            <w:noWrap/>
            <w:hideMark/>
          </w:tcPr>
          <w:p w14:paraId="54E3F1DA"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7C20AEA"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A29A139"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35B9A47D"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831EAF9"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Centro Láseres Pulsados</w:t>
            </w:r>
          </w:p>
        </w:tc>
        <w:tc>
          <w:tcPr>
            <w:tcW w:w="618" w:type="pct"/>
            <w:noWrap/>
            <w:hideMark/>
          </w:tcPr>
          <w:p w14:paraId="3E102B6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76,1</w:t>
            </w:r>
          </w:p>
        </w:tc>
        <w:tc>
          <w:tcPr>
            <w:tcW w:w="599" w:type="pct"/>
            <w:noWrap/>
            <w:hideMark/>
          </w:tcPr>
          <w:p w14:paraId="0D5DB2D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38,8</w:t>
            </w:r>
          </w:p>
        </w:tc>
        <w:tc>
          <w:tcPr>
            <w:tcW w:w="829" w:type="pct"/>
            <w:noWrap/>
            <w:hideMark/>
          </w:tcPr>
          <w:p w14:paraId="5EA279DB"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909" w:type="pct"/>
            <w:noWrap/>
            <w:hideMark/>
          </w:tcPr>
          <w:p w14:paraId="1A29B6A7"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1234" w:type="pct"/>
            <w:noWrap/>
            <w:hideMark/>
          </w:tcPr>
          <w:p w14:paraId="4D50F451"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r>
      <w:tr w:rsidR="00EF73FE" w:rsidRPr="000A2DEF" w14:paraId="2C934FA0"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DE819D1"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Casa Mediterráneo</w:t>
            </w:r>
          </w:p>
        </w:tc>
        <w:tc>
          <w:tcPr>
            <w:tcW w:w="618" w:type="pct"/>
            <w:noWrap/>
            <w:hideMark/>
          </w:tcPr>
          <w:p w14:paraId="3C33289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74,6</w:t>
            </w:r>
          </w:p>
        </w:tc>
        <w:tc>
          <w:tcPr>
            <w:tcW w:w="599" w:type="pct"/>
            <w:noWrap/>
            <w:hideMark/>
          </w:tcPr>
          <w:p w14:paraId="11A7FAA6"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50,5</w:t>
            </w:r>
          </w:p>
        </w:tc>
        <w:tc>
          <w:tcPr>
            <w:tcW w:w="829" w:type="pct"/>
            <w:noWrap/>
            <w:hideMark/>
          </w:tcPr>
          <w:p w14:paraId="74478014"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w:t>
            </w:r>
          </w:p>
        </w:tc>
        <w:tc>
          <w:tcPr>
            <w:tcW w:w="909" w:type="pct"/>
            <w:noWrap/>
            <w:hideMark/>
          </w:tcPr>
          <w:p w14:paraId="76096DEF"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1234" w:type="pct"/>
            <w:noWrap/>
            <w:hideMark/>
          </w:tcPr>
          <w:p w14:paraId="62CB4E9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r>
      <w:tr w:rsidR="00EF73FE" w:rsidRPr="000A2DEF" w14:paraId="07838F48"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A627342"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CH Cantábrico</w:t>
            </w:r>
          </w:p>
        </w:tc>
        <w:tc>
          <w:tcPr>
            <w:tcW w:w="618" w:type="pct"/>
            <w:noWrap/>
            <w:hideMark/>
          </w:tcPr>
          <w:p w14:paraId="1DEC856B"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73,6</w:t>
            </w:r>
          </w:p>
        </w:tc>
        <w:tc>
          <w:tcPr>
            <w:tcW w:w="1428" w:type="pct"/>
            <w:gridSpan w:val="2"/>
            <w:noWrap/>
            <w:hideMark/>
          </w:tcPr>
          <w:p w14:paraId="15C71691"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1B9711A"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2349D4F"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1E770319"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D1C7DBE"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de la Zona Franca de Barcelona</w:t>
            </w:r>
          </w:p>
        </w:tc>
        <w:tc>
          <w:tcPr>
            <w:tcW w:w="618" w:type="pct"/>
            <w:noWrap/>
            <w:hideMark/>
          </w:tcPr>
          <w:p w14:paraId="2910D1E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73,3</w:t>
            </w:r>
          </w:p>
        </w:tc>
        <w:tc>
          <w:tcPr>
            <w:tcW w:w="599" w:type="pct"/>
            <w:noWrap/>
            <w:hideMark/>
          </w:tcPr>
          <w:p w14:paraId="0550F8F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32,7</w:t>
            </w:r>
          </w:p>
        </w:tc>
        <w:tc>
          <w:tcPr>
            <w:tcW w:w="829" w:type="pct"/>
            <w:noWrap/>
            <w:hideMark/>
          </w:tcPr>
          <w:p w14:paraId="0E6AD24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w:t>
            </w:r>
          </w:p>
        </w:tc>
        <w:tc>
          <w:tcPr>
            <w:tcW w:w="909" w:type="pct"/>
            <w:noWrap/>
            <w:hideMark/>
          </w:tcPr>
          <w:p w14:paraId="3310AA88"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1234" w:type="pct"/>
            <w:noWrap/>
            <w:hideMark/>
          </w:tcPr>
          <w:p w14:paraId="216AEF9C"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11DCD1D8"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6BE9E3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GIESE</w:t>
            </w:r>
          </w:p>
        </w:tc>
        <w:tc>
          <w:tcPr>
            <w:tcW w:w="618" w:type="pct"/>
            <w:noWrap/>
            <w:hideMark/>
          </w:tcPr>
          <w:p w14:paraId="69C960E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71,9</w:t>
            </w:r>
          </w:p>
        </w:tc>
        <w:tc>
          <w:tcPr>
            <w:tcW w:w="599" w:type="pct"/>
            <w:noWrap/>
            <w:hideMark/>
          </w:tcPr>
          <w:p w14:paraId="6D984AF9"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44,5</w:t>
            </w:r>
          </w:p>
        </w:tc>
        <w:tc>
          <w:tcPr>
            <w:tcW w:w="829" w:type="pct"/>
            <w:noWrap/>
            <w:hideMark/>
          </w:tcPr>
          <w:p w14:paraId="06811B5C"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26</w:t>
            </w:r>
          </w:p>
        </w:tc>
        <w:tc>
          <w:tcPr>
            <w:tcW w:w="909" w:type="pct"/>
            <w:noWrap/>
            <w:hideMark/>
          </w:tcPr>
          <w:p w14:paraId="2203574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1234" w:type="pct"/>
            <w:noWrap/>
            <w:hideMark/>
          </w:tcPr>
          <w:p w14:paraId="75387491"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69C5FC44"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F6B05FC"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de la Zona Franca de Vigo</w:t>
            </w:r>
          </w:p>
        </w:tc>
        <w:tc>
          <w:tcPr>
            <w:tcW w:w="618" w:type="pct"/>
            <w:noWrap/>
            <w:hideMark/>
          </w:tcPr>
          <w:p w14:paraId="27D18F6E"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70,2</w:t>
            </w:r>
          </w:p>
        </w:tc>
        <w:tc>
          <w:tcPr>
            <w:tcW w:w="599" w:type="pct"/>
            <w:noWrap/>
            <w:hideMark/>
          </w:tcPr>
          <w:p w14:paraId="2D78449B"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42,4</w:t>
            </w:r>
          </w:p>
        </w:tc>
        <w:tc>
          <w:tcPr>
            <w:tcW w:w="829" w:type="pct"/>
            <w:noWrap/>
            <w:hideMark/>
          </w:tcPr>
          <w:p w14:paraId="79ECB96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w:t>
            </w:r>
          </w:p>
        </w:tc>
        <w:tc>
          <w:tcPr>
            <w:tcW w:w="909" w:type="pct"/>
            <w:noWrap/>
            <w:hideMark/>
          </w:tcPr>
          <w:p w14:paraId="0990E4F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1234" w:type="pct"/>
            <w:noWrap/>
            <w:hideMark/>
          </w:tcPr>
          <w:p w14:paraId="16AC4454"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1C688AC0"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B6BADEB"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Barcelona</w:t>
            </w:r>
          </w:p>
        </w:tc>
        <w:tc>
          <w:tcPr>
            <w:tcW w:w="618" w:type="pct"/>
            <w:noWrap/>
            <w:hideMark/>
          </w:tcPr>
          <w:p w14:paraId="1CFBFBD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70,1</w:t>
            </w:r>
          </w:p>
        </w:tc>
        <w:tc>
          <w:tcPr>
            <w:tcW w:w="599" w:type="pct"/>
            <w:noWrap/>
            <w:hideMark/>
          </w:tcPr>
          <w:p w14:paraId="09F86D0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22,4</w:t>
            </w:r>
          </w:p>
        </w:tc>
        <w:tc>
          <w:tcPr>
            <w:tcW w:w="829" w:type="pct"/>
            <w:noWrap/>
            <w:hideMark/>
          </w:tcPr>
          <w:p w14:paraId="1A7C435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2C2F721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w:t>
            </w:r>
          </w:p>
        </w:tc>
        <w:tc>
          <w:tcPr>
            <w:tcW w:w="1234" w:type="pct"/>
            <w:noWrap/>
            <w:hideMark/>
          </w:tcPr>
          <w:p w14:paraId="333892E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17879677"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19FB1A0"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Sevilla</w:t>
            </w:r>
          </w:p>
        </w:tc>
        <w:tc>
          <w:tcPr>
            <w:tcW w:w="618" w:type="pct"/>
            <w:noWrap/>
            <w:hideMark/>
          </w:tcPr>
          <w:p w14:paraId="166E4B14"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69,7</w:t>
            </w:r>
          </w:p>
        </w:tc>
        <w:tc>
          <w:tcPr>
            <w:tcW w:w="599" w:type="pct"/>
            <w:noWrap/>
            <w:hideMark/>
          </w:tcPr>
          <w:p w14:paraId="2042ECCC"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26,8</w:t>
            </w:r>
          </w:p>
        </w:tc>
        <w:tc>
          <w:tcPr>
            <w:tcW w:w="829" w:type="pct"/>
            <w:noWrap/>
            <w:hideMark/>
          </w:tcPr>
          <w:p w14:paraId="4283203B"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909" w:type="pct"/>
            <w:noWrap/>
            <w:hideMark/>
          </w:tcPr>
          <w:p w14:paraId="3B78544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1234" w:type="pct"/>
            <w:noWrap/>
            <w:hideMark/>
          </w:tcPr>
          <w:p w14:paraId="1245B6EE"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3FAFAD4B"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7A40A14"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Mutua Universal  MUGENAT</w:t>
            </w:r>
          </w:p>
        </w:tc>
        <w:tc>
          <w:tcPr>
            <w:tcW w:w="618" w:type="pct"/>
            <w:noWrap/>
            <w:hideMark/>
          </w:tcPr>
          <w:p w14:paraId="7B23799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65,5</w:t>
            </w:r>
          </w:p>
        </w:tc>
        <w:tc>
          <w:tcPr>
            <w:tcW w:w="1428" w:type="pct"/>
            <w:gridSpan w:val="2"/>
            <w:noWrap/>
            <w:hideMark/>
          </w:tcPr>
          <w:p w14:paraId="1AFD0F12"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937DE68"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F5C36D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r>
      <w:tr w:rsidR="00EF73FE" w:rsidRPr="000A2DEF" w14:paraId="505A049A"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197E718"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 xml:space="preserve">Correos </w:t>
            </w:r>
            <w:proofErr w:type="spellStart"/>
            <w:r w:rsidRPr="000A2DEF">
              <w:rPr>
                <w:rFonts w:ascii="Calibri" w:eastAsia="Times New Roman" w:hAnsi="Calibri" w:cs="Calibri"/>
                <w:color w:val="000000"/>
                <w:sz w:val="18"/>
                <w:szCs w:val="18"/>
              </w:rPr>
              <w:t>express</w:t>
            </w:r>
            <w:proofErr w:type="spellEnd"/>
          </w:p>
        </w:tc>
        <w:tc>
          <w:tcPr>
            <w:tcW w:w="618" w:type="pct"/>
            <w:noWrap/>
            <w:hideMark/>
          </w:tcPr>
          <w:p w14:paraId="4B895D2F"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63,4</w:t>
            </w:r>
          </w:p>
        </w:tc>
        <w:tc>
          <w:tcPr>
            <w:tcW w:w="1428" w:type="pct"/>
            <w:gridSpan w:val="2"/>
            <w:noWrap/>
            <w:hideMark/>
          </w:tcPr>
          <w:p w14:paraId="6FC8A944"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01283B4"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1533661"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r>
      <w:tr w:rsidR="00EF73FE" w:rsidRPr="000A2DEF" w14:paraId="3E48CB8B"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86F557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Desarrollos Empresariales de la Zona Franca de Cádiz</w:t>
            </w:r>
          </w:p>
        </w:tc>
        <w:tc>
          <w:tcPr>
            <w:tcW w:w="618" w:type="pct"/>
            <w:noWrap/>
            <w:hideMark/>
          </w:tcPr>
          <w:p w14:paraId="522FC2E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61,9</w:t>
            </w:r>
          </w:p>
        </w:tc>
        <w:tc>
          <w:tcPr>
            <w:tcW w:w="599" w:type="pct"/>
            <w:noWrap/>
            <w:hideMark/>
          </w:tcPr>
          <w:p w14:paraId="0D54E2A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55,1</w:t>
            </w:r>
          </w:p>
        </w:tc>
        <w:tc>
          <w:tcPr>
            <w:tcW w:w="829" w:type="pct"/>
            <w:noWrap/>
            <w:hideMark/>
          </w:tcPr>
          <w:p w14:paraId="0C86CB47"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909" w:type="pct"/>
            <w:noWrap/>
            <w:hideMark/>
          </w:tcPr>
          <w:p w14:paraId="2A310A4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w:t>
            </w:r>
          </w:p>
        </w:tc>
        <w:tc>
          <w:tcPr>
            <w:tcW w:w="1234" w:type="pct"/>
            <w:noWrap/>
            <w:hideMark/>
          </w:tcPr>
          <w:p w14:paraId="36643B6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r>
      <w:tr w:rsidR="00EF73FE" w:rsidRPr="000A2DEF" w14:paraId="40A15E2B"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9B57282"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IAC</w:t>
            </w:r>
          </w:p>
        </w:tc>
        <w:tc>
          <w:tcPr>
            <w:tcW w:w="618" w:type="pct"/>
            <w:noWrap/>
            <w:hideMark/>
          </w:tcPr>
          <w:p w14:paraId="10F6A4FE"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59,3</w:t>
            </w:r>
          </w:p>
        </w:tc>
        <w:tc>
          <w:tcPr>
            <w:tcW w:w="1428" w:type="pct"/>
            <w:gridSpan w:val="2"/>
            <w:noWrap/>
            <w:hideMark/>
          </w:tcPr>
          <w:p w14:paraId="61246DDA"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D972C45"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B8A385F"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3A021966"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tcPr>
          <w:p w14:paraId="09A6604E" w14:textId="77777777" w:rsidR="00EF73FE" w:rsidRPr="000A2DEF" w:rsidRDefault="00EF73FE" w:rsidP="00AE1ABE">
            <w:pPr>
              <w:rPr>
                <w:rFonts w:ascii="Calibri" w:eastAsia="Times New Roman" w:hAnsi="Calibri" w:cs="Calibri"/>
                <w:color w:val="000000"/>
                <w:sz w:val="18"/>
                <w:szCs w:val="18"/>
              </w:rPr>
            </w:pPr>
            <w:r>
              <w:rPr>
                <w:rFonts w:ascii="Calibri" w:eastAsia="Times New Roman" w:hAnsi="Calibri" w:cs="Calibri"/>
                <w:color w:val="000000"/>
                <w:sz w:val="18"/>
                <w:szCs w:val="18"/>
              </w:rPr>
              <w:t>INAP</w:t>
            </w:r>
          </w:p>
        </w:tc>
        <w:tc>
          <w:tcPr>
            <w:tcW w:w="618" w:type="pct"/>
            <w:noWrap/>
          </w:tcPr>
          <w:p w14:paraId="4EC94B27"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eastAsia="Times New Roman" w:hAnsi="Calibri" w:cs="Calibri"/>
                <w:color w:val="000000"/>
                <w:sz w:val="18"/>
                <w:szCs w:val="18"/>
              </w:rPr>
              <w:t>58,8</w:t>
            </w:r>
          </w:p>
        </w:tc>
        <w:tc>
          <w:tcPr>
            <w:tcW w:w="599" w:type="pct"/>
            <w:noWrap/>
          </w:tcPr>
          <w:p w14:paraId="1B55079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eastAsia="Times New Roman" w:hAnsi="Calibri" w:cs="Calibri"/>
                <w:color w:val="000000"/>
                <w:sz w:val="18"/>
                <w:szCs w:val="18"/>
              </w:rPr>
              <w:t>15</w:t>
            </w:r>
          </w:p>
        </w:tc>
        <w:tc>
          <w:tcPr>
            <w:tcW w:w="829" w:type="pct"/>
            <w:noWrap/>
          </w:tcPr>
          <w:p w14:paraId="280FE479"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eastAsia="Times New Roman" w:hAnsi="Calibri" w:cs="Calibri"/>
                <w:color w:val="000000"/>
                <w:sz w:val="18"/>
                <w:szCs w:val="18"/>
              </w:rPr>
              <w:t>19</w:t>
            </w:r>
          </w:p>
        </w:tc>
        <w:tc>
          <w:tcPr>
            <w:tcW w:w="909" w:type="pct"/>
            <w:noWrap/>
          </w:tcPr>
          <w:p w14:paraId="04BCC28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eastAsia="Times New Roman" w:hAnsi="Calibri" w:cs="Calibri"/>
                <w:color w:val="000000"/>
                <w:sz w:val="18"/>
                <w:szCs w:val="18"/>
              </w:rPr>
              <w:t>8</w:t>
            </w:r>
          </w:p>
        </w:tc>
        <w:tc>
          <w:tcPr>
            <w:tcW w:w="1234" w:type="pct"/>
            <w:noWrap/>
          </w:tcPr>
          <w:p w14:paraId="587FCDAC"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0EC119C0"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D9536B1"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MUGEJU</w:t>
            </w:r>
          </w:p>
        </w:tc>
        <w:tc>
          <w:tcPr>
            <w:tcW w:w="618" w:type="pct"/>
            <w:noWrap/>
            <w:hideMark/>
          </w:tcPr>
          <w:p w14:paraId="60601FEE"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57,5</w:t>
            </w:r>
          </w:p>
        </w:tc>
        <w:tc>
          <w:tcPr>
            <w:tcW w:w="599" w:type="pct"/>
            <w:noWrap/>
            <w:hideMark/>
          </w:tcPr>
          <w:p w14:paraId="62B5E29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31,4</w:t>
            </w:r>
          </w:p>
        </w:tc>
        <w:tc>
          <w:tcPr>
            <w:tcW w:w="829" w:type="pct"/>
            <w:noWrap/>
            <w:hideMark/>
          </w:tcPr>
          <w:p w14:paraId="76C1F791"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26</w:t>
            </w:r>
          </w:p>
        </w:tc>
        <w:tc>
          <w:tcPr>
            <w:tcW w:w="909" w:type="pct"/>
            <w:noWrap/>
            <w:hideMark/>
          </w:tcPr>
          <w:p w14:paraId="0A437189"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1234" w:type="pct"/>
            <w:noWrap/>
            <w:hideMark/>
          </w:tcPr>
          <w:p w14:paraId="586751FC"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4D545E0A"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1058F21"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 xml:space="preserve">Organización Nacional de </w:t>
            </w:r>
            <w:proofErr w:type="spellStart"/>
            <w:r w:rsidRPr="000A2DEF">
              <w:rPr>
                <w:rFonts w:ascii="Calibri" w:eastAsia="Times New Roman" w:hAnsi="Calibri" w:cs="Calibri"/>
                <w:color w:val="000000"/>
                <w:sz w:val="18"/>
                <w:szCs w:val="18"/>
              </w:rPr>
              <w:t>Transplantes</w:t>
            </w:r>
            <w:proofErr w:type="spellEnd"/>
          </w:p>
        </w:tc>
        <w:tc>
          <w:tcPr>
            <w:tcW w:w="618" w:type="pct"/>
            <w:noWrap/>
            <w:hideMark/>
          </w:tcPr>
          <w:p w14:paraId="6D50973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57,4</w:t>
            </w:r>
          </w:p>
        </w:tc>
        <w:tc>
          <w:tcPr>
            <w:tcW w:w="599" w:type="pct"/>
            <w:noWrap/>
            <w:hideMark/>
          </w:tcPr>
          <w:p w14:paraId="47C5011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40,9</w:t>
            </w:r>
          </w:p>
        </w:tc>
        <w:tc>
          <w:tcPr>
            <w:tcW w:w="829" w:type="pct"/>
            <w:noWrap/>
            <w:hideMark/>
          </w:tcPr>
          <w:p w14:paraId="6BC8153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w:t>
            </w:r>
          </w:p>
        </w:tc>
        <w:tc>
          <w:tcPr>
            <w:tcW w:w="909" w:type="pct"/>
            <w:noWrap/>
            <w:hideMark/>
          </w:tcPr>
          <w:p w14:paraId="75E3BA5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w:t>
            </w:r>
          </w:p>
        </w:tc>
        <w:tc>
          <w:tcPr>
            <w:tcW w:w="1234" w:type="pct"/>
            <w:noWrap/>
            <w:hideMark/>
          </w:tcPr>
          <w:p w14:paraId="3C70C57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1EE507A9"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8A8907B"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ACUAES</w:t>
            </w:r>
          </w:p>
        </w:tc>
        <w:tc>
          <w:tcPr>
            <w:tcW w:w="618" w:type="pct"/>
            <w:noWrap/>
            <w:hideMark/>
          </w:tcPr>
          <w:p w14:paraId="35BB9946"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56,1</w:t>
            </w:r>
          </w:p>
        </w:tc>
        <w:tc>
          <w:tcPr>
            <w:tcW w:w="1428" w:type="pct"/>
            <w:gridSpan w:val="2"/>
            <w:noWrap/>
            <w:hideMark/>
          </w:tcPr>
          <w:p w14:paraId="78F3DD0E"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3E745EFE"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16D0853"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24FD32DC"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3639803" w14:textId="77777777" w:rsidR="00EF73FE" w:rsidRPr="000A2DEF" w:rsidRDefault="00EF73FE" w:rsidP="00AE1ABE">
            <w:pPr>
              <w:rPr>
                <w:rFonts w:ascii="Calibri" w:eastAsia="Times New Roman" w:hAnsi="Calibri" w:cs="Calibri"/>
                <w:color w:val="000000"/>
                <w:sz w:val="18"/>
                <w:szCs w:val="18"/>
              </w:rPr>
            </w:pPr>
            <w:proofErr w:type="spellStart"/>
            <w:r w:rsidRPr="000A2DEF">
              <w:rPr>
                <w:rFonts w:ascii="Calibri" w:eastAsia="Times New Roman" w:hAnsi="Calibri" w:cs="Calibri"/>
                <w:color w:val="000000"/>
                <w:sz w:val="18"/>
                <w:szCs w:val="18"/>
              </w:rPr>
              <w:t>Midat</w:t>
            </w:r>
            <w:proofErr w:type="spellEnd"/>
            <w:r w:rsidRPr="000A2DEF">
              <w:rPr>
                <w:rFonts w:ascii="Calibri" w:eastAsia="Times New Roman" w:hAnsi="Calibri" w:cs="Calibri"/>
                <w:color w:val="000000"/>
                <w:sz w:val="18"/>
                <w:szCs w:val="18"/>
              </w:rPr>
              <w:t xml:space="preserve"> </w:t>
            </w:r>
            <w:proofErr w:type="spellStart"/>
            <w:r w:rsidRPr="000A2DEF">
              <w:rPr>
                <w:rFonts w:ascii="Calibri" w:eastAsia="Times New Roman" w:hAnsi="Calibri" w:cs="Calibri"/>
                <w:color w:val="000000"/>
                <w:sz w:val="18"/>
                <w:szCs w:val="18"/>
              </w:rPr>
              <w:t>Cyclops</w:t>
            </w:r>
            <w:proofErr w:type="spellEnd"/>
          </w:p>
        </w:tc>
        <w:tc>
          <w:tcPr>
            <w:tcW w:w="618" w:type="pct"/>
            <w:noWrap/>
            <w:hideMark/>
          </w:tcPr>
          <w:p w14:paraId="2ECB9F15"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55,6</w:t>
            </w:r>
          </w:p>
        </w:tc>
        <w:tc>
          <w:tcPr>
            <w:tcW w:w="1428" w:type="pct"/>
            <w:gridSpan w:val="2"/>
            <w:noWrap/>
            <w:hideMark/>
          </w:tcPr>
          <w:p w14:paraId="54A2A2FF"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E53FD94"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7341B03"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r>
      <w:tr w:rsidR="00EF73FE" w:rsidRPr="000A2DEF" w14:paraId="011614AA"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094E3A3"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Mercados Centrales Asturias</w:t>
            </w:r>
          </w:p>
        </w:tc>
        <w:tc>
          <w:tcPr>
            <w:tcW w:w="618" w:type="pct"/>
            <w:noWrap/>
            <w:hideMark/>
          </w:tcPr>
          <w:p w14:paraId="0AEDA328"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54,8</w:t>
            </w:r>
          </w:p>
        </w:tc>
        <w:tc>
          <w:tcPr>
            <w:tcW w:w="1428" w:type="pct"/>
            <w:gridSpan w:val="2"/>
            <w:noWrap/>
            <w:hideMark/>
          </w:tcPr>
          <w:p w14:paraId="5998FF2F"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D829D1E"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6D26914"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5D77A666"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7235C8E"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Biodiversidad</w:t>
            </w:r>
          </w:p>
        </w:tc>
        <w:tc>
          <w:tcPr>
            <w:tcW w:w="618" w:type="pct"/>
            <w:noWrap/>
            <w:hideMark/>
          </w:tcPr>
          <w:p w14:paraId="32A2802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54,7</w:t>
            </w:r>
          </w:p>
        </w:tc>
        <w:tc>
          <w:tcPr>
            <w:tcW w:w="1428" w:type="pct"/>
            <w:gridSpan w:val="2"/>
            <w:noWrap/>
            <w:hideMark/>
          </w:tcPr>
          <w:p w14:paraId="1F1BA2A0"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23AA607"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EFFFC1D"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7C4AA78"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2377AE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EOI</w:t>
            </w:r>
          </w:p>
        </w:tc>
        <w:tc>
          <w:tcPr>
            <w:tcW w:w="618" w:type="pct"/>
            <w:noWrap/>
            <w:hideMark/>
          </w:tcPr>
          <w:p w14:paraId="35740189"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54,2</w:t>
            </w:r>
          </w:p>
        </w:tc>
        <w:tc>
          <w:tcPr>
            <w:tcW w:w="1428" w:type="pct"/>
            <w:gridSpan w:val="2"/>
            <w:noWrap/>
            <w:hideMark/>
          </w:tcPr>
          <w:p w14:paraId="3E6BAF06"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426533E"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D54581B"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5C107E86"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ECCB34E"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Hipódromo de la Zarzuela</w:t>
            </w:r>
          </w:p>
        </w:tc>
        <w:tc>
          <w:tcPr>
            <w:tcW w:w="618" w:type="pct"/>
            <w:noWrap/>
            <w:hideMark/>
          </w:tcPr>
          <w:p w14:paraId="1E079EF7"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53,8</w:t>
            </w:r>
          </w:p>
        </w:tc>
        <w:tc>
          <w:tcPr>
            <w:tcW w:w="599" w:type="pct"/>
            <w:noWrap/>
            <w:hideMark/>
          </w:tcPr>
          <w:p w14:paraId="256A253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15,6</w:t>
            </w:r>
          </w:p>
        </w:tc>
        <w:tc>
          <w:tcPr>
            <w:tcW w:w="829" w:type="pct"/>
            <w:noWrap/>
            <w:hideMark/>
          </w:tcPr>
          <w:p w14:paraId="7422DE1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w:t>
            </w:r>
          </w:p>
        </w:tc>
        <w:tc>
          <w:tcPr>
            <w:tcW w:w="909" w:type="pct"/>
            <w:noWrap/>
            <w:hideMark/>
          </w:tcPr>
          <w:p w14:paraId="78AEDEC9"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1234" w:type="pct"/>
            <w:noWrap/>
            <w:hideMark/>
          </w:tcPr>
          <w:p w14:paraId="67A5BB54"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0A31D898"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FD2C1E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Thyssen</w:t>
            </w:r>
          </w:p>
        </w:tc>
        <w:tc>
          <w:tcPr>
            <w:tcW w:w="618" w:type="pct"/>
            <w:noWrap/>
            <w:hideMark/>
          </w:tcPr>
          <w:p w14:paraId="5366ACD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53,7</w:t>
            </w:r>
          </w:p>
        </w:tc>
        <w:tc>
          <w:tcPr>
            <w:tcW w:w="1428" w:type="pct"/>
            <w:gridSpan w:val="2"/>
            <w:noWrap/>
            <w:hideMark/>
          </w:tcPr>
          <w:p w14:paraId="250184CE"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6509E5D"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DD83339"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0654A196"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54EEC40"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FIIAP</w:t>
            </w:r>
          </w:p>
        </w:tc>
        <w:tc>
          <w:tcPr>
            <w:tcW w:w="618" w:type="pct"/>
            <w:noWrap/>
            <w:hideMark/>
          </w:tcPr>
          <w:p w14:paraId="2FCA337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52,7</w:t>
            </w:r>
          </w:p>
        </w:tc>
        <w:tc>
          <w:tcPr>
            <w:tcW w:w="1428" w:type="pct"/>
            <w:gridSpan w:val="2"/>
            <w:noWrap/>
            <w:hideMark/>
          </w:tcPr>
          <w:p w14:paraId="7B24F208"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36617A3"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EA5B670"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303085A4"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7C7A220"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CRIDA</w:t>
            </w:r>
          </w:p>
        </w:tc>
        <w:tc>
          <w:tcPr>
            <w:tcW w:w="618" w:type="pct"/>
            <w:noWrap/>
            <w:hideMark/>
          </w:tcPr>
          <w:p w14:paraId="40A38D0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52,5</w:t>
            </w:r>
          </w:p>
        </w:tc>
        <w:tc>
          <w:tcPr>
            <w:tcW w:w="1428" w:type="pct"/>
            <w:gridSpan w:val="2"/>
            <w:noWrap/>
            <w:hideMark/>
          </w:tcPr>
          <w:p w14:paraId="5D66127E"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FE05A85"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CFD65A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w:t>
            </w:r>
          </w:p>
        </w:tc>
      </w:tr>
      <w:tr w:rsidR="00EF73FE" w:rsidRPr="000A2DEF" w14:paraId="750342D8"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083A83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CH Ebro</w:t>
            </w:r>
          </w:p>
        </w:tc>
        <w:tc>
          <w:tcPr>
            <w:tcW w:w="618" w:type="pct"/>
            <w:noWrap/>
            <w:hideMark/>
          </w:tcPr>
          <w:p w14:paraId="65DA06D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51,8</w:t>
            </w:r>
          </w:p>
        </w:tc>
        <w:tc>
          <w:tcPr>
            <w:tcW w:w="599" w:type="pct"/>
            <w:noWrap/>
            <w:hideMark/>
          </w:tcPr>
          <w:p w14:paraId="78449E3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5,6</w:t>
            </w:r>
          </w:p>
        </w:tc>
        <w:tc>
          <w:tcPr>
            <w:tcW w:w="829" w:type="pct"/>
            <w:noWrap/>
            <w:hideMark/>
          </w:tcPr>
          <w:p w14:paraId="7B77CFAB"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w:t>
            </w:r>
          </w:p>
        </w:tc>
        <w:tc>
          <w:tcPr>
            <w:tcW w:w="909" w:type="pct"/>
            <w:noWrap/>
            <w:hideMark/>
          </w:tcPr>
          <w:p w14:paraId="3E66CBD5"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1234" w:type="pct"/>
            <w:noWrap/>
            <w:hideMark/>
          </w:tcPr>
          <w:p w14:paraId="08A675D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41457422"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92849D7"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lastRenderedPageBreak/>
              <w:t>Laboratorio Canfranc</w:t>
            </w:r>
          </w:p>
        </w:tc>
        <w:tc>
          <w:tcPr>
            <w:tcW w:w="618" w:type="pct"/>
            <w:noWrap/>
            <w:hideMark/>
          </w:tcPr>
          <w:p w14:paraId="39A569D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51,8</w:t>
            </w:r>
          </w:p>
        </w:tc>
        <w:tc>
          <w:tcPr>
            <w:tcW w:w="1428" w:type="pct"/>
            <w:gridSpan w:val="2"/>
            <w:noWrap/>
            <w:hideMark/>
          </w:tcPr>
          <w:p w14:paraId="19DA2171"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041B8B3"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457A443"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w:t>
            </w:r>
          </w:p>
        </w:tc>
      </w:tr>
      <w:tr w:rsidR="00EF73FE" w:rsidRPr="000A2DEF" w14:paraId="1EC69C66"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085155E"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Alicante</w:t>
            </w:r>
          </w:p>
        </w:tc>
        <w:tc>
          <w:tcPr>
            <w:tcW w:w="618" w:type="pct"/>
            <w:noWrap/>
            <w:hideMark/>
          </w:tcPr>
          <w:p w14:paraId="2C9188E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50,5</w:t>
            </w:r>
          </w:p>
        </w:tc>
        <w:tc>
          <w:tcPr>
            <w:tcW w:w="1428" w:type="pct"/>
            <w:gridSpan w:val="2"/>
            <w:noWrap/>
            <w:hideMark/>
          </w:tcPr>
          <w:p w14:paraId="663D998C"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4388053"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69FE2A4"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15A870A8"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46AC155"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Casa de América</w:t>
            </w:r>
          </w:p>
        </w:tc>
        <w:tc>
          <w:tcPr>
            <w:tcW w:w="618" w:type="pct"/>
            <w:noWrap/>
            <w:hideMark/>
          </w:tcPr>
          <w:p w14:paraId="4E87B04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50,4</w:t>
            </w:r>
          </w:p>
        </w:tc>
        <w:tc>
          <w:tcPr>
            <w:tcW w:w="599" w:type="pct"/>
            <w:noWrap/>
            <w:hideMark/>
          </w:tcPr>
          <w:p w14:paraId="4682317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17,6</w:t>
            </w:r>
          </w:p>
        </w:tc>
        <w:tc>
          <w:tcPr>
            <w:tcW w:w="829" w:type="pct"/>
            <w:noWrap/>
            <w:hideMark/>
          </w:tcPr>
          <w:p w14:paraId="0BB0796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0C2D14DF"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c>
          <w:tcPr>
            <w:tcW w:w="1234" w:type="pct"/>
            <w:noWrap/>
            <w:hideMark/>
          </w:tcPr>
          <w:p w14:paraId="38865CF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105DF10E"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9F68E1B"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CIUDEN</w:t>
            </w:r>
          </w:p>
        </w:tc>
        <w:tc>
          <w:tcPr>
            <w:tcW w:w="618" w:type="pct"/>
            <w:noWrap/>
            <w:hideMark/>
          </w:tcPr>
          <w:p w14:paraId="02B6A10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50,0</w:t>
            </w:r>
          </w:p>
        </w:tc>
        <w:tc>
          <w:tcPr>
            <w:tcW w:w="1428" w:type="pct"/>
            <w:gridSpan w:val="2"/>
            <w:noWrap/>
            <w:hideMark/>
          </w:tcPr>
          <w:p w14:paraId="334CC098"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2855766"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07695C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r>
      <w:tr w:rsidR="00EF73FE" w:rsidRPr="000A2DEF" w14:paraId="4909AD62"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EF56B3E"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SELAE</w:t>
            </w:r>
          </w:p>
        </w:tc>
        <w:tc>
          <w:tcPr>
            <w:tcW w:w="618" w:type="pct"/>
            <w:noWrap/>
            <w:hideMark/>
          </w:tcPr>
          <w:p w14:paraId="28201C7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49,8</w:t>
            </w:r>
          </w:p>
        </w:tc>
        <w:tc>
          <w:tcPr>
            <w:tcW w:w="1428" w:type="pct"/>
            <w:gridSpan w:val="2"/>
            <w:noWrap/>
            <w:hideMark/>
          </w:tcPr>
          <w:p w14:paraId="72F0CD48"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B002B02"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07EBC46"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0C0A8DFF"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34D6E6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AESA</w:t>
            </w:r>
          </w:p>
        </w:tc>
        <w:tc>
          <w:tcPr>
            <w:tcW w:w="618" w:type="pct"/>
            <w:noWrap/>
            <w:hideMark/>
          </w:tcPr>
          <w:p w14:paraId="1C92460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49,7</w:t>
            </w:r>
          </w:p>
        </w:tc>
        <w:tc>
          <w:tcPr>
            <w:tcW w:w="599" w:type="pct"/>
            <w:noWrap/>
            <w:hideMark/>
          </w:tcPr>
          <w:p w14:paraId="3295731B"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829" w:type="pct"/>
            <w:noWrap/>
            <w:hideMark/>
          </w:tcPr>
          <w:p w14:paraId="2A6D904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4843BEF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w:t>
            </w:r>
          </w:p>
        </w:tc>
        <w:tc>
          <w:tcPr>
            <w:tcW w:w="1234" w:type="pct"/>
            <w:noWrap/>
            <w:hideMark/>
          </w:tcPr>
          <w:p w14:paraId="6A02E4A5"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27F54D7C"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BF63360"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ADIF</w:t>
            </w:r>
          </w:p>
        </w:tc>
        <w:tc>
          <w:tcPr>
            <w:tcW w:w="618" w:type="pct"/>
            <w:noWrap/>
            <w:hideMark/>
          </w:tcPr>
          <w:p w14:paraId="7F1DA524"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49,3</w:t>
            </w:r>
          </w:p>
        </w:tc>
        <w:tc>
          <w:tcPr>
            <w:tcW w:w="1428" w:type="pct"/>
            <w:gridSpan w:val="2"/>
            <w:noWrap/>
            <w:hideMark/>
          </w:tcPr>
          <w:p w14:paraId="2F5549EB"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6018F50"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4E3F330"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354B74B"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8AA47B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IBERMUTUA</w:t>
            </w:r>
          </w:p>
        </w:tc>
        <w:tc>
          <w:tcPr>
            <w:tcW w:w="618" w:type="pct"/>
            <w:noWrap/>
            <w:hideMark/>
          </w:tcPr>
          <w:p w14:paraId="078F189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48,2</w:t>
            </w:r>
          </w:p>
        </w:tc>
        <w:tc>
          <w:tcPr>
            <w:tcW w:w="1428" w:type="pct"/>
            <w:gridSpan w:val="2"/>
            <w:noWrap/>
            <w:hideMark/>
          </w:tcPr>
          <w:p w14:paraId="17B04203"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FE1340C"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D968AB9"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r>
      <w:tr w:rsidR="00EF73FE" w:rsidRPr="000A2DEF" w14:paraId="1FE148EC"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4089B28"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Ferrol</w:t>
            </w:r>
          </w:p>
        </w:tc>
        <w:tc>
          <w:tcPr>
            <w:tcW w:w="618" w:type="pct"/>
            <w:noWrap/>
            <w:hideMark/>
          </w:tcPr>
          <w:p w14:paraId="2934F804"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47,9</w:t>
            </w:r>
          </w:p>
        </w:tc>
        <w:tc>
          <w:tcPr>
            <w:tcW w:w="599" w:type="pct"/>
            <w:noWrap/>
            <w:hideMark/>
          </w:tcPr>
          <w:p w14:paraId="701B8AE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13,4</w:t>
            </w:r>
          </w:p>
        </w:tc>
        <w:tc>
          <w:tcPr>
            <w:tcW w:w="829" w:type="pct"/>
            <w:noWrap/>
            <w:hideMark/>
          </w:tcPr>
          <w:p w14:paraId="6BAD2E9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w:t>
            </w:r>
          </w:p>
        </w:tc>
        <w:tc>
          <w:tcPr>
            <w:tcW w:w="909" w:type="pct"/>
            <w:noWrap/>
            <w:hideMark/>
          </w:tcPr>
          <w:p w14:paraId="6DE03861"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1234" w:type="pct"/>
            <w:noWrap/>
            <w:hideMark/>
          </w:tcPr>
          <w:p w14:paraId="4DDFDAFF"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79325ECC"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0B748D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Real Patronato Discapacidad</w:t>
            </w:r>
          </w:p>
        </w:tc>
        <w:tc>
          <w:tcPr>
            <w:tcW w:w="618" w:type="pct"/>
            <w:noWrap/>
            <w:hideMark/>
          </w:tcPr>
          <w:p w14:paraId="32736343"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47,8</w:t>
            </w:r>
          </w:p>
        </w:tc>
        <w:tc>
          <w:tcPr>
            <w:tcW w:w="599" w:type="pct"/>
            <w:noWrap/>
            <w:hideMark/>
          </w:tcPr>
          <w:p w14:paraId="0FB3C96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w:t>
            </w:r>
          </w:p>
        </w:tc>
        <w:tc>
          <w:tcPr>
            <w:tcW w:w="829" w:type="pct"/>
            <w:noWrap/>
            <w:hideMark/>
          </w:tcPr>
          <w:p w14:paraId="7F43040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w:t>
            </w:r>
          </w:p>
        </w:tc>
        <w:tc>
          <w:tcPr>
            <w:tcW w:w="909" w:type="pct"/>
            <w:noWrap/>
            <w:hideMark/>
          </w:tcPr>
          <w:p w14:paraId="48FE91E7"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w:t>
            </w:r>
          </w:p>
        </w:tc>
        <w:tc>
          <w:tcPr>
            <w:tcW w:w="1234" w:type="pct"/>
            <w:noWrap/>
            <w:hideMark/>
          </w:tcPr>
          <w:p w14:paraId="69303371"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694DC5C9"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C6BB5C4"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Mutua de Andalucía y de Ceuta</w:t>
            </w:r>
          </w:p>
        </w:tc>
        <w:tc>
          <w:tcPr>
            <w:tcW w:w="618" w:type="pct"/>
            <w:noWrap/>
            <w:hideMark/>
          </w:tcPr>
          <w:p w14:paraId="6B28EB34"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46,7</w:t>
            </w:r>
          </w:p>
        </w:tc>
        <w:tc>
          <w:tcPr>
            <w:tcW w:w="599" w:type="pct"/>
            <w:noWrap/>
            <w:hideMark/>
          </w:tcPr>
          <w:p w14:paraId="1BD4234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22,3</w:t>
            </w:r>
          </w:p>
        </w:tc>
        <w:tc>
          <w:tcPr>
            <w:tcW w:w="829" w:type="pct"/>
            <w:noWrap/>
            <w:hideMark/>
          </w:tcPr>
          <w:p w14:paraId="345A1829"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909" w:type="pct"/>
            <w:noWrap/>
            <w:hideMark/>
          </w:tcPr>
          <w:p w14:paraId="7F5DADA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1234" w:type="pct"/>
            <w:noWrap/>
            <w:hideMark/>
          </w:tcPr>
          <w:p w14:paraId="47DC4B9E"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r>
      <w:tr w:rsidR="00EF73FE" w:rsidRPr="000A2DEF" w14:paraId="393E470F"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7A9A49B"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FUNDAE</w:t>
            </w:r>
          </w:p>
        </w:tc>
        <w:tc>
          <w:tcPr>
            <w:tcW w:w="618" w:type="pct"/>
            <w:noWrap/>
            <w:hideMark/>
          </w:tcPr>
          <w:p w14:paraId="721CC06C"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46,4</w:t>
            </w:r>
          </w:p>
        </w:tc>
        <w:tc>
          <w:tcPr>
            <w:tcW w:w="1428" w:type="pct"/>
            <w:gridSpan w:val="2"/>
            <w:noWrap/>
            <w:hideMark/>
          </w:tcPr>
          <w:p w14:paraId="540EE193"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9F0A56F"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00775C9"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629FE32A"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538D648"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Bilbao Ría 2000</w:t>
            </w:r>
          </w:p>
        </w:tc>
        <w:tc>
          <w:tcPr>
            <w:tcW w:w="618" w:type="pct"/>
            <w:noWrap/>
            <w:hideMark/>
          </w:tcPr>
          <w:p w14:paraId="10814261"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46,3</w:t>
            </w:r>
          </w:p>
        </w:tc>
        <w:tc>
          <w:tcPr>
            <w:tcW w:w="1428" w:type="pct"/>
            <w:gridSpan w:val="2"/>
            <w:noWrap/>
            <w:hideMark/>
          </w:tcPr>
          <w:p w14:paraId="49DC3BE2"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0F2333B"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6A42804"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4B7CD0D6"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ADAA790"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IMSERSO</w:t>
            </w:r>
          </w:p>
        </w:tc>
        <w:tc>
          <w:tcPr>
            <w:tcW w:w="618" w:type="pct"/>
            <w:noWrap/>
            <w:hideMark/>
          </w:tcPr>
          <w:p w14:paraId="215B08F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45,9</w:t>
            </w:r>
          </w:p>
        </w:tc>
        <w:tc>
          <w:tcPr>
            <w:tcW w:w="1428" w:type="pct"/>
            <w:gridSpan w:val="2"/>
            <w:noWrap/>
            <w:hideMark/>
          </w:tcPr>
          <w:p w14:paraId="3C73DAC6"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39CBF1D"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F5C8590"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091BCA6B"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E646E66"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INCIBE</w:t>
            </w:r>
          </w:p>
        </w:tc>
        <w:tc>
          <w:tcPr>
            <w:tcW w:w="618" w:type="pct"/>
            <w:noWrap/>
            <w:hideMark/>
          </w:tcPr>
          <w:p w14:paraId="3DEBEB9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45,5</w:t>
            </w:r>
          </w:p>
        </w:tc>
        <w:tc>
          <w:tcPr>
            <w:tcW w:w="1428" w:type="pct"/>
            <w:gridSpan w:val="2"/>
            <w:noWrap/>
            <w:hideMark/>
          </w:tcPr>
          <w:p w14:paraId="1EB8C91C"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3207E9D3"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4A2156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r>
      <w:tr w:rsidR="00EF73FE" w:rsidRPr="000A2DEF" w14:paraId="42A82ECF"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A310EC4"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CH Segura</w:t>
            </w:r>
          </w:p>
        </w:tc>
        <w:tc>
          <w:tcPr>
            <w:tcW w:w="618" w:type="pct"/>
            <w:noWrap/>
            <w:hideMark/>
          </w:tcPr>
          <w:p w14:paraId="171028E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44,7</w:t>
            </w:r>
          </w:p>
        </w:tc>
        <w:tc>
          <w:tcPr>
            <w:tcW w:w="599" w:type="pct"/>
            <w:noWrap/>
            <w:hideMark/>
          </w:tcPr>
          <w:p w14:paraId="61FE0C7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829" w:type="pct"/>
            <w:noWrap/>
            <w:hideMark/>
          </w:tcPr>
          <w:p w14:paraId="6A323129"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2294E79C"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w:t>
            </w:r>
          </w:p>
        </w:tc>
        <w:tc>
          <w:tcPr>
            <w:tcW w:w="1234" w:type="pct"/>
            <w:noWrap/>
            <w:hideMark/>
          </w:tcPr>
          <w:p w14:paraId="45860CDC"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6F369053"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918A1B3"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CSIC</w:t>
            </w:r>
          </w:p>
        </w:tc>
        <w:tc>
          <w:tcPr>
            <w:tcW w:w="618" w:type="pct"/>
            <w:noWrap/>
            <w:hideMark/>
          </w:tcPr>
          <w:p w14:paraId="51003C73"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44,4</w:t>
            </w:r>
          </w:p>
        </w:tc>
        <w:tc>
          <w:tcPr>
            <w:tcW w:w="599" w:type="pct"/>
            <w:noWrap/>
            <w:hideMark/>
          </w:tcPr>
          <w:p w14:paraId="111BDB4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w:t>
            </w:r>
          </w:p>
        </w:tc>
        <w:tc>
          <w:tcPr>
            <w:tcW w:w="829" w:type="pct"/>
            <w:noWrap/>
            <w:hideMark/>
          </w:tcPr>
          <w:p w14:paraId="74B6E70F"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909" w:type="pct"/>
            <w:noWrap/>
            <w:hideMark/>
          </w:tcPr>
          <w:p w14:paraId="27CB2F39"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1234" w:type="pct"/>
            <w:noWrap/>
            <w:hideMark/>
          </w:tcPr>
          <w:p w14:paraId="38DF7274"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42A0187D"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B4BA53C"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SAINSEL</w:t>
            </w:r>
          </w:p>
        </w:tc>
        <w:tc>
          <w:tcPr>
            <w:tcW w:w="618" w:type="pct"/>
            <w:noWrap/>
            <w:hideMark/>
          </w:tcPr>
          <w:p w14:paraId="400EA39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44,2</w:t>
            </w:r>
          </w:p>
        </w:tc>
        <w:tc>
          <w:tcPr>
            <w:tcW w:w="1428" w:type="pct"/>
            <w:gridSpan w:val="2"/>
            <w:noWrap/>
            <w:hideMark/>
          </w:tcPr>
          <w:p w14:paraId="0CA7E6C7"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04D15DE"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84CBA9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r>
      <w:tr w:rsidR="00EF73FE" w:rsidRPr="000A2DEF" w14:paraId="2DBF5141"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2D84C21"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MNP Difusión</w:t>
            </w:r>
          </w:p>
        </w:tc>
        <w:tc>
          <w:tcPr>
            <w:tcW w:w="618" w:type="pct"/>
            <w:noWrap/>
            <w:hideMark/>
          </w:tcPr>
          <w:p w14:paraId="0EED43DD"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43,6</w:t>
            </w:r>
          </w:p>
        </w:tc>
        <w:tc>
          <w:tcPr>
            <w:tcW w:w="599" w:type="pct"/>
            <w:noWrap/>
            <w:hideMark/>
          </w:tcPr>
          <w:p w14:paraId="3F513FC4"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27,1</w:t>
            </w:r>
          </w:p>
        </w:tc>
        <w:tc>
          <w:tcPr>
            <w:tcW w:w="829" w:type="pct"/>
            <w:noWrap/>
            <w:hideMark/>
          </w:tcPr>
          <w:p w14:paraId="2B080ACF"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18</w:t>
            </w:r>
          </w:p>
        </w:tc>
        <w:tc>
          <w:tcPr>
            <w:tcW w:w="909" w:type="pct"/>
            <w:noWrap/>
            <w:hideMark/>
          </w:tcPr>
          <w:p w14:paraId="6E938169"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c>
          <w:tcPr>
            <w:tcW w:w="1234" w:type="pct"/>
            <w:noWrap/>
            <w:hideMark/>
          </w:tcPr>
          <w:p w14:paraId="2BD88DA9"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750E98DB"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F9D01A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ETSA</w:t>
            </w:r>
          </w:p>
        </w:tc>
        <w:tc>
          <w:tcPr>
            <w:tcW w:w="618" w:type="pct"/>
            <w:noWrap/>
            <w:hideMark/>
          </w:tcPr>
          <w:p w14:paraId="65564C98"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43,3</w:t>
            </w:r>
          </w:p>
        </w:tc>
        <w:tc>
          <w:tcPr>
            <w:tcW w:w="1428" w:type="pct"/>
            <w:gridSpan w:val="2"/>
            <w:noWrap/>
            <w:hideMark/>
          </w:tcPr>
          <w:p w14:paraId="3AC56200"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14D5A5D"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F907CBF"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4CDBD360"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C0AF1DC"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CEPC</w:t>
            </w:r>
          </w:p>
        </w:tc>
        <w:tc>
          <w:tcPr>
            <w:tcW w:w="618" w:type="pct"/>
            <w:noWrap/>
            <w:hideMark/>
          </w:tcPr>
          <w:p w14:paraId="5AED58C4"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43,0</w:t>
            </w:r>
          </w:p>
        </w:tc>
        <w:tc>
          <w:tcPr>
            <w:tcW w:w="1428" w:type="pct"/>
            <w:gridSpan w:val="2"/>
            <w:noWrap/>
            <w:hideMark/>
          </w:tcPr>
          <w:p w14:paraId="5E733ADB"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5A5D3BB"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5B85D30"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61AE7153"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848FB05"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CANASA</w:t>
            </w:r>
          </w:p>
        </w:tc>
        <w:tc>
          <w:tcPr>
            <w:tcW w:w="618" w:type="pct"/>
            <w:noWrap/>
            <w:hideMark/>
          </w:tcPr>
          <w:p w14:paraId="12D2ACE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41,7</w:t>
            </w:r>
          </w:p>
        </w:tc>
        <w:tc>
          <w:tcPr>
            <w:tcW w:w="1428" w:type="pct"/>
            <w:gridSpan w:val="2"/>
            <w:noWrap/>
            <w:hideMark/>
          </w:tcPr>
          <w:p w14:paraId="3741168E"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70B153C"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F3A7BDB"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421DF7D3"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C3E6526"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Instituto Cervantes</w:t>
            </w:r>
          </w:p>
        </w:tc>
        <w:tc>
          <w:tcPr>
            <w:tcW w:w="618" w:type="pct"/>
            <w:noWrap/>
            <w:hideMark/>
          </w:tcPr>
          <w:p w14:paraId="00BB678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40,7</w:t>
            </w:r>
          </w:p>
        </w:tc>
        <w:tc>
          <w:tcPr>
            <w:tcW w:w="1428" w:type="pct"/>
            <w:gridSpan w:val="2"/>
            <w:noWrap/>
            <w:hideMark/>
          </w:tcPr>
          <w:p w14:paraId="307E8DB7"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20F74C3"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5FEFC33"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6CA1A89D"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2B930D6"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SOCIB</w:t>
            </w:r>
          </w:p>
        </w:tc>
        <w:tc>
          <w:tcPr>
            <w:tcW w:w="618" w:type="pct"/>
            <w:noWrap/>
            <w:hideMark/>
          </w:tcPr>
          <w:p w14:paraId="65932EF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40,4</w:t>
            </w:r>
          </w:p>
        </w:tc>
        <w:tc>
          <w:tcPr>
            <w:tcW w:w="599" w:type="pct"/>
            <w:noWrap/>
            <w:hideMark/>
          </w:tcPr>
          <w:p w14:paraId="5A7EE1C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14,9</w:t>
            </w:r>
          </w:p>
        </w:tc>
        <w:tc>
          <w:tcPr>
            <w:tcW w:w="829" w:type="pct"/>
            <w:noWrap/>
            <w:hideMark/>
          </w:tcPr>
          <w:p w14:paraId="50A758EB"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w:t>
            </w:r>
          </w:p>
        </w:tc>
        <w:tc>
          <w:tcPr>
            <w:tcW w:w="909" w:type="pct"/>
            <w:noWrap/>
            <w:hideMark/>
          </w:tcPr>
          <w:p w14:paraId="3F0B04D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c>
          <w:tcPr>
            <w:tcW w:w="1234" w:type="pct"/>
            <w:noWrap/>
            <w:hideMark/>
          </w:tcPr>
          <w:p w14:paraId="24C675CB"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29BCBDDA"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0CE6DE6"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CIS</w:t>
            </w:r>
          </w:p>
        </w:tc>
        <w:tc>
          <w:tcPr>
            <w:tcW w:w="618" w:type="pct"/>
            <w:noWrap/>
            <w:hideMark/>
          </w:tcPr>
          <w:p w14:paraId="5A5AC288"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39,7</w:t>
            </w:r>
          </w:p>
        </w:tc>
        <w:tc>
          <w:tcPr>
            <w:tcW w:w="1428" w:type="pct"/>
            <w:gridSpan w:val="2"/>
            <w:noWrap/>
            <w:hideMark/>
          </w:tcPr>
          <w:p w14:paraId="66E5BB2A"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64A1958"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3BB0BB4"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20AE55FF"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8CC1648"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CILSA</w:t>
            </w:r>
          </w:p>
        </w:tc>
        <w:tc>
          <w:tcPr>
            <w:tcW w:w="618" w:type="pct"/>
            <w:noWrap/>
            <w:hideMark/>
          </w:tcPr>
          <w:p w14:paraId="587FA9F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39,5</w:t>
            </w:r>
          </w:p>
        </w:tc>
        <w:tc>
          <w:tcPr>
            <w:tcW w:w="1428" w:type="pct"/>
            <w:gridSpan w:val="2"/>
            <w:noWrap/>
            <w:hideMark/>
          </w:tcPr>
          <w:p w14:paraId="34A7379A"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E0CD981"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E00D314"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9DF65D5"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B25E629"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MNCARS</w:t>
            </w:r>
          </w:p>
        </w:tc>
        <w:tc>
          <w:tcPr>
            <w:tcW w:w="618" w:type="pct"/>
            <w:noWrap/>
            <w:hideMark/>
          </w:tcPr>
          <w:p w14:paraId="57FB9A8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38,8</w:t>
            </w:r>
          </w:p>
        </w:tc>
        <w:tc>
          <w:tcPr>
            <w:tcW w:w="599" w:type="pct"/>
            <w:noWrap/>
            <w:hideMark/>
          </w:tcPr>
          <w:p w14:paraId="6A63C22C"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-6,2</w:t>
            </w:r>
          </w:p>
        </w:tc>
        <w:tc>
          <w:tcPr>
            <w:tcW w:w="829" w:type="pct"/>
            <w:noWrap/>
            <w:hideMark/>
          </w:tcPr>
          <w:p w14:paraId="101CF45E"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w:t>
            </w:r>
          </w:p>
        </w:tc>
        <w:tc>
          <w:tcPr>
            <w:tcW w:w="909" w:type="pct"/>
            <w:noWrap/>
            <w:hideMark/>
          </w:tcPr>
          <w:p w14:paraId="41D7809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w:t>
            </w:r>
          </w:p>
        </w:tc>
        <w:tc>
          <w:tcPr>
            <w:tcW w:w="1234" w:type="pct"/>
            <w:noWrap/>
            <w:hideMark/>
          </w:tcPr>
          <w:p w14:paraId="036CA41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3215A845"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A52A307"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UIMP</w:t>
            </w:r>
          </w:p>
        </w:tc>
        <w:tc>
          <w:tcPr>
            <w:tcW w:w="618" w:type="pct"/>
            <w:noWrap/>
            <w:hideMark/>
          </w:tcPr>
          <w:p w14:paraId="1F4506C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38,8</w:t>
            </w:r>
          </w:p>
        </w:tc>
        <w:tc>
          <w:tcPr>
            <w:tcW w:w="1428" w:type="pct"/>
            <w:gridSpan w:val="2"/>
            <w:noWrap/>
            <w:hideMark/>
          </w:tcPr>
          <w:p w14:paraId="3620F155"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8D70DD7"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D3AC147"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0C7D5E2E"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3E532F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AEMPS</w:t>
            </w:r>
          </w:p>
        </w:tc>
        <w:tc>
          <w:tcPr>
            <w:tcW w:w="618" w:type="pct"/>
            <w:noWrap/>
            <w:hideMark/>
          </w:tcPr>
          <w:p w14:paraId="0AE1D82C"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38,1</w:t>
            </w:r>
          </w:p>
        </w:tc>
        <w:tc>
          <w:tcPr>
            <w:tcW w:w="1428" w:type="pct"/>
            <w:gridSpan w:val="2"/>
            <w:noWrap/>
            <w:hideMark/>
          </w:tcPr>
          <w:p w14:paraId="152ED5AC"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0C7D81D"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DBAA5F4"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0E27F4BB"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092CAB3"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Almería</w:t>
            </w:r>
          </w:p>
        </w:tc>
        <w:tc>
          <w:tcPr>
            <w:tcW w:w="618" w:type="pct"/>
            <w:noWrap/>
            <w:hideMark/>
          </w:tcPr>
          <w:p w14:paraId="5A771383"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37,8</w:t>
            </w:r>
          </w:p>
        </w:tc>
        <w:tc>
          <w:tcPr>
            <w:tcW w:w="599" w:type="pct"/>
            <w:noWrap/>
            <w:hideMark/>
          </w:tcPr>
          <w:p w14:paraId="2534644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0,3</w:t>
            </w:r>
          </w:p>
        </w:tc>
        <w:tc>
          <w:tcPr>
            <w:tcW w:w="829" w:type="pct"/>
            <w:noWrap/>
            <w:hideMark/>
          </w:tcPr>
          <w:p w14:paraId="65F8C46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w:t>
            </w:r>
          </w:p>
        </w:tc>
        <w:tc>
          <w:tcPr>
            <w:tcW w:w="909" w:type="pct"/>
            <w:noWrap/>
            <w:hideMark/>
          </w:tcPr>
          <w:p w14:paraId="13936283"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c>
          <w:tcPr>
            <w:tcW w:w="1234" w:type="pct"/>
            <w:noWrap/>
            <w:hideMark/>
          </w:tcPr>
          <w:p w14:paraId="1836ECD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3FE1C52F"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DE46581"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ICO</w:t>
            </w:r>
          </w:p>
        </w:tc>
        <w:tc>
          <w:tcPr>
            <w:tcW w:w="618" w:type="pct"/>
            <w:noWrap/>
            <w:hideMark/>
          </w:tcPr>
          <w:p w14:paraId="2E16C8D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37,8</w:t>
            </w:r>
          </w:p>
        </w:tc>
        <w:tc>
          <w:tcPr>
            <w:tcW w:w="1428" w:type="pct"/>
            <w:gridSpan w:val="2"/>
            <w:noWrap/>
            <w:hideMark/>
          </w:tcPr>
          <w:p w14:paraId="3B241582"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259EC8C"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ED4AC45"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088ADFDB"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3566820"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UNED Ciudad Real</w:t>
            </w:r>
          </w:p>
        </w:tc>
        <w:tc>
          <w:tcPr>
            <w:tcW w:w="618" w:type="pct"/>
            <w:noWrap/>
            <w:hideMark/>
          </w:tcPr>
          <w:p w14:paraId="34E57B7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36,1</w:t>
            </w:r>
          </w:p>
        </w:tc>
        <w:tc>
          <w:tcPr>
            <w:tcW w:w="1428" w:type="pct"/>
            <w:gridSpan w:val="2"/>
            <w:noWrap/>
            <w:hideMark/>
          </w:tcPr>
          <w:p w14:paraId="62BEC7B7"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C00B3DC"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200ECD7"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318330E1"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2BA8FA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Biblioteca Nacional</w:t>
            </w:r>
          </w:p>
        </w:tc>
        <w:tc>
          <w:tcPr>
            <w:tcW w:w="618" w:type="pct"/>
            <w:noWrap/>
            <w:hideMark/>
          </w:tcPr>
          <w:p w14:paraId="5A26C5C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35,5</w:t>
            </w:r>
          </w:p>
        </w:tc>
        <w:tc>
          <w:tcPr>
            <w:tcW w:w="599" w:type="pct"/>
            <w:noWrap/>
            <w:hideMark/>
          </w:tcPr>
          <w:p w14:paraId="1C7D31C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829" w:type="pct"/>
            <w:noWrap/>
            <w:hideMark/>
          </w:tcPr>
          <w:p w14:paraId="09EBE076"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w:t>
            </w:r>
          </w:p>
        </w:tc>
        <w:tc>
          <w:tcPr>
            <w:tcW w:w="909" w:type="pct"/>
            <w:noWrap/>
            <w:hideMark/>
          </w:tcPr>
          <w:p w14:paraId="390ECCAF"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c>
          <w:tcPr>
            <w:tcW w:w="1234" w:type="pct"/>
            <w:noWrap/>
            <w:hideMark/>
          </w:tcPr>
          <w:p w14:paraId="07CF29CC"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1EFBFDBE"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0F7034E"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 xml:space="preserve">Barcelona </w:t>
            </w:r>
            <w:proofErr w:type="spellStart"/>
            <w:r w:rsidRPr="000A2DEF">
              <w:rPr>
                <w:rFonts w:ascii="Calibri" w:eastAsia="Times New Roman" w:hAnsi="Calibri" w:cs="Calibri"/>
                <w:color w:val="000000"/>
                <w:sz w:val="18"/>
                <w:szCs w:val="18"/>
              </w:rPr>
              <w:t>Supercomputing</w:t>
            </w:r>
            <w:proofErr w:type="spellEnd"/>
          </w:p>
        </w:tc>
        <w:tc>
          <w:tcPr>
            <w:tcW w:w="618" w:type="pct"/>
            <w:noWrap/>
            <w:hideMark/>
          </w:tcPr>
          <w:p w14:paraId="6F46797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35,2</w:t>
            </w:r>
          </w:p>
        </w:tc>
        <w:tc>
          <w:tcPr>
            <w:tcW w:w="1428" w:type="pct"/>
            <w:gridSpan w:val="2"/>
            <w:noWrap/>
            <w:hideMark/>
          </w:tcPr>
          <w:p w14:paraId="7DAE918F"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D131828"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0927E16"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0C1284F7"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4421D24"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Avilés</w:t>
            </w:r>
          </w:p>
        </w:tc>
        <w:tc>
          <w:tcPr>
            <w:tcW w:w="618" w:type="pct"/>
            <w:noWrap/>
            <w:hideMark/>
          </w:tcPr>
          <w:p w14:paraId="3764D3FB"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35,0</w:t>
            </w:r>
          </w:p>
        </w:tc>
        <w:tc>
          <w:tcPr>
            <w:tcW w:w="1428" w:type="pct"/>
            <w:gridSpan w:val="2"/>
            <w:noWrap/>
            <w:hideMark/>
          </w:tcPr>
          <w:p w14:paraId="32251F39"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52B9BC8"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5042BD7"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18B83C62"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D83B180"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Red.es</w:t>
            </w:r>
          </w:p>
        </w:tc>
        <w:tc>
          <w:tcPr>
            <w:tcW w:w="618" w:type="pct"/>
            <w:noWrap/>
            <w:hideMark/>
          </w:tcPr>
          <w:p w14:paraId="003D5711"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35,0</w:t>
            </w:r>
          </w:p>
        </w:tc>
        <w:tc>
          <w:tcPr>
            <w:tcW w:w="1428" w:type="pct"/>
            <w:gridSpan w:val="2"/>
            <w:noWrap/>
            <w:hideMark/>
          </w:tcPr>
          <w:p w14:paraId="4C41D94D"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53A4CAC"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89C2159"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33E76DB"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EF1488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INTA</w:t>
            </w:r>
          </w:p>
        </w:tc>
        <w:tc>
          <w:tcPr>
            <w:tcW w:w="618" w:type="pct"/>
            <w:noWrap/>
            <w:hideMark/>
          </w:tcPr>
          <w:p w14:paraId="397937F8"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34,7</w:t>
            </w:r>
          </w:p>
        </w:tc>
        <w:tc>
          <w:tcPr>
            <w:tcW w:w="1428" w:type="pct"/>
            <w:gridSpan w:val="2"/>
            <w:noWrap/>
            <w:hideMark/>
          </w:tcPr>
          <w:p w14:paraId="7A64EA8D"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C870BAD"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3D7A76B"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4A88A747"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E62983C"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lastRenderedPageBreak/>
              <w:t>CH Guadiana</w:t>
            </w:r>
          </w:p>
        </w:tc>
        <w:tc>
          <w:tcPr>
            <w:tcW w:w="618" w:type="pct"/>
            <w:noWrap/>
            <w:hideMark/>
          </w:tcPr>
          <w:p w14:paraId="67770631"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34,6</w:t>
            </w:r>
          </w:p>
        </w:tc>
        <w:tc>
          <w:tcPr>
            <w:tcW w:w="1428" w:type="pct"/>
            <w:gridSpan w:val="2"/>
            <w:noWrap/>
            <w:hideMark/>
          </w:tcPr>
          <w:p w14:paraId="5C35822E"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BD00CA2"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781683C"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F14A080"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78634B1"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UNED Vitoria-Gasteiz</w:t>
            </w:r>
          </w:p>
        </w:tc>
        <w:tc>
          <w:tcPr>
            <w:tcW w:w="618" w:type="pct"/>
            <w:noWrap/>
            <w:hideMark/>
          </w:tcPr>
          <w:p w14:paraId="72A06BB3"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34,4</w:t>
            </w:r>
          </w:p>
        </w:tc>
        <w:tc>
          <w:tcPr>
            <w:tcW w:w="599" w:type="pct"/>
            <w:noWrap/>
            <w:hideMark/>
          </w:tcPr>
          <w:p w14:paraId="0F50A68B"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13,5</w:t>
            </w:r>
          </w:p>
        </w:tc>
        <w:tc>
          <w:tcPr>
            <w:tcW w:w="829" w:type="pct"/>
            <w:noWrap/>
            <w:hideMark/>
          </w:tcPr>
          <w:p w14:paraId="2411E75B"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24</w:t>
            </w:r>
          </w:p>
        </w:tc>
        <w:tc>
          <w:tcPr>
            <w:tcW w:w="909" w:type="pct"/>
            <w:noWrap/>
            <w:hideMark/>
          </w:tcPr>
          <w:p w14:paraId="5DE5652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c>
          <w:tcPr>
            <w:tcW w:w="1234" w:type="pct"/>
            <w:noWrap/>
            <w:hideMark/>
          </w:tcPr>
          <w:p w14:paraId="44655903"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r>
      <w:tr w:rsidR="00EF73FE" w:rsidRPr="000A2DEF" w14:paraId="6FD6554B"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55E5B97" w14:textId="77777777" w:rsidR="00EF73FE" w:rsidRPr="000A2DEF" w:rsidRDefault="00EF73FE" w:rsidP="00AE1ABE">
            <w:pPr>
              <w:rPr>
                <w:rFonts w:ascii="Calibri" w:eastAsia="Times New Roman" w:hAnsi="Calibri" w:cs="Calibri"/>
                <w:color w:val="000000"/>
                <w:sz w:val="18"/>
                <w:szCs w:val="18"/>
              </w:rPr>
            </w:pPr>
            <w:proofErr w:type="spellStart"/>
            <w:r w:rsidRPr="000A2DEF">
              <w:rPr>
                <w:rFonts w:ascii="Calibri" w:eastAsia="Times New Roman" w:hAnsi="Calibri" w:cs="Calibri"/>
                <w:color w:val="000000"/>
                <w:sz w:val="18"/>
                <w:szCs w:val="18"/>
              </w:rPr>
              <w:t>Innvierte</w:t>
            </w:r>
            <w:proofErr w:type="spellEnd"/>
          </w:p>
        </w:tc>
        <w:tc>
          <w:tcPr>
            <w:tcW w:w="618" w:type="pct"/>
            <w:noWrap/>
            <w:hideMark/>
          </w:tcPr>
          <w:p w14:paraId="1FEC8AE5"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34,2</w:t>
            </w:r>
          </w:p>
        </w:tc>
        <w:tc>
          <w:tcPr>
            <w:tcW w:w="599" w:type="pct"/>
            <w:noWrap/>
            <w:hideMark/>
          </w:tcPr>
          <w:p w14:paraId="50994144"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-8,1</w:t>
            </w:r>
          </w:p>
        </w:tc>
        <w:tc>
          <w:tcPr>
            <w:tcW w:w="829" w:type="pct"/>
            <w:noWrap/>
            <w:hideMark/>
          </w:tcPr>
          <w:p w14:paraId="2269B1E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w:t>
            </w:r>
          </w:p>
        </w:tc>
        <w:tc>
          <w:tcPr>
            <w:tcW w:w="909" w:type="pct"/>
            <w:noWrap/>
            <w:hideMark/>
          </w:tcPr>
          <w:p w14:paraId="4BD9FF5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0524CCE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3646BCE6"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C931D1A"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Centro de Estudios Jurídicos</w:t>
            </w:r>
          </w:p>
        </w:tc>
        <w:tc>
          <w:tcPr>
            <w:tcW w:w="618" w:type="pct"/>
            <w:noWrap/>
            <w:hideMark/>
          </w:tcPr>
          <w:p w14:paraId="02D035DB"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33,7</w:t>
            </w:r>
          </w:p>
        </w:tc>
        <w:tc>
          <w:tcPr>
            <w:tcW w:w="599" w:type="pct"/>
            <w:noWrap/>
            <w:hideMark/>
          </w:tcPr>
          <w:p w14:paraId="08AECA0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-13,6</w:t>
            </w:r>
          </w:p>
        </w:tc>
        <w:tc>
          <w:tcPr>
            <w:tcW w:w="829" w:type="pct"/>
            <w:noWrap/>
            <w:hideMark/>
          </w:tcPr>
          <w:p w14:paraId="3488721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718DB223"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63F7D8D8"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3AA389E9"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2C982A5"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Motril</w:t>
            </w:r>
          </w:p>
        </w:tc>
        <w:tc>
          <w:tcPr>
            <w:tcW w:w="618" w:type="pct"/>
            <w:noWrap/>
            <w:hideMark/>
          </w:tcPr>
          <w:p w14:paraId="17A5CB89"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33,5</w:t>
            </w:r>
          </w:p>
        </w:tc>
        <w:tc>
          <w:tcPr>
            <w:tcW w:w="1428" w:type="pct"/>
            <w:gridSpan w:val="2"/>
            <w:noWrap/>
            <w:hideMark/>
          </w:tcPr>
          <w:p w14:paraId="4E7E0735"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3E75E2F"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E151A6C"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491B5E97"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EEE800B"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Algeciras</w:t>
            </w:r>
          </w:p>
        </w:tc>
        <w:tc>
          <w:tcPr>
            <w:tcW w:w="618" w:type="pct"/>
            <w:noWrap/>
            <w:hideMark/>
          </w:tcPr>
          <w:p w14:paraId="0EB2FC04"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33,3</w:t>
            </w:r>
          </w:p>
        </w:tc>
        <w:tc>
          <w:tcPr>
            <w:tcW w:w="1428" w:type="pct"/>
            <w:gridSpan w:val="2"/>
            <w:noWrap/>
            <w:hideMark/>
          </w:tcPr>
          <w:p w14:paraId="037AED03"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DE3517A"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4B97071"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4D020A30"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A08A1E5"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IVIED</w:t>
            </w:r>
          </w:p>
        </w:tc>
        <w:tc>
          <w:tcPr>
            <w:tcW w:w="618" w:type="pct"/>
            <w:noWrap/>
            <w:hideMark/>
          </w:tcPr>
          <w:p w14:paraId="78379C43"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33,3</w:t>
            </w:r>
          </w:p>
        </w:tc>
        <w:tc>
          <w:tcPr>
            <w:tcW w:w="1428" w:type="pct"/>
            <w:gridSpan w:val="2"/>
            <w:noWrap/>
            <w:hideMark/>
          </w:tcPr>
          <w:p w14:paraId="0872C0E3"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355E7266"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35773CC"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2A512BEF"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24DAC4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Logroño Integración Ferrocarril</w:t>
            </w:r>
          </w:p>
        </w:tc>
        <w:tc>
          <w:tcPr>
            <w:tcW w:w="618" w:type="pct"/>
            <w:noWrap/>
            <w:hideMark/>
          </w:tcPr>
          <w:p w14:paraId="58D7F02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33,0</w:t>
            </w:r>
          </w:p>
        </w:tc>
        <w:tc>
          <w:tcPr>
            <w:tcW w:w="599" w:type="pct"/>
            <w:noWrap/>
            <w:hideMark/>
          </w:tcPr>
          <w:p w14:paraId="6F24A40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829" w:type="pct"/>
            <w:noWrap/>
            <w:hideMark/>
          </w:tcPr>
          <w:p w14:paraId="6BB60359"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w:t>
            </w:r>
          </w:p>
        </w:tc>
        <w:tc>
          <w:tcPr>
            <w:tcW w:w="909" w:type="pct"/>
            <w:noWrap/>
            <w:hideMark/>
          </w:tcPr>
          <w:p w14:paraId="40AB66F1"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0A98FDE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434E65D4"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70F3F54"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Puertos del Estado</w:t>
            </w:r>
          </w:p>
        </w:tc>
        <w:tc>
          <w:tcPr>
            <w:tcW w:w="618" w:type="pct"/>
            <w:noWrap/>
            <w:hideMark/>
          </w:tcPr>
          <w:p w14:paraId="6EFD224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32,4</w:t>
            </w:r>
          </w:p>
        </w:tc>
        <w:tc>
          <w:tcPr>
            <w:tcW w:w="1428" w:type="pct"/>
            <w:gridSpan w:val="2"/>
            <w:noWrap/>
            <w:hideMark/>
          </w:tcPr>
          <w:p w14:paraId="0018D071"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3014003"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2019F6F"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8D4E5F3"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1A53D46"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CH Guadalquivir</w:t>
            </w:r>
          </w:p>
        </w:tc>
        <w:tc>
          <w:tcPr>
            <w:tcW w:w="618" w:type="pct"/>
            <w:noWrap/>
            <w:hideMark/>
          </w:tcPr>
          <w:p w14:paraId="2B2C764E"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32,3</w:t>
            </w:r>
          </w:p>
        </w:tc>
        <w:tc>
          <w:tcPr>
            <w:tcW w:w="1428" w:type="pct"/>
            <w:gridSpan w:val="2"/>
            <w:noWrap/>
            <w:hideMark/>
          </w:tcPr>
          <w:p w14:paraId="63C359F0"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85E3097"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07AF9FB"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490FFB0"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A869E54"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Casa Árabe</w:t>
            </w:r>
          </w:p>
        </w:tc>
        <w:tc>
          <w:tcPr>
            <w:tcW w:w="618" w:type="pct"/>
            <w:noWrap/>
            <w:hideMark/>
          </w:tcPr>
          <w:p w14:paraId="3974CA84"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32,1</w:t>
            </w:r>
          </w:p>
        </w:tc>
        <w:tc>
          <w:tcPr>
            <w:tcW w:w="1428" w:type="pct"/>
            <w:gridSpan w:val="2"/>
            <w:noWrap/>
            <w:hideMark/>
          </w:tcPr>
          <w:p w14:paraId="508A072A"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A41AE99"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4D40358"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9AAF864"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9ADF008"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AE Seguridad ferroviaria</w:t>
            </w:r>
          </w:p>
        </w:tc>
        <w:tc>
          <w:tcPr>
            <w:tcW w:w="618" w:type="pct"/>
            <w:noWrap/>
            <w:hideMark/>
          </w:tcPr>
          <w:p w14:paraId="20DE4EBB"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31,6</w:t>
            </w:r>
          </w:p>
        </w:tc>
        <w:tc>
          <w:tcPr>
            <w:tcW w:w="1428" w:type="pct"/>
            <w:gridSpan w:val="2"/>
            <w:noWrap/>
            <w:hideMark/>
          </w:tcPr>
          <w:p w14:paraId="0B7F1E19"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6B26778"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5383DE3"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1EB8F9C7"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F0806B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Marín</w:t>
            </w:r>
          </w:p>
        </w:tc>
        <w:tc>
          <w:tcPr>
            <w:tcW w:w="618" w:type="pct"/>
            <w:noWrap/>
            <w:hideMark/>
          </w:tcPr>
          <w:p w14:paraId="61F78EF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31,0</w:t>
            </w:r>
          </w:p>
        </w:tc>
        <w:tc>
          <w:tcPr>
            <w:tcW w:w="599" w:type="pct"/>
            <w:noWrap/>
            <w:hideMark/>
          </w:tcPr>
          <w:p w14:paraId="7133D7A4"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w:t>
            </w:r>
          </w:p>
        </w:tc>
        <w:tc>
          <w:tcPr>
            <w:tcW w:w="829" w:type="pct"/>
            <w:noWrap/>
            <w:hideMark/>
          </w:tcPr>
          <w:p w14:paraId="6CE4A6D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w:t>
            </w:r>
          </w:p>
        </w:tc>
        <w:tc>
          <w:tcPr>
            <w:tcW w:w="909" w:type="pct"/>
            <w:noWrap/>
            <w:hideMark/>
          </w:tcPr>
          <w:p w14:paraId="1AE14E1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507E7771"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4C9054BC"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95304F6"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Vigo Activo</w:t>
            </w:r>
          </w:p>
        </w:tc>
        <w:tc>
          <w:tcPr>
            <w:tcW w:w="618" w:type="pct"/>
            <w:noWrap/>
            <w:hideMark/>
          </w:tcPr>
          <w:p w14:paraId="40F217A6"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31,0</w:t>
            </w:r>
          </w:p>
        </w:tc>
        <w:tc>
          <w:tcPr>
            <w:tcW w:w="1428" w:type="pct"/>
            <w:gridSpan w:val="2"/>
            <w:noWrap/>
            <w:hideMark/>
          </w:tcPr>
          <w:p w14:paraId="228223AF"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59FA505"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88AB6B8"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6D3033FF"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80F8A5C"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ICAA</w:t>
            </w:r>
          </w:p>
        </w:tc>
        <w:tc>
          <w:tcPr>
            <w:tcW w:w="618" w:type="pct"/>
            <w:noWrap/>
            <w:hideMark/>
          </w:tcPr>
          <w:p w14:paraId="673BD1F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30,4</w:t>
            </w:r>
          </w:p>
        </w:tc>
        <w:tc>
          <w:tcPr>
            <w:tcW w:w="1428" w:type="pct"/>
            <w:gridSpan w:val="2"/>
            <w:noWrap/>
            <w:hideMark/>
          </w:tcPr>
          <w:p w14:paraId="7CF41706"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3B2436E5"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75AB073"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r>
      <w:tr w:rsidR="00EF73FE" w:rsidRPr="000A2DEF" w14:paraId="5156AB8F"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D47A02A"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GIEC</w:t>
            </w:r>
          </w:p>
        </w:tc>
        <w:tc>
          <w:tcPr>
            <w:tcW w:w="618" w:type="pct"/>
            <w:noWrap/>
            <w:hideMark/>
          </w:tcPr>
          <w:p w14:paraId="6FD8661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29,9</w:t>
            </w:r>
          </w:p>
        </w:tc>
        <w:tc>
          <w:tcPr>
            <w:tcW w:w="1428" w:type="pct"/>
            <w:gridSpan w:val="2"/>
            <w:noWrap/>
            <w:hideMark/>
          </w:tcPr>
          <w:p w14:paraId="5BD068ED"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5562257"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4704011"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226D6431"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5006F8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AP Santander</w:t>
            </w:r>
          </w:p>
        </w:tc>
        <w:tc>
          <w:tcPr>
            <w:tcW w:w="618" w:type="pct"/>
            <w:noWrap/>
            <w:hideMark/>
          </w:tcPr>
          <w:p w14:paraId="7CC475EC"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29,3</w:t>
            </w:r>
          </w:p>
        </w:tc>
        <w:tc>
          <w:tcPr>
            <w:tcW w:w="599" w:type="pct"/>
            <w:noWrap/>
            <w:hideMark/>
          </w:tcPr>
          <w:p w14:paraId="17ECC8B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w:t>
            </w:r>
          </w:p>
        </w:tc>
        <w:tc>
          <w:tcPr>
            <w:tcW w:w="829" w:type="pct"/>
            <w:noWrap/>
            <w:hideMark/>
          </w:tcPr>
          <w:p w14:paraId="71DBB56B"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w:t>
            </w:r>
          </w:p>
        </w:tc>
        <w:tc>
          <w:tcPr>
            <w:tcW w:w="909" w:type="pct"/>
            <w:noWrap/>
            <w:hideMark/>
          </w:tcPr>
          <w:p w14:paraId="14CBAD87"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c>
          <w:tcPr>
            <w:tcW w:w="1234" w:type="pct"/>
            <w:noWrap/>
            <w:hideMark/>
          </w:tcPr>
          <w:p w14:paraId="64CCDDF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562D3B3F"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9A97C7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UNED Barcelona</w:t>
            </w:r>
          </w:p>
        </w:tc>
        <w:tc>
          <w:tcPr>
            <w:tcW w:w="618" w:type="pct"/>
            <w:noWrap/>
            <w:hideMark/>
          </w:tcPr>
          <w:p w14:paraId="561A060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28,8</w:t>
            </w:r>
          </w:p>
        </w:tc>
        <w:tc>
          <w:tcPr>
            <w:tcW w:w="1428" w:type="pct"/>
            <w:gridSpan w:val="2"/>
            <w:noWrap/>
            <w:hideMark/>
          </w:tcPr>
          <w:p w14:paraId="3F6617FB"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AB2BF11"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658C292"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3FCCF58"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046C26B"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CUD-AGA</w:t>
            </w:r>
          </w:p>
        </w:tc>
        <w:tc>
          <w:tcPr>
            <w:tcW w:w="618" w:type="pct"/>
            <w:noWrap/>
            <w:hideMark/>
          </w:tcPr>
          <w:p w14:paraId="559D573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28,8</w:t>
            </w:r>
          </w:p>
        </w:tc>
        <w:tc>
          <w:tcPr>
            <w:tcW w:w="1428" w:type="pct"/>
            <w:gridSpan w:val="2"/>
            <w:noWrap/>
            <w:hideMark/>
          </w:tcPr>
          <w:p w14:paraId="1028AD3C"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38A83C2"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3ED5C5A"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BD54F1D"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4AB5D7A"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Trabajo Penitenciario y Formación para el empleo</w:t>
            </w:r>
          </w:p>
        </w:tc>
        <w:tc>
          <w:tcPr>
            <w:tcW w:w="618" w:type="pct"/>
            <w:noWrap/>
            <w:hideMark/>
          </w:tcPr>
          <w:p w14:paraId="7D2DEA8E"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28,5</w:t>
            </w:r>
          </w:p>
        </w:tc>
        <w:tc>
          <w:tcPr>
            <w:tcW w:w="599" w:type="pct"/>
            <w:noWrap/>
            <w:hideMark/>
          </w:tcPr>
          <w:p w14:paraId="658C5699"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0,8</w:t>
            </w:r>
          </w:p>
        </w:tc>
        <w:tc>
          <w:tcPr>
            <w:tcW w:w="829" w:type="pct"/>
            <w:noWrap/>
            <w:hideMark/>
          </w:tcPr>
          <w:p w14:paraId="53E3261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w:t>
            </w:r>
          </w:p>
        </w:tc>
        <w:tc>
          <w:tcPr>
            <w:tcW w:w="909" w:type="pct"/>
            <w:noWrap/>
            <w:hideMark/>
          </w:tcPr>
          <w:p w14:paraId="4C39198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4594E30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60CD310E"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148FCC1"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EMFESA</w:t>
            </w:r>
          </w:p>
        </w:tc>
        <w:tc>
          <w:tcPr>
            <w:tcW w:w="618" w:type="pct"/>
            <w:noWrap/>
            <w:hideMark/>
          </w:tcPr>
          <w:p w14:paraId="28153D4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28,4</w:t>
            </w:r>
          </w:p>
        </w:tc>
        <w:tc>
          <w:tcPr>
            <w:tcW w:w="1428" w:type="pct"/>
            <w:gridSpan w:val="2"/>
            <w:noWrap/>
            <w:hideMark/>
          </w:tcPr>
          <w:p w14:paraId="51DC7301"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134DFA2"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473FD67"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5BB08E38"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ADFE1B8"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IDAE</w:t>
            </w:r>
          </w:p>
        </w:tc>
        <w:tc>
          <w:tcPr>
            <w:tcW w:w="618" w:type="pct"/>
            <w:noWrap/>
            <w:hideMark/>
          </w:tcPr>
          <w:p w14:paraId="39E31E7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27,4</w:t>
            </w:r>
          </w:p>
        </w:tc>
        <w:tc>
          <w:tcPr>
            <w:tcW w:w="1428" w:type="pct"/>
            <w:gridSpan w:val="2"/>
            <w:noWrap/>
            <w:hideMark/>
          </w:tcPr>
          <w:p w14:paraId="5913C3A5"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6456EAD"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0B3C59B"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1C3259B2"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F4CDC0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CNIG</w:t>
            </w:r>
          </w:p>
        </w:tc>
        <w:tc>
          <w:tcPr>
            <w:tcW w:w="618" w:type="pct"/>
            <w:noWrap/>
            <w:hideMark/>
          </w:tcPr>
          <w:p w14:paraId="62A2B32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27,4</w:t>
            </w:r>
          </w:p>
        </w:tc>
        <w:tc>
          <w:tcPr>
            <w:tcW w:w="1428" w:type="pct"/>
            <w:gridSpan w:val="2"/>
            <w:noWrap/>
            <w:hideMark/>
          </w:tcPr>
          <w:p w14:paraId="16C0474C"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97BFDCE"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4C4C7D0"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45A0A576"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2A7C10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Gijón al Norte</w:t>
            </w:r>
          </w:p>
        </w:tc>
        <w:tc>
          <w:tcPr>
            <w:tcW w:w="618" w:type="pct"/>
            <w:noWrap/>
            <w:hideMark/>
          </w:tcPr>
          <w:p w14:paraId="08A60331"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27,3</w:t>
            </w:r>
          </w:p>
        </w:tc>
        <w:tc>
          <w:tcPr>
            <w:tcW w:w="1428" w:type="pct"/>
            <w:gridSpan w:val="2"/>
            <w:noWrap/>
            <w:hideMark/>
          </w:tcPr>
          <w:p w14:paraId="63D51EC1"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209B58C"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98670C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r>
      <w:tr w:rsidR="00EF73FE" w:rsidRPr="000A2DEF" w14:paraId="341EEB5A"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EF86853"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CTISA</w:t>
            </w:r>
          </w:p>
        </w:tc>
        <w:tc>
          <w:tcPr>
            <w:tcW w:w="618" w:type="pct"/>
            <w:noWrap/>
            <w:hideMark/>
          </w:tcPr>
          <w:p w14:paraId="5AC7046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26,9</w:t>
            </w:r>
          </w:p>
        </w:tc>
        <w:tc>
          <w:tcPr>
            <w:tcW w:w="1428" w:type="pct"/>
            <w:gridSpan w:val="2"/>
            <w:noWrap/>
            <w:hideMark/>
          </w:tcPr>
          <w:p w14:paraId="2001C65B"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F235517"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98450D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r>
      <w:tr w:rsidR="00EF73FE" w:rsidRPr="000A2DEF" w14:paraId="12F49810"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137B6F6"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INAEM</w:t>
            </w:r>
          </w:p>
        </w:tc>
        <w:tc>
          <w:tcPr>
            <w:tcW w:w="618" w:type="pct"/>
            <w:noWrap/>
            <w:hideMark/>
          </w:tcPr>
          <w:p w14:paraId="7172B7FB"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24,6</w:t>
            </w:r>
          </w:p>
        </w:tc>
        <w:tc>
          <w:tcPr>
            <w:tcW w:w="1428" w:type="pct"/>
            <w:gridSpan w:val="2"/>
            <w:noWrap/>
            <w:hideMark/>
          </w:tcPr>
          <w:p w14:paraId="5909165D"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CABC321"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4699E8E"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6FC2B715"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C7A55A2"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WTCB</w:t>
            </w:r>
          </w:p>
        </w:tc>
        <w:tc>
          <w:tcPr>
            <w:tcW w:w="618" w:type="pct"/>
            <w:noWrap/>
            <w:hideMark/>
          </w:tcPr>
          <w:p w14:paraId="0C340E0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23,0</w:t>
            </w:r>
          </w:p>
        </w:tc>
        <w:tc>
          <w:tcPr>
            <w:tcW w:w="1428" w:type="pct"/>
            <w:gridSpan w:val="2"/>
            <w:noWrap/>
            <w:hideMark/>
          </w:tcPr>
          <w:p w14:paraId="440BFFA2"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B5ACDCF"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5963D84"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0E6714B1"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BF6A16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Parques Nacionales</w:t>
            </w:r>
          </w:p>
        </w:tc>
        <w:tc>
          <w:tcPr>
            <w:tcW w:w="618" w:type="pct"/>
            <w:noWrap/>
            <w:hideMark/>
          </w:tcPr>
          <w:p w14:paraId="5F9BDC17"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23,0</w:t>
            </w:r>
          </w:p>
        </w:tc>
        <w:tc>
          <w:tcPr>
            <w:tcW w:w="1428" w:type="pct"/>
            <w:gridSpan w:val="2"/>
            <w:noWrap/>
            <w:hideMark/>
          </w:tcPr>
          <w:p w14:paraId="7957441B"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3DCB346"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4D65AD2"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94C219A"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3917B15"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TURESPAÑA</w:t>
            </w:r>
          </w:p>
        </w:tc>
        <w:tc>
          <w:tcPr>
            <w:tcW w:w="618" w:type="pct"/>
            <w:noWrap/>
            <w:hideMark/>
          </w:tcPr>
          <w:p w14:paraId="1F2B919F"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22,5</w:t>
            </w:r>
          </w:p>
        </w:tc>
        <w:tc>
          <w:tcPr>
            <w:tcW w:w="1428" w:type="pct"/>
            <w:gridSpan w:val="2"/>
            <w:noWrap/>
            <w:hideMark/>
          </w:tcPr>
          <w:p w14:paraId="657E550E"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3A91E130"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978C5E2"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111E0E44"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8B1FB1E"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INSST</w:t>
            </w:r>
          </w:p>
        </w:tc>
        <w:tc>
          <w:tcPr>
            <w:tcW w:w="618" w:type="pct"/>
            <w:noWrap/>
            <w:hideMark/>
          </w:tcPr>
          <w:p w14:paraId="5EFB969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22,4</w:t>
            </w:r>
          </w:p>
        </w:tc>
        <w:tc>
          <w:tcPr>
            <w:tcW w:w="1428" w:type="pct"/>
            <w:gridSpan w:val="2"/>
            <w:noWrap/>
            <w:hideMark/>
          </w:tcPr>
          <w:p w14:paraId="74CC55CC"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E046F7D"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B35FC54"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3B83F1C0"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91601F9"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CAHA</w:t>
            </w:r>
          </w:p>
        </w:tc>
        <w:tc>
          <w:tcPr>
            <w:tcW w:w="618" w:type="pct"/>
            <w:noWrap/>
            <w:hideMark/>
          </w:tcPr>
          <w:p w14:paraId="6C567AEE"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21,4</w:t>
            </w:r>
          </w:p>
        </w:tc>
        <w:tc>
          <w:tcPr>
            <w:tcW w:w="1428" w:type="pct"/>
            <w:gridSpan w:val="2"/>
            <w:noWrap/>
            <w:hideMark/>
          </w:tcPr>
          <w:p w14:paraId="4CB6F59F"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1F9A3AA"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1086E81"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14984505"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FDE3701"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UIMP Campo de Gibraltar</w:t>
            </w:r>
          </w:p>
        </w:tc>
        <w:tc>
          <w:tcPr>
            <w:tcW w:w="618" w:type="pct"/>
            <w:noWrap/>
            <w:hideMark/>
          </w:tcPr>
          <w:p w14:paraId="1AF1080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20,6</w:t>
            </w:r>
          </w:p>
        </w:tc>
        <w:tc>
          <w:tcPr>
            <w:tcW w:w="599" w:type="pct"/>
            <w:noWrap/>
            <w:hideMark/>
          </w:tcPr>
          <w:p w14:paraId="2BCD5573"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13,8</w:t>
            </w:r>
          </w:p>
        </w:tc>
        <w:tc>
          <w:tcPr>
            <w:tcW w:w="829" w:type="pct"/>
            <w:noWrap/>
            <w:hideMark/>
          </w:tcPr>
          <w:p w14:paraId="7F53E80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w:t>
            </w:r>
          </w:p>
        </w:tc>
        <w:tc>
          <w:tcPr>
            <w:tcW w:w="909" w:type="pct"/>
            <w:noWrap/>
            <w:hideMark/>
          </w:tcPr>
          <w:p w14:paraId="50F8564A"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c>
          <w:tcPr>
            <w:tcW w:w="1234" w:type="pct"/>
            <w:noWrap/>
            <w:hideMark/>
          </w:tcPr>
          <w:p w14:paraId="62132C53"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6FEAF456"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09C94A1" w14:textId="77777777" w:rsidR="00EF73FE" w:rsidRPr="000A2DEF" w:rsidRDefault="00EF73FE" w:rsidP="00AE1ABE">
            <w:pPr>
              <w:rPr>
                <w:rFonts w:ascii="Calibri" w:eastAsia="Times New Roman" w:hAnsi="Calibri" w:cs="Calibri"/>
                <w:color w:val="000000"/>
                <w:sz w:val="18"/>
                <w:szCs w:val="18"/>
              </w:rPr>
            </w:pPr>
            <w:proofErr w:type="spellStart"/>
            <w:r w:rsidRPr="000A2DEF">
              <w:rPr>
                <w:rFonts w:ascii="Calibri" w:eastAsia="Times New Roman" w:hAnsi="Calibri" w:cs="Calibri"/>
                <w:color w:val="000000"/>
                <w:sz w:val="18"/>
                <w:szCs w:val="18"/>
              </w:rPr>
              <w:t>Mercalgeciras</w:t>
            </w:r>
            <w:proofErr w:type="spellEnd"/>
          </w:p>
        </w:tc>
        <w:tc>
          <w:tcPr>
            <w:tcW w:w="618" w:type="pct"/>
            <w:noWrap/>
            <w:hideMark/>
          </w:tcPr>
          <w:p w14:paraId="01FEA6BB"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20,0</w:t>
            </w:r>
          </w:p>
        </w:tc>
        <w:tc>
          <w:tcPr>
            <w:tcW w:w="1428" w:type="pct"/>
            <w:gridSpan w:val="2"/>
            <w:noWrap/>
            <w:hideMark/>
          </w:tcPr>
          <w:p w14:paraId="214EF6ED"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D63B545"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52DFA60"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5F88A07C"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3AC81A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INGESA</w:t>
            </w:r>
          </w:p>
        </w:tc>
        <w:tc>
          <w:tcPr>
            <w:tcW w:w="618" w:type="pct"/>
            <w:noWrap/>
            <w:hideMark/>
          </w:tcPr>
          <w:p w14:paraId="2BF79C32"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19,4</w:t>
            </w:r>
          </w:p>
        </w:tc>
        <w:tc>
          <w:tcPr>
            <w:tcW w:w="1428" w:type="pct"/>
            <w:gridSpan w:val="2"/>
            <w:noWrap/>
            <w:hideMark/>
          </w:tcPr>
          <w:p w14:paraId="552FF58A"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BEBA4FF"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A2599C4"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2606B969"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7819C4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lastRenderedPageBreak/>
              <w:t>AP Pasaia</w:t>
            </w:r>
          </w:p>
        </w:tc>
        <w:tc>
          <w:tcPr>
            <w:tcW w:w="618" w:type="pct"/>
            <w:noWrap/>
            <w:hideMark/>
          </w:tcPr>
          <w:p w14:paraId="6255F4FC"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19,2</w:t>
            </w:r>
          </w:p>
        </w:tc>
        <w:tc>
          <w:tcPr>
            <w:tcW w:w="1428" w:type="pct"/>
            <w:gridSpan w:val="2"/>
            <w:noWrap/>
            <w:hideMark/>
          </w:tcPr>
          <w:p w14:paraId="16A45E89"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3ACB7254"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9EDE213"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27F00F28"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B03C80F"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F. Residencia Estudiantes</w:t>
            </w:r>
          </w:p>
        </w:tc>
        <w:tc>
          <w:tcPr>
            <w:tcW w:w="618" w:type="pct"/>
            <w:noWrap/>
            <w:hideMark/>
          </w:tcPr>
          <w:p w14:paraId="0B1EDC44"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18,7</w:t>
            </w:r>
          </w:p>
        </w:tc>
        <w:tc>
          <w:tcPr>
            <w:tcW w:w="1428" w:type="pct"/>
            <w:gridSpan w:val="2"/>
            <w:noWrap/>
            <w:hideMark/>
          </w:tcPr>
          <w:p w14:paraId="39F4D713"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0EBBA7D"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E5E04EE"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1AF8429E"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F8237B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INSS</w:t>
            </w:r>
          </w:p>
        </w:tc>
        <w:tc>
          <w:tcPr>
            <w:tcW w:w="618" w:type="pct"/>
            <w:noWrap/>
            <w:hideMark/>
          </w:tcPr>
          <w:p w14:paraId="01A12F1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18,1</w:t>
            </w:r>
          </w:p>
        </w:tc>
        <w:tc>
          <w:tcPr>
            <w:tcW w:w="1428" w:type="pct"/>
            <w:gridSpan w:val="2"/>
            <w:noWrap/>
            <w:hideMark/>
          </w:tcPr>
          <w:p w14:paraId="1F977E1D"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1CDD756"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0CAB115"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6BBD238D"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1206A46"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PEPA</w:t>
            </w:r>
          </w:p>
        </w:tc>
        <w:tc>
          <w:tcPr>
            <w:tcW w:w="618" w:type="pct"/>
            <w:noWrap/>
            <w:hideMark/>
          </w:tcPr>
          <w:p w14:paraId="1399CA79"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16,5</w:t>
            </w:r>
          </w:p>
        </w:tc>
        <w:tc>
          <w:tcPr>
            <w:tcW w:w="1428" w:type="pct"/>
            <w:gridSpan w:val="2"/>
            <w:noWrap/>
            <w:hideMark/>
          </w:tcPr>
          <w:p w14:paraId="0DF9473F"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F2EF3B6"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7484CF5"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r>
      <w:tr w:rsidR="00EF73FE" w:rsidRPr="000A2DEF" w14:paraId="4A804679"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209BC2D"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VIPAR</w:t>
            </w:r>
          </w:p>
        </w:tc>
        <w:tc>
          <w:tcPr>
            <w:tcW w:w="618" w:type="pct"/>
            <w:noWrap/>
            <w:hideMark/>
          </w:tcPr>
          <w:p w14:paraId="5A84F02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16,1</w:t>
            </w:r>
          </w:p>
        </w:tc>
        <w:tc>
          <w:tcPr>
            <w:tcW w:w="599" w:type="pct"/>
            <w:noWrap/>
            <w:hideMark/>
          </w:tcPr>
          <w:p w14:paraId="38FEC26B"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-8,4</w:t>
            </w:r>
          </w:p>
        </w:tc>
        <w:tc>
          <w:tcPr>
            <w:tcW w:w="829" w:type="pct"/>
            <w:noWrap/>
            <w:hideMark/>
          </w:tcPr>
          <w:p w14:paraId="2075551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909" w:type="pct"/>
            <w:noWrap/>
            <w:hideMark/>
          </w:tcPr>
          <w:p w14:paraId="504D50FB"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412884ED"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r>
      <w:tr w:rsidR="00EF73FE" w:rsidRPr="000A2DEF" w14:paraId="1EADED23"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61C69A6"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AICA</w:t>
            </w:r>
          </w:p>
        </w:tc>
        <w:tc>
          <w:tcPr>
            <w:tcW w:w="618" w:type="pct"/>
            <w:noWrap/>
            <w:hideMark/>
          </w:tcPr>
          <w:p w14:paraId="7B0DC909"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15,5</w:t>
            </w:r>
          </w:p>
        </w:tc>
        <w:tc>
          <w:tcPr>
            <w:tcW w:w="599" w:type="pct"/>
            <w:noWrap/>
            <w:hideMark/>
          </w:tcPr>
          <w:p w14:paraId="5AE66643"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c>
          <w:tcPr>
            <w:tcW w:w="829" w:type="pct"/>
            <w:noWrap/>
            <w:hideMark/>
          </w:tcPr>
          <w:p w14:paraId="53EE0C41"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30</w:t>
            </w:r>
          </w:p>
        </w:tc>
        <w:tc>
          <w:tcPr>
            <w:tcW w:w="909" w:type="pct"/>
            <w:noWrap/>
            <w:hideMark/>
          </w:tcPr>
          <w:p w14:paraId="6E58F360"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1234" w:type="pct"/>
            <w:noWrap/>
            <w:hideMark/>
          </w:tcPr>
          <w:p w14:paraId="657D9AF1"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710A7C56"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16F2C89"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A.I., Abra Industrial</w:t>
            </w:r>
          </w:p>
        </w:tc>
        <w:tc>
          <w:tcPr>
            <w:tcW w:w="618" w:type="pct"/>
            <w:noWrap/>
            <w:hideMark/>
          </w:tcPr>
          <w:p w14:paraId="710C4EEC"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15,3</w:t>
            </w:r>
          </w:p>
        </w:tc>
        <w:tc>
          <w:tcPr>
            <w:tcW w:w="599" w:type="pct"/>
            <w:noWrap/>
            <w:hideMark/>
          </w:tcPr>
          <w:p w14:paraId="003C94B2"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-9,2</w:t>
            </w:r>
          </w:p>
        </w:tc>
        <w:tc>
          <w:tcPr>
            <w:tcW w:w="829" w:type="pct"/>
            <w:noWrap/>
            <w:hideMark/>
          </w:tcPr>
          <w:p w14:paraId="2F2125F0"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18</w:t>
            </w:r>
          </w:p>
        </w:tc>
        <w:tc>
          <w:tcPr>
            <w:tcW w:w="909" w:type="pct"/>
            <w:noWrap/>
            <w:hideMark/>
          </w:tcPr>
          <w:p w14:paraId="25B947A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4FFE7CE7"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EF73FE" w:rsidRPr="000A2DEF" w14:paraId="3A4C0E45"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A50E7F4"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Aletas</w:t>
            </w:r>
          </w:p>
        </w:tc>
        <w:tc>
          <w:tcPr>
            <w:tcW w:w="618" w:type="pct"/>
            <w:noWrap/>
            <w:hideMark/>
          </w:tcPr>
          <w:p w14:paraId="4CDF4718"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14,5</w:t>
            </w:r>
          </w:p>
        </w:tc>
        <w:tc>
          <w:tcPr>
            <w:tcW w:w="1428" w:type="pct"/>
            <w:gridSpan w:val="2"/>
            <w:noWrap/>
            <w:hideMark/>
          </w:tcPr>
          <w:p w14:paraId="2CB73A30"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C400E72"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076D813"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29E65A1C"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2CC3DD8"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Canaria Puerto LP</w:t>
            </w:r>
          </w:p>
        </w:tc>
        <w:tc>
          <w:tcPr>
            <w:tcW w:w="618" w:type="pct"/>
            <w:noWrap/>
            <w:hideMark/>
          </w:tcPr>
          <w:p w14:paraId="406D339A"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12,3</w:t>
            </w:r>
          </w:p>
        </w:tc>
        <w:tc>
          <w:tcPr>
            <w:tcW w:w="1428" w:type="pct"/>
            <w:gridSpan w:val="2"/>
            <w:noWrap/>
            <w:hideMark/>
          </w:tcPr>
          <w:p w14:paraId="38617443"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DB5F59A"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89BBE75"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746C1B7D" w14:textId="77777777" w:rsidTr="000204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51BA237"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 xml:space="preserve">F. Valle </w:t>
            </w:r>
            <w:proofErr w:type="spellStart"/>
            <w:r w:rsidRPr="000A2DEF">
              <w:rPr>
                <w:rFonts w:ascii="Calibri" w:eastAsia="Times New Roman" w:hAnsi="Calibri" w:cs="Calibri"/>
                <w:color w:val="000000"/>
                <w:sz w:val="18"/>
                <w:szCs w:val="18"/>
              </w:rPr>
              <w:t>Caidos</w:t>
            </w:r>
            <w:proofErr w:type="spellEnd"/>
          </w:p>
        </w:tc>
        <w:tc>
          <w:tcPr>
            <w:tcW w:w="618" w:type="pct"/>
            <w:noWrap/>
            <w:hideMark/>
          </w:tcPr>
          <w:p w14:paraId="102ADABF" w14:textId="77777777" w:rsidR="00EF73FE" w:rsidRPr="000A2DEF" w:rsidRDefault="00EF73FE" w:rsidP="00AE1AB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3,9</w:t>
            </w:r>
          </w:p>
        </w:tc>
        <w:tc>
          <w:tcPr>
            <w:tcW w:w="1428" w:type="pct"/>
            <w:gridSpan w:val="2"/>
            <w:noWrap/>
            <w:hideMark/>
          </w:tcPr>
          <w:p w14:paraId="57167ECB"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50B0E6F"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435863F" w14:textId="77777777" w:rsidR="00EF73FE" w:rsidRPr="000A2DEF" w:rsidRDefault="00EF73FE" w:rsidP="00AE1A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F73FE" w:rsidRPr="000A2DEF" w14:paraId="5B41B904" w14:textId="77777777" w:rsidTr="00020447">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2678D3B" w14:textId="77777777" w:rsidR="00EF73FE" w:rsidRPr="000A2DEF" w:rsidRDefault="00EF73FE" w:rsidP="00AE1ABE">
            <w:pPr>
              <w:rPr>
                <w:rFonts w:ascii="Calibri" w:eastAsia="Times New Roman" w:hAnsi="Calibri" w:cs="Calibri"/>
                <w:color w:val="000000"/>
                <w:sz w:val="18"/>
                <w:szCs w:val="18"/>
              </w:rPr>
            </w:pPr>
            <w:r w:rsidRPr="000A2DEF">
              <w:rPr>
                <w:rFonts w:ascii="Calibri" w:eastAsia="Times New Roman" w:hAnsi="Calibri" w:cs="Calibri"/>
                <w:color w:val="000000"/>
                <w:sz w:val="18"/>
                <w:szCs w:val="18"/>
              </w:rPr>
              <w:t>CZF Tenerife</w:t>
            </w:r>
          </w:p>
        </w:tc>
        <w:tc>
          <w:tcPr>
            <w:tcW w:w="618" w:type="pct"/>
            <w:noWrap/>
            <w:hideMark/>
          </w:tcPr>
          <w:p w14:paraId="09A21656" w14:textId="77777777" w:rsidR="00EF73FE" w:rsidRPr="000A2DEF" w:rsidRDefault="00EF73FE" w:rsidP="00AE1AB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w:t>
            </w:r>
          </w:p>
        </w:tc>
        <w:tc>
          <w:tcPr>
            <w:tcW w:w="1428" w:type="pct"/>
            <w:gridSpan w:val="2"/>
            <w:noWrap/>
            <w:hideMark/>
          </w:tcPr>
          <w:p w14:paraId="2A3F8522"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1E3436A"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69E2015" w14:textId="77777777" w:rsidR="00EF73FE" w:rsidRPr="000A2DEF" w:rsidRDefault="00EF73FE" w:rsidP="00AE1A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bl>
    <w:p w14:paraId="0DC6BFAC" w14:textId="77777777" w:rsidR="00C05613" w:rsidRDefault="00C05613" w:rsidP="00EF7F60">
      <w:pPr>
        <w:spacing w:after="0"/>
        <w:jc w:val="both"/>
        <w:rPr>
          <w:rFonts w:ascii="Mulish" w:eastAsia="Mulish" w:hAnsi="Mulish" w:cs="Mulish"/>
          <w:b/>
          <w:bCs/>
          <w:color w:val="0C0C0C" w:themeColor="text1"/>
          <w:lang w:eastAsia="es-ES" w:bidi="es-ES"/>
        </w:rPr>
      </w:pPr>
    </w:p>
    <w:p w14:paraId="20901A9F" w14:textId="33D1AC2B" w:rsidR="003C3727" w:rsidRDefault="003C3727" w:rsidP="00EF7F60">
      <w:pPr>
        <w:spacing w:after="0"/>
        <w:jc w:val="both"/>
        <w:rPr>
          <w:rFonts w:ascii="Mulish" w:eastAsia="Mulish" w:hAnsi="Mulish" w:cs="Mulish"/>
          <w:b/>
          <w:bCs/>
          <w:color w:val="0C0C0C" w:themeColor="text1"/>
          <w:lang w:eastAsia="es-ES" w:bidi="es-ES"/>
        </w:rPr>
      </w:pPr>
      <w:r w:rsidRPr="00EF7F60">
        <w:rPr>
          <w:rFonts w:ascii="Mulish" w:eastAsia="Mulish" w:hAnsi="Mulish" w:cs="Mulish"/>
          <w:b/>
          <w:bCs/>
          <w:color w:val="0C0C0C" w:themeColor="text1"/>
          <w:lang w:eastAsia="es-ES" w:bidi="es-ES"/>
        </w:rPr>
        <w:t xml:space="preserve">La evaluación del cumplimiento de la Ley de transparencia, un mandato legal </w:t>
      </w:r>
    </w:p>
    <w:p w14:paraId="19B05A43" w14:textId="77777777" w:rsidR="00EF7F60" w:rsidRPr="00EF7F60" w:rsidRDefault="00EF7F60" w:rsidP="00EF7F60">
      <w:pPr>
        <w:spacing w:after="0"/>
        <w:jc w:val="both"/>
        <w:rPr>
          <w:rFonts w:ascii="Mulish" w:eastAsia="Mulish" w:hAnsi="Mulish" w:cs="Mulish"/>
          <w:b/>
          <w:bCs/>
          <w:color w:val="0C0C0C" w:themeColor="text1"/>
          <w:lang w:eastAsia="es-ES" w:bidi="es-ES"/>
        </w:rPr>
      </w:pPr>
    </w:p>
    <w:p w14:paraId="429AF2B4" w14:textId="767324A7" w:rsidR="003C3727" w:rsidRPr="00EF7F60" w:rsidRDefault="003C3727" w:rsidP="003C3727">
      <w:pPr>
        <w:jc w:val="both"/>
        <w:rPr>
          <w:rFonts w:ascii="Mulish" w:hAnsi="Mulish"/>
          <w:sz w:val="20"/>
          <w:szCs w:val="20"/>
        </w:rPr>
      </w:pPr>
      <w:bookmarkStart w:id="0" w:name="_Hlk157589216"/>
      <w:r w:rsidRPr="00EF7F60">
        <w:rPr>
          <w:rFonts w:ascii="Mulish" w:hAnsi="Mulish"/>
          <w:sz w:val="20"/>
          <w:szCs w:val="20"/>
        </w:rPr>
        <w:t xml:space="preserve">El artículo </w:t>
      </w:r>
      <w:hyperlink r:id="rId9" w:anchor="a38" w:history="1">
        <w:r w:rsidRPr="00EF7F60">
          <w:rPr>
            <w:rStyle w:val="Hipervnculo"/>
            <w:rFonts w:ascii="Mulish" w:hAnsi="Mulish"/>
            <w:sz w:val="20"/>
            <w:szCs w:val="20"/>
          </w:rPr>
          <w:t>38 de la Ley 19/2013, de 9 de diciembre, de transparencia, acceso a la información pública y buen Gobierno</w:t>
        </w:r>
      </w:hyperlink>
      <w:r w:rsidRPr="00EF7F60">
        <w:rPr>
          <w:rFonts w:ascii="Mulish" w:hAnsi="Mulish"/>
          <w:sz w:val="20"/>
          <w:szCs w:val="20"/>
        </w:rPr>
        <w:t xml:space="preserve"> (LTAIGB) encomienda al </w:t>
      </w:r>
      <w:r w:rsidR="0077727F">
        <w:rPr>
          <w:rFonts w:ascii="Mulish" w:hAnsi="Mulish"/>
          <w:sz w:val="20"/>
          <w:szCs w:val="20"/>
        </w:rPr>
        <w:t>CTBG</w:t>
      </w:r>
      <w:r w:rsidRPr="00EF7F60">
        <w:rPr>
          <w:rFonts w:ascii="Mulish" w:hAnsi="Mulish"/>
          <w:sz w:val="20"/>
          <w:szCs w:val="20"/>
        </w:rPr>
        <w:t xml:space="preserve">, entre otras funciones, la de evaluar el grado de aplicación de la ley por los diferentes sujetos obligados, elaborando anualmente una memoria en la que se incluirá información sobre el cumplimiento de las obligaciones previstas y que será presentada ante las Cortes Generales. </w:t>
      </w:r>
    </w:p>
    <w:p w14:paraId="224DB9CB" w14:textId="03A1B4EC" w:rsidR="003C3727" w:rsidRDefault="003C3727" w:rsidP="003C3727">
      <w:pPr>
        <w:jc w:val="both"/>
        <w:rPr>
          <w:rFonts w:ascii="Mulish" w:hAnsi="Mulish"/>
          <w:sz w:val="20"/>
          <w:szCs w:val="20"/>
        </w:rPr>
      </w:pPr>
      <w:r w:rsidRPr="00EF7F60">
        <w:rPr>
          <w:rFonts w:ascii="Mulish" w:hAnsi="Mulish"/>
          <w:sz w:val="20"/>
          <w:szCs w:val="20"/>
        </w:rPr>
        <w:t xml:space="preserve">Para ello, </w:t>
      </w:r>
      <w:r w:rsidR="0077727F">
        <w:rPr>
          <w:rFonts w:ascii="Mulish" w:hAnsi="Mulish"/>
          <w:sz w:val="20"/>
          <w:szCs w:val="20"/>
        </w:rPr>
        <w:t>el Consejo</w:t>
      </w:r>
      <w:r w:rsidRPr="00EF7F60">
        <w:rPr>
          <w:rFonts w:ascii="Mulish" w:hAnsi="Mulish"/>
          <w:sz w:val="20"/>
          <w:szCs w:val="20"/>
        </w:rPr>
        <w:t xml:space="preserve"> establece cada año un Plan de Evaluación en el que determina qué entidades serán evaluadas ese ejercicio. </w:t>
      </w:r>
      <w:bookmarkEnd w:id="0"/>
      <w:r w:rsidRPr="00EF7F60">
        <w:rPr>
          <w:rFonts w:ascii="Mulish" w:hAnsi="Mulish"/>
          <w:sz w:val="20"/>
          <w:szCs w:val="20"/>
        </w:rPr>
        <w:t xml:space="preserve">La LTAIBG </w:t>
      </w:r>
      <w:r w:rsidRPr="00EF7F60">
        <w:rPr>
          <w:rFonts w:ascii="Mulish" w:eastAsia="Mulish" w:hAnsi="Mulish" w:cs="Mulish"/>
          <w:color w:val="0C0C0C" w:themeColor="text1"/>
          <w:sz w:val="20"/>
          <w:szCs w:val="20"/>
          <w:lang w:eastAsia="es-ES" w:bidi="es-ES"/>
        </w:rPr>
        <w:t>establece</w:t>
      </w:r>
      <w:r w:rsidRPr="00EF7F60">
        <w:rPr>
          <w:rFonts w:ascii="Mulish" w:hAnsi="Mulish"/>
          <w:sz w:val="20"/>
          <w:szCs w:val="20"/>
        </w:rPr>
        <w:t xml:space="preserve"> diferentes obligaciones de publicidad activa y de gestión del derecho de acceso a la información pública para los distintos sujetos comprendidos en su ámbito de aplicación atendiendo a su naturaleza y tipología, por lo que el Consejo organiza las evaluaciones en torno a siete grupos o categorías:</w:t>
      </w:r>
    </w:p>
    <w:p w14:paraId="6DA677D5" w14:textId="77777777" w:rsidR="006E6BAE" w:rsidRPr="00EF7F60" w:rsidRDefault="006E6BAE" w:rsidP="003C3727">
      <w:pPr>
        <w:jc w:val="both"/>
        <w:rPr>
          <w:rFonts w:ascii="Mulish" w:hAnsi="Mulish"/>
          <w:sz w:val="20"/>
          <w:szCs w:val="20"/>
        </w:rPr>
      </w:pPr>
    </w:p>
    <w:tbl>
      <w:tblPr>
        <w:tblStyle w:val="Tablaconcuadrcula"/>
        <w:tblW w:w="0" w:type="auto"/>
        <w:tblBorders>
          <w:top w:val="single" w:sz="12" w:space="0" w:color="438086"/>
          <w:left w:val="none" w:sz="0" w:space="0" w:color="auto"/>
          <w:bottom w:val="single" w:sz="12" w:space="0" w:color="438086"/>
          <w:right w:val="none" w:sz="0" w:space="0" w:color="auto"/>
          <w:insideH w:val="single" w:sz="8" w:space="0" w:color="438086"/>
          <w:insideV w:val="single" w:sz="8" w:space="0" w:color="438086"/>
        </w:tblBorders>
        <w:tblLook w:val="04A0" w:firstRow="1" w:lastRow="0" w:firstColumn="1" w:lastColumn="0" w:noHBand="0" w:noVBand="1"/>
      </w:tblPr>
      <w:tblGrid>
        <w:gridCol w:w="1794"/>
        <w:gridCol w:w="7276"/>
      </w:tblGrid>
      <w:tr w:rsidR="003C3727" w:rsidRPr="00EF7F60" w14:paraId="184E9B0A" w14:textId="77777777" w:rsidTr="00EF7F60">
        <w:tc>
          <w:tcPr>
            <w:tcW w:w="1794" w:type="dxa"/>
          </w:tcPr>
          <w:p w14:paraId="3C83EBE0"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I</w:t>
            </w:r>
          </w:p>
        </w:tc>
        <w:tc>
          <w:tcPr>
            <w:tcW w:w="7276" w:type="dxa"/>
          </w:tcPr>
          <w:p w14:paraId="2BFCB23D" w14:textId="77777777" w:rsidR="003C3727" w:rsidRPr="00EF7F60" w:rsidRDefault="003C3727" w:rsidP="00AE1ABE">
            <w:pPr>
              <w:rPr>
                <w:rFonts w:ascii="Mulish" w:hAnsi="Mulish"/>
                <w:sz w:val="20"/>
                <w:szCs w:val="20"/>
              </w:rPr>
            </w:pPr>
            <w:r w:rsidRPr="00EF7F60">
              <w:rPr>
                <w:rFonts w:ascii="Mulish" w:hAnsi="Mulish"/>
                <w:sz w:val="20"/>
                <w:szCs w:val="20"/>
              </w:rPr>
              <w:t xml:space="preserve">Órganos constitucionales y de relevancia constitucional del Estado; Banco de España, Autoridades Administrativas Independientes y organismos con funciones de regulación y supervisión. </w:t>
            </w:r>
          </w:p>
        </w:tc>
      </w:tr>
      <w:tr w:rsidR="003C3727" w:rsidRPr="00EF7F60" w14:paraId="00645087" w14:textId="77777777" w:rsidTr="00EF7F60">
        <w:tc>
          <w:tcPr>
            <w:tcW w:w="1794" w:type="dxa"/>
          </w:tcPr>
          <w:p w14:paraId="1A9E900C"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II</w:t>
            </w:r>
          </w:p>
        </w:tc>
        <w:tc>
          <w:tcPr>
            <w:tcW w:w="7276" w:type="dxa"/>
          </w:tcPr>
          <w:p w14:paraId="5008E5CA" w14:textId="77777777" w:rsidR="003C3727" w:rsidRPr="00EF7F60" w:rsidRDefault="003C3727" w:rsidP="00AE1ABE">
            <w:pPr>
              <w:rPr>
                <w:rFonts w:ascii="Mulish" w:hAnsi="Mulish"/>
                <w:sz w:val="20"/>
                <w:szCs w:val="20"/>
              </w:rPr>
            </w:pPr>
            <w:r w:rsidRPr="00EF7F60">
              <w:rPr>
                <w:rFonts w:ascii="Mulish" w:hAnsi="Mulish"/>
                <w:sz w:val="20"/>
                <w:szCs w:val="20"/>
              </w:rPr>
              <w:t>Administración General del Estado (en adelante AGE).</w:t>
            </w:r>
          </w:p>
        </w:tc>
      </w:tr>
      <w:tr w:rsidR="003C3727" w:rsidRPr="00EF7F60" w14:paraId="0EFBA3EA" w14:textId="77777777" w:rsidTr="00EF7F60">
        <w:tc>
          <w:tcPr>
            <w:tcW w:w="1794" w:type="dxa"/>
          </w:tcPr>
          <w:p w14:paraId="2371EBDD"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III</w:t>
            </w:r>
          </w:p>
        </w:tc>
        <w:tc>
          <w:tcPr>
            <w:tcW w:w="7276" w:type="dxa"/>
          </w:tcPr>
          <w:p w14:paraId="64724631" w14:textId="77777777" w:rsidR="003C3727" w:rsidRPr="00EF7F60" w:rsidRDefault="003C3727" w:rsidP="00AE1ABE">
            <w:pPr>
              <w:rPr>
                <w:rFonts w:ascii="Mulish" w:hAnsi="Mulish"/>
                <w:sz w:val="20"/>
                <w:szCs w:val="20"/>
              </w:rPr>
            </w:pPr>
            <w:r w:rsidRPr="00EF7F60">
              <w:rPr>
                <w:rFonts w:ascii="Mulish" w:hAnsi="Mulish"/>
                <w:sz w:val="20"/>
                <w:szCs w:val="20"/>
              </w:rPr>
              <w:t>Organismos y entidades del sector público institucional.</w:t>
            </w:r>
          </w:p>
        </w:tc>
      </w:tr>
      <w:tr w:rsidR="003C3727" w:rsidRPr="00EF7F60" w14:paraId="35F9555D" w14:textId="77777777" w:rsidTr="00EF7F60">
        <w:tc>
          <w:tcPr>
            <w:tcW w:w="1794" w:type="dxa"/>
          </w:tcPr>
          <w:p w14:paraId="66CC00E0"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IV</w:t>
            </w:r>
          </w:p>
        </w:tc>
        <w:tc>
          <w:tcPr>
            <w:tcW w:w="7276" w:type="dxa"/>
          </w:tcPr>
          <w:p w14:paraId="3B4A8C68" w14:textId="77777777" w:rsidR="003C3727" w:rsidRPr="00EF7F60" w:rsidRDefault="003C3727" w:rsidP="00AE1ABE">
            <w:pPr>
              <w:rPr>
                <w:rFonts w:ascii="Mulish" w:hAnsi="Mulish"/>
                <w:sz w:val="20"/>
                <w:szCs w:val="20"/>
              </w:rPr>
            </w:pPr>
            <w:r w:rsidRPr="00EF7F60">
              <w:rPr>
                <w:rFonts w:ascii="Mulish" w:hAnsi="Mulish"/>
                <w:sz w:val="20"/>
                <w:szCs w:val="20"/>
              </w:rPr>
              <w:t>Corporaciones de Derecho Público.</w:t>
            </w:r>
          </w:p>
        </w:tc>
      </w:tr>
      <w:tr w:rsidR="003C3727" w:rsidRPr="00EF7F60" w14:paraId="1BEDA811" w14:textId="77777777" w:rsidTr="00EF7F60">
        <w:tc>
          <w:tcPr>
            <w:tcW w:w="1794" w:type="dxa"/>
          </w:tcPr>
          <w:p w14:paraId="394C939F"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V</w:t>
            </w:r>
          </w:p>
        </w:tc>
        <w:tc>
          <w:tcPr>
            <w:tcW w:w="7276" w:type="dxa"/>
          </w:tcPr>
          <w:p w14:paraId="49C81580" w14:textId="77777777" w:rsidR="003C3727" w:rsidRPr="00EF7F60" w:rsidRDefault="003C3727" w:rsidP="00AE1ABE">
            <w:pPr>
              <w:rPr>
                <w:rFonts w:ascii="Mulish" w:hAnsi="Mulish"/>
                <w:sz w:val="20"/>
                <w:szCs w:val="20"/>
              </w:rPr>
            </w:pPr>
            <w:r w:rsidRPr="00EF7F60">
              <w:rPr>
                <w:rFonts w:ascii="Mulish" w:hAnsi="Mulish"/>
                <w:sz w:val="20"/>
                <w:szCs w:val="20"/>
              </w:rPr>
              <w:t xml:space="preserve">Comunidades Autónomas (en adelante CCAA). </w:t>
            </w:r>
          </w:p>
        </w:tc>
      </w:tr>
      <w:tr w:rsidR="003C3727" w:rsidRPr="00EF7F60" w14:paraId="7CC12ED9" w14:textId="77777777" w:rsidTr="00EF7F60">
        <w:tc>
          <w:tcPr>
            <w:tcW w:w="1794" w:type="dxa"/>
          </w:tcPr>
          <w:p w14:paraId="0755627B"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VI</w:t>
            </w:r>
          </w:p>
        </w:tc>
        <w:tc>
          <w:tcPr>
            <w:tcW w:w="7276" w:type="dxa"/>
          </w:tcPr>
          <w:p w14:paraId="71AFB50A" w14:textId="77777777" w:rsidR="003C3727" w:rsidRPr="00EF7F60" w:rsidRDefault="003C3727" w:rsidP="00AE1ABE">
            <w:pPr>
              <w:rPr>
                <w:rFonts w:ascii="Mulish" w:hAnsi="Mulish"/>
                <w:sz w:val="20"/>
                <w:szCs w:val="20"/>
              </w:rPr>
            </w:pPr>
            <w:r w:rsidRPr="00EF7F60">
              <w:rPr>
                <w:rFonts w:ascii="Mulish" w:hAnsi="Mulish"/>
                <w:sz w:val="20"/>
                <w:szCs w:val="20"/>
              </w:rPr>
              <w:t>Entidades Locales (en adelante EELL).</w:t>
            </w:r>
          </w:p>
        </w:tc>
      </w:tr>
      <w:tr w:rsidR="003C3727" w:rsidRPr="00EF7F60" w14:paraId="0FBAC8E1" w14:textId="77777777" w:rsidTr="00EF7F60">
        <w:tc>
          <w:tcPr>
            <w:tcW w:w="1794" w:type="dxa"/>
          </w:tcPr>
          <w:p w14:paraId="1A2F4288"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VII</w:t>
            </w:r>
          </w:p>
        </w:tc>
        <w:tc>
          <w:tcPr>
            <w:tcW w:w="7276" w:type="dxa"/>
          </w:tcPr>
          <w:p w14:paraId="22180D16" w14:textId="77777777" w:rsidR="003C3727" w:rsidRPr="00EF7F60" w:rsidRDefault="003C3727" w:rsidP="00AE1ABE">
            <w:pPr>
              <w:rPr>
                <w:rFonts w:ascii="Mulish" w:hAnsi="Mulish"/>
                <w:sz w:val="20"/>
                <w:szCs w:val="20"/>
              </w:rPr>
            </w:pPr>
            <w:r w:rsidRPr="00EF7F60">
              <w:rPr>
                <w:rFonts w:ascii="Mulish" w:hAnsi="Mulish"/>
                <w:sz w:val="20"/>
                <w:szCs w:val="20"/>
              </w:rPr>
              <w:t>Sujetos privados.</w:t>
            </w:r>
          </w:p>
        </w:tc>
      </w:tr>
    </w:tbl>
    <w:p w14:paraId="703DEA84" w14:textId="77777777" w:rsidR="0077727F" w:rsidRDefault="0077727F" w:rsidP="003C3727">
      <w:pPr>
        <w:jc w:val="both"/>
        <w:rPr>
          <w:rFonts w:ascii="Mulish" w:hAnsi="Mulish"/>
          <w:sz w:val="20"/>
          <w:szCs w:val="20"/>
        </w:rPr>
      </w:pPr>
    </w:p>
    <w:p w14:paraId="59649126" w14:textId="51C43BFB" w:rsidR="003C3727" w:rsidRPr="00EF7F60" w:rsidRDefault="003C3727" w:rsidP="003C3727">
      <w:pPr>
        <w:jc w:val="both"/>
        <w:rPr>
          <w:rFonts w:ascii="Mulish" w:hAnsi="Mulish"/>
          <w:sz w:val="20"/>
          <w:szCs w:val="20"/>
        </w:rPr>
      </w:pPr>
      <w:r w:rsidRPr="00EF7F60">
        <w:rPr>
          <w:rFonts w:ascii="Mulish" w:hAnsi="Mulish"/>
          <w:sz w:val="20"/>
          <w:szCs w:val="20"/>
        </w:rPr>
        <w:t xml:space="preserve">Con el objetivo de que los resultados de las evaluaciones realizadas estén públicamente disponibles de forma inmediata a su conclusión, desde 2021 el Consejo va publicando los informes en su página </w:t>
      </w:r>
      <w:r w:rsidRPr="00EF7F60">
        <w:rPr>
          <w:rFonts w:ascii="Mulish" w:hAnsi="Mulish"/>
          <w:sz w:val="20"/>
          <w:szCs w:val="20"/>
        </w:rPr>
        <w:lastRenderedPageBreak/>
        <w:t xml:space="preserve">web a medida que se van concluyendo las evaluaciones de cada grupo fijadas para cada año, con independencia de que un resumen de la labor evaluación se recopile al cierre del ejercicio en la memoria anual del CTBG. En sus informes, que se publican junto a las observaciones realizadas, en su caso, por las entidades analizadas, el Consejo incorpora recomendaciones e identifica buenas prácticas en transparencia que pueden ser aplicadas por otras entidades. </w:t>
      </w:r>
    </w:p>
    <w:p w14:paraId="4E956E7A" w14:textId="77777777" w:rsidR="003C3727" w:rsidRPr="00EF7F60" w:rsidRDefault="003C3727" w:rsidP="003C3727">
      <w:pPr>
        <w:jc w:val="both"/>
        <w:rPr>
          <w:rFonts w:ascii="Mulish" w:hAnsi="Mulish"/>
          <w:sz w:val="20"/>
          <w:szCs w:val="20"/>
        </w:rPr>
      </w:pPr>
      <w:r w:rsidRPr="00EF7F60">
        <w:rPr>
          <w:rFonts w:ascii="Mulish" w:hAnsi="Mulish"/>
          <w:sz w:val="20"/>
          <w:szCs w:val="20"/>
        </w:rPr>
        <w:t xml:space="preserve">El CTBG realiza todas las evaluaciones con sus propios recursos humanos, utilizando la metodología MESTA (Metodología de Evaluación y Seguimiento de la Transparencia de la Actividad Pública), elaborada en colaboración con la extinta AEVAL (Agencia Estatal de Evaluación de Políticas Públicas y de la Calidad de los Servicios Públicos). </w:t>
      </w:r>
    </w:p>
    <w:p w14:paraId="2C0904CC" w14:textId="1DD9B0F0" w:rsidR="003C3727" w:rsidRPr="00EF7F60" w:rsidRDefault="003C3727" w:rsidP="003C3727">
      <w:pPr>
        <w:jc w:val="both"/>
        <w:rPr>
          <w:rFonts w:ascii="Mulish" w:hAnsi="Mulish"/>
          <w:sz w:val="20"/>
          <w:szCs w:val="20"/>
        </w:rPr>
      </w:pPr>
      <w:r w:rsidRPr="00EF7F60">
        <w:rPr>
          <w:rFonts w:ascii="Mulish" w:hAnsi="Mulish"/>
          <w:sz w:val="20"/>
          <w:szCs w:val="20"/>
        </w:rPr>
        <w:t xml:space="preserve">El Plan de Evaluación 2024 íntegro y sus anexos, donde se especifica qué entidades concretas </w:t>
      </w:r>
      <w:r w:rsidR="0077727F">
        <w:rPr>
          <w:rFonts w:ascii="Mulish" w:hAnsi="Mulish"/>
          <w:sz w:val="20"/>
          <w:szCs w:val="20"/>
        </w:rPr>
        <w:t xml:space="preserve">van a ser </w:t>
      </w:r>
      <w:r w:rsidR="00EF7F60" w:rsidRPr="00EF7F60">
        <w:rPr>
          <w:rFonts w:ascii="Mulish" w:hAnsi="Mulish"/>
          <w:sz w:val="20"/>
          <w:szCs w:val="20"/>
        </w:rPr>
        <w:t xml:space="preserve">analizadas en este ejercicio </w:t>
      </w:r>
      <w:hyperlink r:id="rId10" w:history="1">
        <w:r w:rsidRPr="00EF7F60">
          <w:rPr>
            <w:rStyle w:val="Hipervnculo"/>
            <w:rFonts w:ascii="Mulish" w:hAnsi="Mulish"/>
            <w:sz w:val="20"/>
            <w:szCs w:val="20"/>
          </w:rPr>
          <w:t xml:space="preserve">puede consultarse íntegramente en la web del CTBG: </w:t>
        </w:r>
      </w:hyperlink>
      <w:r w:rsidRPr="00EF7F60">
        <w:rPr>
          <w:rFonts w:ascii="Mulish" w:hAnsi="Mulish"/>
          <w:sz w:val="20"/>
          <w:szCs w:val="20"/>
        </w:rPr>
        <w:t xml:space="preserve"> </w:t>
      </w:r>
    </w:p>
    <w:p w14:paraId="32501264" w14:textId="77777777" w:rsidR="00B80115" w:rsidRDefault="00B80115" w:rsidP="00B80115">
      <w:pPr>
        <w:spacing w:after="0" w:line="240" w:lineRule="auto"/>
        <w:jc w:val="both"/>
        <w:rPr>
          <w:sz w:val="24"/>
          <w:szCs w:val="24"/>
          <w:u w:val="single"/>
        </w:rPr>
      </w:pPr>
    </w:p>
    <w:p w14:paraId="44DE4BF0" w14:textId="77777777" w:rsidR="00B80115" w:rsidRPr="0076793C" w:rsidRDefault="00B80115" w:rsidP="00B80115">
      <w:pPr>
        <w:spacing w:after="0" w:line="240" w:lineRule="auto"/>
        <w:jc w:val="both"/>
        <w:rPr>
          <w:sz w:val="24"/>
          <w:szCs w:val="24"/>
          <w:u w:val="single"/>
        </w:rPr>
      </w:pPr>
      <w:r w:rsidRPr="0076793C">
        <w:rPr>
          <w:sz w:val="24"/>
          <w:szCs w:val="24"/>
          <w:u w:val="single"/>
        </w:rPr>
        <w:t>Más información:</w:t>
      </w:r>
    </w:p>
    <w:p w14:paraId="6C40E5E0" w14:textId="3786170E" w:rsidR="009B3A1E" w:rsidRPr="005B0C58" w:rsidRDefault="00B80115" w:rsidP="00C05613">
      <w:pPr>
        <w:spacing w:after="0" w:line="240" w:lineRule="auto"/>
        <w:jc w:val="both"/>
        <w:rPr>
          <w:rFonts w:ascii="Arial" w:hAnsi="Arial" w:cs="Arial"/>
        </w:rPr>
      </w:pPr>
      <w:r w:rsidRPr="0076793C">
        <w:rPr>
          <w:rStyle w:val="Hipervnculo"/>
          <w:sz w:val="24"/>
          <w:szCs w:val="24"/>
        </w:rPr>
        <w:t>prensa</w:t>
      </w:r>
      <w:hyperlink r:id="rId11" w:history="1">
        <w:r w:rsidRPr="0076793C">
          <w:rPr>
            <w:rStyle w:val="Hipervnculo"/>
            <w:sz w:val="24"/>
            <w:szCs w:val="24"/>
          </w:rPr>
          <w:t>@consejodetransparencia.es</w:t>
        </w:r>
      </w:hyperlink>
    </w:p>
    <w:sectPr w:rsidR="009B3A1E" w:rsidRPr="005B0C58" w:rsidSect="00C34F68">
      <w:headerReference w:type="default" r:id="rId12"/>
      <w:footerReference w:type="default" r:id="rId13"/>
      <w:headerReference w:type="first" r:id="rId14"/>
      <w:footerReference w:type="first" r:id="rId15"/>
      <w:pgSz w:w="11906" w:h="16838" w:code="9"/>
      <w:pgMar w:top="1418" w:right="1418" w:bottom="1418" w:left="1418" w:header="709"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6D64" w14:textId="77777777" w:rsidR="00E1510B" w:rsidRDefault="00E1510B" w:rsidP="00E033DF">
      <w:pPr>
        <w:spacing w:after="0" w:line="240" w:lineRule="auto"/>
      </w:pPr>
      <w:r>
        <w:separator/>
      </w:r>
    </w:p>
  </w:endnote>
  <w:endnote w:type="continuationSeparator" w:id="0">
    <w:p w14:paraId="3C3915FC" w14:textId="77777777" w:rsidR="00E1510B" w:rsidRDefault="00E1510B" w:rsidP="00E0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9197"/>
      <w:docPartObj>
        <w:docPartGallery w:val="Page Numbers (Bottom of Page)"/>
        <w:docPartUnique/>
      </w:docPartObj>
    </w:sdtPr>
    <w:sdtEndPr/>
    <w:sdtContent>
      <w:p w14:paraId="6C40E5E8" w14:textId="388E40E1" w:rsidR="009B3A1E" w:rsidRPr="00A40308" w:rsidRDefault="00A667E2" w:rsidP="00F436DD">
        <w:pPr>
          <w:pStyle w:val="Piedepgina"/>
          <w:tabs>
            <w:tab w:val="clear" w:pos="8504"/>
          </w:tabs>
          <w:ind w:right="-568"/>
          <w:jc w:val="center"/>
          <w:rPr>
            <w:rFonts w:ascii="Mulish" w:hAnsi="Mulish"/>
            <w:sz w:val="16"/>
            <w:szCs w:val="16"/>
          </w:rPr>
        </w:pPr>
        <w:r w:rsidRPr="00F436DD">
          <w:rPr>
            <w:rFonts w:ascii="Mulish" w:hAnsi="Mulish"/>
            <w:noProof/>
            <w:sz w:val="16"/>
            <w:szCs w:val="16"/>
            <w:lang w:eastAsia="es-ES"/>
          </w:rPr>
          <mc:AlternateContent>
            <mc:Choice Requires="wps">
              <w:drawing>
                <wp:anchor distT="0" distB="0" distL="114300" distR="114300" simplePos="0" relativeHeight="251672576" behindDoc="0" locked="0" layoutInCell="1" allowOverlap="1" wp14:anchorId="6C40E5F9" wp14:editId="572EC6D2">
                  <wp:simplePos x="0" y="0"/>
                  <wp:positionH relativeFrom="column">
                    <wp:posOffset>7855585</wp:posOffset>
                  </wp:positionH>
                  <wp:positionV relativeFrom="paragraph">
                    <wp:posOffset>164465</wp:posOffset>
                  </wp:positionV>
                  <wp:extent cx="0" cy="358140"/>
                  <wp:effectExtent l="6985" t="12065" r="12065" b="10795"/>
                  <wp:wrapNone/>
                  <wp:docPr id="9805813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5C4C47" id="_x0000_t32" coordsize="21600,21600" o:spt="32" o:oned="t" path="m,l21600,21600e" filled="f">
                  <v:path arrowok="t" fillok="f" o:connecttype="none"/>
                  <o:lock v:ext="edit" shapetype="t"/>
                </v:shapetype>
                <v:shape id="AutoShape 11" o:spid="_x0000_s1026" type="#_x0000_t32" style="position:absolute;margin-left:618.55pt;margin-top:12.95pt;width:0;height:2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stwEAAFUDAAAOAAAAZHJzL2Uyb0RvYy54bWysU02P0zAQvSPxHyzfaZpC0RI13UOX5bJA&#10;pV1+wNR2EgvHY824Tfvvsd0PVnBD5GDZ8/HmzZvJ6v44OnEwxBZ9K+vZXArjFWrr+1b+eHl8dycF&#10;R/AaHHrTypNheb9++2Y1hcYscECnDYkE4rmZQiuHGENTVawGMwLPMBifnB3SCDE9qa80wZTQR1ct&#10;5vOP1YSkA6EyzMn6cHbKdcHvOqPi965jE4VrZeIWy0nl3OWzWq+g6QnCYNWFBvwDixGsT0VvUA8Q&#10;QezJ/gU1WkXI2MWZwrHCrrPKlB5SN/X8j26eBwim9JLE4XCTif8frPp22PgtZerq6J/DE6qfLDxu&#10;BvC9KQReTiENrs5SVVPg5paSHxy2JHbTV9QpBvYRiwrHjsYMmfoTxyL26Sa2OUahzkaVrO+Xd/WH&#10;MocKmmteII5fDI4iX1rJkcD2Q9yg92miSHWpAocnjpkVNNeEXNTjo3WuDNZ5MbXy03KxLAmMzurs&#10;zGFM/W7jSBwgr0b5SovJ8zqMcO91ARsM6M+XewTrzvdU3PmLMlmMvHnc7FCftnRVLM2usLzsWV6O&#10;1++S/ftvWP8CAAD//wMAUEsDBBQABgAIAAAAIQBvps3x3gAAAAsBAAAPAAAAZHJzL2Rvd25yZXYu&#10;eG1sTI/BTsMwDIbvSLxDZCQuaEubabCVutOExIEj2ySuWeO1hcapmnQte3oycYDjb3/6/TnfTLYV&#10;Z+p94xghnScgiEtnGq4QDvvX2QqED5qNbh0Twjd52BS3N7nOjBv5nc67UIlYwj7TCHUIXSalL2uy&#10;2s9dRxx3J9dbHWLsK2l6PcZy20qVJI/S6objhVp39FJT+bUbLAL5YZkm27WtDm+X8eFDXT7Hbo94&#10;fzdtn0EEmsIfDFf9qA5FdDq6gY0Xbcxq8ZRGFkEt1yCuxO/kiLBSC5BFLv//UPwAAAD//wMAUEsB&#10;Ai0AFAAGAAgAAAAhALaDOJL+AAAA4QEAABMAAAAAAAAAAAAAAAAAAAAAAFtDb250ZW50X1R5cGVz&#10;XS54bWxQSwECLQAUAAYACAAAACEAOP0h/9YAAACUAQAACwAAAAAAAAAAAAAAAAAvAQAAX3JlbHMv&#10;LnJlbHNQSwECLQAUAAYACAAAACEAJfr8rLcBAABVAwAADgAAAAAAAAAAAAAAAAAuAgAAZHJzL2Uy&#10;b0RvYy54bWxQSwECLQAUAAYACAAAACEAb6bN8d4AAAALAQAADwAAAAAAAAAAAAAAAAARBAAAZHJz&#10;L2Rvd25yZXYueG1sUEsFBgAAAAAEAAQA8wAAABwFAAAAAA==&#10;"/>
              </w:pict>
            </mc:Fallback>
          </mc:AlternateContent>
        </w:r>
        <w:r w:rsidR="00E94641">
          <w:tab/>
        </w:r>
        <w:r w:rsidRPr="00F436DD">
          <w:rPr>
            <w:rFonts w:ascii="Mulish" w:hAnsi="Mulish"/>
            <w:sz w:val="16"/>
            <w:szCs w:val="16"/>
          </w:rPr>
          <w:fldChar w:fldCharType="begin"/>
        </w:r>
        <w:r w:rsidRPr="00F436DD">
          <w:rPr>
            <w:rFonts w:ascii="Mulish" w:hAnsi="Mulish"/>
            <w:sz w:val="16"/>
            <w:szCs w:val="16"/>
          </w:rPr>
          <w:instrText xml:space="preserve"> PAGE   \* MERGEFORMAT </w:instrText>
        </w:r>
        <w:r w:rsidRPr="00F436DD">
          <w:rPr>
            <w:rFonts w:ascii="Mulish" w:hAnsi="Mulish"/>
            <w:sz w:val="16"/>
            <w:szCs w:val="16"/>
          </w:rPr>
          <w:fldChar w:fldCharType="separate"/>
        </w:r>
        <w:r w:rsidR="000A35BB">
          <w:rPr>
            <w:rFonts w:ascii="Mulish" w:hAnsi="Mulish"/>
            <w:noProof/>
            <w:sz w:val="16"/>
            <w:szCs w:val="16"/>
          </w:rPr>
          <w:t>1</w:t>
        </w:r>
        <w:r w:rsidRPr="00F436DD">
          <w:rPr>
            <w:rFonts w:ascii="Mulish" w:hAnsi="Mulish"/>
            <w:noProof/>
            <w:sz w:val="16"/>
            <w:szCs w:val="16"/>
          </w:rPr>
          <w:fldChar w:fldCharType="end"/>
        </w:r>
        <w:r w:rsidR="009B3A1E" w:rsidRPr="00F436DD">
          <w:rPr>
            <w:rFonts w:ascii="Mulish" w:hAnsi="Mulish"/>
            <w:sz w:val="16"/>
            <w:szCs w:val="16"/>
          </w:rPr>
          <w:t xml:space="preserve">  </w:t>
        </w:r>
        <w:r w:rsidR="009B3A1E" w:rsidRPr="00A40308">
          <w:rPr>
            <w:rFonts w:ascii="Mulish" w:hAnsi="Mulish"/>
          </w:rPr>
          <w:t xml:space="preserve">                                                                                                            </w:t>
        </w:r>
        <w:r w:rsidR="009B3A1E" w:rsidRPr="00A40308">
          <w:rPr>
            <w:rFonts w:ascii="Mulish" w:hAnsi="Mulish"/>
            <w:sz w:val="16"/>
            <w:szCs w:val="16"/>
          </w:rPr>
          <w:t>CONSEJO DE TRANSPARENCIA</w:t>
        </w:r>
        <w:r w:rsidR="00F51DB5" w:rsidRPr="00A40308">
          <w:rPr>
            <w:rFonts w:ascii="Mulish" w:hAnsi="Mulish"/>
            <w:sz w:val="16"/>
            <w:szCs w:val="16"/>
          </w:rPr>
          <w:t xml:space="preserve"> </w:t>
        </w:r>
        <w:r w:rsidR="00DD76CF" w:rsidRPr="00A40308">
          <w:rPr>
            <w:rFonts w:ascii="Mulish" w:hAnsi="Mulish"/>
            <w:sz w:val="16"/>
            <w:szCs w:val="16"/>
          </w:rPr>
          <w:t>AAI</w:t>
        </w:r>
        <w:r w:rsidR="009B3A1E" w:rsidRPr="00A40308">
          <w:rPr>
            <w:rFonts w:ascii="Mulish" w:hAnsi="Mulish"/>
            <w:noProof/>
            <w:sz w:val="24"/>
            <w:szCs w:val="24"/>
            <w:lang w:eastAsia="es-ES"/>
          </w:rPr>
          <w:t xml:space="preserve"> </w:t>
        </w:r>
      </w:p>
      <w:p w14:paraId="6C40E5E9" w14:textId="77777777" w:rsidR="004E6B2E" w:rsidRDefault="00D70DAE" w:rsidP="005B3D95">
        <w:pPr>
          <w:pStyle w:val="Piedepgina"/>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E5F5" w14:textId="413E2187" w:rsidR="009B3A1E" w:rsidRPr="000974DF" w:rsidRDefault="00A667E2" w:rsidP="001021B2">
    <w:pPr>
      <w:pStyle w:val="Piedepgina"/>
      <w:jc w:val="center"/>
      <w:rPr>
        <w:rFonts w:ascii="Mulish" w:hAnsi="Mulish"/>
      </w:rPr>
    </w:pPr>
    <w:r>
      <w:rPr>
        <w:noProof/>
        <w:lang w:eastAsia="es-ES"/>
      </w:rPr>
      <mc:AlternateContent>
        <mc:Choice Requires="wps">
          <w:drawing>
            <wp:anchor distT="0" distB="0" distL="114300" distR="114300" simplePos="0" relativeHeight="251678720" behindDoc="1" locked="0" layoutInCell="1" allowOverlap="1" wp14:anchorId="556DAD95" wp14:editId="4E703215">
              <wp:simplePos x="0" y="0"/>
              <wp:positionH relativeFrom="page">
                <wp:posOffset>876935</wp:posOffset>
              </wp:positionH>
              <wp:positionV relativeFrom="page">
                <wp:posOffset>10072370</wp:posOffset>
              </wp:positionV>
              <wp:extent cx="1299845" cy="365760"/>
              <wp:effectExtent l="0" t="0" r="0" b="0"/>
              <wp:wrapNone/>
              <wp:docPr id="3599534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365760"/>
                      </a:xfrm>
                      <a:prstGeom prst="rect">
                        <a:avLst/>
                      </a:prstGeom>
                      <a:noFill/>
                      <a:ln>
                        <a:noFill/>
                      </a:ln>
                    </wps:spPr>
                    <wps:txbx>
                      <w:txbxContent>
                        <w:p w14:paraId="5DFF72EF" w14:textId="77777777" w:rsidR="00362D91" w:rsidRPr="00A655A2" w:rsidRDefault="00362D91" w:rsidP="00362D91">
                          <w:pPr>
                            <w:spacing w:before="20" w:line="225" w:lineRule="auto"/>
                            <w:ind w:left="20" w:right="-18"/>
                            <w:rPr>
                              <w:rFonts w:ascii="Mulish" w:hAnsi="Mulish"/>
                              <w:sz w:val="14"/>
                            </w:rPr>
                          </w:pPr>
                          <w:r w:rsidRPr="00A655A2">
                            <w:rPr>
                              <w:rFonts w:ascii="Mulish" w:hAnsi="Mulish"/>
                              <w:b/>
                              <w:sz w:val="14"/>
                            </w:rPr>
                            <w:t xml:space="preserve">Consejo de Transparencia AAI </w:t>
                          </w:r>
                          <w:r w:rsidRPr="00A655A2">
                            <w:rPr>
                              <w:rFonts w:ascii="Mulish" w:hAnsi="Mulish"/>
                              <w:sz w:val="14"/>
                            </w:rPr>
                            <w:t>C/ José Abascal, nº 2, 5º-C 28003 MADRID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DAD95" id="_x0000_t202" coordsize="21600,21600" o:spt="202" path="m,l,21600r21600,l21600,xe">
              <v:stroke joinstyle="miter"/>
              <v:path gradientshapeok="t" o:connecttype="rect"/>
            </v:shapetype>
            <v:shape id="Cuadro de texto 2" o:spid="_x0000_s1026" type="#_x0000_t202" style="position:absolute;left:0;text-align:left;margin-left:69.05pt;margin-top:793.1pt;width:102.35pt;height:28.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Kl9gEAAMUDAAAOAAAAZHJzL2Uyb0RvYy54bWysU9tu2zAMfR+wfxD0vjiXJmuMOEWXosOA&#10;rhvQ9QMYWY6F2aJGKbGzrx8lJ1m3vg17EagLDw8Pj1Y3fduIgyZv0BZyMhpLoa3C0thdIZ+/3b+7&#10;lsIHsCU0aHUhj9rLm/XbN6vO5XqKNTalJsEg1uedK2QdgsuzzKtat+BH6LTlywqphcBb2mUlQcfo&#10;bZNNx+NF1iGVjlBp7/n0briU64RfVVqFL1XldRBNIZlbSCuldRvXbL2CfEfgaqNONOAfWLRgLBe9&#10;QN1BALEn8wqqNYrQYxVGCtsMq8oonXrgbibjv7p5qsHp1AuL491FJv//YNXj4SsJUxZyNl8u57Or&#10;yVwKCy2ParOHklCUWgTdBxTTKFbnfM45T46zQv8Bex56aty7B1TfvbC4qcHu9C0RdrWGkslOYmb2&#10;InXA8RFk233GkqvBPmAC6itqo5KsjWB0HtrxMijmIVQsOV0ur6+YqeK72WL+fpEmmUF+znbkw0eN&#10;rYhBIYmNkNDh8OBDZAP5+UksZvHeNE0yQ2P/OOCH8SSxj4QH6qHf9ic1tlgeuQ/CwVv8FziokX5K&#10;0bGvCul/7IG0FM0ny1pEE54DOgfbcwBWcWohgxRDuAmDWfeOzK5m5EFti7esV2VSK1HYgcWJJ3sl&#10;dXjydTTjy3169fv3rX8BAAD//wMAUEsDBBQABgAIAAAAIQACMpp94QAAAA0BAAAPAAAAZHJzL2Rv&#10;d25yZXYueG1sTI9BT4NAEIXvJv6HzZh4s0uhEkSWpjF6MjFSPHhcYAqbsrPIblv8944nvc2beXnz&#10;vWK72FGccfbGkYL1KgKB1LrOUK/go365y0D4oKnToyNU8I0etuX1VaHzzl2owvM+9IJDyOdawRDC&#10;lEvp2wGt9is3IfHt4GarA8u5l92sLxxuRxlHUSqtNsQfBj3h04DtcX+yCnafVD2br7fmvTpUpq4f&#10;InpNj0rd3iy7RxABl/Bnhl98RoeSmRp3os6LkXWSrdnKw32WxiDYkmxibtPwKt0kGciykP9blD8A&#10;AAD//wMAUEsBAi0AFAAGAAgAAAAhALaDOJL+AAAA4QEAABMAAAAAAAAAAAAAAAAAAAAAAFtDb250&#10;ZW50X1R5cGVzXS54bWxQSwECLQAUAAYACAAAACEAOP0h/9YAAACUAQAACwAAAAAAAAAAAAAAAAAv&#10;AQAAX3JlbHMvLnJlbHNQSwECLQAUAAYACAAAACEALXRCpfYBAADFAwAADgAAAAAAAAAAAAAAAAAu&#10;AgAAZHJzL2Uyb0RvYy54bWxQSwECLQAUAAYACAAAACEAAjKafeEAAAANAQAADwAAAAAAAAAAAAAA&#10;AABQBAAAZHJzL2Rvd25yZXYueG1sUEsFBgAAAAAEAAQA8wAAAF4FAAAAAA==&#10;" filled="f" stroked="f">
              <v:textbox inset="0,0,0,0">
                <w:txbxContent>
                  <w:p w14:paraId="5DFF72EF" w14:textId="77777777" w:rsidR="00362D91" w:rsidRPr="00A655A2" w:rsidRDefault="00362D91" w:rsidP="00362D91">
                    <w:pPr>
                      <w:spacing w:before="20" w:line="225" w:lineRule="auto"/>
                      <w:ind w:left="20" w:right="-18"/>
                      <w:rPr>
                        <w:rFonts w:ascii="Mulish" w:hAnsi="Mulish"/>
                        <w:sz w:val="14"/>
                      </w:rPr>
                    </w:pPr>
                    <w:r w:rsidRPr="00A655A2">
                      <w:rPr>
                        <w:rFonts w:ascii="Mulish" w:hAnsi="Mulish"/>
                        <w:b/>
                        <w:sz w:val="14"/>
                      </w:rPr>
                      <w:t xml:space="preserve">Consejo de Transparencia AAI </w:t>
                    </w:r>
                    <w:r w:rsidRPr="00A655A2">
                      <w:rPr>
                        <w:rFonts w:ascii="Mulish" w:hAnsi="Mulish"/>
                        <w:sz w:val="14"/>
                      </w:rPr>
                      <w:t>C/ José Abascal, nº 2, 5º-C 28003 MADRID</w:t>
                    </w:r>
                  </w:p>
                </w:txbxContent>
              </v:textbox>
              <w10:wrap anchorx="page" anchory="page"/>
            </v:shape>
          </w:pict>
        </mc:Fallback>
      </mc:AlternateContent>
    </w:r>
    <w:r>
      <w:rPr>
        <w:noProof/>
        <w:lang w:eastAsia="es-ES"/>
      </w:rPr>
      <mc:AlternateContent>
        <mc:Choice Requires="wps">
          <w:drawing>
            <wp:anchor distT="0" distB="0" distL="114300" distR="114300" simplePos="0" relativeHeight="251680768" behindDoc="1" locked="0" layoutInCell="1" allowOverlap="1" wp14:anchorId="69F40DE2" wp14:editId="52CD6E8A">
              <wp:simplePos x="0" y="0"/>
              <wp:positionH relativeFrom="page">
                <wp:posOffset>4848860</wp:posOffset>
              </wp:positionH>
              <wp:positionV relativeFrom="page">
                <wp:posOffset>10081260</wp:posOffset>
              </wp:positionV>
              <wp:extent cx="2000250" cy="419100"/>
              <wp:effectExtent l="0" t="0" r="0" b="0"/>
              <wp:wrapNone/>
              <wp:docPr id="44388711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19100"/>
                      </a:xfrm>
                      <a:prstGeom prst="rect">
                        <a:avLst/>
                      </a:prstGeom>
                      <a:noFill/>
                      <a:ln>
                        <a:noFill/>
                      </a:ln>
                    </wps:spPr>
                    <wps:txbx>
                      <w:txbxContent>
                        <w:p w14:paraId="59EF72C9" w14:textId="77777777" w:rsidR="001C2B35" w:rsidRPr="00A655A2" w:rsidRDefault="00D70DAE" w:rsidP="001C2B35">
                          <w:pPr>
                            <w:tabs>
                              <w:tab w:val="left" w:pos="2798"/>
                            </w:tabs>
                            <w:spacing w:before="20" w:line="225" w:lineRule="auto"/>
                            <w:ind w:left="101" w:right="342" w:hanging="82"/>
                            <w:jc w:val="right"/>
                            <w:rPr>
                              <w:rFonts w:ascii="Mulish" w:hAnsi="Mulish"/>
                              <w:sz w:val="14"/>
                            </w:rPr>
                          </w:pPr>
                          <w:hyperlink r:id="rId1">
                            <w:r w:rsidR="001C2B35" w:rsidRPr="00A655A2">
                              <w:rPr>
                                <w:rFonts w:ascii="Mulish" w:hAnsi="Mulish"/>
                                <w:sz w:val="14"/>
                              </w:rPr>
                              <w:t>email: ctbg@consejodetransparencia.es</w:t>
                            </w:r>
                          </w:hyperlink>
                          <w:r w:rsidR="001C2B35" w:rsidRPr="00A655A2">
                            <w:rPr>
                              <w:rFonts w:ascii="Mulish" w:hAnsi="Mulish"/>
                              <w:sz w:val="14"/>
                            </w:rPr>
                            <w:t xml:space="preserve"> Teléfono: 91 273 33 20 - 91 273 33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0DE2" id="Cuadro de texto 1" o:spid="_x0000_s1027" type="#_x0000_t202" style="position:absolute;left:0;text-align:left;margin-left:381.8pt;margin-top:793.8pt;width:157.5pt;height:3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8J9QEAAMwDAAAOAAAAZHJzL2Uyb0RvYy54bWysU9GO0zAQfEfiHyy/0ySlQImano6eDiEd&#10;B9IdH+DaTmKReM3aaVK+nrXTloN7Q7xYG9s7npmdbK6mvmMHjd6ArXixyDnTVoIytqn4t8fbV2vO&#10;fBBWiQ6srvhRe361ffliM7pSL6GFTmlkBGJ9ObqKtyG4Msu8bHUv/AKctnRYA/Yi0Cc2mUIxEnrf&#10;Zcs8f5uNgMohSO097d7Mh3yb8Otay/Clrr0OrKs4cQtpxbTu45ptN6JsULjWyBMN8Q8semEsPXqB&#10;uhFBsAHNM6jeSAQPdVhI6DOoayN10kBqivwvNQ+tcDppIXO8u9jk/x+svD98RWZUxVer1+v1u6Kg&#10;gVnR06h2g1AITGkW9BSAFdGs0fmSeh4cdYXpA0w09CTcuzuQ3z2zsGuFbfQ1IoytForIps7sSeuM&#10;4yPIfvwMil4TQ4AENNXYRyfJG0boNLTjZVDEg0napMnnyzd0JOlsVbwv8jTJTJTnboc+fNTQs1hU&#10;HCkICV0c7nwgHXT1fCU+ZuHWdF0KQ2f/2KCLcSexj4Rn6mHaT8m1iyl7UEeSgzBHjH4JKlrAn5yN&#10;FK+K+x+DQM1Z98mSJTGL5wLPxf5cCCupteKBs7nchTmzg0PTtIQ8m27hmmyrTVIU/Z1ZnOhSZJLQ&#10;U7xjJp9+p1u/f8LtLwAAAP//AwBQSwMEFAAGAAgAAAAhAK1zZw/gAAAADgEAAA8AAABkcnMvZG93&#10;bnJldi54bWxMj8FOwzAQRO9I/IO1SNyoXVCTkMapKgQnJEQaDhyd2E2sxusQu234e7ancpvVPM3O&#10;FJvZDexkpmA9SlguBDCDrdcWOwlf9dtDBixEhVoNHo2EXxNgU97eFCrX/oyVOe1ixygEQ64k9DGO&#10;Oeeh7Y1TYeFHg+Tt/eRUpHPquJ7UmcLdwB+FSLhTFulDr0bz0pv2sDs6CdtvrF7tz0fzWe0rW9fP&#10;At+Tg5T3d/N2DSyaOV5huNSn6lBSp8YfUQc2SEiTp4RQMlZZSuqCiDQj1ZBKVuTysuD/Z5R/AAAA&#10;//8DAFBLAQItABQABgAIAAAAIQC2gziS/gAAAOEBAAATAAAAAAAAAAAAAAAAAAAAAABbQ29udGVu&#10;dF9UeXBlc10ueG1sUEsBAi0AFAAGAAgAAAAhADj9If/WAAAAlAEAAAsAAAAAAAAAAAAAAAAALwEA&#10;AF9yZWxzLy5yZWxzUEsBAi0AFAAGAAgAAAAhAEnyXwn1AQAAzAMAAA4AAAAAAAAAAAAAAAAALgIA&#10;AGRycy9lMm9Eb2MueG1sUEsBAi0AFAAGAAgAAAAhAK1zZw/gAAAADgEAAA8AAAAAAAAAAAAAAAAA&#10;TwQAAGRycy9kb3ducmV2LnhtbFBLBQYAAAAABAAEAPMAAABcBQAAAAA=&#10;" filled="f" stroked="f">
              <v:textbox inset="0,0,0,0">
                <w:txbxContent>
                  <w:p w14:paraId="59EF72C9" w14:textId="77777777" w:rsidR="001C2B35" w:rsidRPr="00A655A2" w:rsidRDefault="0077727F" w:rsidP="001C2B35">
                    <w:pPr>
                      <w:tabs>
                        <w:tab w:val="left" w:pos="2798"/>
                      </w:tabs>
                      <w:spacing w:before="20" w:line="225" w:lineRule="auto"/>
                      <w:ind w:left="101" w:right="342" w:hanging="82"/>
                      <w:jc w:val="right"/>
                      <w:rPr>
                        <w:rFonts w:ascii="Mulish" w:hAnsi="Mulish"/>
                        <w:sz w:val="14"/>
                      </w:rPr>
                    </w:pPr>
                    <w:hyperlink r:id="rId2">
                      <w:r w:rsidR="001C2B35" w:rsidRPr="00A655A2">
                        <w:rPr>
                          <w:rFonts w:ascii="Mulish" w:hAnsi="Mulish"/>
                          <w:sz w:val="14"/>
                        </w:rPr>
                        <w:t>email: ctbg@consejodetransparencia.es</w:t>
                      </w:r>
                    </w:hyperlink>
                    <w:r w:rsidR="001C2B35" w:rsidRPr="00A655A2">
                      <w:rPr>
                        <w:rFonts w:ascii="Mulish" w:hAnsi="Mulish"/>
                        <w:sz w:val="14"/>
                      </w:rPr>
                      <w:t xml:space="preserve"> Teléfono: 91 273 33 20 - 91 273 33 17</w:t>
                    </w:r>
                  </w:p>
                </w:txbxContent>
              </v:textbox>
              <w10:wrap anchorx="page" anchory="page"/>
            </v:shape>
          </w:pict>
        </mc:Fallback>
      </mc:AlternateContent>
    </w:r>
    <w:r w:rsidR="00F31A91">
      <w:tab/>
    </w:r>
    <w:r w:rsidR="00F31A91">
      <w:tab/>
    </w:r>
    <w:r w:rsidR="00F31A91">
      <w:tab/>
    </w:r>
    <w:r w:rsidR="00F31A91">
      <w:tab/>
    </w:r>
    <w:r w:rsidR="001C2B3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B404" w14:textId="77777777" w:rsidR="00E1510B" w:rsidRDefault="00E1510B" w:rsidP="00E033DF">
      <w:pPr>
        <w:spacing w:after="0" w:line="240" w:lineRule="auto"/>
      </w:pPr>
      <w:r>
        <w:separator/>
      </w:r>
    </w:p>
  </w:footnote>
  <w:footnote w:type="continuationSeparator" w:id="0">
    <w:p w14:paraId="1C9627E8" w14:textId="77777777" w:rsidR="00E1510B" w:rsidRDefault="00E1510B" w:rsidP="00E0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1301" w14:textId="77777777" w:rsidR="00A666AD" w:rsidRDefault="00A666AD" w:rsidP="008D3392">
    <w:pPr>
      <w:pStyle w:val="Encabezado"/>
      <w:ind w:left="-284"/>
      <w:rPr>
        <w:sz w:val="16"/>
        <w:szCs w:val="16"/>
      </w:rPr>
    </w:pPr>
  </w:p>
  <w:p w14:paraId="26353F07" w14:textId="7209693C" w:rsidR="00A666AD" w:rsidRDefault="00A666AD" w:rsidP="008D3392">
    <w:pPr>
      <w:pStyle w:val="Encabezado"/>
      <w:ind w:left="-284"/>
      <w:rPr>
        <w:sz w:val="16"/>
        <w:szCs w:val="16"/>
      </w:rPr>
    </w:pPr>
    <w:r>
      <w:rPr>
        <w:noProof/>
        <w:lang w:eastAsia="es-ES"/>
      </w:rPr>
      <w:drawing>
        <wp:anchor distT="0" distB="0" distL="114300" distR="114300" simplePos="0" relativeHeight="251683840" behindDoc="0" locked="0" layoutInCell="1" allowOverlap="1" wp14:anchorId="009FC8A4" wp14:editId="2A592D2B">
          <wp:simplePos x="0" y="0"/>
          <wp:positionH relativeFrom="margin">
            <wp:posOffset>2018665</wp:posOffset>
          </wp:positionH>
          <wp:positionV relativeFrom="margin">
            <wp:posOffset>-615950</wp:posOffset>
          </wp:positionV>
          <wp:extent cx="1798320" cy="419100"/>
          <wp:effectExtent l="0" t="0" r="0" b="0"/>
          <wp:wrapSquare wrapText="bothSides"/>
          <wp:docPr id="170497085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35127"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19100"/>
                  </a:xfrm>
                  <a:prstGeom prst="rect">
                    <a:avLst/>
                  </a:prstGeom>
                  <a:noFill/>
                  <a:ln>
                    <a:noFill/>
                  </a:ln>
                </pic:spPr>
              </pic:pic>
            </a:graphicData>
          </a:graphic>
        </wp:anchor>
      </w:drawing>
    </w:r>
  </w:p>
  <w:p w14:paraId="4F080CFF" w14:textId="77777777" w:rsidR="00A666AD" w:rsidRDefault="00A666AD" w:rsidP="008D3392">
    <w:pPr>
      <w:pStyle w:val="Encabezado"/>
      <w:ind w:left="-284"/>
      <w:rPr>
        <w:sz w:val="16"/>
        <w:szCs w:val="16"/>
      </w:rPr>
    </w:pPr>
  </w:p>
  <w:p w14:paraId="06866FF9" w14:textId="77777777" w:rsidR="00A666AD" w:rsidRDefault="00A666AD" w:rsidP="008D3392">
    <w:pPr>
      <w:pStyle w:val="Encabezado"/>
      <w:ind w:left="-284"/>
      <w:rPr>
        <w:sz w:val="16"/>
        <w:szCs w:val="16"/>
      </w:rPr>
    </w:pPr>
  </w:p>
  <w:p w14:paraId="1BA3DC98" w14:textId="77777777" w:rsidR="00A666AD" w:rsidRDefault="00A666AD" w:rsidP="008D3392">
    <w:pPr>
      <w:pStyle w:val="Encabezado"/>
      <w:ind w:left="-284"/>
      <w:rPr>
        <w:sz w:val="16"/>
        <w:szCs w:val="16"/>
      </w:rPr>
    </w:pPr>
  </w:p>
  <w:p w14:paraId="6C40E5E5" w14:textId="081D95D3" w:rsidR="004E6B2E" w:rsidRPr="005951F3" w:rsidRDefault="004E6B2E" w:rsidP="008D3392">
    <w:pPr>
      <w:pStyle w:val="Encabezado"/>
      <w:ind w:left="-284"/>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E5EB" w14:textId="31BCD447" w:rsidR="005D4FB7" w:rsidRDefault="00F3528C" w:rsidP="00407A64">
    <w:pPr>
      <w:pStyle w:val="Sinespaciado"/>
      <w:tabs>
        <w:tab w:val="left" w:pos="6705"/>
      </w:tabs>
      <w:ind w:left="-284"/>
    </w:pPr>
    <w:r>
      <w:tab/>
    </w:r>
  </w:p>
  <w:p w14:paraId="6C40E5EC" w14:textId="568A3200" w:rsidR="004E6B2E" w:rsidRDefault="004E6B2E" w:rsidP="00E873AB">
    <w:pPr>
      <w:pStyle w:val="Encabezado"/>
    </w:pPr>
  </w:p>
  <w:p w14:paraId="6C40E5F1" w14:textId="77777777" w:rsidR="00F31A91" w:rsidRDefault="00F31A91" w:rsidP="00E873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5189"/>
    <w:multiLevelType w:val="hybridMultilevel"/>
    <w:tmpl w:val="93604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B305A0"/>
    <w:multiLevelType w:val="hybridMultilevel"/>
    <w:tmpl w:val="FF68F5BC"/>
    <w:lvl w:ilvl="0" w:tplc="CA582274">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53610947"/>
    <w:multiLevelType w:val="hybridMultilevel"/>
    <w:tmpl w:val="7AD0E230"/>
    <w:lvl w:ilvl="0" w:tplc="F22AECF0">
      <w:numFmt w:val="bullet"/>
      <w:lvlText w:val="•"/>
      <w:lvlJc w:val="left"/>
      <w:pPr>
        <w:ind w:left="786" w:hanging="360"/>
      </w:pPr>
      <w:rPr>
        <w:rFonts w:ascii="Mulish" w:eastAsia="Mulish" w:hAnsi="Mulish" w:cs="Mulish"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8"/>
    <w:rsid w:val="00020447"/>
    <w:rsid w:val="000319A0"/>
    <w:rsid w:val="000566D2"/>
    <w:rsid w:val="00067423"/>
    <w:rsid w:val="000974DF"/>
    <w:rsid w:val="000A35BB"/>
    <w:rsid w:val="000B3967"/>
    <w:rsid w:val="00101E4F"/>
    <w:rsid w:val="001021B2"/>
    <w:rsid w:val="00110D03"/>
    <w:rsid w:val="00126747"/>
    <w:rsid w:val="00153863"/>
    <w:rsid w:val="001543D9"/>
    <w:rsid w:val="00161CD5"/>
    <w:rsid w:val="00172B40"/>
    <w:rsid w:val="0018353B"/>
    <w:rsid w:val="001C2B35"/>
    <w:rsid w:val="00224350"/>
    <w:rsid w:val="00224C4F"/>
    <w:rsid w:val="0025152B"/>
    <w:rsid w:val="00285BCA"/>
    <w:rsid w:val="00292E9B"/>
    <w:rsid w:val="002D6E52"/>
    <w:rsid w:val="002E3710"/>
    <w:rsid w:val="002E4E66"/>
    <w:rsid w:val="00343319"/>
    <w:rsid w:val="00362D91"/>
    <w:rsid w:val="003B4951"/>
    <w:rsid w:val="003C3727"/>
    <w:rsid w:val="003C665C"/>
    <w:rsid w:val="003C685A"/>
    <w:rsid w:val="003D41CC"/>
    <w:rsid w:val="003D5AFA"/>
    <w:rsid w:val="003E58C6"/>
    <w:rsid w:val="00407A64"/>
    <w:rsid w:val="0045349D"/>
    <w:rsid w:val="00492494"/>
    <w:rsid w:val="004A5EA5"/>
    <w:rsid w:val="004D002C"/>
    <w:rsid w:val="004D3C31"/>
    <w:rsid w:val="004E3AC4"/>
    <w:rsid w:val="004E6B2E"/>
    <w:rsid w:val="00505712"/>
    <w:rsid w:val="00532CA0"/>
    <w:rsid w:val="00533D96"/>
    <w:rsid w:val="005432EE"/>
    <w:rsid w:val="00553F22"/>
    <w:rsid w:val="00577451"/>
    <w:rsid w:val="005951F3"/>
    <w:rsid w:val="00596401"/>
    <w:rsid w:val="005B0C58"/>
    <w:rsid w:val="005B1E17"/>
    <w:rsid w:val="005B3D95"/>
    <w:rsid w:val="005D4FB7"/>
    <w:rsid w:val="0064406A"/>
    <w:rsid w:val="00644241"/>
    <w:rsid w:val="0064511D"/>
    <w:rsid w:val="00686DAC"/>
    <w:rsid w:val="0069451C"/>
    <w:rsid w:val="006E2CA6"/>
    <w:rsid w:val="006E6BAE"/>
    <w:rsid w:val="007101D5"/>
    <w:rsid w:val="00721825"/>
    <w:rsid w:val="0077727F"/>
    <w:rsid w:val="007B410A"/>
    <w:rsid w:val="007D462E"/>
    <w:rsid w:val="007F57CD"/>
    <w:rsid w:val="008217AF"/>
    <w:rsid w:val="00882413"/>
    <w:rsid w:val="008D3392"/>
    <w:rsid w:val="008E2617"/>
    <w:rsid w:val="00902756"/>
    <w:rsid w:val="00916A7F"/>
    <w:rsid w:val="00920FC8"/>
    <w:rsid w:val="00922C73"/>
    <w:rsid w:val="0093132C"/>
    <w:rsid w:val="00945360"/>
    <w:rsid w:val="00946059"/>
    <w:rsid w:val="00966AFC"/>
    <w:rsid w:val="00967E04"/>
    <w:rsid w:val="00993416"/>
    <w:rsid w:val="009B3A1E"/>
    <w:rsid w:val="009C1C4B"/>
    <w:rsid w:val="00A0030B"/>
    <w:rsid w:val="00A035A9"/>
    <w:rsid w:val="00A40308"/>
    <w:rsid w:val="00A666AD"/>
    <w:rsid w:val="00A667E2"/>
    <w:rsid w:val="00A90913"/>
    <w:rsid w:val="00AA0900"/>
    <w:rsid w:val="00AC124E"/>
    <w:rsid w:val="00AD4EAB"/>
    <w:rsid w:val="00B25D70"/>
    <w:rsid w:val="00B27714"/>
    <w:rsid w:val="00B33F7D"/>
    <w:rsid w:val="00B3521D"/>
    <w:rsid w:val="00B80115"/>
    <w:rsid w:val="00B92379"/>
    <w:rsid w:val="00BA4068"/>
    <w:rsid w:val="00BA62A5"/>
    <w:rsid w:val="00BC1926"/>
    <w:rsid w:val="00BD42E2"/>
    <w:rsid w:val="00C00902"/>
    <w:rsid w:val="00C05613"/>
    <w:rsid w:val="00C23867"/>
    <w:rsid w:val="00C34F68"/>
    <w:rsid w:val="00C40DD4"/>
    <w:rsid w:val="00C6302D"/>
    <w:rsid w:val="00C94749"/>
    <w:rsid w:val="00CA1CA7"/>
    <w:rsid w:val="00CD4664"/>
    <w:rsid w:val="00CF04E9"/>
    <w:rsid w:val="00CF7BBC"/>
    <w:rsid w:val="00D04F1E"/>
    <w:rsid w:val="00D13FB4"/>
    <w:rsid w:val="00D519BA"/>
    <w:rsid w:val="00D70DAE"/>
    <w:rsid w:val="00D71C8B"/>
    <w:rsid w:val="00D74DBF"/>
    <w:rsid w:val="00DA1AA8"/>
    <w:rsid w:val="00DC45C2"/>
    <w:rsid w:val="00DD76CF"/>
    <w:rsid w:val="00DF0AA4"/>
    <w:rsid w:val="00DF50CF"/>
    <w:rsid w:val="00DF52D8"/>
    <w:rsid w:val="00DF62C2"/>
    <w:rsid w:val="00E033DF"/>
    <w:rsid w:val="00E1510B"/>
    <w:rsid w:val="00E369D7"/>
    <w:rsid w:val="00E42F8B"/>
    <w:rsid w:val="00E873AB"/>
    <w:rsid w:val="00E94641"/>
    <w:rsid w:val="00EB7AAC"/>
    <w:rsid w:val="00EF73FE"/>
    <w:rsid w:val="00EF7F60"/>
    <w:rsid w:val="00F253DF"/>
    <w:rsid w:val="00F30B12"/>
    <w:rsid w:val="00F31A91"/>
    <w:rsid w:val="00F34666"/>
    <w:rsid w:val="00F3528C"/>
    <w:rsid w:val="00F436DD"/>
    <w:rsid w:val="00F51DB5"/>
    <w:rsid w:val="00F73ACD"/>
    <w:rsid w:val="00FC7309"/>
    <w:rsid w:val="00FD0A75"/>
    <w:rsid w:val="00FD375B"/>
    <w:rsid w:val="00FD7623"/>
    <w:rsid w:val="00FE5C64"/>
    <w:rsid w:val="00FE6C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40E5B0"/>
  <w15:docId w15:val="{3A54E176-1594-43FE-802E-0F09132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8E2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33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33DF"/>
  </w:style>
  <w:style w:type="paragraph" w:styleId="Piedepgina">
    <w:name w:val="footer"/>
    <w:basedOn w:val="Normal"/>
    <w:link w:val="PiedepginaCar"/>
    <w:uiPriority w:val="99"/>
    <w:unhideWhenUsed/>
    <w:rsid w:val="00E033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33DF"/>
  </w:style>
  <w:style w:type="paragraph" w:styleId="Sinespaciado">
    <w:name w:val="No Spacing"/>
    <w:uiPriority w:val="1"/>
    <w:qFormat/>
    <w:rsid w:val="0018353B"/>
    <w:pPr>
      <w:spacing w:after="0" w:line="240" w:lineRule="auto"/>
    </w:pPr>
  </w:style>
  <w:style w:type="character" w:styleId="Refdecomentario">
    <w:name w:val="annotation reference"/>
    <w:basedOn w:val="Fuentedeprrafopredeter"/>
    <w:uiPriority w:val="99"/>
    <w:semiHidden/>
    <w:unhideWhenUsed/>
    <w:rsid w:val="0018353B"/>
    <w:rPr>
      <w:sz w:val="16"/>
      <w:szCs w:val="16"/>
    </w:rPr>
  </w:style>
  <w:style w:type="paragraph" w:styleId="Textocomentario">
    <w:name w:val="annotation text"/>
    <w:basedOn w:val="Normal"/>
    <w:link w:val="TextocomentarioCar"/>
    <w:uiPriority w:val="99"/>
    <w:semiHidden/>
    <w:unhideWhenUsed/>
    <w:rsid w:val="001835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353B"/>
    <w:rPr>
      <w:sz w:val="20"/>
      <w:szCs w:val="20"/>
    </w:rPr>
  </w:style>
  <w:style w:type="paragraph" w:styleId="Textodeglobo">
    <w:name w:val="Balloon Text"/>
    <w:basedOn w:val="Normal"/>
    <w:link w:val="TextodegloboCar"/>
    <w:uiPriority w:val="99"/>
    <w:semiHidden/>
    <w:unhideWhenUsed/>
    <w:rsid w:val="001835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53B"/>
    <w:rPr>
      <w:rFonts w:ascii="Tahoma" w:hAnsi="Tahoma" w:cs="Tahoma"/>
      <w:sz w:val="16"/>
      <w:szCs w:val="16"/>
    </w:rPr>
  </w:style>
  <w:style w:type="character" w:styleId="Hipervnculo">
    <w:name w:val="Hyperlink"/>
    <w:basedOn w:val="Fuentedeprrafopredeter"/>
    <w:uiPriority w:val="99"/>
    <w:unhideWhenUsed/>
    <w:rsid w:val="009B3A1E"/>
    <w:rPr>
      <w:color w:val="034638" w:themeColor="hyperlink"/>
      <w:u w:val="single"/>
    </w:rPr>
  </w:style>
  <w:style w:type="paragraph" w:styleId="Textoindependiente">
    <w:name w:val="Body Text"/>
    <w:basedOn w:val="Normal"/>
    <w:link w:val="TextoindependienteCar"/>
    <w:uiPriority w:val="1"/>
    <w:qFormat/>
    <w:rsid w:val="00407A64"/>
    <w:pPr>
      <w:widowControl w:val="0"/>
      <w:autoSpaceDE w:val="0"/>
      <w:autoSpaceDN w:val="0"/>
      <w:spacing w:after="0" w:line="240" w:lineRule="auto"/>
    </w:pPr>
    <w:rPr>
      <w:rFonts w:ascii="Mulish" w:eastAsia="Mulish" w:hAnsi="Mulish" w:cs="Mulish"/>
      <w:sz w:val="20"/>
      <w:szCs w:val="20"/>
      <w:lang w:eastAsia="es-ES" w:bidi="es-ES"/>
    </w:rPr>
  </w:style>
  <w:style w:type="character" w:customStyle="1" w:styleId="TextoindependienteCar">
    <w:name w:val="Texto independiente Car"/>
    <w:basedOn w:val="Fuentedeprrafopredeter"/>
    <w:link w:val="Textoindependiente"/>
    <w:uiPriority w:val="1"/>
    <w:rsid w:val="00407A64"/>
    <w:rPr>
      <w:rFonts w:ascii="Mulish" w:eastAsia="Mulish" w:hAnsi="Mulish" w:cs="Mulish"/>
      <w:sz w:val="20"/>
      <w:szCs w:val="20"/>
      <w:lang w:eastAsia="es-ES" w:bidi="es-ES"/>
    </w:rPr>
  </w:style>
  <w:style w:type="paragraph" w:styleId="Prrafodelista">
    <w:name w:val="List Paragraph"/>
    <w:basedOn w:val="Normal"/>
    <w:uiPriority w:val="34"/>
    <w:qFormat/>
    <w:rsid w:val="00BA4068"/>
    <w:pPr>
      <w:ind w:left="720"/>
      <w:contextualSpacing/>
    </w:pPr>
  </w:style>
  <w:style w:type="table" w:customStyle="1" w:styleId="Sombreadomedio2-nfasis32">
    <w:name w:val="Sombreado medio 2 - Énfasis 32"/>
    <w:basedOn w:val="Tablanormal"/>
    <w:next w:val="Sombreadomedio2-nfasis3"/>
    <w:uiPriority w:val="64"/>
    <w:rsid w:val="00BA4068"/>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BA40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4C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4C5A" w:themeFill="accent3"/>
      </w:tcPr>
    </w:tblStylePr>
    <w:tblStylePr w:type="lastCol">
      <w:rPr>
        <w:b/>
        <w:bCs/>
        <w:color w:val="FFFFFF" w:themeColor="background1"/>
      </w:rPr>
      <w:tblPr/>
      <w:tcPr>
        <w:tcBorders>
          <w:left w:val="nil"/>
          <w:right w:val="nil"/>
          <w:insideH w:val="nil"/>
          <w:insideV w:val="nil"/>
        </w:tcBorders>
        <w:shd w:val="clear" w:color="auto" w:fill="244C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cuadrculaclara">
    <w:name w:val="Grid Table Light"/>
    <w:basedOn w:val="Tablanormal"/>
    <w:uiPriority w:val="40"/>
    <w:rsid w:val="00BA40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2">
    <w:name w:val="List Table 3 Accent 2"/>
    <w:basedOn w:val="Tablanormal"/>
    <w:uiPriority w:val="48"/>
    <w:rsid w:val="00EF73FE"/>
    <w:pPr>
      <w:spacing w:after="0" w:line="240" w:lineRule="auto"/>
    </w:pPr>
    <w:rPr>
      <w:lang w:eastAsia="es-ES"/>
    </w:rPr>
    <w:tblPr>
      <w:tblStyleRowBandSize w:val="1"/>
      <w:tblStyleColBandSize w:val="1"/>
      <w:tblBorders>
        <w:top w:val="single" w:sz="4" w:space="0" w:color="CB9700" w:themeColor="accent2"/>
        <w:left w:val="single" w:sz="4" w:space="0" w:color="CB9700" w:themeColor="accent2"/>
        <w:bottom w:val="single" w:sz="4" w:space="0" w:color="CB9700" w:themeColor="accent2"/>
        <w:right w:val="single" w:sz="4" w:space="0" w:color="CB9700" w:themeColor="accent2"/>
      </w:tblBorders>
    </w:tblPr>
    <w:tblStylePr w:type="firstRow">
      <w:rPr>
        <w:b/>
        <w:bCs/>
        <w:color w:val="FFFFFF" w:themeColor="background1"/>
      </w:rPr>
      <w:tblPr/>
      <w:tcPr>
        <w:shd w:val="clear" w:color="auto" w:fill="CB9700" w:themeFill="accent2"/>
      </w:tcPr>
    </w:tblStylePr>
    <w:tblStylePr w:type="lastRow">
      <w:rPr>
        <w:b/>
        <w:bCs/>
      </w:rPr>
      <w:tblPr/>
      <w:tcPr>
        <w:tcBorders>
          <w:top w:val="double" w:sz="4" w:space="0" w:color="CB97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9700" w:themeColor="accent2"/>
          <w:right w:val="single" w:sz="4" w:space="0" w:color="CB9700" w:themeColor="accent2"/>
        </w:tcBorders>
      </w:tcPr>
    </w:tblStylePr>
    <w:tblStylePr w:type="band1Horz">
      <w:tblPr/>
      <w:tcPr>
        <w:tcBorders>
          <w:top w:val="single" w:sz="4" w:space="0" w:color="CB9700" w:themeColor="accent2"/>
          <w:bottom w:val="single" w:sz="4" w:space="0" w:color="CB97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9700" w:themeColor="accent2"/>
          <w:left w:val="nil"/>
        </w:tcBorders>
      </w:tcPr>
    </w:tblStylePr>
    <w:tblStylePr w:type="swCell">
      <w:tblPr/>
      <w:tcPr>
        <w:tcBorders>
          <w:top w:val="double" w:sz="4" w:space="0" w:color="CB9700" w:themeColor="accent2"/>
          <w:right w:val="nil"/>
        </w:tcBorders>
      </w:tcPr>
    </w:tblStylePr>
  </w:style>
  <w:style w:type="character" w:styleId="Mencinsinresolver">
    <w:name w:val="Unresolved Mention"/>
    <w:basedOn w:val="Fuentedeprrafopredeter"/>
    <w:uiPriority w:val="99"/>
    <w:semiHidden/>
    <w:unhideWhenUsed/>
    <w:rsid w:val="00D70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jodetransparencia.es/ct_Home/Actividad/Evaluaciones/Evaluacion2024/2024/SP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consejodetransparencia.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sejodetransparencia.es/ct_Home/Actividad/Evaluaciones/Evaluacion2024.html" TargetMode="External"/><Relationship Id="rId4" Type="http://schemas.openxmlformats.org/officeDocument/2006/relationships/settings" Target="settings.xml"/><Relationship Id="rId9" Type="http://schemas.openxmlformats.org/officeDocument/2006/relationships/hyperlink" Target="https://www.boe.es/buscar/act.php?id=BOE-A-2013-12887"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ctbg@consejodetransparencia.es" TargetMode="External"/><Relationship Id="rId1" Type="http://schemas.openxmlformats.org/officeDocument/2006/relationships/hyperlink" Target="mailto:ctbg@consejodetransparenc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0C0C0C"/>
      </a:dk1>
      <a:lt1>
        <a:sysClr val="window" lastClr="FFFFFF"/>
      </a:lt1>
      <a:dk2>
        <a:srgbClr val="00806F"/>
      </a:dk2>
      <a:lt2>
        <a:srgbClr val="D6D2C4"/>
      </a:lt2>
      <a:accent1>
        <a:srgbClr val="00806F"/>
      </a:accent1>
      <a:accent2>
        <a:srgbClr val="CB9700"/>
      </a:accent2>
      <a:accent3>
        <a:srgbClr val="244C5A"/>
      </a:accent3>
      <a:accent4>
        <a:srgbClr val="034638"/>
      </a:accent4>
      <a:accent5>
        <a:srgbClr val="00806F"/>
      </a:accent5>
      <a:accent6>
        <a:srgbClr val="034638"/>
      </a:accent6>
      <a:hlink>
        <a:srgbClr val="034638"/>
      </a:hlink>
      <a:folHlink>
        <a:srgbClr val="CB97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5FD049-96EB-4473-A8A5-C7F6FF3C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2274</Words>
  <Characters>12510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 BLANCA</cp:lastModifiedBy>
  <cp:revision>2</cp:revision>
  <cp:lastPrinted>2016-01-05T09:13:00Z</cp:lastPrinted>
  <dcterms:created xsi:type="dcterms:W3CDTF">2024-07-18T11:44:00Z</dcterms:created>
  <dcterms:modified xsi:type="dcterms:W3CDTF">2024-07-23T09:33:00Z</dcterms:modified>
</cp:coreProperties>
</file>