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AC02A" w14:textId="63519128" w:rsidR="00D53306" w:rsidRPr="00D53306" w:rsidRDefault="000E407D" w:rsidP="00D53306">
      <w:pPr>
        <w:spacing w:before="100" w:beforeAutospacing="1" w:after="100" w:afterAutospacing="1" w:line="240" w:lineRule="auto"/>
        <w:jc w:val="both"/>
        <w:outlineLvl w:val="0"/>
        <w:rPr>
          <w:rFonts w:eastAsia="Times New Roman" w:cs="Times New Roman"/>
          <w:b/>
          <w:bCs/>
          <w:color w:val="2F5496" w:themeColor="accent1" w:themeShade="BF"/>
          <w:kern w:val="36"/>
          <w:sz w:val="48"/>
          <w:szCs w:val="48"/>
          <w:lang w:eastAsia="es-ES"/>
        </w:rPr>
      </w:pPr>
      <w:r>
        <w:rPr>
          <w:rFonts w:eastAsia="Times New Roman" w:cs="Times New Roman"/>
          <w:b/>
          <w:bCs/>
          <w:color w:val="2F5496" w:themeColor="accent1" w:themeShade="BF"/>
          <w:kern w:val="36"/>
          <w:sz w:val="48"/>
          <w:szCs w:val="48"/>
          <w:lang w:eastAsia="es-ES"/>
        </w:rPr>
        <w:t>Alegacione</w:t>
      </w:r>
      <w:r w:rsidR="00D53306" w:rsidRPr="00D53306">
        <w:rPr>
          <w:rFonts w:eastAsia="Times New Roman" w:cs="Times New Roman"/>
          <w:b/>
          <w:bCs/>
          <w:color w:val="2F5496" w:themeColor="accent1" w:themeShade="BF"/>
          <w:kern w:val="36"/>
          <w:sz w:val="48"/>
          <w:szCs w:val="48"/>
          <w:lang w:eastAsia="es-ES"/>
        </w:rPr>
        <w:t>s al informe provisional 2025 del CTBG</w:t>
      </w:r>
    </w:p>
    <w:p w14:paraId="6FCAFC9F" w14:textId="77777777" w:rsidR="00D53306" w:rsidRPr="00D53306" w:rsidRDefault="00D53306" w:rsidP="00D53306">
      <w:pPr>
        <w:spacing w:before="100" w:beforeAutospacing="1" w:after="100" w:afterAutospacing="1" w:line="240" w:lineRule="auto"/>
        <w:jc w:val="both"/>
        <w:outlineLvl w:val="1"/>
        <w:rPr>
          <w:rFonts w:eastAsia="Times New Roman" w:cs="Times New Roman"/>
          <w:b/>
          <w:bCs/>
          <w:color w:val="2F5496" w:themeColor="accent1" w:themeShade="BF"/>
          <w:sz w:val="36"/>
          <w:szCs w:val="36"/>
          <w:lang w:eastAsia="es-ES"/>
        </w:rPr>
      </w:pPr>
      <w:r w:rsidRPr="00D53306">
        <w:rPr>
          <w:rFonts w:eastAsia="Times New Roman" w:cs="Times New Roman"/>
          <w:b/>
          <w:bCs/>
          <w:color w:val="2F5496" w:themeColor="accent1" w:themeShade="BF"/>
          <w:sz w:val="36"/>
          <w:szCs w:val="36"/>
          <w:lang w:eastAsia="es-ES"/>
        </w:rPr>
        <w:t>Portal de la Transparencia de la Administración General del Estado</w:t>
      </w:r>
    </w:p>
    <w:p w14:paraId="144DA41F" w14:textId="77777777" w:rsidR="00D53306" w:rsidRPr="00D53306" w:rsidRDefault="00D53306" w:rsidP="00AA7B46">
      <w:pPr>
        <w:pStyle w:val="Ttulo1"/>
      </w:pPr>
      <w:r w:rsidRPr="00D53306">
        <w:t>1. Introducción</w:t>
      </w:r>
    </w:p>
    <w:p w14:paraId="019DE686" w14:textId="3CA0B474"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El presente documento tiene por objeto recoger de forma consolidada las observaciones, comentarios y alegaciones formuladas tras la revisión en profundidad del Informe provisional sobre el cumplimiento de las obligaciones de publicidad activa correspondiente al ejercicio 2025, elaborado por el Consejo de Transparencia y Buen Gobierno (en adelante, CTBG o el Consejo), en relación con el Portal de la Transparencia de la Administración General del Estado (en adelante, Portal AGE).</w:t>
      </w:r>
    </w:p>
    <w:p w14:paraId="7C379509" w14:textId="77777777" w:rsidR="00D53306" w:rsidRPr="00D53306" w:rsidRDefault="00D53306" w:rsidP="00D53306">
      <w:pPr>
        <w:spacing w:after="0" w:line="240" w:lineRule="auto"/>
        <w:jc w:val="both"/>
        <w:rPr>
          <w:rFonts w:eastAsia="Times New Roman" w:cs="Times New Roman"/>
          <w:szCs w:val="24"/>
          <w:lang w:eastAsia="es-ES"/>
        </w:rPr>
      </w:pPr>
    </w:p>
    <w:p w14:paraId="21A14B11" w14:textId="416FD046"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La revisión del informe provisional ha sido realizada por la</w:t>
      </w:r>
      <w:r>
        <w:rPr>
          <w:rFonts w:eastAsia="Times New Roman" w:cs="Times New Roman"/>
          <w:szCs w:val="24"/>
          <w:lang w:eastAsia="es-ES"/>
        </w:rPr>
        <w:t xml:space="preserve"> Dirección General de Gobernanza Pública (DGGP) a través de la </w:t>
      </w:r>
      <w:r w:rsidRPr="00D53306">
        <w:rPr>
          <w:rFonts w:eastAsia="Times New Roman" w:cs="Times New Roman"/>
          <w:szCs w:val="24"/>
          <w:lang w:eastAsia="es-ES"/>
        </w:rPr>
        <w:t xml:space="preserve">Subdirección General de Transparencia y Atención al Ciudadano (en adelante, SGTAC), en coordinación con las Unidades de Información de Transparencia (en adelante, </w:t>
      </w:r>
      <w:proofErr w:type="spellStart"/>
      <w:r w:rsidRPr="00D53306">
        <w:rPr>
          <w:rFonts w:eastAsia="Times New Roman" w:cs="Times New Roman"/>
          <w:szCs w:val="24"/>
          <w:lang w:eastAsia="es-ES"/>
        </w:rPr>
        <w:t>UITs</w:t>
      </w:r>
      <w:proofErr w:type="spellEnd"/>
      <w:r w:rsidRPr="00D53306">
        <w:rPr>
          <w:rFonts w:eastAsia="Times New Roman" w:cs="Times New Roman"/>
          <w:szCs w:val="24"/>
          <w:lang w:eastAsia="es-ES"/>
        </w:rPr>
        <w:t xml:space="preserve">) de los distintos departamentos ministeriales y, en su caso, de las </w:t>
      </w:r>
      <w:proofErr w:type="spellStart"/>
      <w:r w:rsidRPr="00D53306">
        <w:rPr>
          <w:rFonts w:eastAsia="Times New Roman" w:cs="Times New Roman"/>
          <w:szCs w:val="24"/>
          <w:lang w:eastAsia="es-ES"/>
        </w:rPr>
        <w:t>UITs</w:t>
      </w:r>
      <w:proofErr w:type="spellEnd"/>
      <w:r w:rsidRPr="00D53306">
        <w:rPr>
          <w:rFonts w:eastAsia="Times New Roman" w:cs="Times New Roman"/>
          <w:szCs w:val="24"/>
          <w:lang w:eastAsia="es-ES"/>
        </w:rPr>
        <w:t xml:space="preserve"> singulares. Las observaciones aquí recogidas incorporan tanto la valoración conjunta de </w:t>
      </w:r>
      <w:r>
        <w:rPr>
          <w:rFonts w:eastAsia="Times New Roman" w:cs="Times New Roman"/>
          <w:szCs w:val="24"/>
          <w:lang w:eastAsia="es-ES"/>
        </w:rPr>
        <w:t>DGGP</w:t>
      </w:r>
      <w:r w:rsidRPr="00D53306">
        <w:rPr>
          <w:rFonts w:eastAsia="Times New Roman" w:cs="Times New Roman"/>
          <w:szCs w:val="24"/>
          <w:lang w:eastAsia="es-ES"/>
        </w:rPr>
        <w:t xml:space="preserve"> como las aportaciones específicas realizadas por los departamentos en el ámbito de sus respectivas competencias.</w:t>
      </w:r>
    </w:p>
    <w:p w14:paraId="534B6200" w14:textId="77777777" w:rsidR="00D53306" w:rsidRPr="00D53306" w:rsidRDefault="00D53306" w:rsidP="00D53306">
      <w:pPr>
        <w:spacing w:after="0" w:line="240" w:lineRule="auto"/>
        <w:jc w:val="both"/>
        <w:rPr>
          <w:rFonts w:eastAsia="Times New Roman" w:cs="Times New Roman"/>
          <w:szCs w:val="24"/>
          <w:lang w:eastAsia="es-ES"/>
        </w:rPr>
      </w:pPr>
    </w:p>
    <w:p w14:paraId="43C9A158" w14:textId="439F232A"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 xml:space="preserve">En primer lugar, debe destacarse como una de las principales novedades metodológicas del ejercicio 2025 la decisión del CTBG de analizar exclusivamente aquellas obligaciones de publicidad activa cuyo cumplimiento había presentado, en ejercicios anteriores, mayores márgenes de mejora. Esta decisión evidencia que el resto de </w:t>
      </w:r>
      <w:r w:rsidR="00EA2AD9" w:rsidRPr="00D53306">
        <w:rPr>
          <w:rFonts w:eastAsia="Times New Roman" w:cs="Times New Roman"/>
          <w:szCs w:val="24"/>
          <w:lang w:eastAsia="es-ES"/>
        </w:rPr>
        <w:t>las obligaciones</w:t>
      </w:r>
      <w:r w:rsidRPr="00D53306">
        <w:rPr>
          <w:rFonts w:eastAsia="Times New Roman" w:cs="Times New Roman"/>
          <w:szCs w:val="24"/>
          <w:lang w:eastAsia="es-ES"/>
        </w:rPr>
        <w:t xml:space="preserve"> han alcanzado niveles de cumplimiento estables y satisfactorios, circunstancia que se valora positivamente. No obstante, dicha metodología impide obtener una valoración global del Índice de Cumplimiento de la Información Obligatoria (ICIO) comparable con la de años anteriores, lo que introduce un sesgo negativo inevitable en la interpretación de los resultados.</w:t>
      </w:r>
    </w:p>
    <w:p w14:paraId="05800322" w14:textId="77777777" w:rsidR="00D53306" w:rsidRPr="00D53306" w:rsidRDefault="00D53306" w:rsidP="00D53306">
      <w:pPr>
        <w:spacing w:after="0" w:line="240" w:lineRule="auto"/>
        <w:jc w:val="both"/>
        <w:rPr>
          <w:rFonts w:eastAsia="Times New Roman" w:cs="Times New Roman"/>
          <w:szCs w:val="24"/>
          <w:lang w:eastAsia="es-ES"/>
        </w:rPr>
      </w:pPr>
    </w:p>
    <w:p w14:paraId="293F8DF7" w14:textId="1B04DA23"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Conviene subrayar que este enfoque parcial condiciona necesariamente la percepción externa del informe, al no reflejar el grado real de cumplimiento global del Portal de la Transparencia de la AGE, que en ejercicios precedentes ha mostrado una evolución claramente positiva y sostenida, pasando del 72,9 % en 2021 al 85,6 % en 2024. Esta circunstancia debe ser tenida en cuenta a la hora de valorar los porcentajes de cumplimiento que se exponen en el informe provisional.</w:t>
      </w:r>
    </w:p>
    <w:p w14:paraId="24313FB1" w14:textId="77777777" w:rsidR="00D53306" w:rsidRPr="00D53306" w:rsidRDefault="00D53306" w:rsidP="00D53306">
      <w:pPr>
        <w:spacing w:after="0" w:line="240" w:lineRule="auto"/>
        <w:jc w:val="both"/>
        <w:rPr>
          <w:rFonts w:eastAsia="Times New Roman" w:cs="Times New Roman"/>
          <w:szCs w:val="24"/>
          <w:lang w:eastAsia="es-ES"/>
        </w:rPr>
      </w:pPr>
    </w:p>
    <w:p w14:paraId="06360890" w14:textId="77777777" w:rsidR="00D53306" w:rsidRP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 xml:space="preserve">Asimismo, debe tenerse presente que la revisión efectuada por el CTBG se ha realizado en un momento en el que el Portal de la Transparencia de la AGE se encontraba inmerso en un proceso de actualización de su plataforma tecnológica. Este proceso de migración y estabilización ha tenido un impacto relevante, aunque de carácter transitorio, en la disponibilidad de determinados contenidos, produciéndose incidencias técnicas como enlaces rotos o comportamientos no esperados. Una parte significativa de las deficiencias </w:t>
      </w:r>
      <w:r w:rsidRPr="00D53306">
        <w:rPr>
          <w:rFonts w:eastAsia="Times New Roman" w:cs="Times New Roman"/>
          <w:szCs w:val="24"/>
          <w:lang w:eastAsia="es-ES"/>
        </w:rPr>
        <w:lastRenderedPageBreak/>
        <w:t>detectadas, especialmente en materia de accesibilidad, debe interpretarse en este contexto coyuntural, encontrándose ya en proceso de corrección progresiva.</w:t>
      </w:r>
    </w:p>
    <w:p w14:paraId="14A2F239" w14:textId="77777777" w:rsidR="00D53306" w:rsidRDefault="00D53306" w:rsidP="00D53306">
      <w:pPr>
        <w:spacing w:after="0" w:line="240" w:lineRule="auto"/>
        <w:jc w:val="both"/>
        <w:rPr>
          <w:rFonts w:eastAsia="Times New Roman" w:cs="Times New Roman"/>
          <w:szCs w:val="24"/>
          <w:lang w:eastAsia="es-ES"/>
        </w:rPr>
      </w:pPr>
    </w:p>
    <w:p w14:paraId="61F328E5" w14:textId="10652E03" w:rsidR="00D53306" w:rsidRP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El análisis del informe provisional se centra, por tanto, en los siguientes tres ámbitos concretos:</w:t>
      </w:r>
    </w:p>
    <w:p w14:paraId="4874B5F4" w14:textId="77777777" w:rsidR="00D53306" w:rsidRPr="00D53306" w:rsidRDefault="00D53306" w:rsidP="00EB343F">
      <w:pPr>
        <w:numPr>
          <w:ilvl w:val="0"/>
          <w:numId w:val="14"/>
        </w:numPr>
        <w:spacing w:line="240" w:lineRule="auto"/>
        <w:jc w:val="both"/>
        <w:rPr>
          <w:rFonts w:eastAsia="Times New Roman" w:cs="Times New Roman"/>
          <w:szCs w:val="24"/>
          <w:lang w:eastAsia="es-ES"/>
        </w:rPr>
      </w:pPr>
      <w:r w:rsidRPr="00D53306">
        <w:rPr>
          <w:rFonts w:eastAsia="Times New Roman" w:cs="Times New Roman"/>
          <w:szCs w:val="24"/>
          <w:lang w:eastAsia="es-ES"/>
        </w:rPr>
        <w:t>Planes y programas (artículo 6.2 de la LTAIBG).</w:t>
      </w:r>
    </w:p>
    <w:p w14:paraId="40752689" w14:textId="77777777" w:rsidR="00D53306" w:rsidRPr="00D53306" w:rsidRDefault="00D53306" w:rsidP="00EB343F">
      <w:pPr>
        <w:numPr>
          <w:ilvl w:val="0"/>
          <w:numId w:val="14"/>
        </w:numPr>
        <w:spacing w:line="240" w:lineRule="auto"/>
        <w:jc w:val="both"/>
        <w:rPr>
          <w:rFonts w:eastAsia="Times New Roman" w:cs="Times New Roman"/>
          <w:szCs w:val="24"/>
          <w:lang w:eastAsia="es-ES"/>
        </w:rPr>
      </w:pPr>
      <w:r w:rsidRPr="00D53306">
        <w:rPr>
          <w:rFonts w:eastAsia="Times New Roman" w:cs="Times New Roman"/>
          <w:szCs w:val="24"/>
          <w:lang w:eastAsia="es-ES"/>
        </w:rPr>
        <w:t>Directrices, instrucciones, acuerdos, circulares y respuestas a consultas (artículo 7.a de la LTAIBG).</w:t>
      </w:r>
    </w:p>
    <w:p w14:paraId="695427E4" w14:textId="77777777" w:rsidR="00D53306" w:rsidRPr="00D53306" w:rsidRDefault="00D53306" w:rsidP="00EB343F">
      <w:pPr>
        <w:numPr>
          <w:ilvl w:val="0"/>
          <w:numId w:val="14"/>
        </w:numPr>
        <w:spacing w:line="240" w:lineRule="auto"/>
        <w:jc w:val="both"/>
        <w:rPr>
          <w:rFonts w:eastAsia="Times New Roman" w:cs="Times New Roman"/>
          <w:szCs w:val="24"/>
          <w:lang w:eastAsia="es-ES"/>
        </w:rPr>
      </w:pPr>
      <w:r w:rsidRPr="00D53306">
        <w:rPr>
          <w:rFonts w:eastAsia="Times New Roman" w:cs="Times New Roman"/>
          <w:szCs w:val="24"/>
          <w:lang w:eastAsia="es-ES"/>
        </w:rPr>
        <w:t>Información estadística necesaria para valorar el grado de cumplimiento y calidad de los servicios públicos prestados (artículo 8.1.i de la LTAIBG).</w:t>
      </w:r>
    </w:p>
    <w:p w14:paraId="63237F9E" w14:textId="77777777" w:rsidR="00D53306" w:rsidRPr="00D53306" w:rsidRDefault="00D53306" w:rsidP="00AA7B46">
      <w:pPr>
        <w:pStyle w:val="Ttulo1"/>
      </w:pPr>
      <w:r w:rsidRPr="00D53306">
        <w:t>2. Planes y programas (artículo 6.2 LTAIBG)</w:t>
      </w:r>
    </w:p>
    <w:p w14:paraId="63E3C4C3" w14:textId="2918E21A" w:rsidR="00D53306" w:rsidRPr="00D53306" w:rsidRDefault="00D53306" w:rsidP="00AA7B46">
      <w:pPr>
        <w:pStyle w:val="Ttulo2"/>
      </w:pPr>
      <w:r w:rsidRPr="00D53306">
        <w:t xml:space="preserve">2.1. Observaciones generales de </w:t>
      </w:r>
      <w:r w:rsidR="00C72842">
        <w:t>la DGGP</w:t>
      </w:r>
    </w:p>
    <w:p w14:paraId="34004A0D" w14:textId="23034513"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El CTBG identifica, en relación con la información sobre planes y programas, una serie de incidencias que se concretan, principalmente, en la presencia de documentos que, a su juicio, no se corresponderían con el contenido material de la obligación, la existencia de planes no vigentes, la falta de determinados ítems informativos, la ausencia de informes de seguimiento o evaluación, la inclusión de planes de entidades vinculadas o dependientes y problemas de accesibilidad derivados de enlaces rotos.</w:t>
      </w:r>
    </w:p>
    <w:p w14:paraId="4F7DB774" w14:textId="77777777" w:rsidR="00D53306" w:rsidRPr="00D53306" w:rsidRDefault="00D53306" w:rsidP="00D53306">
      <w:pPr>
        <w:spacing w:after="0" w:line="240" w:lineRule="auto"/>
        <w:jc w:val="both"/>
        <w:rPr>
          <w:rFonts w:eastAsia="Times New Roman" w:cs="Times New Roman"/>
          <w:szCs w:val="24"/>
          <w:lang w:eastAsia="es-ES"/>
        </w:rPr>
      </w:pPr>
    </w:p>
    <w:p w14:paraId="0A25AD11" w14:textId="5E906C78"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 xml:space="preserve">Desde </w:t>
      </w:r>
      <w:r>
        <w:rPr>
          <w:rFonts w:eastAsia="Times New Roman" w:cs="Times New Roman"/>
          <w:szCs w:val="24"/>
          <w:lang w:eastAsia="es-ES"/>
        </w:rPr>
        <w:t>DGGP</w:t>
      </w:r>
      <w:r w:rsidRPr="00D53306">
        <w:rPr>
          <w:rFonts w:eastAsia="Times New Roman" w:cs="Times New Roman"/>
          <w:szCs w:val="24"/>
          <w:lang w:eastAsia="es-ES"/>
        </w:rPr>
        <w:t xml:space="preserve"> se considera necesario matizar y contextualizar estas observaciones, poniendo de relieve que una parte relevante de las mismas responde a diferencias interpretativas razonables sobre el alcance del concepto de “planes y programas” previsto en el artículo 6.2 de la LTAIBG, más que a situaciones de incumplimiento efectivo de las obligaciones de publicidad activa.</w:t>
      </w:r>
    </w:p>
    <w:p w14:paraId="659E169A" w14:textId="77777777" w:rsidR="00D53306" w:rsidRPr="00D53306" w:rsidRDefault="00D53306" w:rsidP="00D53306">
      <w:pPr>
        <w:spacing w:after="0" w:line="240" w:lineRule="auto"/>
        <w:jc w:val="both"/>
        <w:rPr>
          <w:rFonts w:eastAsia="Times New Roman" w:cs="Times New Roman"/>
          <w:szCs w:val="24"/>
          <w:lang w:eastAsia="es-ES"/>
        </w:rPr>
      </w:pPr>
    </w:p>
    <w:p w14:paraId="626D1E92" w14:textId="7CD5F812"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En particular, diversos departamentos han manifestado su discrepancia con el criterio del CTBG respecto a la exclusión de determinados documentos, como los planes estratégicos de subvenciones o los planes editoriales. Desde la perspectiva de la AGE, estos instrumentos constituyen auténticos mecanismos formales de planificación de la actividad administrativa, incorporan objetivos, recursos y cronogramas y contribuyen de manera efectiva a la transparencia y a la rendición de cuentas, alineándose con el espíritu y la finalidad de la Ley 19/2013. La discrepancia existente, por tanto, debe entenderse como una diferencia interpretativa legítima y no como un incumplimiento de la obligación legal.</w:t>
      </w:r>
    </w:p>
    <w:p w14:paraId="379ABA7C" w14:textId="77777777" w:rsidR="00D53306" w:rsidRPr="00D53306" w:rsidRDefault="00D53306" w:rsidP="00D53306">
      <w:pPr>
        <w:spacing w:after="0" w:line="240" w:lineRule="auto"/>
        <w:jc w:val="both"/>
        <w:rPr>
          <w:rFonts w:eastAsia="Times New Roman" w:cs="Times New Roman"/>
          <w:szCs w:val="24"/>
          <w:lang w:eastAsia="es-ES"/>
        </w:rPr>
      </w:pPr>
    </w:p>
    <w:p w14:paraId="0F3AA620" w14:textId="3AA6BAB7"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 xml:space="preserve">En relación con la inclusión de planes correspondientes a organismos y entidades vinculadas o dependientes, tanto </w:t>
      </w:r>
      <w:r>
        <w:rPr>
          <w:rFonts w:eastAsia="Times New Roman" w:cs="Times New Roman"/>
          <w:szCs w:val="24"/>
          <w:lang w:eastAsia="es-ES"/>
        </w:rPr>
        <w:t>DGGP</w:t>
      </w:r>
      <w:r w:rsidRPr="00D53306">
        <w:rPr>
          <w:rFonts w:eastAsia="Times New Roman" w:cs="Times New Roman"/>
          <w:szCs w:val="24"/>
          <w:lang w:eastAsia="es-ES"/>
        </w:rPr>
        <w:t xml:space="preserve"> como un número significativo de </w:t>
      </w:r>
      <w:proofErr w:type="spellStart"/>
      <w:r w:rsidRPr="00D53306">
        <w:rPr>
          <w:rFonts w:eastAsia="Times New Roman" w:cs="Times New Roman"/>
          <w:szCs w:val="24"/>
          <w:lang w:eastAsia="es-ES"/>
        </w:rPr>
        <w:t>UITs</w:t>
      </w:r>
      <w:proofErr w:type="spellEnd"/>
      <w:r w:rsidRPr="00D53306">
        <w:rPr>
          <w:rFonts w:eastAsia="Times New Roman" w:cs="Times New Roman"/>
          <w:szCs w:val="24"/>
          <w:lang w:eastAsia="es-ES"/>
        </w:rPr>
        <w:t xml:space="preserve"> consideran que su publicación en el Portal AGE refuerza el principio de transparencia material, al facilitar a la ciudadanía una visión integrada de la actuación pública en ámbitos de especial relevancia. La exclusión de esta información podría generar un efecto contrario al perseguido por la LTAIBG, fragmentando la información y dificultando su localización. En este sentido, se propone que su presencia no sea penalizada en futuras evaluaciones o, alternativamente, que se valore de forma diferenciada.</w:t>
      </w:r>
    </w:p>
    <w:p w14:paraId="2955CBF5" w14:textId="5B7E48CC" w:rsidR="00C72842" w:rsidRDefault="00C72842" w:rsidP="00D53306">
      <w:pPr>
        <w:spacing w:after="0" w:line="240" w:lineRule="auto"/>
        <w:jc w:val="both"/>
        <w:rPr>
          <w:rFonts w:eastAsia="Times New Roman" w:cs="Times New Roman"/>
          <w:szCs w:val="24"/>
          <w:lang w:eastAsia="es-ES"/>
        </w:rPr>
      </w:pPr>
    </w:p>
    <w:p w14:paraId="16BBAF4D" w14:textId="2173F2BE" w:rsidR="00C72842" w:rsidRDefault="00C72842" w:rsidP="00D53306">
      <w:pPr>
        <w:spacing w:after="0" w:line="240" w:lineRule="auto"/>
        <w:jc w:val="both"/>
        <w:rPr>
          <w:rFonts w:eastAsia="Times New Roman" w:cs="Times New Roman"/>
          <w:szCs w:val="24"/>
          <w:lang w:eastAsia="es-ES"/>
        </w:rPr>
      </w:pPr>
      <w:r>
        <w:rPr>
          <w:rFonts w:eastAsia="Times New Roman" w:cs="Times New Roman"/>
          <w:szCs w:val="24"/>
          <w:lang w:eastAsia="es-ES"/>
        </w:rPr>
        <w:lastRenderedPageBreak/>
        <w:t>Sobre la ausencia de informes de seguimiento, evaluación o indicadores en determinados casos, debe tenerse en cuenta que algunos de los planes actualmente vigentes han sido aprobados recientemente o se encuentran en fases iniciales de ejecución. En consecuencia, la disponibilidad de resultados evaluables completos puede verse condicionada por el propio calendario de implantación de cada instrumento de planificación.</w:t>
      </w:r>
    </w:p>
    <w:p w14:paraId="51135CFD" w14:textId="77777777" w:rsidR="00D53306" w:rsidRPr="00D53306" w:rsidRDefault="00D53306" w:rsidP="00D53306">
      <w:pPr>
        <w:spacing w:after="0" w:line="240" w:lineRule="auto"/>
        <w:jc w:val="both"/>
        <w:rPr>
          <w:rFonts w:eastAsia="Times New Roman" w:cs="Times New Roman"/>
          <w:szCs w:val="24"/>
          <w:lang w:eastAsia="es-ES"/>
        </w:rPr>
      </w:pPr>
    </w:p>
    <w:p w14:paraId="27C2EEE2" w14:textId="77777777" w:rsidR="00D53306" w:rsidRPr="00D53306" w:rsidRDefault="00D53306" w:rsidP="00AA7B46">
      <w:pPr>
        <w:pStyle w:val="Ttulo2"/>
      </w:pPr>
      <w:r w:rsidRPr="00D53306">
        <w:t>2.2. Actuaciones de mejora impulsadas</w:t>
      </w:r>
    </w:p>
    <w:p w14:paraId="7C53162F" w14:textId="570D5D9F"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 xml:space="preserve">Con independencia de las diferencias interpretativas señaladas, </w:t>
      </w:r>
      <w:r>
        <w:rPr>
          <w:rFonts w:eastAsia="Times New Roman" w:cs="Times New Roman"/>
          <w:szCs w:val="24"/>
          <w:lang w:eastAsia="es-ES"/>
        </w:rPr>
        <w:t>la DGGP</w:t>
      </w:r>
      <w:r w:rsidRPr="00D53306">
        <w:rPr>
          <w:rFonts w:eastAsia="Times New Roman" w:cs="Times New Roman"/>
          <w:szCs w:val="24"/>
          <w:lang w:eastAsia="es-ES"/>
        </w:rPr>
        <w:t xml:space="preserve"> ha impulsado un conjunto de actuaciones orientadas a mejorar la calidad de la información publicada, entre las que se incluyen:</w:t>
      </w:r>
    </w:p>
    <w:p w14:paraId="36CD7E2B" w14:textId="77777777" w:rsidR="00D53306" w:rsidRPr="00D53306" w:rsidRDefault="00D53306" w:rsidP="00D53306">
      <w:pPr>
        <w:spacing w:after="0" w:line="240" w:lineRule="auto"/>
        <w:jc w:val="both"/>
        <w:rPr>
          <w:rFonts w:eastAsia="Times New Roman" w:cs="Times New Roman"/>
          <w:szCs w:val="24"/>
          <w:lang w:eastAsia="es-ES"/>
        </w:rPr>
      </w:pPr>
    </w:p>
    <w:p w14:paraId="1A871139" w14:textId="77777777" w:rsidR="00D53306" w:rsidRPr="00D53306" w:rsidRDefault="00D53306" w:rsidP="00EB343F">
      <w:pPr>
        <w:numPr>
          <w:ilvl w:val="0"/>
          <w:numId w:val="18"/>
        </w:numPr>
        <w:spacing w:line="240" w:lineRule="auto"/>
        <w:jc w:val="both"/>
        <w:rPr>
          <w:rFonts w:eastAsia="Times New Roman" w:cs="Times New Roman"/>
          <w:szCs w:val="24"/>
          <w:lang w:eastAsia="es-ES"/>
        </w:rPr>
      </w:pPr>
      <w:r w:rsidRPr="00D53306">
        <w:rPr>
          <w:rFonts w:eastAsia="Times New Roman" w:cs="Times New Roman"/>
          <w:szCs w:val="24"/>
          <w:lang w:eastAsia="es-ES"/>
        </w:rPr>
        <w:t>Revisión y depuración de planes que no se corresponden con el contenido material de la obligación, estudiando su posible reubicación en secciones diferenciadas cuando se considere que aportan valor informativo a la ciudadanía.</w:t>
      </w:r>
    </w:p>
    <w:p w14:paraId="4AAC6CD5" w14:textId="77777777" w:rsidR="00D53306" w:rsidRPr="00D53306" w:rsidRDefault="00D53306" w:rsidP="00EB343F">
      <w:pPr>
        <w:numPr>
          <w:ilvl w:val="0"/>
          <w:numId w:val="18"/>
        </w:numPr>
        <w:spacing w:line="240" w:lineRule="auto"/>
        <w:jc w:val="both"/>
        <w:rPr>
          <w:rFonts w:eastAsia="Times New Roman" w:cs="Times New Roman"/>
          <w:szCs w:val="24"/>
          <w:lang w:eastAsia="es-ES"/>
        </w:rPr>
      </w:pPr>
      <w:r w:rsidRPr="00D53306">
        <w:rPr>
          <w:rFonts w:eastAsia="Times New Roman" w:cs="Times New Roman"/>
          <w:szCs w:val="24"/>
          <w:lang w:eastAsia="es-ES"/>
        </w:rPr>
        <w:t>Identificación y publicación en el Portal AGE de planes y programas existentes en las webs ministeriales que no se encontraban incorporados.</w:t>
      </w:r>
    </w:p>
    <w:p w14:paraId="53D7F8E6" w14:textId="77777777" w:rsidR="00D53306" w:rsidRPr="00D53306" w:rsidRDefault="00D53306" w:rsidP="00EB343F">
      <w:pPr>
        <w:numPr>
          <w:ilvl w:val="0"/>
          <w:numId w:val="18"/>
        </w:numPr>
        <w:spacing w:line="240" w:lineRule="auto"/>
        <w:jc w:val="both"/>
        <w:rPr>
          <w:rFonts w:eastAsia="Times New Roman" w:cs="Times New Roman"/>
          <w:szCs w:val="24"/>
          <w:lang w:eastAsia="es-ES"/>
        </w:rPr>
      </w:pPr>
      <w:r w:rsidRPr="00D53306">
        <w:rPr>
          <w:rFonts w:eastAsia="Times New Roman" w:cs="Times New Roman"/>
          <w:szCs w:val="24"/>
          <w:lang w:eastAsia="es-ES"/>
        </w:rPr>
        <w:t>Actualización de planes incompletos para incorporar los ítems informativos exigidos.</w:t>
      </w:r>
    </w:p>
    <w:p w14:paraId="1F748160" w14:textId="77777777" w:rsidR="00D53306" w:rsidRPr="00D53306" w:rsidRDefault="00D53306" w:rsidP="00EB343F">
      <w:pPr>
        <w:numPr>
          <w:ilvl w:val="0"/>
          <w:numId w:val="18"/>
        </w:numPr>
        <w:spacing w:line="240" w:lineRule="auto"/>
        <w:jc w:val="both"/>
        <w:rPr>
          <w:rFonts w:eastAsia="Times New Roman" w:cs="Times New Roman"/>
          <w:szCs w:val="24"/>
          <w:lang w:eastAsia="es-ES"/>
        </w:rPr>
      </w:pPr>
      <w:r w:rsidRPr="00D53306">
        <w:rPr>
          <w:rFonts w:eastAsia="Times New Roman" w:cs="Times New Roman"/>
          <w:szCs w:val="24"/>
          <w:lang w:eastAsia="es-ES"/>
        </w:rPr>
        <w:t>Revisión y corrección de enlaces rotos o problemas de accesibilidad.</w:t>
      </w:r>
    </w:p>
    <w:p w14:paraId="5393EFFA" w14:textId="77777777" w:rsidR="00D53306" w:rsidRDefault="00D53306" w:rsidP="00EB343F">
      <w:pPr>
        <w:numPr>
          <w:ilvl w:val="0"/>
          <w:numId w:val="18"/>
        </w:numPr>
        <w:spacing w:line="240" w:lineRule="auto"/>
        <w:jc w:val="both"/>
        <w:rPr>
          <w:rFonts w:eastAsia="Times New Roman" w:cs="Times New Roman"/>
          <w:szCs w:val="24"/>
          <w:lang w:eastAsia="es-ES"/>
        </w:rPr>
      </w:pPr>
      <w:r w:rsidRPr="00D53306">
        <w:rPr>
          <w:rFonts w:eastAsia="Times New Roman" w:cs="Times New Roman"/>
          <w:szCs w:val="24"/>
          <w:lang w:eastAsia="es-ES"/>
        </w:rPr>
        <w:t>Identificación expresa de los planes no vigentes.</w:t>
      </w:r>
    </w:p>
    <w:p w14:paraId="5F400D47" w14:textId="25EB150F" w:rsidR="00EB2E1A" w:rsidRPr="00C25162" w:rsidRDefault="00BE42AA" w:rsidP="00D53306">
      <w:pPr>
        <w:numPr>
          <w:ilvl w:val="0"/>
          <w:numId w:val="18"/>
        </w:numPr>
        <w:spacing w:after="0" w:line="240" w:lineRule="auto"/>
        <w:jc w:val="both"/>
        <w:rPr>
          <w:rFonts w:eastAsia="Times New Roman" w:cs="Times New Roman"/>
          <w:szCs w:val="24"/>
          <w:lang w:eastAsia="es-ES"/>
        </w:rPr>
      </w:pPr>
      <w:r w:rsidRPr="00C25162">
        <w:rPr>
          <w:rFonts w:eastAsia="Times New Roman" w:cs="Times New Roman"/>
          <w:szCs w:val="24"/>
          <w:lang w:eastAsia="es-ES"/>
        </w:rPr>
        <w:t xml:space="preserve">Incorporación </w:t>
      </w:r>
      <w:r w:rsidR="00EB2E1A" w:rsidRPr="00C25162">
        <w:rPr>
          <w:rFonts w:eastAsia="Times New Roman" w:cs="Times New Roman"/>
          <w:szCs w:val="24"/>
          <w:lang w:eastAsia="es-ES"/>
        </w:rPr>
        <w:t>de una ficha resumen de evaluación</w:t>
      </w:r>
      <w:r w:rsidR="00457213" w:rsidRPr="00C25162">
        <w:rPr>
          <w:rFonts w:eastAsia="Times New Roman" w:cs="Times New Roman"/>
          <w:szCs w:val="24"/>
          <w:lang w:eastAsia="es-ES"/>
        </w:rPr>
        <w:t xml:space="preserve">, referida a la ejecución de cada </w:t>
      </w:r>
      <w:r w:rsidR="00EB2E1A" w:rsidRPr="00C25162">
        <w:rPr>
          <w:rFonts w:eastAsia="Times New Roman" w:cs="Times New Roman"/>
          <w:szCs w:val="24"/>
          <w:lang w:eastAsia="es-ES"/>
        </w:rPr>
        <w:t xml:space="preserve">plan o programa </w:t>
      </w:r>
      <w:r w:rsidR="002E40BF" w:rsidRPr="00C25162">
        <w:rPr>
          <w:rFonts w:eastAsia="Times New Roman" w:cs="Times New Roman"/>
          <w:szCs w:val="24"/>
          <w:lang w:eastAsia="es-ES"/>
        </w:rPr>
        <w:t xml:space="preserve">que se publicará en el Portal </w:t>
      </w:r>
      <w:r w:rsidR="00B62350" w:rsidRPr="00C25162">
        <w:rPr>
          <w:rFonts w:eastAsia="Times New Roman" w:cs="Times New Roman"/>
          <w:szCs w:val="24"/>
          <w:lang w:eastAsia="es-ES"/>
        </w:rPr>
        <w:t xml:space="preserve">y que servirá </w:t>
      </w:r>
      <w:r w:rsidR="00F37C1C" w:rsidRPr="00C25162">
        <w:rPr>
          <w:rFonts w:eastAsia="Times New Roman" w:cs="Times New Roman"/>
          <w:szCs w:val="24"/>
          <w:lang w:eastAsia="es-ES"/>
        </w:rPr>
        <w:t xml:space="preserve">como resumen ejecutivo del informe </w:t>
      </w:r>
      <w:r w:rsidR="00B05ABE" w:rsidRPr="00C25162">
        <w:rPr>
          <w:rFonts w:eastAsia="Times New Roman" w:cs="Times New Roman"/>
          <w:szCs w:val="24"/>
          <w:lang w:eastAsia="es-ES"/>
        </w:rPr>
        <w:t xml:space="preserve">de evaluación de resultados </w:t>
      </w:r>
      <w:r w:rsidR="00135F09" w:rsidRPr="00C25162">
        <w:rPr>
          <w:rFonts w:eastAsia="Times New Roman" w:cs="Times New Roman"/>
          <w:szCs w:val="24"/>
          <w:lang w:eastAsia="es-ES"/>
        </w:rPr>
        <w:t>que debe real</w:t>
      </w:r>
      <w:r w:rsidR="0003160C" w:rsidRPr="00C25162">
        <w:rPr>
          <w:rFonts w:eastAsia="Times New Roman" w:cs="Times New Roman"/>
          <w:szCs w:val="24"/>
          <w:lang w:eastAsia="es-ES"/>
        </w:rPr>
        <w:t>i</w:t>
      </w:r>
      <w:r w:rsidR="00135F09" w:rsidRPr="00C25162">
        <w:rPr>
          <w:rFonts w:eastAsia="Times New Roman" w:cs="Times New Roman"/>
          <w:szCs w:val="24"/>
          <w:lang w:eastAsia="es-ES"/>
        </w:rPr>
        <w:t>zar la inspección de servicios</w:t>
      </w:r>
      <w:r w:rsidR="0003160C" w:rsidRPr="00C25162">
        <w:rPr>
          <w:rFonts w:eastAsia="Times New Roman" w:cs="Times New Roman"/>
          <w:szCs w:val="24"/>
          <w:lang w:eastAsia="es-ES"/>
        </w:rPr>
        <w:t xml:space="preserve"> departamental</w:t>
      </w:r>
      <w:r w:rsidR="00CF6B21" w:rsidRPr="00C25162">
        <w:rPr>
          <w:rFonts w:eastAsia="Times New Roman" w:cs="Times New Roman"/>
          <w:szCs w:val="24"/>
          <w:lang w:eastAsia="es-ES"/>
        </w:rPr>
        <w:t>.</w:t>
      </w:r>
    </w:p>
    <w:p w14:paraId="3560D38D" w14:textId="77777777" w:rsidR="00EB2E1A" w:rsidRDefault="00EB2E1A" w:rsidP="00EB2E1A">
      <w:pPr>
        <w:spacing w:after="0" w:line="240" w:lineRule="auto"/>
        <w:jc w:val="both"/>
        <w:rPr>
          <w:rFonts w:eastAsia="Times New Roman" w:cs="Times New Roman"/>
          <w:szCs w:val="24"/>
          <w:lang w:eastAsia="es-ES"/>
        </w:rPr>
      </w:pPr>
    </w:p>
    <w:p w14:paraId="6D6A3B2F" w14:textId="374A385B" w:rsidR="00D53306" w:rsidRPr="00EB2E1A" w:rsidRDefault="00D53306" w:rsidP="00EB2E1A">
      <w:pPr>
        <w:spacing w:after="0" w:line="240" w:lineRule="auto"/>
        <w:jc w:val="both"/>
        <w:rPr>
          <w:rFonts w:eastAsia="Times New Roman" w:cs="Times New Roman"/>
          <w:szCs w:val="24"/>
          <w:lang w:eastAsia="es-ES"/>
        </w:rPr>
      </w:pPr>
      <w:r w:rsidRPr="00EB2E1A">
        <w:rPr>
          <w:rFonts w:eastAsia="Times New Roman" w:cs="Times New Roman"/>
          <w:szCs w:val="24"/>
          <w:lang w:eastAsia="es-ES"/>
        </w:rPr>
        <w:t xml:space="preserve">Las secciones siguientes recogen, de forma detallada, las actuaciones comunicadas por las </w:t>
      </w:r>
      <w:proofErr w:type="spellStart"/>
      <w:r w:rsidRPr="00EB2E1A">
        <w:rPr>
          <w:rFonts w:eastAsia="Times New Roman" w:cs="Times New Roman"/>
          <w:szCs w:val="24"/>
          <w:lang w:eastAsia="es-ES"/>
        </w:rPr>
        <w:t>UITs</w:t>
      </w:r>
      <w:proofErr w:type="spellEnd"/>
      <w:r w:rsidRPr="00EB2E1A">
        <w:rPr>
          <w:rFonts w:eastAsia="Times New Roman" w:cs="Times New Roman"/>
          <w:szCs w:val="24"/>
          <w:lang w:eastAsia="es-ES"/>
        </w:rPr>
        <w:t xml:space="preserve"> de los distintos departamentos ministeriales.</w:t>
      </w:r>
    </w:p>
    <w:p w14:paraId="44F3333C" w14:textId="77777777" w:rsidR="00D53306" w:rsidRPr="00D53306" w:rsidRDefault="00D53306" w:rsidP="00AA7B46">
      <w:pPr>
        <w:pStyle w:val="Ttulo1"/>
      </w:pPr>
      <w:r w:rsidRPr="00D53306">
        <w:t>3. Directrices, instrucciones, acuerdos, circulares y respuestas a consultas (artículo 7.a LTAIBG)</w:t>
      </w:r>
    </w:p>
    <w:p w14:paraId="41015592" w14:textId="174EDC95" w:rsidR="00D53306" w:rsidRPr="00D53306" w:rsidRDefault="00D53306" w:rsidP="00AA7B46">
      <w:pPr>
        <w:pStyle w:val="Ttulo2"/>
      </w:pPr>
      <w:r w:rsidRPr="00D53306">
        <w:t xml:space="preserve">3.1. </w:t>
      </w:r>
      <w:r w:rsidR="000E407D">
        <w:t>Alegaciones</w:t>
      </w:r>
      <w:r w:rsidRPr="00D53306">
        <w:t xml:space="preserve"> generales de </w:t>
      </w:r>
      <w:r>
        <w:t>la DGGP</w:t>
      </w:r>
    </w:p>
    <w:p w14:paraId="6B3C9488" w14:textId="77777777" w:rsidR="00D53306" w:rsidRP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El CTBG señala, en relación con esta obligación, la existencia de un elevado número de enlaces rotos, así como la circunstancia de que un número significativo de ministerios no publica documentos que cumplan simultáneamente los criterios de contenido, vigencia y accesibilidad.</w:t>
      </w:r>
    </w:p>
    <w:p w14:paraId="0E1B2516" w14:textId="7F795158"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 xml:space="preserve">Desde </w:t>
      </w:r>
      <w:r w:rsidR="000E407D">
        <w:rPr>
          <w:rFonts w:eastAsia="Times New Roman" w:cs="Times New Roman"/>
          <w:szCs w:val="24"/>
          <w:lang w:eastAsia="es-ES"/>
        </w:rPr>
        <w:t>esta Dirección</w:t>
      </w:r>
      <w:r w:rsidRPr="00D53306">
        <w:rPr>
          <w:rFonts w:eastAsia="Times New Roman" w:cs="Times New Roman"/>
          <w:szCs w:val="24"/>
          <w:lang w:eastAsia="es-ES"/>
        </w:rPr>
        <w:t xml:space="preserve"> se considera necesario destacar que la reducción sustancial del número de registros en esta categoría constituye un resultado positivo del proceso de depuración impulsado en ejercicios anteriores, orientado a eliminar contenidos que no respondían estrictamente al objeto de la obligación, como órdenes ministeriales o resoluciones. En consecuencia, el menor volumen de registros no debe interpretarse como </w:t>
      </w:r>
      <w:r w:rsidRPr="00D53306">
        <w:rPr>
          <w:rFonts w:eastAsia="Times New Roman" w:cs="Times New Roman"/>
          <w:szCs w:val="24"/>
          <w:lang w:eastAsia="es-ES"/>
        </w:rPr>
        <w:lastRenderedPageBreak/>
        <w:t>una merma en la transparencia, sino como una mayor adecuación jurídica y conceptual de la información publicada.</w:t>
      </w:r>
    </w:p>
    <w:p w14:paraId="6C32A56A" w14:textId="77777777" w:rsidR="000E407D" w:rsidRPr="00D53306" w:rsidRDefault="000E407D" w:rsidP="00D53306">
      <w:pPr>
        <w:spacing w:after="0" w:line="240" w:lineRule="auto"/>
        <w:jc w:val="both"/>
        <w:rPr>
          <w:rFonts w:eastAsia="Times New Roman" w:cs="Times New Roman"/>
          <w:szCs w:val="24"/>
          <w:lang w:eastAsia="es-ES"/>
        </w:rPr>
      </w:pPr>
    </w:p>
    <w:p w14:paraId="426A8440" w14:textId="77777777" w:rsidR="00D53306" w:rsidRP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Asimismo, el hecho de que determinados ministerios no presenten registros en esta categoría no implica necesariamente un incumplimiento de la obligación de publicidad activa, sino que puede responder a la inexistencia, en el período analizado, de directrices, instrucciones, acuerdos, circulares o respuestas a consultas que supongan una interpretación del Derecho o tengan efectos jurídicos en los términos previstos en el artículo 7.a de la LTAIBG.</w:t>
      </w:r>
    </w:p>
    <w:p w14:paraId="0B605B21" w14:textId="77777777" w:rsidR="00D53306" w:rsidRPr="00D53306" w:rsidRDefault="00D53306" w:rsidP="00AA7B46">
      <w:pPr>
        <w:pStyle w:val="Ttulo2"/>
      </w:pPr>
      <w:r w:rsidRPr="00D53306">
        <w:t>3.2. Medidas correctoras</w:t>
      </w:r>
    </w:p>
    <w:p w14:paraId="0A94A63B" w14:textId="0FA31814" w:rsidR="00D53306" w:rsidRPr="00D53306" w:rsidRDefault="5BDD4991" w:rsidP="00D53306">
      <w:pPr>
        <w:spacing w:after="0" w:line="240" w:lineRule="auto"/>
        <w:jc w:val="both"/>
        <w:rPr>
          <w:rFonts w:eastAsia="Times New Roman" w:cs="Times New Roman"/>
          <w:lang w:eastAsia="es-ES"/>
        </w:rPr>
      </w:pPr>
      <w:r w:rsidRPr="0F20E9F7">
        <w:rPr>
          <w:rFonts w:eastAsia="Times New Roman" w:cs="Times New Roman"/>
          <w:lang w:eastAsia="es-ES"/>
        </w:rPr>
        <w:t xml:space="preserve">La </w:t>
      </w:r>
      <w:r w:rsidR="00C72842">
        <w:rPr>
          <w:rFonts w:eastAsia="Times New Roman" w:cs="Times New Roman"/>
          <w:lang w:eastAsia="es-ES"/>
        </w:rPr>
        <w:t>DGGP</w:t>
      </w:r>
      <w:r w:rsidR="00D53306" w:rsidRPr="0F20E9F7">
        <w:rPr>
          <w:rFonts w:eastAsia="Times New Roman" w:cs="Times New Roman"/>
          <w:lang w:eastAsia="es-ES"/>
        </w:rPr>
        <w:t xml:space="preserve"> ha trasladado a las </w:t>
      </w:r>
      <w:proofErr w:type="spellStart"/>
      <w:r w:rsidR="00D53306" w:rsidRPr="0F20E9F7">
        <w:rPr>
          <w:rFonts w:eastAsia="Times New Roman" w:cs="Times New Roman"/>
          <w:lang w:eastAsia="es-ES"/>
        </w:rPr>
        <w:t>UITs</w:t>
      </w:r>
      <w:proofErr w:type="spellEnd"/>
      <w:r w:rsidR="00D53306" w:rsidRPr="0F20E9F7">
        <w:rPr>
          <w:rFonts w:eastAsia="Times New Roman" w:cs="Times New Roman"/>
          <w:lang w:eastAsia="es-ES"/>
        </w:rPr>
        <w:t xml:space="preserve"> la necesidad de revisar los contenidos publicados, corregir </w:t>
      </w:r>
      <w:r w:rsidR="307097FF" w:rsidRPr="0F20E9F7">
        <w:rPr>
          <w:rFonts w:eastAsia="Times New Roman" w:cs="Times New Roman"/>
          <w:lang w:eastAsia="es-ES"/>
        </w:rPr>
        <w:t xml:space="preserve">los </w:t>
      </w:r>
      <w:r w:rsidR="00D53306" w:rsidRPr="0F20E9F7">
        <w:rPr>
          <w:rFonts w:eastAsia="Times New Roman" w:cs="Times New Roman"/>
          <w:lang w:eastAsia="es-ES"/>
        </w:rPr>
        <w:t>enlaces rotos, eliminar categorías improcedentes y analizar la posible existencia de información relevante no publicada. Asimismo, se está trabajando en la integración adecuada de determinadas respuestas a consultas actualmente accesibles a través de enlaces externos, de conformidad con las recomendaciones del CTBG.</w:t>
      </w:r>
    </w:p>
    <w:p w14:paraId="0D588216" w14:textId="77777777" w:rsidR="00D53306" w:rsidRPr="00D53306" w:rsidRDefault="00D53306" w:rsidP="00AA7B46">
      <w:pPr>
        <w:pStyle w:val="Ttulo1"/>
      </w:pPr>
      <w:r w:rsidRPr="00D53306">
        <w:t>4. Información estadística necesaria para valorar el grado de cumplimiento y calidad de los servicios públicos (artículo 8.1.i LTAIBG)</w:t>
      </w:r>
    </w:p>
    <w:p w14:paraId="17833367" w14:textId="77777777" w:rsidR="00D53306" w:rsidRPr="00D53306" w:rsidRDefault="00D53306" w:rsidP="00AA7B46">
      <w:pPr>
        <w:pStyle w:val="Ttulo2"/>
      </w:pPr>
      <w:r w:rsidRPr="00D53306">
        <w:t>4.1. Consideraciones generales</w:t>
      </w:r>
    </w:p>
    <w:p w14:paraId="1F57ACBE" w14:textId="65FADD4F"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El CTBG centra buena parte de sus observaciones en la delimitación del contenido material de esta obligación. A este respecto, debe recordarse que el artículo 8.1.i de la LTAIBG remite expresamente a “los términos que defina cada administración competente”, lo que introduce un margen interpretativo legítimo en cuanto al tipo, alcance y nivel de desagregación de la información estadística a publicar, especialmente en organizaciones de la complejidad de la AGE.</w:t>
      </w:r>
    </w:p>
    <w:p w14:paraId="64091077" w14:textId="77777777" w:rsidR="000E407D" w:rsidRPr="00D53306" w:rsidRDefault="000E407D" w:rsidP="00D53306">
      <w:pPr>
        <w:spacing w:after="0" w:line="240" w:lineRule="auto"/>
        <w:jc w:val="both"/>
        <w:rPr>
          <w:rFonts w:eastAsia="Times New Roman" w:cs="Times New Roman"/>
          <w:szCs w:val="24"/>
          <w:lang w:eastAsia="es-ES"/>
        </w:rPr>
      </w:pPr>
    </w:p>
    <w:p w14:paraId="018AC2F4" w14:textId="43DDA5D5" w:rsid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 xml:space="preserve">En relación con las Cartas de Servicios, resulta necesario aclarar que, conforme a los criterios más recientes de la </w:t>
      </w:r>
      <w:r w:rsidR="00B83458">
        <w:rPr>
          <w:rFonts w:eastAsia="Times New Roman" w:cs="Times New Roman"/>
          <w:szCs w:val="24"/>
          <w:lang w:eastAsia="es-ES"/>
        </w:rPr>
        <w:t>DGGP</w:t>
      </w:r>
      <w:r w:rsidRPr="00D53306">
        <w:rPr>
          <w:rFonts w:eastAsia="Times New Roman" w:cs="Times New Roman"/>
          <w:szCs w:val="24"/>
          <w:lang w:eastAsia="es-ES"/>
        </w:rPr>
        <w:t>, la vigencia de dichas cartas se mantiene mientras no sean sustituidas por una nueva versión o retiradas expresamente, aun cuando haya transcurrido el período inicialmente previsto. Este criterio debe ser tenido en cuenta a la hora de valorar la supuesta falta de vigencia señalada en el informe provisional.</w:t>
      </w:r>
    </w:p>
    <w:p w14:paraId="313BEEC5" w14:textId="77777777" w:rsidR="000E407D" w:rsidRPr="00D53306" w:rsidRDefault="000E407D" w:rsidP="00D53306">
      <w:pPr>
        <w:spacing w:after="0" w:line="240" w:lineRule="auto"/>
        <w:jc w:val="both"/>
        <w:rPr>
          <w:rFonts w:eastAsia="Times New Roman" w:cs="Times New Roman"/>
          <w:szCs w:val="24"/>
          <w:lang w:eastAsia="es-ES"/>
        </w:rPr>
      </w:pPr>
    </w:p>
    <w:p w14:paraId="4365BA85" w14:textId="77777777" w:rsidR="00D53306" w:rsidRPr="00D53306" w:rsidRDefault="00D53306" w:rsidP="00D53306">
      <w:pPr>
        <w:spacing w:after="0" w:line="240" w:lineRule="auto"/>
        <w:jc w:val="both"/>
        <w:rPr>
          <w:rFonts w:eastAsia="Times New Roman" w:cs="Times New Roman"/>
          <w:szCs w:val="24"/>
          <w:lang w:eastAsia="es-ES"/>
        </w:rPr>
      </w:pPr>
      <w:r w:rsidRPr="00D53306">
        <w:rPr>
          <w:rFonts w:eastAsia="Times New Roman" w:cs="Times New Roman"/>
          <w:szCs w:val="24"/>
          <w:lang w:eastAsia="es-ES"/>
        </w:rPr>
        <w:t>Asimismo, en determinados departamentos, la limitada interacción directa con la ciudadanía explica objetivamente la menor existencia de cartas de servicios, sin que ello pueda considerarse un déficit de transparencia.</w:t>
      </w:r>
    </w:p>
    <w:p w14:paraId="30B15CC8" w14:textId="77777777" w:rsidR="00D53306" w:rsidRPr="00AA7B46" w:rsidRDefault="00D53306" w:rsidP="00AA7B46">
      <w:pPr>
        <w:pStyle w:val="Ttulo2"/>
      </w:pPr>
      <w:r w:rsidRPr="00AA7B46">
        <w:t>4.2. Actuaciones en curso</w:t>
      </w:r>
    </w:p>
    <w:p w14:paraId="21D424AB" w14:textId="75F07226" w:rsidR="00D53306" w:rsidRPr="00D53306" w:rsidRDefault="000E407D" w:rsidP="00D53306">
      <w:pPr>
        <w:spacing w:after="0" w:line="240" w:lineRule="auto"/>
        <w:jc w:val="both"/>
        <w:rPr>
          <w:rFonts w:eastAsia="Times New Roman" w:cs="Times New Roman"/>
          <w:szCs w:val="24"/>
          <w:lang w:eastAsia="es-ES"/>
        </w:rPr>
      </w:pPr>
      <w:r>
        <w:rPr>
          <w:rFonts w:eastAsia="Times New Roman" w:cs="Times New Roman"/>
          <w:szCs w:val="24"/>
          <w:lang w:eastAsia="es-ES"/>
        </w:rPr>
        <w:t>Desde la DGGP se</w:t>
      </w:r>
      <w:r w:rsidR="00D53306" w:rsidRPr="00D53306">
        <w:rPr>
          <w:rFonts w:eastAsia="Times New Roman" w:cs="Times New Roman"/>
          <w:szCs w:val="24"/>
          <w:lang w:eastAsia="es-ES"/>
        </w:rPr>
        <w:t xml:space="preserve"> ha instado a las </w:t>
      </w:r>
      <w:proofErr w:type="spellStart"/>
      <w:r w:rsidR="00D53306" w:rsidRPr="00D53306">
        <w:rPr>
          <w:rFonts w:eastAsia="Times New Roman" w:cs="Times New Roman"/>
          <w:szCs w:val="24"/>
          <w:lang w:eastAsia="es-ES"/>
        </w:rPr>
        <w:t>UITs</w:t>
      </w:r>
      <w:proofErr w:type="spellEnd"/>
      <w:r w:rsidR="00D53306" w:rsidRPr="00D53306">
        <w:rPr>
          <w:rFonts w:eastAsia="Times New Roman" w:cs="Times New Roman"/>
          <w:szCs w:val="24"/>
          <w:lang w:eastAsia="es-ES"/>
        </w:rPr>
        <w:t xml:space="preserve"> a revisar la vigencia de la información publicada, corregir enlaces rotos, incorporar informes de seguimiento de cartas de servicios cuando existan y analizar la posible publicación de información adicional que permita reforzar la evaluación del cumplimiento y la calidad de los servicios públicos.</w:t>
      </w:r>
    </w:p>
    <w:p w14:paraId="77FF6662" w14:textId="77777777" w:rsidR="00962243" w:rsidRDefault="00962243">
      <w:pPr>
        <w:rPr>
          <w:rFonts w:eastAsia="Times New Roman" w:cs="Times New Roman"/>
          <w:b/>
          <w:bCs/>
          <w:color w:val="2F5496" w:themeColor="accent1" w:themeShade="BF"/>
          <w:sz w:val="36"/>
          <w:szCs w:val="36"/>
          <w:lang w:eastAsia="es-ES"/>
        </w:rPr>
      </w:pPr>
      <w:r>
        <w:br w:type="page"/>
      </w:r>
    </w:p>
    <w:p w14:paraId="628F7EBF" w14:textId="078D2F22" w:rsidR="00D53306" w:rsidRDefault="00D53306" w:rsidP="00AA7B46">
      <w:pPr>
        <w:pStyle w:val="Ttulo1"/>
      </w:pPr>
      <w:r w:rsidRPr="00AA7B46">
        <w:lastRenderedPageBreak/>
        <w:t xml:space="preserve">5. </w:t>
      </w:r>
      <w:r w:rsidR="000E407D" w:rsidRPr="00AA7B46">
        <w:t>Alegaciones de los ministerios</w:t>
      </w:r>
    </w:p>
    <w:p w14:paraId="1A23B9FE" w14:textId="686D3D63" w:rsidR="00D15144" w:rsidRPr="00AA7B46" w:rsidRDefault="00D15144" w:rsidP="00D15144">
      <w:r>
        <w:t xml:space="preserve">Desde la DGGP se ha trasladado a las </w:t>
      </w:r>
      <w:proofErr w:type="spellStart"/>
      <w:r>
        <w:t>UITs</w:t>
      </w:r>
      <w:proofErr w:type="spellEnd"/>
      <w:r>
        <w:t xml:space="preserve"> el informe provisional del Consejo y se les ha instado a realizar las alegaciones, observaciones o matizaciones que considerasen oportunas acerca de dicho informe, en lo que respecta a sus respectivos ámbitos ministeriales. Esta sección recoge a continuación las alegaciones recibidas de aquellas </w:t>
      </w:r>
      <w:proofErr w:type="spellStart"/>
      <w:r>
        <w:t>UITs</w:t>
      </w:r>
      <w:proofErr w:type="spellEnd"/>
      <w:r>
        <w:t xml:space="preserve"> que consideraron conveniente proporcionarnos dicha retroalimentación</w:t>
      </w:r>
      <w:r w:rsidR="00F52D92">
        <w:t xml:space="preserve"> específica</w:t>
      </w:r>
      <w:r>
        <w:t>.</w:t>
      </w:r>
    </w:p>
    <w:p w14:paraId="1B9C8266" w14:textId="5B4AE768" w:rsidR="00C67171" w:rsidRDefault="00424702" w:rsidP="00424702">
      <w:pPr>
        <w:pStyle w:val="Ttulo2"/>
      </w:pPr>
      <w:r>
        <w:t xml:space="preserve">5.1. Alegaciones UIT </w:t>
      </w:r>
      <w:r w:rsidR="00DE2780" w:rsidRPr="00DE2780">
        <w:t>Ministerio de Agricultura, Pesca y Alimentación</w:t>
      </w:r>
    </w:p>
    <w:p w14:paraId="422359DF" w14:textId="40BE0FEE" w:rsidR="0054758A" w:rsidRPr="002376A3" w:rsidRDefault="00DC0AE4" w:rsidP="008100E3">
      <w:pPr>
        <w:pStyle w:val="Ttulo3"/>
      </w:pPr>
      <w:r w:rsidRPr="002376A3">
        <w:t>Planes y programas</w:t>
      </w:r>
    </w:p>
    <w:p w14:paraId="36B17F7C" w14:textId="43DB3112" w:rsidR="00A96A16" w:rsidRPr="00A96A16" w:rsidRDefault="00A96A16" w:rsidP="00A96A16">
      <w:pPr>
        <w:rPr>
          <w:rFonts w:cs="Times New Roman"/>
        </w:rPr>
      </w:pPr>
      <w:r w:rsidRPr="0F20E9F7">
        <w:rPr>
          <w:rFonts w:cs="Times New Roman"/>
        </w:rPr>
        <w:t xml:space="preserve">Desde esta UIT se informa a </w:t>
      </w:r>
      <w:r w:rsidR="38CAFBF2" w:rsidRPr="0F20E9F7">
        <w:rPr>
          <w:rFonts w:cs="Times New Roman"/>
        </w:rPr>
        <w:t xml:space="preserve">la </w:t>
      </w:r>
      <w:r w:rsidRPr="0F20E9F7">
        <w:rPr>
          <w:rFonts w:cs="Times New Roman"/>
        </w:rPr>
        <w:t>SGTAC que se han tomado las siguientes medidas para mitigar la problemática detectada por el CTBG:</w:t>
      </w:r>
    </w:p>
    <w:p w14:paraId="52154048" w14:textId="77777777" w:rsidR="00A96F26" w:rsidRPr="009B28E4" w:rsidRDefault="00A96F26" w:rsidP="00A96F26">
      <w:pPr>
        <w:rPr>
          <w:rFonts w:cs="Times New Roman"/>
          <w:szCs w:val="24"/>
        </w:rPr>
      </w:pPr>
      <w:r w:rsidRPr="009B28E4">
        <w:rPr>
          <w:rFonts w:cs="Times New Roman"/>
          <w:szCs w:val="24"/>
        </w:rPr>
        <w:t>Se marcan como no vigentes los siguientes planes:</w:t>
      </w:r>
    </w:p>
    <w:p w14:paraId="144FF8D4" w14:textId="77777777" w:rsidR="00A96F26" w:rsidRPr="009B28E4" w:rsidRDefault="00A96F26" w:rsidP="00EB343F">
      <w:pPr>
        <w:pStyle w:val="Prrafodelista"/>
        <w:numPr>
          <w:ilvl w:val="0"/>
          <w:numId w:val="10"/>
        </w:numPr>
        <w:rPr>
          <w:rFonts w:cs="Times New Roman"/>
          <w:szCs w:val="24"/>
        </w:rPr>
      </w:pPr>
      <w:r w:rsidRPr="009B28E4">
        <w:rPr>
          <w:rFonts w:cs="Times New Roman"/>
          <w:szCs w:val="24"/>
        </w:rPr>
        <w:t>Plan Estratégico de Subvenciones del Ministerio de Agricultura, Pesca y Alimentación para el periodo 2021-2023.</w:t>
      </w:r>
    </w:p>
    <w:p w14:paraId="5B099B5B" w14:textId="77777777" w:rsidR="00A96F26" w:rsidRPr="009B28E4" w:rsidRDefault="00A96F26" w:rsidP="00EB343F">
      <w:pPr>
        <w:pStyle w:val="Prrafodelista"/>
        <w:numPr>
          <w:ilvl w:val="0"/>
          <w:numId w:val="10"/>
        </w:numPr>
        <w:rPr>
          <w:rFonts w:cs="Times New Roman"/>
          <w:szCs w:val="24"/>
        </w:rPr>
      </w:pPr>
      <w:r w:rsidRPr="009B28E4">
        <w:rPr>
          <w:rFonts w:cs="Times New Roman"/>
          <w:szCs w:val="24"/>
        </w:rPr>
        <w:t>II Plan de Acción 2021-2023.</w:t>
      </w:r>
    </w:p>
    <w:p w14:paraId="1A99D0B2" w14:textId="77777777" w:rsidR="00A96F26" w:rsidRPr="009B28E4" w:rsidRDefault="00A96F26" w:rsidP="00A96F26">
      <w:pPr>
        <w:rPr>
          <w:rFonts w:cs="Times New Roman"/>
          <w:szCs w:val="24"/>
        </w:rPr>
      </w:pPr>
      <w:r w:rsidRPr="009B28E4">
        <w:rPr>
          <w:rFonts w:cs="Times New Roman"/>
          <w:szCs w:val="24"/>
        </w:rPr>
        <w:t>Se elimina, por no corresponderse con el contenido material de la obligación:</w:t>
      </w:r>
    </w:p>
    <w:p w14:paraId="19E7FFF4" w14:textId="77777777" w:rsidR="00A96F26" w:rsidRPr="009B28E4" w:rsidRDefault="00A96F26" w:rsidP="00EB343F">
      <w:pPr>
        <w:pStyle w:val="Prrafodelista"/>
        <w:numPr>
          <w:ilvl w:val="0"/>
          <w:numId w:val="11"/>
        </w:numPr>
        <w:rPr>
          <w:rFonts w:cs="Times New Roman"/>
          <w:szCs w:val="24"/>
        </w:rPr>
      </w:pPr>
      <w:r w:rsidRPr="009B28E4">
        <w:rPr>
          <w:rFonts w:cs="Times New Roman"/>
          <w:szCs w:val="24"/>
        </w:rPr>
        <w:t>Plan Estratégico de Subvenciones del Ministerio de Agricultura, Pesca y Alimentación para el periodo 2024-2026</w:t>
      </w:r>
    </w:p>
    <w:p w14:paraId="3D7CE963" w14:textId="08A314CA" w:rsidR="00A3006A" w:rsidRPr="00983610" w:rsidRDefault="00622B6E" w:rsidP="008100E3">
      <w:pPr>
        <w:pStyle w:val="Ttulo3"/>
      </w:pPr>
      <w:r w:rsidRPr="00983610">
        <w:t>Directrices, instrucciones, acuerdos, circulares y respuestas a consultas</w:t>
      </w:r>
    </w:p>
    <w:p w14:paraId="41DFBF61" w14:textId="4B3FEB74" w:rsidR="00655FA4" w:rsidRPr="00A96A16" w:rsidRDefault="00655FA4" w:rsidP="00A96A16">
      <w:pPr>
        <w:rPr>
          <w:rFonts w:cs="Times New Roman"/>
        </w:rPr>
      </w:pPr>
      <w:r w:rsidRPr="0F20E9F7">
        <w:rPr>
          <w:rFonts w:cs="Times New Roman"/>
        </w:rPr>
        <w:t xml:space="preserve">Desde esta UIT se informa a </w:t>
      </w:r>
      <w:r w:rsidR="5C74FA98" w:rsidRPr="0F20E9F7">
        <w:rPr>
          <w:rFonts w:cs="Times New Roman"/>
        </w:rPr>
        <w:t xml:space="preserve">la </w:t>
      </w:r>
      <w:r w:rsidRPr="0F20E9F7">
        <w:rPr>
          <w:rFonts w:cs="Times New Roman"/>
        </w:rPr>
        <w:t>SGTAC que se han tomado las siguientes medidas para mitigar la problemática detectada por el CTBG:</w:t>
      </w:r>
    </w:p>
    <w:p w14:paraId="13E57210" w14:textId="77777777" w:rsidR="00983610" w:rsidRPr="009B28E4" w:rsidRDefault="00983610" w:rsidP="00EB343F">
      <w:pPr>
        <w:pStyle w:val="Prrafodelista"/>
        <w:numPr>
          <w:ilvl w:val="0"/>
          <w:numId w:val="12"/>
        </w:numPr>
        <w:rPr>
          <w:rFonts w:cs="Times New Roman"/>
          <w:szCs w:val="24"/>
        </w:rPr>
      </w:pPr>
      <w:r w:rsidRPr="009B28E4">
        <w:rPr>
          <w:rFonts w:cs="Times New Roman"/>
          <w:szCs w:val="24"/>
        </w:rPr>
        <w:t xml:space="preserve">Se procederá a la eliminación las circulares del FEGA. </w:t>
      </w:r>
    </w:p>
    <w:p w14:paraId="645593FF" w14:textId="77777777" w:rsidR="00983610" w:rsidRPr="009B28E4" w:rsidRDefault="00983610" w:rsidP="00EB343F">
      <w:pPr>
        <w:pStyle w:val="Prrafodelista"/>
        <w:numPr>
          <w:ilvl w:val="0"/>
          <w:numId w:val="12"/>
        </w:numPr>
        <w:rPr>
          <w:rFonts w:cs="Times New Roman"/>
          <w:szCs w:val="24"/>
        </w:rPr>
      </w:pPr>
      <w:r w:rsidRPr="009B28E4">
        <w:rPr>
          <w:rFonts w:cs="Times New Roman"/>
          <w:szCs w:val="24"/>
        </w:rPr>
        <w:t>Se corrigen los enlaces rotos detectados en su ámbito.</w:t>
      </w:r>
    </w:p>
    <w:p w14:paraId="421B82B7" w14:textId="77777777" w:rsidR="00983610" w:rsidRPr="009B28E4" w:rsidRDefault="00983610" w:rsidP="00983610">
      <w:pPr>
        <w:rPr>
          <w:rFonts w:cs="Times New Roman"/>
          <w:szCs w:val="24"/>
        </w:rPr>
      </w:pPr>
      <w:r w:rsidRPr="009B28E4">
        <w:rPr>
          <w:rFonts w:cs="Times New Roman"/>
          <w:szCs w:val="24"/>
        </w:rPr>
        <w:t>Además, se informa lo siguiente:</w:t>
      </w:r>
    </w:p>
    <w:p w14:paraId="34728198" w14:textId="77777777" w:rsidR="00983610" w:rsidRPr="009B28E4" w:rsidRDefault="00983610" w:rsidP="00EB343F">
      <w:pPr>
        <w:pStyle w:val="Prrafodelista"/>
        <w:numPr>
          <w:ilvl w:val="0"/>
          <w:numId w:val="12"/>
        </w:numPr>
        <w:rPr>
          <w:rFonts w:cs="Times New Roman"/>
          <w:szCs w:val="24"/>
        </w:rPr>
      </w:pPr>
      <w:r w:rsidRPr="009B28E4">
        <w:rPr>
          <w:rFonts w:cs="Times New Roman"/>
          <w:szCs w:val="24"/>
        </w:rPr>
        <w:t>Los registros de la temática “Medioambiente y agua” son ahora parte de las competencias del Ministerio de Transición Ecológica y Reto Demográfico</w:t>
      </w:r>
    </w:p>
    <w:p w14:paraId="16F91333" w14:textId="2BCE6966" w:rsidR="002376A3" w:rsidRPr="00DC0AE4" w:rsidRDefault="00977F17" w:rsidP="00983610">
      <w:pPr>
        <w:pStyle w:val="Ttulo3"/>
      </w:pPr>
      <w:r>
        <w:t>Información estadística</w:t>
      </w:r>
    </w:p>
    <w:p w14:paraId="55D2A62F" w14:textId="08F01C0E" w:rsidR="00655FA4" w:rsidRPr="00655FA4" w:rsidRDefault="00655FA4" w:rsidP="00655FA4">
      <w:pPr>
        <w:rPr>
          <w:rFonts w:cs="Times New Roman"/>
        </w:rPr>
      </w:pPr>
      <w:r w:rsidRPr="0F20E9F7">
        <w:rPr>
          <w:rFonts w:cs="Times New Roman"/>
        </w:rPr>
        <w:t xml:space="preserve">Desde esta UIT se informa a </w:t>
      </w:r>
      <w:r w:rsidR="2260E92F" w:rsidRPr="0F20E9F7">
        <w:rPr>
          <w:rFonts w:cs="Times New Roman"/>
        </w:rPr>
        <w:t xml:space="preserve">la </w:t>
      </w:r>
      <w:r w:rsidRPr="0F20E9F7">
        <w:rPr>
          <w:rFonts w:cs="Times New Roman"/>
        </w:rPr>
        <w:t>SGTAC que se han tomado las siguientes medidas para mitigar la problemática detectada por el CTBG:</w:t>
      </w:r>
    </w:p>
    <w:p w14:paraId="33F7740B" w14:textId="328DDAEF" w:rsidR="00977F17" w:rsidRPr="009B28E4" w:rsidRDefault="00655FA4" w:rsidP="00EB343F">
      <w:pPr>
        <w:pStyle w:val="Prrafodelista"/>
        <w:numPr>
          <w:ilvl w:val="0"/>
          <w:numId w:val="5"/>
        </w:numPr>
        <w:rPr>
          <w:rFonts w:cs="Times New Roman"/>
          <w:szCs w:val="24"/>
        </w:rPr>
      </w:pPr>
      <w:r>
        <w:rPr>
          <w:rFonts w:cs="Times New Roman"/>
          <w:szCs w:val="24"/>
        </w:rPr>
        <w:t>Se propone</w:t>
      </w:r>
      <w:r w:rsidR="00977F17" w:rsidRPr="009B28E4">
        <w:rPr>
          <w:rFonts w:cs="Times New Roman"/>
          <w:szCs w:val="24"/>
        </w:rPr>
        <w:t xml:space="preserve"> la eliminación de los informes de Contratación del Seguro Agrario, pese a que en la web a la que se referencia se deja claro su carácter histórico. </w:t>
      </w:r>
    </w:p>
    <w:p w14:paraId="372B8F15" w14:textId="77777777" w:rsidR="00977F17" w:rsidRPr="009B28E4" w:rsidRDefault="00977F17" w:rsidP="00EB343F">
      <w:pPr>
        <w:pStyle w:val="Prrafodelista"/>
        <w:numPr>
          <w:ilvl w:val="0"/>
          <w:numId w:val="5"/>
        </w:numPr>
        <w:rPr>
          <w:rFonts w:cs="Times New Roman"/>
          <w:szCs w:val="24"/>
        </w:rPr>
      </w:pPr>
      <w:r w:rsidRPr="009B28E4">
        <w:rPr>
          <w:rFonts w:cs="Times New Roman"/>
          <w:szCs w:val="24"/>
        </w:rPr>
        <w:t>Se procede a la eliminación del enlace a los Programas Editoriales del Ministerio de Agricultura, Pesca y Alimentación.</w:t>
      </w:r>
    </w:p>
    <w:p w14:paraId="1D1CDE3D" w14:textId="77777777" w:rsidR="00977F17" w:rsidRPr="009B28E4" w:rsidRDefault="00977F17" w:rsidP="00EB343F">
      <w:pPr>
        <w:pStyle w:val="Prrafodelista"/>
        <w:numPr>
          <w:ilvl w:val="0"/>
          <w:numId w:val="5"/>
        </w:numPr>
        <w:rPr>
          <w:rFonts w:cs="Times New Roman"/>
          <w:szCs w:val="24"/>
        </w:rPr>
      </w:pPr>
      <w:r w:rsidRPr="009B28E4">
        <w:rPr>
          <w:rFonts w:cs="Times New Roman"/>
          <w:szCs w:val="24"/>
        </w:rPr>
        <w:t>Se procede a la actualización de los enlaces rotos en los siguientes elementos:</w:t>
      </w:r>
    </w:p>
    <w:p w14:paraId="77869A2E"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lastRenderedPageBreak/>
        <w:t xml:space="preserve">Indicadores Territoriales por Comunidades Autónomas: </w:t>
      </w:r>
      <w:hyperlink r:id="rId10" w:history="1">
        <w:r w:rsidRPr="009B28E4">
          <w:rPr>
            <w:rStyle w:val="Hipervnculo"/>
            <w:rFonts w:eastAsia="Times New Roman" w:cs="Times New Roman"/>
            <w:szCs w:val="24"/>
          </w:rPr>
          <w:t>Indicadores Territoriales por Comunidades Autónomas</w:t>
        </w:r>
      </w:hyperlink>
    </w:p>
    <w:p w14:paraId="01D5D69E"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Informe anual de comercio exterior: </w:t>
      </w:r>
      <w:hyperlink r:id="rId11" w:history="1">
        <w:r w:rsidRPr="009B28E4">
          <w:rPr>
            <w:rStyle w:val="Hipervnculo"/>
            <w:rFonts w:eastAsia="Times New Roman" w:cs="Times New Roman"/>
            <w:szCs w:val="24"/>
          </w:rPr>
          <w:t>Análisis del Comercio Exterior</w:t>
        </w:r>
      </w:hyperlink>
    </w:p>
    <w:p w14:paraId="03972147"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Precios Medios Anuales de las Tierras de Uso Agrario: </w:t>
      </w:r>
      <w:hyperlink r:id="rId12" w:history="1">
        <w:r w:rsidRPr="009B28E4">
          <w:rPr>
            <w:rStyle w:val="Hipervnculo"/>
            <w:rFonts w:eastAsia="Times New Roman" w:cs="Times New Roman"/>
            <w:szCs w:val="24"/>
          </w:rPr>
          <w:t>Precios Medios Anuales de las Tierras de Uso Agrario</w:t>
        </w:r>
      </w:hyperlink>
    </w:p>
    <w:p w14:paraId="57E444E9"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Informe Anual de Indicadores: </w:t>
      </w:r>
      <w:hyperlink r:id="rId13" w:history="1">
        <w:r w:rsidRPr="009B28E4">
          <w:rPr>
            <w:rStyle w:val="Hipervnculo"/>
            <w:rFonts w:eastAsia="Times New Roman" w:cs="Times New Roman"/>
            <w:szCs w:val="24"/>
          </w:rPr>
          <w:t>Indicadores de agricultura, pesca y alimentación</w:t>
        </w:r>
      </w:hyperlink>
    </w:p>
    <w:p w14:paraId="6B347E3E" w14:textId="77777777" w:rsidR="00977F17" w:rsidRPr="009B28E4" w:rsidRDefault="00977F17" w:rsidP="00EB343F">
      <w:pPr>
        <w:pStyle w:val="Prrafodelista"/>
        <w:numPr>
          <w:ilvl w:val="0"/>
          <w:numId w:val="5"/>
        </w:numPr>
        <w:rPr>
          <w:rFonts w:cs="Times New Roman"/>
          <w:szCs w:val="24"/>
        </w:rPr>
      </w:pPr>
      <w:r w:rsidRPr="009B28E4">
        <w:rPr>
          <w:rFonts w:eastAsia="Times New Roman" w:cs="Times New Roman"/>
          <w:szCs w:val="24"/>
        </w:rPr>
        <w:t>Se propone, por parte de la Subdirección General de Análisis, Coordinación y Estadística, incorporar al Portal los siguientes documentos (se solicita criterio de si se consideran relevantes o adecuados a la obligación antes de publicarlos):</w:t>
      </w:r>
    </w:p>
    <w:p w14:paraId="57DBF8BF"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Encuestas de Efectivos de Ganado: </w:t>
      </w:r>
      <w:hyperlink r:id="rId14" w:history="1">
        <w:r w:rsidRPr="009B28E4">
          <w:rPr>
            <w:rStyle w:val="Hipervnculo"/>
            <w:rFonts w:eastAsia="Times New Roman" w:cs="Times New Roman"/>
            <w:szCs w:val="24"/>
          </w:rPr>
          <w:t>Encuestas de Efectivos de Ganado</w:t>
        </w:r>
      </w:hyperlink>
    </w:p>
    <w:p w14:paraId="2CE2AAB4"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Encuesta de sacrificio de ganado: </w:t>
      </w:r>
      <w:hyperlink r:id="rId15" w:history="1">
        <w:r w:rsidRPr="009B28E4">
          <w:rPr>
            <w:rStyle w:val="Hipervnculo"/>
            <w:rFonts w:eastAsia="Times New Roman" w:cs="Times New Roman"/>
            <w:szCs w:val="24"/>
          </w:rPr>
          <w:t>Encuesta de sacrificio de ganado</w:t>
        </w:r>
      </w:hyperlink>
    </w:p>
    <w:p w14:paraId="0EBB83C6"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Estadística de lana: </w:t>
      </w:r>
      <w:hyperlink r:id="rId16" w:history="1">
        <w:r w:rsidRPr="009B28E4">
          <w:rPr>
            <w:rStyle w:val="Hipervnculo"/>
            <w:rFonts w:eastAsia="Times New Roman" w:cs="Times New Roman"/>
            <w:szCs w:val="24"/>
          </w:rPr>
          <w:t>Estadística de lana</w:t>
        </w:r>
      </w:hyperlink>
    </w:p>
    <w:p w14:paraId="4ABB083D"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Encuesta mensual y anual de salas de incubación: </w:t>
      </w:r>
      <w:hyperlink r:id="rId17" w:history="1">
        <w:r w:rsidRPr="009B28E4">
          <w:rPr>
            <w:rStyle w:val="Hipervnculo"/>
            <w:rFonts w:eastAsia="Times New Roman" w:cs="Times New Roman"/>
            <w:szCs w:val="24"/>
          </w:rPr>
          <w:t>Encuesta mensual y anual de salas de incubación</w:t>
        </w:r>
      </w:hyperlink>
    </w:p>
    <w:p w14:paraId="0437E6AD"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Estadísticas Lácteas: </w:t>
      </w:r>
      <w:hyperlink r:id="rId18" w:history="1">
        <w:r w:rsidRPr="009B28E4">
          <w:rPr>
            <w:rStyle w:val="Hipervnculo"/>
            <w:rFonts w:eastAsia="Times New Roman" w:cs="Times New Roman"/>
            <w:szCs w:val="24"/>
          </w:rPr>
          <w:t>Estadísticas Lácteas</w:t>
        </w:r>
      </w:hyperlink>
    </w:p>
    <w:p w14:paraId="6F993E81"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Encuesta Nacional de Cunicultura: </w:t>
      </w:r>
      <w:hyperlink r:id="rId19" w:history="1">
        <w:r w:rsidRPr="009B28E4">
          <w:rPr>
            <w:rStyle w:val="Hipervnculo"/>
            <w:rFonts w:eastAsia="Times New Roman" w:cs="Times New Roman"/>
            <w:szCs w:val="24"/>
          </w:rPr>
          <w:t>Encuesta Nacional de Cunicultura</w:t>
        </w:r>
      </w:hyperlink>
    </w:p>
    <w:p w14:paraId="64FFDBE3"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Estadística agraria y pesquera digital: </w:t>
      </w:r>
      <w:hyperlink r:id="rId20" w:history="1">
        <w:r w:rsidRPr="009B28E4">
          <w:rPr>
            <w:rStyle w:val="Hipervnculo"/>
            <w:rFonts w:eastAsia="Times New Roman" w:cs="Times New Roman"/>
            <w:szCs w:val="24"/>
          </w:rPr>
          <w:t>Estadística digital</w:t>
        </w:r>
      </w:hyperlink>
    </w:p>
    <w:p w14:paraId="46A38B93"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Avances de superficies y producciones de cultivos: </w:t>
      </w:r>
      <w:hyperlink r:id="rId21" w:history="1">
        <w:r w:rsidRPr="009B28E4">
          <w:rPr>
            <w:rStyle w:val="Hipervnculo"/>
            <w:rFonts w:eastAsia="Times New Roman" w:cs="Times New Roman"/>
            <w:szCs w:val="24"/>
          </w:rPr>
          <w:t>Avances de superficies y producciones de cultivos</w:t>
        </w:r>
      </w:hyperlink>
    </w:p>
    <w:p w14:paraId="0B2E66C4"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Superficies y producciones anuales de cultivos: </w:t>
      </w:r>
      <w:hyperlink r:id="rId22" w:history="1">
        <w:r w:rsidRPr="009B28E4">
          <w:rPr>
            <w:rStyle w:val="Hipervnculo"/>
            <w:rFonts w:eastAsia="Times New Roman" w:cs="Times New Roman"/>
            <w:szCs w:val="24"/>
          </w:rPr>
          <w:t>Superficies y producciones anuales de cultivos</w:t>
        </w:r>
      </w:hyperlink>
    </w:p>
    <w:p w14:paraId="0E2910F3" w14:textId="77777777" w:rsidR="00977F17" w:rsidRPr="009B28E4" w:rsidRDefault="00977F17" w:rsidP="00EB343F">
      <w:pPr>
        <w:pStyle w:val="Prrafodelista"/>
        <w:numPr>
          <w:ilvl w:val="1"/>
          <w:numId w:val="5"/>
        </w:numPr>
        <w:rPr>
          <w:rFonts w:cs="Times New Roman"/>
          <w:szCs w:val="24"/>
        </w:rPr>
      </w:pPr>
      <w:r w:rsidRPr="009B28E4">
        <w:rPr>
          <w:rFonts w:eastAsia="Times New Roman" w:cs="Times New Roman"/>
          <w:szCs w:val="24"/>
        </w:rPr>
        <w:t xml:space="preserve">Tendencias mensuales de rendimientos de cultivos: </w:t>
      </w:r>
      <w:hyperlink r:id="rId23" w:history="1">
        <w:r w:rsidRPr="009B28E4">
          <w:rPr>
            <w:rStyle w:val="Hipervnculo"/>
            <w:rFonts w:eastAsia="Times New Roman" w:cs="Times New Roman"/>
            <w:szCs w:val="24"/>
          </w:rPr>
          <w:t>Encuesta sobre Superficies y Rendimientos Cultivos (ESYRCE). Tendencias mensuales de rendimientos de cultivos</w:t>
        </w:r>
      </w:hyperlink>
    </w:p>
    <w:p w14:paraId="587BE00A" w14:textId="77777777" w:rsidR="00977F17" w:rsidRPr="00D9725B" w:rsidRDefault="00977F17" w:rsidP="00EB343F">
      <w:pPr>
        <w:pStyle w:val="Prrafodelista"/>
        <w:numPr>
          <w:ilvl w:val="1"/>
          <w:numId w:val="5"/>
        </w:numPr>
        <w:rPr>
          <w:rFonts w:cs="Times New Roman"/>
        </w:rPr>
      </w:pPr>
      <w:r w:rsidRPr="009B28E4">
        <w:rPr>
          <w:rFonts w:eastAsia="Times New Roman" w:cs="Times New Roman"/>
          <w:szCs w:val="24"/>
        </w:rPr>
        <w:t xml:space="preserve">Estudios de costes y rentas de las Explotaciones Agrarias (ECREA): </w:t>
      </w:r>
      <w:hyperlink r:id="rId24" w:history="1">
        <w:r w:rsidRPr="009B28E4">
          <w:rPr>
            <w:rStyle w:val="Hipervnculo"/>
            <w:rFonts w:eastAsia="Times New Roman" w:cs="Times New Roman"/>
            <w:szCs w:val="24"/>
          </w:rPr>
          <w:t>Estudios de costes y rentas de las Explotaciones Agrarias (ECREA)</w:t>
        </w:r>
      </w:hyperlink>
    </w:p>
    <w:p w14:paraId="3D995570" w14:textId="48218A81" w:rsidR="00977F17" w:rsidRPr="00DC0AE4" w:rsidRDefault="009558AE" w:rsidP="008A1EA7">
      <w:pPr>
        <w:pStyle w:val="Ttulo2"/>
      </w:pPr>
      <w:r>
        <w:t xml:space="preserve">5.2. Alegaciones </w:t>
      </w:r>
      <w:r w:rsidR="00357AD0" w:rsidRPr="00357AD0">
        <w:t>UIT Ministerio de Asuntos Exteriores, Unión Europea y Cooperación</w:t>
      </w:r>
    </w:p>
    <w:p w14:paraId="1AC699D4" w14:textId="7F1C9E0D" w:rsidR="00357AD0" w:rsidRDefault="00357AD0" w:rsidP="00357AD0">
      <w:pPr>
        <w:pStyle w:val="Ttulo3"/>
      </w:pPr>
      <w:r>
        <w:t>Planes y programas</w:t>
      </w:r>
    </w:p>
    <w:p w14:paraId="79ACF873" w14:textId="6B42E0DB" w:rsidR="00655FA4" w:rsidRPr="00655FA4" w:rsidRDefault="00655FA4" w:rsidP="00655FA4">
      <w:pPr>
        <w:rPr>
          <w:rFonts w:cs="Times New Roman"/>
        </w:rPr>
      </w:pPr>
      <w:r w:rsidRPr="0F20E9F7">
        <w:rPr>
          <w:rFonts w:cs="Times New Roman"/>
        </w:rPr>
        <w:t xml:space="preserve">Desde esta UIT se informa a </w:t>
      </w:r>
      <w:r w:rsidR="6AD00F88" w:rsidRPr="0F20E9F7">
        <w:rPr>
          <w:rFonts w:cs="Times New Roman"/>
        </w:rPr>
        <w:t xml:space="preserve">la </w:t>
      </w:r>
      <w:r w:rsidRPr="0F20E9F7">
        <w:rPr>
          <w:rFonts w:cs="Times New Roman"/>
        </w:rPr>
        <w:t>SGTAC que se han tomado las siguientes medidas para mitigar la problemática detectada por el CTBG:</w:t>
      </w:r>
    </w:p>
    <w:p w14:paraId="59C52BE5" w14:textId="77777777" w:rsidR="000F48B1" w:rsidRPr="009B28E4" w:rsidRDefault="000F48B1" w:rsidP="00EB343F">
      <w:pPr>
        <w:pStyle w:val="Prrafodelista"/>
        <w:numPr>
          <w:ilvl w:val="0"/>
          <w:numId w:val="11"/>
        </w:numPr>
        <w:rPr>
          <w:rFonts w:cs="Times New Roman"/>
          <w:szCs w:val="24"/>
        </w:rPr>
      </w:pPr>
      <w:r w:rsidRPr="009B28E4">
        <w:rPr>
          <w:rFonts w:cs="Times New Roman"/>
          <w:szCs w:val="24"/>
        </w:rPr>
        <w:t>Se han marcado como no vigentes aquellos planes ya finalizados.</w:t>
      </w:r>
    </w:p>
    <w:p w14:paraId="7C31D86A" w14:textId="77777777" w:rsidR="000F48B1" w:rsidRPr="009B28E4" w:rsidRDefault="000F48B1" w:rsidP="00EB343F">
      <w:pPr>
        <w:pStyle w:val="Prrafodelista"/>
        <w:numPr>
          <w:ilvl w:val="0"/>
          <w:numId w:val="11"/>
        </w:numPr>
        <w:rPr>
          <w:rFonts w:cs="Times New Roman"/>
          <w:szCs w:val="24"/>
        </w:rPr>
      </w:pPr>
      <w:r w:rsidRPr="009B28E4">
        <w:rPr>
          <w:rFonts w:cs="Times New Roman"/>
          <w:szCs w:val="24"/>
        </w:rPr>
        <w:t>Se ha realizado la publicación de 4 planes adicionales del Ministerio.</w:t>
      </w:r>
    </w:p>
    <w:p w14:paraId="79C4B587" w14:textId="0A4EC3A6" w:rsidR="00357AD0" w:rsidRPr="00DC0AE4" w:rsidRDefault="000F48B1" w:rsidP="00357AD0">
      <w:pPr>
        <w:pStyle w:val="Ttulo3"/>
      </w:pPr>
      <w:r>
        <w:t>Directrices, acuerdos, instrucciones, circulares y respuestas a consultas</w:t>
      </w:r>
    </w:p>
    <w:p w14:paraId="205415E5" w14:textId="50CE9269" w:rsidR="009F27A1" w:rsidRPr="009B28E4" w:rsidRDefault="009F27A1" w:rsidP="009F27A1">
      <w:pPr>
        <w:rPr>
          <w:rFonts w:cs="Times New Roman"/>
        </w:rPr>
      </w:pPr>
      <w:r w:rsidRPr="0F20E9F7">
        <w:rPr>
          <w:rFonts w:cs="Times New Roman"/>
        </w:rPr>
        <w:t xml:space="preserve">Desde esta UIT se informa a </w:t>
      </w:r>
      <w:r w:rsidR="1EB96D99" w:rsidRPr="0F20E9F7">
        <w:rPr>
          <w:rFonts w:cs="Times New Roman"/>
        </w:rPr>
        <w:t xml:space="preserve">la </w:t>
      </w:r>
      <w:r w:rsidRPr="0F20E9F7">
        <w:rPr>
          <w:rFonts w:cs="Times New Roman"/>
        </w:rPr>
        <w:t>SGTAC que se pondrán en contacto con la S</w:t>
      </w:r>
      <w:r w:rsidR="009B5316">
        <w:rPr>
          <w:rFonts w:cs="Times New Roman"/>
        </w:rPr>
        <w:t xml:space="preserve">ecretaría </w:t>
      </w:r>
      <w:r w:rsidRPr="0F20E9F7">
        <w:rPr>
          <w:rFonts w:cs="Times New Roman"/>
        </w:rPr>
        <w:t>G</w:t>
      </w:r>
      <w:r w:rsidR="009B5316">
        <w:rPr>
          <w:rFonts w:cs="Times New Roman"/>
        </w:rPr>
        <w:t xml:space="preserve">eneral </w:t>
      </w:r>
      <w:r w:rsidRPr="0F20E9F7">
        <w:rPr>
          <w:rFonts w:cs="Times New Roman"/>
        </w:rPr>
        <w:t>T</w:t>
      </w:r>
      <w:r w:rsidR="009B5316">
        <w:rPr>
          <w:rFonts w:cs="Times New Roman"/>
        </w:rPr>
        <w:t>écnica</w:t>
      </w:r>
      <w:r w:rsidRPr="0F20E9F7">
        <w:rPr>
          <w:rFonts w:cs="Times New Roman"/>
        </w:rPr>
        <w:t xml:space="preserve"> del Ministerio para que esta envíe la información adecuada para publicar en este apartado.</w:t>
      </w:r>
    </w:p>
    <w:p w14:paraId="454C1985" w14:textId="7C6FF8A2" w:rsidR="000F48B1" w:rsidRDefault="009F27A1" w:rsidP="009F27A1">
      <w:pPr>
        <w:pStyle w:val="Ttulo3"/>
      </w:pPr>
      <w:r>
        <w:t>Información estadística</w:t>
      </w:r>
    </w:p>
    <w:p w14:paraId="0F31A1DA" w14:textId="7AB9790E" w:rsidR="00830E30" w:rsidRDefault="00830E30" w:rsidP="00830E30">
      <w:pPr>
        <w:rPr>
          <w:rFonts w:cs="Times New Roman"/>
          <w:szCs w:val="24"/>
        </w:rPr>
      </w:pPr>
      <w:r w:rsidRPr="009B28E4">
        <w:rPr>
          <w:rFonts w:cs="Times New Roman"/>
          <w:szCs w:val="24"/>
        </w:rPr>
        <w:lastRenderedPageBreak/>
        <w:t>Desde esta UIT informan que se pondrán en contacto con las unidades correspondientes (S</w:t>
      </w:r>
      <w:r w:rsidR="009B5316">
        <w:rPr>
          <w:rFonts w:cs="Times New Roman"/>
          <w:szCs w:val="24"/>
        </w:rPr>
        <w:t xml:space="preserve">ecretaría </w:t>
      </w:r>
      <w:r w:rsidRPr="009B28E4">
        <w:rPr>
          <w:rFonts w:cs="Times New Roman"/>
          <w:szCs w:val="24"/>
        </w:rPr>
        <w:t>G</w:t>
      </w:r>
      <w:r w:rsidR="009B5316">
        <w:rPr>
          <w:rFonts w:cs="Times New Roman"/>
          <w:szCs w:val="24"/>
        </w:rPr>
        <w:t xml:space="preserve">eneral </w:t>
      </w:r>
      <w:r w:rsidRPr="009B28E4">
        <w:rPr>
          <w:rFonts w:cs="Times New Roman"/>
          <w:szCs w:val="24"/>
        </w:rPr>
        <w:t>T</w:t>
      </w:r>
      <w:r w:rsidR="009B5316">
        <w:rPr>
          <w:rFonts w:cs="Times New Roman"/>
          <w:szCs w:val="24"/>
        </w:rPr>
        <w:t>écnica</w:t>
      </w:r>
      <w:r w:rsidRPr="009B28E4">
        <w:rPr>
          <w:rFonts w:cs="Times New Roman"/>
          <w:szCs w:val="24"/>
        </w:rPr>
        <w:t>/Vice</w:t>
      </w:r>
      <w:r w:rsidR="009B5316">
        <w:rPr>
          <w:rFonts w:cs="Times New Roman"/>
          <w:szCs w:val="24"/>
        </w:rPr>
        <w:t>secretaría</w:t>
      </w:r>
      <w:r w:rsidRPr="009B28E4">
        <w:rPr>
          <w:rFonts w:cs="Times New Roman"/>
          <w:szCs w:val="24"/>
        </w:rPr>
        <w:t xml:space="preserve"> G</w:t>
      </w:r>
      <w:r w:rsidR="005C0E6E">
        <w:rPr>
          <w:rFonts w:cs="Times New Roman"/>
          <w:szCs w:val="24"/>
        </w:rPr>
        <w:t xml:space="preserve">eneral </w:t>
      </w:r>
      <w:r w:rsidRPr="009B28E4">
        <w:rPr>
          <w:rFonts w:cs="Times New Roman"/>
          <w:szCs w:val="24"/>
        </w:rPr>
        <w:t>T</w:t>
      </w:r>
      <w:r w:rsidR="005C0E6E">
        <w:rPr>
          <w:rFonts w:cs="Times New Roman"/>
          <w:szCs w:val="24"/>
        </w:rPr>
        <w:t>écnica</w:t>
      </w:r>
      <w:r w:rsidRPr="009B28E4">
        <w:rPr>
          <w:rFonts w:cs="Times New Roman"/>
          <w:szCs w:val="24"/>
        </w:rPr>
        <w:t>) para recopilar la información necesaria sobre cartas de servicios y datos de calidad de éstos.</w:t>
      </w:r>
    </w:p>
    <w:p w14:paraId="458560AB" w14:textId="3E514345" w:rsidR="003F040D" w:rsidRDefault="003F040D" w:rsidP="003F040D">
      <w:pPr>
        <w:pStyle w:val="Ttulo2"/>
      </w:pPr>
      <w:r>
        <w:t xml:space="preserve">5.3Alegaciones UIT </w:t>
      </w:r>
      <w:r w:rsidRPr="001B6059">
        <w:t xml:space="preserve">Ministerio de </w:t>
      </w:r>
      <w:r>
        <w:t xml:space="preserve">Cultura </w:t>
      </w:r>
    </w:p>
    <w:p w14:paraId="20A3EE02" w14:textId="77777777" w:rsidR="00F43620" w:rsidRDefault="00F43620" w:rsidP="00F43620">
      <w:pPr>
        <w:pStyle w:val="Ttulo3"/>
      </w:pPr>
      <w:r>
        <w:t>Planes y programas</w:t>
      </w:r>
    </w:p>
    <w:p w14:paraId="252EA771" w14:textId="15D26D82" w:rsidR="00F43620" w:rsidRDefault="00F43620" w:rsidP="00F43620">
      <w:pPr>
        <w:rPr>
          <w:rFonts w:cs="Times New Roman"/>
        </w:rPr>
      </w:pPr>
      <w:r>
        <w:rPr>
          <w:rFonts w:cs="Times New Roman"/>
        </w:rPr>
        <w:t xml:space="preserve">La </w:t>
      </w:r>
      <w:r w:rsidRPr="00F43620">
        <w:rPr>
          <w:rFonts w:cs="Times New Roman"/>
        </w:rPr>
        <w:t xml:space="preserve">UIT informó de que había subido el informe de seguimiento del </w:t>
      </w:r>
      <w:r w:rsidR="005C0E6E">
        <w:rPr>
          <w:rFonts w:cs="Times New Roman"/>
        </w:rPr>
        <w:t>plan es</w:t>
      </w:r>
      <w:r w:rsidR="005427A3">
        <w:rPr>
          <w:rFonts w:cs="Times New Roman"/>
        </w:rPr>
        <w:t>tr</w:t>
      </w:r>
      <w:r w:rsidR="00C148F0">
        <w:rPr>
          <w:rFonts w:cs="Times New Roman"/>
        </w:rPr>
        <w:t xml:space="preserve">atégico de </w:t>
      </w:r>
      <w:r w:rsidR="005C0E6E">
        <w:rPr>
          <w:rFonts w:cs="Times New Roman"/>
        </w:rPr>
        <w:t>s</w:t>
      </w:r>
      <w:r w:rsidR="00C148F0">
        <w:rPr>
          <w:rFonts w:cs="Times New Roman"/>
        </w:rPr>
        <w:t>ub</w:t>
      </w:r>
      <w:r w:rsidR="00FE5AA9">
        <w:rPr>
          <w:rFonts w:cs="Times New Roman"/>
        </w:rPr>
        <w:t>venciones</w:t>
      </w:r>
      <w:r w:rsidRPr="00F43620">
        <w:rPr>
          <w:rFonts w:cs="Times New Roman"/>
        </w:rPr>
        <w:t xml:space="preserve"> expresando que con eso entendía que su información era correcta. </w:t>
      </w:r>
    </w:p>
    <w:p w14:paraId="50CF1A2C" w14:textId="2217ECE8" w:rsidR="00F43620" w:rsidRPr="00F43620" w:rsidRDefault="00F43620" w:rsidP="00F43620">
      <w:pPr>
        <w:rPr>
          <w:rFonts w:cs="Times New Roman"/>
        </w:rPr>
      </w:pPr>
      <w:r w:rsidRPr="00F43620">
        <w:rPr>
          <w:rFonts w:cs="Times New Roman"/>
        </w:rPr>
        <w:t xml:space="preserve">Desde </w:t>
      </w:r>
      <w:r>
        <w:rPr>
          <w:rFonts w:cs="Times New Roman"/>
        </w:rPr>
        <w:t xml:space="preserve">la </w:t>
      </w:r>
      <w:r w:rsidRPr="00F43620">
        <w:rPr>
          <w:rFonts w:cs="Times New Roman"/>
        </w:rPr>
        <w:t xml:space="preserve">SGTAC se le respondió, como al resto de las </w:t>
      </w:r>
      <w:proofErr w:type="spellStart"/>
      <w:r w:rsidRPr="00F43620">
        <w:rPr>
          <w:rFonts w:cs="Times New Roman"/>
        </w:rPr>
        <w:t>UITs</w:t>
      </w:r>
      <w:proofErr w:type="spellEnd"/>
      <w:r w:rsidRPr="00F43620">
        <w:rPr>
          <w:rFonts w:cs="Times New Roman"/>
        </w:rPr>
        <w:t xml:space="preserve">, que en realidad debían retirar la publicación de los </w:t>
      </w:r>
      <w:r w:rsidR="005C0E6E">
        <w:rPr>
          <w:rFonts w:cs="Times New Roman"/>
        </w:rPr>
        <w:t>p</w:t>
      </w:r>
      <w:r w:rsidR="00607D97">
        <w:rPr>
          <w:rFonts w:cs="Times New Roman"/>
        </w:rPr>
        <w:t xml:space="preserve">lanes </w:t>
      </w:r>
      <w:r w:rsidR="005C0E6E">
        <w:rPr>
          <w:rFonts w:cs="Times New Roman"/>
        </w:rPr>
        <w:t>e</w:t>
      </w:r>
      <w:r w:rsidR="00607D97">
        <w:rPr>
          <w:rFonts w:cs="Times New Roman"/>
        </w:rPr>
        <w:t xml:space="preserve">stratégicos de </w:t>
      </w:r>
      <w:r w:rsidR="005C0E6E">
        <w:rPr>
          <w:rFonts w:cs="Times New Roman"/>
        </w:rPr>
        <w:t>s</w:t>
      </w:r>
      <w:r w:rsidR="00607D97">
        <w:rPr>
          <w:rFonts w:cs="Times New Roman"/>
        </w:rPr>
        <w:t>ubvenciones</w:t>
      </w:r>
      <w:r w:rsidRPr="00F43620">
        <w:rPr>
          <w:rFonts w:cs="Times New Roman"/>
        </w:rPr>
        <w:t xml:space="preserve"> por no corresponderse con el objeto material de la obligación según el criterio interpretativo del Consejo.</w:t>
      </w:r>
    </w:p>
    <w:p w14:paraId="35229221" w14:textId="620DCA92" w:rsidR="004F3876" w:rsidRPr="00DC0AE4" w:rsidRDefault="00A55098" w:rsidP="00A55098">
      <w:pPr>
        <w:pStyle w:val="Ttulo2"/>
      </w:pPr>
      <w:r>
        <w:t>5.</w:t>
      </w:r>
      <w:r w:rsidR="00F43620">
        <w:t>4</w:t>
      </w:r>
      <w:r>
        <w:t xml:space="preserve">. Alegaciones UIT </w:t>
      </w:r>
      <w:r w:rsidR="001B6059" w:rsidRPr="001B6059">
        <w:t>Ministerio de Derechos Sociales, Consumo y Agenda 2030</w:t>
      </w:r>
    </w:p>
    <w:p w14:paraId="536E249F" w14:textId="77777777" w:rsidR="007900FB" w:rsidRDefault="007900FB" w:rsidP="007900FB">
      <w:pPr>
        <w:pStyle w:val="Ttulo3"/>
      </w:pPr>
      <w:r>
        <w:t>Planes y programas</w:t>
      </w:r>
    </w:p>
    <w:p w14:paraId="11BDC236" w14:textId="77777777" w:rsidR="00D9725B" w:rsidRPr="009B28E4" w:rsidRDefault="00D9725B" w:rsidP="00C72842">
      <w:pPr>
        <w:jc w:val="both"/>
        <w:rPr>
          <w:rFonts w:cs="Times New Roman"/>
          <w:szCs w:val="24"/>
        </w:rPr>
      </w:pPr>
      <w:r w:rsidRPr="009B28E4">
        <w:rPr>
          <w:rFonts w:cs="Times New Roman"/>
          <w:szCs w:val="24"/>
        </w:rPr>
        <w:t>Esta UIT, tras realizar una revisión del contenido que actualmente tiene publicado en esta sección del Portal de la Transparencia, informa lo siguiente:</w:t>
      </w:r>
    </w:p>
    <w:p w14:paraId="38FAD753" w14:textId="77777777" w:rsidR="00D82764" w:rsidRDefault="00ED06A8" w:rsidP="00C72842">
      <w:pPr>
        <w:jc w:val="both"/>
        <w:rPr>
          <w:rFonts w:cs="Times New Roman"/>
        </w:rPr>
      </w:pPr>
      <w:r w:rsidRPr="00ED06A8">
        <w:rPr>
          <w:rFonts w:cs="Times New Roman"/>
        </w:rPr>
        <w:t>Tras revisar el contenido publicado en esta sección del Portal de la Transparencia, esta UIT informa que, considerando la estructura del Portal y las obligaciones de publicidad activa establecidas en la Ley 19/2013, de 9 de diciembre, incluyendo funciones, normativa aplicable, estructura organizativa e instrumentos de planificación, la ubicación actual de la información no constituye un incumplimiento. Asimismo, no se identifica un lugar más adecuado dentro del Portal para la publicación de los documentos analizados por el CTBG.</w:t>
      </w:r>
    </w:p>
    <w:p w14:paraId="4E2AE20B" w14:textId="2055E1AE" w:rsidR="00D9725B" w:rsidRPr="009B28E4" w:rsidRDefault="00D82764" w:rsidP="00C72842">
      <w:pPr>
        <w:jc w:val="both"/>
        <w:rPr>
          <w:rFonts w:cs="Times New Roman"/>
        </w:rPr>
      </w:pPr>
      <w:r>
        <w:rPr>
          <w:rFonts w:cs="Times New Roman"/>
        </w:rPr>
        <w:t>Asimismo</w:t>
      </w:r>
      <w:r w:rsidR="00D9725B" w:rsidRPr="0F20E9F7">
        <w:rPr>
          <w:rFonts w:cs="Times New Roman"/>
        </w:rPr>
        <w:t xml:space="preserve">, se ha mantenido con esta UIT una conversación telefónica en la que se han detectado algunos problemas derivados de la última reestructuración ministerial, que hacían que se mostrasen más planes en el Portal de los que realmente tenía conocimiento la UIT. Estos problemas han sido solventados por </w:t>
      </w:r>
      <w:r w:rsidR="346A7358" w:rsidRPr="0F20E9F7">
        <w:rPr>
          <w:rFonts w:cs="Times New Roman"/>
        </w:rPr>
        <w:t xml:space="preserve">la </w:t>
      </w:r>
      <w:r w:rsidR="00D9725B" w:rsidRPr="0F20E9F7">
        <w:rPr>
          <w:rFonts w:cs="Times New Roman"/>
        </w:rPr>
        <w:t>SGTAC y se ha trasladado la solución dada a la UIT.</w:t>
      </w:r>
    </w:p>
    <w:p w14:paraId="1BBC5146" w14:textId="77777777" w:rsidR="005E6CCA" w:rsidRPr="00D9725B" w:rsidRDefault="005E6CCA" w:rsidP="005E6CCA">
      <w:pPr>
        <w:pStyle w:val="Ttulo3"/>
      </w:pPr>
      <w:r w:rsidRPr="00D9725B">
        <w:t>Directrices, acuerdos, instrucciones, circulares y respuestas a consultas</w:t>
      </w:r>
    </w:p>
    <w:p w14:paraId="38154C0B" w14:textId="77777777" w:rsidR="00437DB7" w:rsidRPr="009B28E4" w:rsidRDefault="00437DB7" w:rsidP="00437DB7">
      <w:pPr>
        <w:rPr>
          <w:rFonts w:cs="Times New Roman"/>
          <w:szCs w:val="24"/>
        </w:rPr>
      </w:pPr>
      <w:r w:rsidRPr="009B28E4">
        <w:rPr>
          <w:rFonts w:cs="Times New Roman"/>
          <w:szCs w:val="24"/>
        </w:rPr>
        <w:t>Esta UIT, tras realizar una revisión del contenido que actualmente tiene publicado en esta sección del Portal de la Transparencia considera que la información publicada es correcta.</w:t>
      </w:r>
    </w:p>
    <w:p w14:paraId="20EB40E1" w14:textId="77777777" w:rsidR="00166E09" w:rsidRPr="00D9725B" w:rsidRDefault="00166E09" w:rsidP="00166E09">
      <w:pPr>
        <w:pStyle w:val="Ttulo3"/>
      </w:pPr>
      <w:r w:rsidRPr="00D9725B">
        <w:t>Información estadística</w:t>
      </w:r>
    </w:p>
    <w:p w14:paraId="5E923272" w14:textId="77777777" w:rsidR="009B28E4" w:rsidRPr="009B28E4" w:rsidRDefault="009B28E4" w:rsidP="009B28E4">
      <w:pPr>
        <w:rPr>
          <w:rFonts w:cs="Times New Roman"/>
          <w:szCs w:val="24"/>
        </w:rPr>
      </w:pPr>
      <w:r w:rsidRPr="009B28E4">
        <w:rPr>
          <w:rFonts w:cs="Times New Roman"/>
          <w:szCs w:val="24"/>
        </w:rPr>
        <w:t>Esta UIT al respecto de los comentarios en este ámbito del CTBG informa lo siguiente:</w:t>
      </w:r>
    </w:p>
    <w:p w14:paraId="29A61A4E" w14:textId="77777777" w:rsidR="009B28E4" w:rsidRPr="009B28E4" w:rsidRDefault="009B28E4" w:rsidP="00237FCF">
      <w:pPr>
        <w:pStyle w:val="Prrafodelista"/>
        <w:numPr>
          <w:ilvl w:val="0"/>
          <w:numId w:val="8"/>
        </w:numPr>
        <w:jc w:val="both"/>
        <w:rPr>
          <w:rFonts w:cs="Times New Roman"/>
          <w:szCs w:val="24"/>
        </w:rPr>
      </w:pPr>
      <w:r w:rsidRPr="009B28E4">
        <w:rPr>
          <w:rFonts w:cs="Times New Roman"/>
          <w:szCs w:val="24"/>
        </w:rPr>
        <w:t xml:space="preserve">Cabe indicar que el hecho de que se remita a una página que contiene el documento además de información que puede ser objeto de actualización no </w:t>
      </w:r>
      <w:r w:rsidRPr="009B28E4">
        <w:rPr>
          <w:rFonts w:cs="Times New Roman"/>
          <w:szCs w:val="24"/>
        </w:rPr>
        <w:lastRenderedPageBreak/>
        <w:t>implica un menor cumplimiento de la obligación de transparencia, sino todo lo contrario.</w:t>
      </w:r>
    </w:p>
    <w:p w14:paraId="644BE279" w14:textId="6F1A330A" w:rsidR="009B28E4" w:rsidRPr="009B28E4" w:rsidRDefault="009B28E4" w:rsidP="00237FCF">
      <w:pPr>
        <w:pStyle w:val="Prrafodelista"/>
        <w:numPr>
          <w:ilvl w:val="0"/>
          <w:numId w:val="8"/>
        </w:numPr>
        <w:jc w:val="both"/>
        <w:rPr>
          <w:rFonts w:cs="Times New Roman"/>
          <w:szCs w:val="24"/>
        </w:rPr>
      </w:pPr>
      <w:r w:rsidRPr="009B28E4">
        <w:rPr>
          <w:rFonts w:cs="Times New Roman"/>
          <w:szCs w:val="24"/>
        </w:rPr>
        <w:t> Debe indicarse que</w:t>
      </w:r>
      <w:r w:rsidR="00237FCF">
        <w:rPr>
          <w:rFonts w:cs="Times New Roman"/>
          <w:szCs w:val="24"/>
        </w:rPr>
        <w:t>,</w:t>
      </w:r>
      <w:r w:rsidRPr="009B28E4">
        <w:rPr>
          <w:rFonts w:cs="Times New Roman"/>
          <w:szCs w:val="24"/>
        </w:rPr>
        <w:t xml:space="preserve"> aunque las cartas del IMSERSO indican una vigencia de tres años, siguiendo el último criterio de la Dirección General de Gobernanza Pública, se mantiene la vigencia de las cartas en tanto en cuanto no haya una actualización de las mismas o se retiren. Entendemos, por tanto, que mientas estén publicadas, los compromisos de las cartas continúan vigentes. El año 2025 se remitió a la Dirección General de Gobernanza Pública los borradores de las nuevas cartas del IMSERSO solicitando el informe preceptivo necesario antes de su publicación, habiendo recibido este departamento la comunicación de que en este primer semestre de 2026 se recibirá respuesta. </w:t>
      </w:r>
    </w:p>
    <w:p w14:paraId="4E3C2861" w14:textId="77777777" w:rsidR="009B28E4" w:rsidRPr="009B28E4" w:rsidRDefault="009B28E4" w:rsidP="00237FCF">
      <w:pPr>
        <w:pStyle w:val="Prrafodelista"/>
        <w:numPr>
          <w:ilvl w:val="0"/>
          <w:numId w:val="8"/>
        </w:numPr>
        <w:jc w:val="both"/>
        <w:rPr>
          <w:rFonts w:cs="Times New Roman"/>
          <w:szCs w:val="24"/>
        </w:rPr>
      </w:pPr>
      <w:r w:rsidRPr="009B28E4">
        <w:rPr>
          <w:rFonts w:cs="Times New Roman"/>
          <w:szCs w:val="24"/>
        </w:rPr>
        <w:t>Sobre el hecho de que las cartas sean de organismos autónomos del Ministerio, debe destacarse que los Servicios Centrales de este departamento tienen muy poca relación directa con la ciudadanía en cuanto a prestación de servicios, por lo que es bastante lógico que no haya muchas cartas de servicios y consten únicamente las de la Dirección General de Ordenación del Juego.</w:t>
      </w:r>
    </w:p>
    <w:p w14:paraId="397DD435" w14:textId="7EE86A22" w:rsidR="001B6059" w:rsidRPr="00D9725B" w:rsidRDefault="005B74CA" w:rsidP="005B74CA">
      <w:pPr>
        <w:pStyle w:val="Ttulo2"/>
      </w:pPr>
      <w:r>
        <w:t>5.</w:t>
      </w:r>
      <w:r w:rsidR="00F43620">
        <w:t>5</w:t>
      </w:r>
      <w:r>
        <w:t xml:space="preserve">. </w:t>
      </w:r>
      <w:r w:rsidR="00E355C7">
        <w:t xml:space="preserve">Alegaciones UIT </w:t>
      </w:r>
      <w:r w:rsidR="00E355C7" w:rsidRPr="00E355C7">
        <w:t>Ministerio de Economía, Comercio y Empresa</w:t>
      </w:r>
    </w:p>
    <w:p w14:paraId="11F4928B" w14:textId="77777777" w:rsidR="009275D2" w:rsidRPr="00D9725B" w:rsidRDefault="009275D2" w:rsidP="009275D2">
      <w:pPr>
        <w:pStyle w:val="Ttulo3"/>
      </w:pPr>
      <w:r w:rsidRPr="00D9725B">
        <w:t>Planes y programas</w:t>
      </w:r>
    </w:p>
    <w:p w14:paraId="1D10DA2F" w14:textId="0E04552A" w:rsidR="00655FA4" w:rsidRPr="00655FA4" w:rsidRDefault="00655FA4" w:rsidP="00655FA4">
      <w:pPr>
        <w:rPr>
          <w:rFonts w:cs="Times New Roman"/>
        </w:rPr>
      </w:pPr>
      <w:r w:rsidRPr="0F20E9F7">
        <w:rPr>
          <w:rFonts w:cs="Times New Roman"/>
        </w:rPr>
        <w:t xml:space="preserve">Desde esta UIT se informa a </w:t>
      </w:r>
      <w:r w:rsidR="33B13CD7" w:rsidRPr="0F20E9F7">
        <w:rPr>
          <w:rFonts w:cs="Times New Roman"/>
        </w:rPr>
        <w:t xml:space="preserve">la </w:t>
      </w:r>
      <w:r w:rsidRPr="0F20E9F7">
        <w:rPr>
          <w:rFonts w:cs="Times New Roman"/>
        </w:rPr>
        <w:t>SGTAC que se han tomado las siguientes medidas para mitigar la problemática detectada por el CTBG:</w:t>
      </w:r>
    </w:p>
    <w:p w14:paraId="29C14529" w14:textId="6F2C547A" w:rsidR="000E2DE8" w:rsidRPr="000E2DE8" w:rsidRDefault="000E2DE8" w:rsidP="00237FCF">
      <w:pPr>
        <w:pStyle w:val="Prrafodelista"/>
        <w:numPr>
          <w:ilvl w:val="0"/>
          <w:numId w:val="4"/>
        </w:numPr>
        <w:jc w:val="both"/>
        <w:rPr>
          <w:rFonts w:cs="Times New Roman"/>
          <w:szCs w:val="24"/>
        </w:rPr>
      </w:pPr>
      <w:r w:rsidRPr="000E2DE8">
        <w:rPr>
          <w:rFonts w:cs="Times New Roman"/>
          <w:szCs w:val="24"/>
        </w:rPr>
        <w:t xml:space="preserve">Se ha procedido a la eliminación de los planes que corresponden al Plan de Recuperación, Transformación y Resiliencia, el </w:t>
      </w:r>
      <w:r w:rsidR="00B23DCA">
        <w:rPr>
          <w:rFonts w:cs="Times New Roman"/>
          <w:szCs w:val="24"/>
        </w:rPr>
        <w:t>p</w:t>
      </w:r>
      <w:r w:rsidRPr="000E2DE8">
        <w:rPr>
          <w:rFonts w:cs="Times New Roman"/>
          <w:szCs w:val="24"/>
        </w:rPr>
        <w:t xml:space="preserve">lan </w:t>
      </w:r>
      <w:r w:rsidR="00B23DCA">
        <w:rPr>
          <w:rFonts w:cs="Times New Roman"/>
          <w:szCs w:val="24"/>
        </w:rPr>
        <w:t>e</w:t>
      </w:r>
      <w:r w:rsidRPr="000E2DE8">
        <w:rPr>
          <w:rFonts w:cs="Times New Roman"/>
          <w:szCs w:val="24"/>
        </w:rPr>
        <w:t xml:space="preserve">stratégico de </w:t>
      </w:r>
      <w:r w:rsidR="00B23DCA">
        <w:rPr>
          <w:rFonts w:cs="Times New Roman"/>
          <w:szCs w:val="24"/>
        </w:rPr>
        <w:t>s</w:t>
      </w:r>
      <w:r w:rsidRPr="000E2DE8">
        <w:rPr>
          <w:rFonts w:cs="Times New Roman"/>
          <w:szCs w:val="24"/>
        </w:rPr>
        <w:t xml:space="preserve">ubvenciones y el </w:t>
      </w:r>
      <w:r w:rsidR="00B23DCA">
        <w:rPr>
          <w:rFonts w:cs="Times New Roman"/>
          <w:szCs w:val="24"/>
        </w:rPr>
        <w:t>p</w:t>
      </w:r>
      <w:r w:rsidRPr="000E2DE8">
        <w:rPr>
          <w:rFonts w:cs="Times New Roman"/>
          <w:szCs w:val="24"/>
        </w:rPr>
        <w:t xml:space="preserve">lan </w:t>
      </w:r>
      <w:r w:rsidR="00B23DCA">
        <w:rPr>
          <w:rFonts w:cs="Times New Roman"/>
          <w:szCs w:val="24"/>
        </w:rPr>
        <w:t>e</w:t>
      </w:r>
      <w:r w:rsidRPr="000E2DE8">
        <w:rPr>
          <w:rFonts w:cs="Times New Roman"/>
          <w:szCs w:val="24"/>
        </w:rPr>
        <w:t xml:space="preserve">stadístico </w:t>
      </w:r>
      <w:r w:rsidR="00B23DCA">
        <w:rPr>
          <w:rFonts w:cs="Times New Roman"/>
          <w:szCs w:val="24"/>
        </w:rPr>
        <w:t>n</w:t>
      </w:r>
      <w:r w:rsidRPr="000E2DE8">
        <w:rPr>
          <w:rFonts w:cs="Times New Roman"/>
          <w:szCs w:val="24"/>
        </w:rPr>
        <w:t>acional 2025-2028</w:t>
      </w:r>
    </w:p>
    <w:p w14:paraId="07B9A3E2" w14:textId="77777777" w:rsidR="00D432B9" w:rsidRPr="00D9725B" w:rsidRDefault="00D432B9" w:rsidP="00D432B9">
      <w:pPr>
        <w:pStyle w:val="Ttulo3"/>
      </w:pPr>
      <w:r w:rsidRPr="00D9725B">
        <w:t>Directrices, acuerdos, instrucciones, circulares y respuestas a consultas</w:t>
      </w:r>
    </w:p>
    <w:p w14:paraId="6EC270D9" w14:textId="77777777" w:rsidR="00592F71" w:rsidRPr="00592F71" w:rsidRDefault="00592F71" w:rsidP="00237FCF">
      <w:pPr>
        <w:jc w:val="both"/>
        <w:rPr>
          <w:rFonts w:cs="Times New Roman"/>
          <w:szCs w:val="24"/>
        </w:rPr>
      </w:pPr>
      <w:r w:rsidRPr="00592F71">
        <w:rPr>
          <w:rFonts w:cs="Times New Roman"/>
          <w:szCs w:val="24"/>
        </w:rPr>
        <w:t xml:space="preserve">Desde esta UIT se informa de que se está estudiando qué materia propia de las funciones del Ministerio corresponde con esta obligación, para determinar si se incluye algún elemento en esta categoría. </w:t>
      </w:r>
    </w:p>
    <w:p w14:paraId="31E35962" w14:textId="77777777" w:rsidR="00592F71" w:rsidRPr="00D9725B" w:rsidRDefault="00592F71" w:rsidP="00592F71">
      <w:pPr>
        <w:pStyle w:val="Ttulo3"/>
      </w:pPr>
      <w:r w:rsidRPr="00D9725B">
        <w:t>Información estadística</w:t>
      </w:r>
    </w:p>
    <w:p w14:paraId="4711D72A" w14:textId="35535F33" w:rsidR="00655FA4" w:rsidRPr="00655FA4" w:rsidRDefault="00655FA4" w:rsidP="00237FCF">
      <w:pPr>
        <w:jc w:val="both"/>
        <w:rPr>
          <w:rFonts w:cs="Times New Roman"/>
        </w:rPr>
      </w:pPr>
      <w:r w:rsidRPr="0F20E9F7">
        <w:rPr>
          <w:rFonts w:cs="Times New Roman"/>
        </w:rPr>
        <w:t xml:space="preserve">Desde esta UIT se informa a </w:t>
      </w:r>
      <w:r w:rsidR="3D4879D6" w:rsidRPr="0F20E9F7">
        <w:rPr>
          <w:rFonts w:cs="Times New Roman"/>
        </w:rPr>
        <w:t xml:space="preserve">la </w:t>
      </w:r>
      <w:r w:rsidR="00237FCF" w:rsidRPr="0F20E9F7">
        <w:rPr>
          <w:rFonts w:cs="Times New Roman"/>
        </w:rPr>
        <w:t>SGTAC que</w:t>
      </w:r>
      <w:r w:rsidRPr="0F20E9F7">
        <w:rPr>
          <w:rFonts w:cs="Times New Roman"/>
        </w:rPr>
        <w:t xml:space="preserve"> se han tomado las siguientes medidas para mitigar la problemática detectada por el CTBG:</w:t>
      </w:r>
    </w:p>
    <w:p w14:paraId="42B9FAC5" w14:textId="77777777" w:rsidR="005962C9" w:rsidRPr="005962C9" w:rsidRDefault="005962C9" w:rsidP="00237FCF">
      <w:pPr>
        <w:pStyle w:val="Prrafodelista"/>
        <w:numPr>
          <w:ilvl w:val="0"/>
          <w:numId w:val="9"/>
        </w:numPr>
        <w:jc w:val="both"/>
        <w:rPr>
          <w:rFonts w:eastAsia="Calibri" w:cs="Times New Roman"/>
          <w:szCs w:val="24"/>
        </w:rPr>
      </w:pPr>
      <w:r w:rsidRPr="005962C9">
        <w:rPr>
          <w:rFonts w:cs="Times New Roman"/>
          <w:szCs w:val="24"/>
        </w:rPr>
        <w:t xml:space="preserve">Se ha eliminado el Boletín de Coyuntura Económico Semestral y </w:t>
      </w:r>
      <w:r w:rsidRPr="005962C9">
        <w:rPr>
          <w:rFonts w:eastAsia="Calibri" w:cs="Times New Roman"/>
          <w:szCs w:val="24"/>
        </w:rPr>
        <w:t>el Plan de Recuperación, Transformación y Resiliencia.</w:t>
      </w:r>
    </w:p>
    <w:p w14:paraId="73D62125" w14:textId="77777777" w:rsidR="005962C9" w:rsidRPr="005962C9" w:rsidRDefault="005962C9" w:rsidP="00237FCF">
      <w:pPr>
        <w:pStyle w:val="Prrafodelista"/>
        <w:numPr>
          <w:ilvl w:val="0"/>
          <w:numId w:val="9"/>
        </w:numPr>
        <w:jc w:val="both"/>
        <w:rPr>
          <w:rFonts w:eastAsia="Calibri" w:cs="Times New Roman"/>
          <w:szCs w:val="24"/>
        </w:rPr>
      </w:pPr>
      <w:r w:rsidRPr="005962C9">
        <w:rPr>
          <w:rFonts w:eastAsia="Calibri" w:cs="Times New Roman"/>
          <w:szCs w:val="24"/>
        </w:rPr>
        <w:t>Se han corregido los enlaces rotos detectados.</w:t>
      </w:r>
    </w:p>
    <w:p w14:paraId="78C27083" w14:textId="77777777" w:rsidR="005962C9" w:rsidRPr="005962C9" w:rsidRDefault="005962C9" w:rsidP="00237FCF">
      <w:pPr>
        <w:pStyle w:val="Prrafodelista"/>
        <w:numPr>
          <w:ilvl w:val="0"/>
          <w:numId w:val="9"/>
        </w:numPr>
        <w:jc w:val="both"/>
        <w:rPr>
          <w:rFonts w:eastAsia="Calibri" w:cs="Times New Roman"/>
          <w:szCs w:val="24"/>
        </w:rPr>
      </w:pPr>
      <w:r w:rsidRPr="005962C9">
        <w:rPr>
          <w:rFonts w:eastAsia="Calibri" w:cs="Times New Roman"/>
          <w:szCs w:val="24"/>
        </w:rPr>
        <w:t>Se ha eliminado la carta de servicios del Instituto Nacional de Estadística.</w:t>
      </w:r>
    </w:p>
    <w:p w14:paraId="18AB8757" w14:textId="08D2CB11" w:rsidR="009275D2" w:rsidRPr="00D9725B" w:rsidRDefault="00672EE6" w:rsidP="00672EE6">
      <w:pPr>
        <w:pStyle w:val="Ttulo2"/>
      </w:pPr>
      <w:r>
        <w:t>5.</w:t>
      </w:r>
      <w:r w:rsidR="003B4109">
        <w:t>6</w:t>
      </w:r>
      <w:r>
        <w:t xml:space="preserve">. Alegaciones </w:t>
      </w:r>
      <w:r w:rsidRPr="00672EE6">
        <w:t>UIT Ministerio de Educación, Formación Profesional y Deportes</w:t>
      </w:r>
    </w:p>
    <w:p w14:paraId="120B3BCE" w14:textId="77777777" w:rsidR="00672EE6" w:rsidRPr="00D9725B" w:rsidRDefault="00672EE6" w:rsidP="00672EE6">
      <w:pPr>
        <w:pStyle w:val="Ttulo3"/>
      </w:pPr>
      <w:r w:rsidRPr="00D9725B">
        <w:t>Planes y programas</w:t>
      </w:r>
    </w:p>
    <w:p w14:paraId="3813EFDE" w14:textId="5FFE7C55" w:rsidR="00EE7A31" w:rsidRPr="00EE7A31" w:rsidRDefault="00EE7A31" w:rsidP="00EE7A31">
      <w:pPr>
        <w:rPr>
          <w:rFonts w:cs="Times New Roman"/>
        </w:rPr>
      </w:pPr>
      <w:r w:rsidRPr="0F20E9F7">
        <w:rPr>
          <w:rFonts w:cs="Times New Roman"/>
        </w:rPr>
        <w:lastRenderedPageBreak/>
        <w:t xml:space="preserve">Desde esta UIT se informa a </w:t>
      </w:r>
      <w:r w:rsidR="3182ECD1" w:rsidRPr="0F20E9F7">
        <w:rPr>
          <w:rFonts w:cs="Times New Roman"/>
        </w:rPr>
        <w:t xml:space="preserve">la </w:t>
      </w:r>
      <w:r w:rsidRPr="0F20E9F7">
        <w:rPr>
          <w:rFonts w:cs="Times New Roman"/>
        </w:rPr>
        <w:t>SGTAC de lo siguiente:</w:t>
      </w:r>
    </w:p>
    <w:p w14:paraId="6FE5E8A5" w14:textId="78A79301" w:rsidR="00EE7A31" w:rsidRPr="00EE7A31" w:rsidRDefault="00EE7A31" w:rsidP="00237FCF">
      <w:pPr>
        <w:pStyle w:val="Prrafodelista"/>
        <w:numPr>
          <w:ilvl w:val="0"/>
          <w:numId w:val="4"/>
        </w:numPr>
        <w:jc w:val="both"/>
        <w:rPr>
          <w:rFonts w:cs="Times New Roman"/>
          <w:szCs w:val="24"/>
        </w:rPr>
      </w:pPr>
      <w:r w:rsidRPr="00EE7A31">
        <w:rPr>
          <w:rFonts w:cs="Times New Roman"/>
          <w:szCs w:val="24"/>
        </w:rPr>
        <w:t xml:space="preserve">En la actualidad, el </w:t>
      </w:r>
      <w:r w:rsidR="00B23DCA">
        <w:rPr>
          <w:rFonts w:cs="Times New Roman"/>
          <w:szCs w:val="24"/>
        </w:rPr>
        <w:t>p</w:t>
      </w:r>
      <w:r w:rsidR="00750594">
        <w:rPr>
          <w:rFonts w:cs="Times New Roman"/>
          <w:szCs w:val="24"/>
        </w:rPr>
        <w:t xml:space="preserve">lan </w:t>
      </w:r>
      <w:r w:rsidR="00B23DCA">
        <w:rPr>
          <w:rFonts w:cs="Times New Roman"/>
          <w:szCs w:val="24"/>
        </w:rPr>
        <w:t>e</w:t>
      </w:r>
      <w:r w:rsidR="00750594">
        <w:rPr>
          <w:rFonts w:cs="Times New Roman"/>
          <w:szCs w:val="24"/>
        </w:rPr>
        <w:t xml:space="preserve">stratégico de </w:t>
      </w:r>
      <w:r w:rsidR="00B23DCA">
        <w:rPr>
          <w:rFonts w:cs="Times New Roman"/>
          <w:szCs w:val="24"/>
        </w:rPr>
        <w:t>s</w:t>
      </w:r>
      <w:r w:rsidR="00750594">
        <w:rPr>
          <w:rFonts w:cs="Times New Roman"/>
          <w:szCs w:val="24"/>
        </w:rPr>
        <w:t>ubvenciones</w:t>
      </w:r>
      <w:r w:rsidRPr="00EE7A31">
        <w:rPr>
          <w:rFonts w:cs="Times New Roman"/>
          <w:szCs w:val="24"/>
        </w:rPr>
        <w:t xml:space="preserve"> 2024-2026 ya describe los objetivos, actividades, recursos, cronograma, e indicadores de medida y valoración. De acuerdo con las recomendaciones contenidas en el último informe provisional de auditoría del PES, elaborado por la Intervención </w:t>
      </w:r>
      <w:proofErr w:type="gramStart"/>
      <w:r w:rsidRPr="00EE7A31">
        <w:rPr>
          <w:rFonts w:cs="Times New Roman"/>
          <w:szCs w:val="24"/>
        </w:rPr>
        <w:t>Delegada</w:t>
      </w:r>
      <w:proofErr w:type="gramEnd"/>
      <w:r w:rsidRPr="00EE7A31">
        <w:rPr>
          <w:rFonts w:cs="Times New Roman"/>
          <w:szCs w:val="24"/>
        </w:rPr>
        <w:t>, de cara a la revisión de 2026 está previsto completar el Plan con determinada información requerida en la Guía General de la IGAE para la elaboración, seguimiento, control, evaluación y publicidad de los planes estratégicos de subvenciones, entre la que se incluyen los resultados de la evaluación del plan estratégico anterior.</w:t>
      </w:r>
    </w:p>
    <w:p w14:paraId="621AE957" w14:textId="77777777" w:rsidR="00EE7A31" w:rsidRPr="00EE7A31" w:rsidRDefault="00EE7A31" w:rsidP="00237FCF">
      <w:pPr>
        <w:jc w:val="both"/>
        <w:rPr>
          <w:rFonts w:cs="Times New Roman"/>
          <w:szCs w:val="24"/>
        </w:rPr>
      </w:pPr>
      <w:r w:rsidRPr="00EE7A31">
        <w:rPr>
          <w:rFonts w:cs="Times New Roman"/>
          <w:szCs w:val="24"/>
        </w:rPr>
        <w:t>Además, se han tomado las siguientes medidas para mitigar la problemática detectada por el CTBG:</w:t>
      </w:r>
    </w:p>
    <w:p w14:paraId="3D76A1EC" w14:textId="5765E57F" w:rsidR="00EE7A31" w:rsidRPr="00EE7A31" w:rsidRDefault="00EE7A31" w:rsidP="00EB343F">
      <w:pPr>
        <w:pStyle w:val="Prrafodelista"/>
        <w:numPr>
          <w:ilvl w:val="0"/>
          <w:numId w:val="4"/>
        </w:numPr>
        <w:rPr>
          <w:rFonts w:cs="Times New Roman"/>
          <w:szCs w:val="24"/>
        </w:rPr>
      </w:pPr>
      <w:r w:rsidRPr="00EE7A31">
        <w:rPr>
          <w:rFonts w:cs="Times New Roman"/>
          <w:szCs w:val="24"/>
        </w:rPr>
        <w:t xml:space="preserve">Se ha eliminado el </w:t>
      </w:r>
      <w:r w:rsidR="00B23DCA">
        <w:rPr>
          <w:rFonts w:cs="Times New Roman"/>
          <w:szCs w:val="24"/>
        </w:rPr>
        <w:t>p</w:t>
      </w:r>
      <w:r w:rsidRPr="00EE7A31">
        <w:rPr>
          <w:rFonts w:cs="Times New Roman"/>
          <w:szCs w:val="24"/>
        </w:rPr>
        <w:t xml:space="preserve">lan </w:t>
      </w:r>
      <w:r w:rsidR="00B23DCA">
        <w:rPr>
          <w:rFonts w:cs="Times New Roman"/>
          <w:szCs w:val="24"/>
        </w:rPr>
        <w:t>e</w:t>
      </w:r>
      <w:r w:rsidRPr="00EE7A31">
        <w:rPr>
          <w:rFonts w:cs="Times New Roman"/>
          <w:szCs w:val="24"/>
        </w:rPr>
        <w:t>ditorial</w:t>
      </w:r>
    </w:p>
    <w:p w14:paraId="14B449C9" w14:textId="77777777" w:rsidR="00984CE0" w:rsidRPr="00D9725B" w:rsidRDefault="00984CE0" w:rsidP="00984CE0">
      <w:pPr>
        <w:pStyle w:val="Ttulo3"/>
      </w:pPr>
      <w:r w:rsidRPr="00D9725B">
        <w:t>Directrices, acuerdos, instrucciones, circulares y respuestas a consultas</w:t>
      </w:r>
    </w:p>
    <w:p w14:paraId="60753B7E" w14:textId="77777777" w:rsidR="00E7053B" w:rsidRPr="00D15144" w:rsidRDefault="00E7053B" w:rsidP="00237FCF">
      <w:pPr>
        <w:pStyle w:val="Prrafodelista"/>
        <w:numPr>
          <w:ilvl w:val="0"/>
          <w:numId w:val="12"/>
        </w:numPr>
        <w:jc w:val="both"/>
        <w:rPr>
          <w:rFonts w:cs="Times New Roman"/>
          <w:szCs w:val="24"/>
        </w:rPr>
      </w:pPr>
      <w:r w:rsidRPr="00D15144">
        <w:rPr>
          <w:rFonts w:cs="Times New Roman"/>
          <w:szCs w:val="24"/>
        </w:rPr>
        <w:t>Se ha eliminado la instrucción del Instituto Nacional de las Artes Escénicas y de la Música -INAEM- y la Guía de presupuestación y justificación</w:t>
      </w:r>
    </w:p>
    <w:p w14:paraId="0D16C89A" w14:textId="77777777" w:rsidR="0010044A" w:rsidRDefault="0010044A" w:rsidP="0010044A">
      <w:pPr>
        <w:pStyle w:val="Ttulo3"/>
      </w:pPr>
      <w:r w:rsidRPr="00D9725B">
        <w:t>Información estadística</w:t>
      </w:r>
    </w:p>
    <w:p w14:paraId="66177E23" w14:textId="691BA600" w:rsidR="000F0DE4" w:rsidRDefault="000F0DE4" w:rsidP="00EB343F">
      <w:pPr>
        <w:pStyle w:val="Prrafodelista"/>
        <w:numPr>
          <w:ilvl w:val="0"/>
          <w:numId w:val="2"/>
        </w:numPr>
      </w:pPr>
      <w:r w:rsidRPr="00C52120">
        <w:t>Se han eliminado</w:t>
      </w:r>
      <w:r>
        <w:t xml:space="preserve"> de esta sección</w:t>
      </w:r>
      <w:r w:rsidRPr="00C52120">
        <w:t xml:space="preserve"> los </w:t>
      </w:r>
      <w:r w:rsidR="00B23DCA">
        <w:t>p</w:t>
      </w:r>
      <w:r w:rsidRPr="00C52120">
        <w:t>lanes editoriales.</w:t>
      </w:r>
    </w:p>
    <w:p w14:paraId="4F1FC2B5" w14:textId="33CF10D6" w:rsidR="00855C35" w:rsidRPr="00C52120" w:rsidRDefault="00855C35" w:rsidP="00855C35">
      <w:pPr>
        <w:pStyle w:val="Ttulo2"/>
      </w:pPr>
      <w:r>
        <w:t>5.</w:t>
      </w:r>
      <w:r w:rsidR="003B4109">
        <w:t>7</w:t>
      </w:r>
      <w:r>
        <w:t xml:space="preserve">. Alegaciones </w:t>
      </w:r>
      <w:r w:rsidRPr="00C52120">
        <w:t>UIT Ministerio de Hacienda</w:t>
      </w:r>
    </w:p>
    <w:p w14:paraId="3E5A1E4C" w14:textId="77777777" w:rsidR="007661EF" w:rsidRPr="00D9725B" w:rsidRDefault="007661EF" w:rsidP="007661EF">
      <w:pPr>
        <w:pStyle w:val="Ttulo3"/>
      </w:pPr>
      <w:r w:rsidRPr="00D9725B">
        <w:t>Planes y programas</w:t>
      </w:r>
    </w:p>
    <w:p w14:paraId="2011949D" w14:textId="29A4AE72" w:rsidR="00423A8A" w:rsidRPr="00C52120" w:rsidRDefault="00423A8A" w:rsidP="00237FCF">
      <w:pPr>
        <w:jc w:val="both"/>
      </w:pPr>
      <w:r>
        <w:t xml:space="preserve">Desde esta UIT se informa a </w:t>
      </w:r>
      <w:r w:rsidR="75F1EDD6">
        <w:t xml:space="preserve">la </w:t>
      </w:r>
      <w:r>
        <w:t>SGTAC que se han tomado las siguientes medidas para mitigar la problemática detectada por el CTBG:</w:t>
      </w:r>
    </w:p>
    <w:p w14:paraId="5D7F08C6" w14:textId="77777777" w:rsidR="00423A8A" w:rsidRPr="00C52120" w:rsidRDefault="00423A8A" w:rsidP="00237FCF">
      <w:pPr>
        <w:pStyle w:val="Prrafodelista"/>
        <w:numPr>
          <w:ilvl w:val="0"/>
          <w:numId w:val="4"/>
        </w:numPr>
        <w:jc w:val="both"/>
      </w:pPr>
      <w:r w:rsidRPr="00C52120">
        <w:t>Se han corregido los enlaces rotos detectados.</w:t>
      </w:r>
    </w:p>
    <w:p w14:paraId="6D80878B" w14:textId="77777777" w:rsidR="00423A8A" w:rsidRPr="00C52120" w:rsidRDefault="00423A8A" w:rsidP="00237FCF">
      <w:pPr>
        <w:jc w:val="both"/>
      </w:pPr>
      <w:r w:rsidRPr="00C52120">
        <w:t>Así mismo, informan de lo siguiente:</w:t>
      </w:r>
    </w:p>
    <w:p w14:paraId="76DCC3BF" w14:textId="6C73C546" w:rsidR="00423A8A" w:rsidRPr="00C52120" w:rsidRDefault="00423A8A" w:rsidP="00237FCF">
      <w:pPr>
        <w:pStyle w:val="Prrafodelista"/>
        <w:numPr>
          <w:ilvl w:val="0"/>
          <w:numId w:val="4"/>
        </w:numPr>
        <w:jc w:val="both"/>
      </w:pPr>
      <w:r w:rsidRPr="00C52120">
        <w:t xml:space="preserve">Transmiten sus dudas a la hora de proceder a la eliminación del </w:t>
      </w:r>
      <w:r w:rsidR="00B23DCA">
        <w:t>p</w:t>
      </w:r>
      <w:r w:rsidRPr="00C52120">
        <w:t xml:space="preserve">lan </w:t>
      </w:r>
      <w:r w:rsidR="00B23DCA">
        <w:t>e</w:t>
      </w:r>
      <w:r w:rsidRPr="00C52120">
        <w:t xml:space="preserve">stratégico de </w:t>
      </w:r>
      <w:r w:rsidR="00B23DCA">
        <w:t>s</w:t>
      </w:r>
      <w:r w:rsidRPr="00C52120">
        <w:t>ubvenciones y un plan de la AEAT, si bien se muestran proclives a eliminarlo si así se lo solicita SGTAC.</w:t>
      </w:r>
    </w:p>
    <w:p w14:paraId="0E4E7817" w14:textId="77777777" w:rsidR="00423A8A" w:rsidRPr="00C52120" w:rsidRDefault="00423A8A" w:rsidP="00237FCF">
      <w:pPr>
        <w:pStyle w:val="Prrafodelista"/>
        <w:numPr>
          <w:ilvl w:val="0"/>
          <w:numId w:val="4"/>
        </w:numPr>
        <w:jc w:val="both"/>
      </w:pPr>
      <w:r w:rsidRPr="00C52120">
        <w:t>Transmiten su preocupación acerca de dónde ubicar planes de organismos públicos, ya que consideran que se deben mantener.</w:t>
      </w:r>
    </w:p>
    <w:p w14:paraId="0A7A110C" w14:textId="77777777" w:rsidR="00423A8A" w:rsidRPr="00D9725B" w:rsidRDefault="00423A8A" w:rsidP="00423A8A">
      <w:pPr>
        <w:pStyle w:val="Ttulo3"/>
      </w:pPr>
      <w:r w:rsidRPr="00D9725B">
        <w:t>Directrices, acuerdos, instrucciones, circulares y respuestas a consultas</w:t>
      </w:r>
    </w:p>
    <w:p w14:paraId="2B5CA1FA" w14:textId="77777777" w:rsidR="00C25509" w:rsidRPr="00C52120" w:rsidRDefault="00C25509" w:rsidP="00237FCF">
      <w:pPr>
        <w:jc w:val="both"/>
      </w:pPr>
      <w:r w:rsidRPr="00C52120">
        <w:t>Desde esta UIT se informa a SGTAC de que se han tomado las siguientes medidas para mitigar la problemática detectada por el CTBG:</w:t>
      </w:r>
    </w:p>
    <w:p w14:paraId="1BBEC20C" w14:textId="77777777" w:rsidR="00C25509" w:rsidRPr="00C52120" w:rsidRDefault="00C25509" w:rsidP="00237FCF">
      <w:pPr>
        <w:pStyle w:val="Prrafodelista"/>
        <w:numPr>
          <w:ilvl w:val="0"/>
          <w:numId w:val="12"/>
        </w:numPr>
        <w:jc w:val="both"/>
      </w:pPr>
      <w:r w:rsidRPr="00C52120">
        <w:t>Se han actualizado los enlaces rotos detectados.</w:t>
      </w:r>
    </w:p>
    <w:p w14:paraId="0027121E" w14:textId="77777777" w:rsidR="00C25509" w:rsidRPr="00C52120" w:rsidRDefault="00C25509" w:rsidP="00237FCF">
      <w:pPr>
        <w:pStyle w:val="Prrafodelista"/>
        <w:numPr>
          <w:ilvl w:val="0"/>
          <w:numId w:val="12"/>
        </w:numPr>
        <w:jc w:val="both"/>
      </w:pPr>
      <w:r w:rsidRPr="00C52120">
        <w:t>Se han eliminado registros duplicados y los que no tienen enlace correcto.</w:t>
      </w:r>
    </w:p>
    <w:p w14:paraId="75EEAE82" w14:textId="77777777" w:rsidR="00C25509" w:rsidRPr="00C52120" w:rsidRDefault="00C25509" w:rsidP="00237FCF">
      <w:pPr>
        <w:pStyle w:val="Prrafodelista"/>
        <w:numPr>
          <w:ilvl w:val="0"/>
          <w:numId w:val="12"/>
        </w:numPr>
        <w:jc w:val="both"/>
      </w:pPr>
      <w:r w:rsidRPr="00C52120">
        <w:lastRenderedPageBreak/>
        <w:t>Se han revisado enlaces de Resoluciones del Tribunal Administrativo Central de Recursos Contractuales e Informes, instrucciones y recomendaciones de la Junta Consultiva de Contratación Pública del Estado</w:t>
      </w:r>
    </w:p>
    <w:p w14:paraId="60A9B879" w14:textId="77777777" w:rsidR="00C25509" w:rsidRPr="00C52120" w:rsidRDefault="00C25509" w:rsidP="00237FCF">
      <w:pPr>
        <w:jc w:val="both"/>
      </w:pPr>
      <w:r w:rsidRPr="00C52120">
        <w:t>Así mismo, se informa lo siguiente:</w:t>
      </w:r>
    </w:p>
    <w:p w14:paraId="6A16DCEF" w14:textId="77777777" w:rsidR="00C25509" w:rsidRPr="00C52120" w:rsidRDefault="00C25509" w:rsidP="00237FCF">
      <w:pPr>
        <w:pStyle w:val="Prrafodelista"/>
        <w:numPr>
          <w:ilvl w:val="0"/>
          <w:numId w:val="21"/>
        </w:numPr>
        <w:jc w:val="both"/>
      </w:pPr>
      <w:r w:rsidRPr="00C52120">
        <w:t>Algunos registros corresponden al Ministerio de Derechos Sociales, Consumo y Agenda 2030 y otros al Ministerio para la Transformación Digital y de la Función Pública.</w:t>
      </w:r>
    </w:p>
    <w:p w14:paraId="38A17870" w14:textId="77777777" w:rsidR="00C25509" w:rsidRDefault="00C25509" w:rsidP="00C25509">
      <w:pPr>
        <w:pStyle w:val="Ttulo3"/>
      </w:pPr>
      <w:r w:rsidRPr="00D9725B">
        <w:t>Información estadística</w:t>
      </w:r>
    </w:p>
    <w:p w14:paraId="3C996CF7" w14:textId="0BE881DA" w:rsidR="00E26940" w:rsidRPr="00C52120" w:rsidRDefault="00E26940" w:rsidP="00237FCF">
      <w:pPr>
        <w:jc w:val="both"/>
      </w:pPr>
      <w:r>
        <w:t xml:space="preserve">Desde esta UIT se informa a </w:t>
      </w:r>
      <w:r w:rsidR="78E13DFA">
        <w:t xml:space="preserve">la </w:t>
      </w:r>
      <w:r>
        <w:t>SGTAC que se han tomado las siguientes medidas para mitigar la problemática detectada por el CTBG:</w:t>
      </w:r>
    </w:p>
    <w:p w14:paraId="64F61E37" w14:textId="77777777" w:rsidR="00E26940" w:rsidRPr="00C52120" w:rsidRDefault="00E26940" w:rsidP="00237FCF">
      <w:pPr>
        <w:pStyle w:val="Prrafodelista"/>
        <w:numPr>
          <w:ilvl w:val="0"/>
          <w:numId w:val="2"/>
        </w:numPr>
        <w:jc w:val="both"/>
      </w:pPr>
      <w:r w:rsidRPr="00C52120">
        <w:t>Se han restaurado los enlaces de seis registros.</w:t>
      </w:r>
    </w:p>
    <w:p w14:paraId="50F1FFB1" w14:textId="77777777" w:rsidR="00E26940" w:rsidRPr="00C52120" w:rsidRDefault="00E26940" w:rsidP="00237FCF">
      <w:pPr>
        <w:pStyle w:val="Prrafodelista"/>
        <w:numPr>
          <w:ilvl w:val="0"/>
          <w:numId w:val="2"/>
        </w:numPr>
        <w:jc w:val="both"/>
      </w:pPr>
      <w:r w:rsidRPr="00C52120">
        <w:t>Se ha revisado y actualizado la información señalada por el CTBG como obsoleta (marcando la información como no vigente, en su caso). A excepción de un registro en el que no tenemos constancia de elaboraciones posteriores: “Gestión de calidad en el ámbito del Ministerio de Hacienda.”</w:t>
      </w:r>
    </w:p>
    <w:p w14:paraId="6EEB0FBA" w14:textId="77777777" w:rsidR="00E26940" w:rsidRPr="00C52120" w:rsidRDefault="00E26940" w:rsidP="00237FCF">
      <w:pPr>
        <w:pStyle w:val="Prrafodelista"/>
        <w:numPr>
          <w:ilvl w:val="0"/>
          <w:numId w:val="2"/>
        </w:numPr>
        <w:jc w:val="both"/>
      </w:pPr>
      <w:r w:rsidRPr="00C52120">
        <w:t>Se eliminan tres registros repetidos.</w:t>
      </w:r>
    </w:p>
    <w:p w14:paraId="4AC73806" w14:textId="77777777" w:rsidR="00E26940" w:rsidRPr="00C52120" w:rsidRDefault="00E26940" w:rsidP="00237FCF">
      <w:pPr>
        <w:pStyle w:val="Prrafodelista"/>
        <w:numPr>
          <w:ilvl w:val="0"/>
          <w:numId w:val="2"/>
        </w:numPr>
        <w:jc w:val="both"/>
      </w:pPr>
      <w:r w:rsidRPr="00C52120">
        <w:t>Se han recuperado dos enlaces de la información publicada sobre la calidad de los servicios (cartas de servicios). Hasta el momento, no se han facilitado por los centros directivos concernidos los documentos anuales que analizan el nivel de cumplimiento.</w:t>
      </w:r>
    </w:p>
    <w:p w14:paraId="57BD15EB" w14:textId="77777777" w:rsidR="00E26940" w:rsidRPr="00C52120" w:rsidRDefault="00E26940" w:rsidP="00237FCF">
      <w:pPr>
        <w:jc w:val="both"/>
      </w:pPr>
      <w:r w:rsidRPr="00C52120">
        <w:t>Se indica, además, lo siguiente:</w:t>
      </w:r>
    </w:p>
    <w:p w14:paraId="0BFECD1D" w14:textId="77777777" w:rsidR="00E26940" w:rsidRPr="00C52120" w:rsidRDefault="00E26940" w:rsidP="00237FCF">
      <w:pPr>
        <w:pStyle w:val="Prrafodelista"/>
        <w:numPr>
          <w:ilvl w:val="0"/>
          <w:numId w:val="23"/>
        </w:numPr>
        <w:jc w:val="both"/>
      </w:pPr>
      <w:r w:rsidRPr="00C52120">
        <w:t>Algunos registros corresponden al Ministerio de Derechos Sociales, Consumo y Agenda 2030 y otros al Ministerio para la Transformación Digital y de la Función Pública.</w:t>
      </w:r>
    </w:p>
    <w:p w14:paraId="2A80A243" w14:textId="6F20F9FD" w:rsidR="000F0DE4" w:rsidRPr="00C52120" w:rsidRDefault="00E26940" w:rsidP="00E26940">
      <w:pPr>
        <w:pStyle w:val="Ttulo2"/>
      </w:pPr>
      <w:r>
        <w:t>5.</w:t>
      </w:r>
      <w:r w:rsidR="003B4109">
        <w:t>8</w:t>
      </w:r>
      <w:r>
        <w:t xml:space="preserve">. Alegaciones </w:t>
      </w:r>
      <w:r w:rsidR="00B22EE9" w:rsidRPr="00B22EE9">
        <w:t>UIT Ministerio de Igualdad</w:t>
      </w:r>
    </w:p>
    <w:p w14:paraId="28F103BD" w14:textId="77777777" w:rsidR="00B22EE9" w:rsidRPr="00D9725B" w:rsidRDefault="00B22EE9" w:rsidP="00B22EE9">
      <w:pPr>
        <w:pStyle w:val="Ttulo3"/>
      </w:pPr>
      <w:r w:rsidRPr="00D9725B">
        <w:t>Planes y programas</w:t>
      </w:r>
    </w:p>
    <w:p w14:paraId="1EDFB500" w14:textId="429C8333" w:rsidR="00E820B2" w:rsidRPr="00C52120" w:rsidRDefault="00E820B2" w:rsidP="00237FCF">
      <w:pPr>
        <w:jc w:val="both"/>
      </w:pPr>
      <w:r>
        <w:t xml:space="preserve">Desde esta UIT se informa a </w:t>
      </w:r>
      <w:r w:rsidR="6E056394">
        <w:t xml:space="preserve">la </w:t>
      </w:r>
      <w:r>
        <w:t>SGTAC que se han tomado las siguientes medidas para mitigar la problemática detectada por el CTBG:</w:t>
      </w:r>
    </w:p>
    <w:p w14:paraId="072F8E2E" w14:textId="77777777" w:rsidR="00E820B2" w:rsidRPr="00C52120" w:rsidRDefault="00E820B2" w:rsidP="00237FCF">
      <w:pPr>
        <w:pStyle w:val="Prrafodelista"/>
        <w:numPr>
          <w:ilvl w:val="0"/>
          <w:numId w:val="13"/>
        </w:numPr>
        <w:jc w:val="both"/>
      </w:pPr>
      <w:r w:rsidRPr="00C52120">
        <w:t>Se ha realizado una nueva publicación: “Plan operativo para la protección de los derechos humanos de mujeres y niñas víctimas de trata, explotación sexual y mujeres en contextos de prostitución (2022-2026)”</w:t>
      </w:r>
    </w:p>
    <w:p w14:paraId="466E31A2" w14:textId="77777777" w:rsidR="00E820B2" w:rsidRPr="00C52120" w:rsidRDefault="00E820B2" w:rsidP="00237FCF">
      <w:pPr>
        <w:pStyle w:val="Prrafodelista"/>
        <w:numPr>
          <w:ilvl w:val="0"/>
          <w:numId w:val="13"/>
        </w:numPr>
        <w:jc w:val="both"/>
      </w:pPr>
      <w:r w:rsidRPr="00C52120">
        <w:t>Se encuentra pendiente de publicación por falta de datos (fin de vigencia) de la unidad responsable: “Pacto de estado contra la violencia de genero 2025”. Se está trabajando en ello.</w:t>
      </w:r>
    </w:p>
    <w:p w14:paraId="4ECE9439" w14:textId="77777777" w:rsidR="00E820B2" w:rsidRPr="00D9725B" w:rsidRDefault="00E820B2" w:rsidP="00E820B2">
      <w:pPr>
        <w:pStyle w:val="Ttulo3"/>
      </w:pPr>
      <w:r w:rsidRPr="00D9725B">
        <w:t>Directrices, acuerdos, instrucciones, circulares y respuestas a consultas</w:t>
      </w:r>
    </w:p>
    <w:p w14:paraId="76D37D65" w14:textId="5F450F8C" w:rsidR="004140ED" w:rsidRPr="00C52120" w:rsidRDefault="004140ED" w:rsidP="00237FCF">
      <w:pPr>
        <w:jc w:val="both"/>
      </w:pPr>
      <w:r>
        <w:lastRenderedPageBreak/>
        <w:t xml:space="preserve">Desde esta UIT se informa a </w:t>
      </w:r>
      <w:r w:rsidR="483504DC">
        <w:t xml:space="preserve">la </w:t>
      </w:r>
      <w:r>
        <w:t>SGTAC que se han tomado las siguientes medidas para mitigar la problemática detectada por el CTBG:</w:t>
      </w:r>
    </w:p>
    <w:p w14:paraId="2A7E8E85" w14:textId="77777777" w:rsidR="004140ED" w:rsidRPr="00C52120" w:rsidRDefault="004140ED" w:rsidP="00237FCF">
      <w:pPr>
        <w:pStyle w:val="Prrafodelista"/>
        <w:numPr>
          <w:ilvl w:val="0"/>
          <w:numId w:val="21"/>
        </w:numPr>
        <w:jc w:val="both"/>
      </w:pPr>
      <w:r w:rsidRPr="00C52120">
        <w:t>Se han publicado los siguientes elementos de información en la categoría:</w:t>
      </w:r>
    </w:p>
    <w:p w14:paraId="542E3D7C" w14:textId="77777777" w:rsidR="004140ED" w:rsidRPr="00C52120" w:rsidRDefault="004140ED" w:rsidP="00237FCF">
      <w:pPr>
        <w:pStyle w:val="Prrafodelista"/>
        <w:numPr>
          <w:ilvl w:val="1"/>
          <w:numId w:val="21"/>
        </w:numPr>
        <w:jc w:val="both"/>
      </w:pPr>
      <w:r w:rsidRPr="00C52120">
        <w:t>“Acuerdo de 11 de noviembre de 2021 de la conferencia sectorial de igualdad relativo a la acreditación de las situaciones de violencia de género”.</w:t>
      </w:r>
    </w:p>
    <w:p w14:paraId="0CF9AE98" w14:textId="77777777" w:rsidR="004140ED" w:rsidRPr="00C52120" w:rsidRDefault="004140ED" w:rsidP="00237FCF">
      <w:pPr>
        <w:pStyle w:val="Prrafodelista"/>
        <w:numPr>
          <w:ilvl w:val="1"/>
          <w:numId w:val="21"/>
        </w:numPr>
        <w:jc w:val="both"/>
      </w:pPr>
      <w:r w:rsidRPr="00C52120">
        <w:t>“Acuerdo de 17 de noviembre de 2025 de la conferencia sectorial de igualdad relativo a la acreditación de las situaciones de violencias sexuales”.</w:t>
      </w:r>
    </w:p>
    <w:p w14:paraId="61ABA9F3" w14:textId="77777777" w:rsidR="004140ED" w:rsidRPr="00C52120" w:rsidRDefault="004140ED" w:rsidP="00237FCF">
      <w:pPr>
        <w:pStyle w:val="Prrafodelista"/>
        <w:numPr>
          <w:ilvl w:val="1"/>
          <w:numId w:val="21"/>
        </w:numPr>
        <w:jc w:val="both"/>
      </w:pPr>
      <w:r w:rsidRPr="00C52120">
        <w:t>“Estrategia estatal para la igualdad de trato y no discriminación de las personas LGTBI 2025-2028”.</w:t>
      </w:r>
    </w:p>
    <w:p w14:paraId="11A3B9FA" w14:textId="77777777" w:rsidR="004140ED" w:rsidRPr="00C52120" w:rsidRDefault="004140ED" w:rsidP="00237FCF">
      <w:pPr>
        <w:pStyle w:val="Prrafodelista"/>
        <w:numPr>
          <w:ilvl w:val="1"/>
          <w:numId w:val="21"/>
        </w:numPr>
        <w:jc w:val="both"/>
      </w:pPr>
      <w:r w:rsidRPr="00C52120">
        <w:t>“Estrategia para la inclusión social de las personas trans-2025-2028”.</w:t>
      </w:r>
    </w:p>
    <w:p w14:paraId="7EC960C6" w14:textId="77777777" w:rsidR="004140ED" w:rsidRDefault="004140ED" w:rsidP="004140ED">
      <w:pPr>
        <w:pStyle w:val="Ttulo3"/>
      </w:pPr>
      <w:r w:rsidRPr="00D9725B">
        <w:t>Información estadística</w:t>
      </w:r>
    </w:p>
    <w:p w14:paraId="26651A55" w14:textId="06F0CC62" w:rsidR="00E65E99" w:rsidRPr="00C52120" w:rsidRDefault="00E65E99" w:rsidP="00237FCF">
      <w:pPr>
        <w:jc w:val="both"/>
      </w:pPr>
      <w:r>
        <w:t xml:space="preserve">Desde esta UIT se informa a </w:t>
      </w:r>
      <w:r w:rsidR="3D7D8A62">
        <w:t xml:space="preserve">la </w:t>
      </w:r>
      <w:r>
        <w:t>SGTAC que se han tomado las siguientes medidas para mitigar la problemática detectada por el CTBG:</w:t>
      </w:r>
    </w:p>
    <w:p w14:paraId="0FAFF9BC" w14:textId="77777777" w:rsidR="00E65E99" w:rsidRPr="00C52120" w:rsidRDefault="00E65E99" w:rsidP="00237FCF">
      <w:pPr>
        <w:pStyle w:val="Prrafodelista"/>
        <w:numPr>
          <w:ilvl w:val="0"/>
          <w:numId w:val="23"/>
        </w:numPr>
        <w:jc w:val="both"/>
      </w:pPr>
      <w:r w:rsidRPr="00C52120">
        <w:t>Se han corregido los enlaces rotos detectados.</w:t>
      </w:r>
    </w:p>
    <w:p w14:paraId="648E2846" w14:textId="666D0240" w:rsidR="00672EE6" w:rsidRPr="00D9725B" w:rsidRDefault="00A754BF" w:rsidP="00E65E99">
      <w:pPr>
        <w:pStyle w:val="Ttulo2"/>
      </w:pPr>
      <w:r>
        <w:t>5.</w:t>
      </w:r>
      <w:r w:rsidR="003B4109">
        <w:t>9</w:t>
      </w:r>
      <w:r>
        <w:t xml:space="preserve">. Alegaciones </w:t>
      </w:r>
      <w:r w:rsidR="00E935D9" w:rsidRPr="00E935D9">
        <w:t>UIT Ministerio de Juventud e Infancia</w:t>
      </w:r>
    </w:p>
    <w:p w14:paraId="4EF62D18" w14:textId="77777777" w:rsidR="00E935D9" w:rsidRPr="00D9725B" w:rsidRDefault="00E935D9" w:rsidP="00E935D9">
      <w:pPr>
        <w:pStyle w:val="Ttulo3"/>
      </w:pPr>
      <w:r w:rsidRPr="00D9725B">
        <w:t>Planes y programas</w:t>
      </w:r>
    </w:p>
    <w:p w14:paraId="08C9E3DB" w14:textId="10C55423" w:rsidR="008659DC" w:rsidRPr="00C52120" w:rsidRDefault="008659DC" w:rsidP="00237FCF">
      <w:pPr>
        <w:jc w:val="both"/>
      </w:pPr>
      <w:r>
        <w:t xml:space="preserve">Desde esta UIT se informa a </w:t>
      </w:r>
      <w:r w:rsidR="5827AC0B">
        <w:t xml:space="preserve">la </w:t>
      </w:r>
      <w:r>
        <w:t>SGTAC que se han tomado las siguientes medidas para mitigar la problemática detectada por el CTBG:</w:t>
      </w:r>
    </w:p>
    <w:p w14:paraId="4436F704" w14:textId="77777777" w:rsidR="008659DC" w:rsidRPr="00C52120" w:rsidRDefault="008659DC" w:rsidP="00237FCF">
      <w:pPr>
        <w:pStyle w:val="Prrafodelista"/>
        <w:numPr>
          <w:ilvl w:val="0"/>
          <w:numId w:val="6"/>
        </w:numPr>
        <w:jc w:val="both"/>
      </w:pPr>
      <w:r w:rsidRPr="00C52120">
        <w:t>Se procede a la eliminación de los planes estratégicos de subvenciones, al no corresponderse con el contenido material de la obligación, siguiendo el criterio del CTBG.</w:t>
      </w:r>
    </w:p>
    <w:p w14:paraId="0BAF1F9C" w14:textId="77777777" w:rsidR="008659DC" w:rsidRPr="00C52120" w:rsidRDefault="008659DC" w:rsidP="00237FCF">
      <w:pPr>
        <w:pStyle w:val="Prrafodelista"/>
        <w:numPr>
          <w:ilvl w:val="0"/>
          <w:numId w:val="6"/>
        </w:numPr>
        <w:jc w:val="both"/>
      </w:pPr>
      <w:r w:rsidRPr="00C52120">
        <w:t>Se procede a la eliminación de los planes de contratación, al no corresponderse con el contenido material de la obligación, siguiendo el criterio del CTBG.</w:t>
      </w:r>
    </w:p>
    <w:p w14:paraId="1F4CF2AA" w14:textId="77777777" w:rsidR="008659DC" w:rsidRPr="00D9725B" w:rsidRDefault="008659DC" w:rsidP="008659DC">
      <w:pPr>
        <w:pStyle w:val="Ttulo3"/>
      </w:pPr>
      <w:r w:rsidRPr="00D9725B">
        <w:t>Directrices, acuerdos, instrucciones, circulares y respuestas a consultas</w:t>
      </w:r>
    </w:p>
    <w:p w14:paraId="60B62B01" w14:textId="5C0075C0" w:rsidR="00E935D9" w:rsidRDefault="0018299B" w:rsidP="00237FCF">
      <w:pPr>
        <w:jc w:val="both"/>
      </w:pPr>
      <w:r w:rsidRPr="00C52120">
        <w:t>Este ministerio se encontraba en el momento de realizarse el informe en un proceso aún de consolidación de su acervo normativo interno, y por ello no disponía de ningún elemento a publicar en este apartado.</w:t>
      </w:r>
    </w:p>
    <w:p w14:paraId="2003754F" w14:textId="77777777" w:rsidR="0032021D" w:rsidRDefault="0032021D" w:rsidP="0032021D">
      <w:pPr>
        <w:pStyle w:val="Ttulo3"/>
      </w:pPr>
      <w:r w:rsidRPr="00D9725B">
        <w:t>Información estadística</w:t>
      </w:r>
    </w:p>
    <w:p w14:paraId="22FBEC85" w14:textId="77777777" w:rsidR="00EE3840" w:rsidRPr="00C52120" w:rsidRDefault="00EE3840" w:rsidP="00237FCF">
      <w:pPr>
        <w:jc w:val="both"/>
      </w:pPr>
      <w:r w:rsidRPr="00C52120">
        <w:t>Desde esta UIT se informa a SGTAC de lo siguiente:</w:t>
      </w:r>
    </w:p>
    <w:p w14:paraId="35AD6F54" w14:textId="77777777" w:rsidR="00EE3840" w:rsidRPr="00C52120" w:rsidRDefault="00EE3840" w:rsidP="00237FCF">
      <w:pPr>
        <w:pStyle w:val="Prrafodelista"/>
        <w:numPr>
          <w:ilvl w:val="0"/>
          <w:numId w:val="23"/>
        </w:numPr>
        <w:jc w:val="both"/>
      </w:pPr>
      <w:r w:rsidRPr="00C52120">
        <w:t>Se propone mantener la carta de servicios del Injuve y el informe de 2025.</w:t>
      </w:r>
    </w:p>
    <w:p w14:paraId="0FE65B3C" w14:textId="213A2AF0" w:rsidR="0032021D" w:rsidRDefault="004E5C3E" w:rsidP="004E5C3E">
      <w:pPr>
        <w:pStyle w:val="Ttulo2"/>
      </w:pPr>
      <w:r>
        <w:t>5.</w:t>
      </w:r>
      <w:r w:rsidR="003B4109">
        <w:t>10</w:t>
      </w:r>
      <w:r>
        <w:t xml:space="preserve">. Alegaciones </w:t>
      </w:r>
      <w:r w:rsidR="00BF4A04" w:rsidRPr="00BF4A04">
        <w:t>UIT Ministerio de Política Territorial y Memoria Democrática</w:t>
      </w:r>
    </w:p>
    <w:p w14:paraId="6119047E" w14:textId="15EEB91F" w:rsidR="00D73B56" w:rsidRDefault="00D73B56" w:rsidP="00D73B56">
      <w:pPr>
        <w:pStyle w:val="Ttulo3"/>
      </w:pPr>
      <w:r w:rsidRPr="00D9725B">
        <w:lastRenderedPageBreak/>
        <w:t>Planes y programas</w:t>
      </w:r>
    </w:p>
    <w:p w14:paraId="431FA0F2" w14:textId="7D3970F1" w:rsidR="00B64789" w:rsidRPr="00C52120" w:rsidRDefault="00B64789" w:rsidP="00237FCF">
      <w:pPr>
        <w:jc w:val="both"/>
      </w:pPr>
      <w:r>
        <w:t xml:space="preserve">Desde esta UIT se informa a </w:t>
      </w:r>
      <w:r w:rsidR="2ECE7EA3">
        <w:t xml:space="preserve">la </w:t>
      </w:r>
      <w:r>
        <w:t>SGTAC que se han tomado las siguientes medidas para mitigar la problemática detectada por el CTBG:</w:t>
      </w:r>
    </w:p>
    <w:p w14:paraId="2F6E2A93" w14:textId="77777777" w:rsidR="00B64789" w:rsidRPr="00C52120" w:rsidRDefault="00B64789" w:rsidP="00237FCF">
      <w:pPr>
        <w:pStyle w:val="Prrafodelista"/>
        <w:numPr>
          <w:ilvl w:val="0"/>
          <w:numId w:val="19"/>
        </w:numPr>
        <w:jc w:val="both"/>
      </w:pPr>
      <w:r w:rsidRPr="00C52120">
        <w:t>Se han actualizado los enlaces rotos detectados.</w:t>
      </w:r>
    </w:p>
    <w:p w14:paraId="306407E5" w14:textId="77777777" w:rsidR="00B64789" w:rsidRPr="00C52120" w:rsidRDefault="00B64789" w:rsidP="00237FCF">
      <w:pPr>
        <w:pStyle w:val="Prrafodelista"/>
        <w:numPr>
          <w:ilvl w:val="0"/>
          <w:numId w:val="19"/>
        </w:numPr>
        <w:jc w:val="both"/>
      </w:pPr>
      <w:r w:rsidRPr="00C52120">
        <w:t>Se ha comprobado el correcto marcado de la vigencia de los planes.</w:t>
      </w:r>
    </w:p>
    <w:p w14:paraId="088FA267" w14:textId="77777777" w:rsidR="00B64789" w:rsidRPr="00C52120" w:rsidRDefault="00B64789" w:rsidP="00237FCF">
      <w:pPr>
        <w:jc w:val="both"/>
      </w:pPr>
      <w:r w:rsidRPr="00C52120">
        <w:t>Adicionalmente, informan lo siguiente:</w:t>
      </w:r>
    </w:p>
    <w:p w14:paraId="09560477" w14:textId="09D7231C" w:rsidR="00B64789" w:rsidRPr="00C52120" w:rsidRDefault="00B64789" w:rsidP="00237FCF">
      <w:pPr>
        <w:pStyle w:val="Prrafodelista"/>
        <w:numPr>
          <w:ilvl w:val="0"/>
          <w:numId w:val="20"/>
        </w:numPr>
        <w:jc w:val="both"/>
      </w:pPr>
      <w:r w:rsidRPr="00C52120">
        <w:t xml:space="preserve">Transmiten sus dudas a la hora de proceder a la eliminación de los </w:t>
      </w:r>
      <w:r w:rsidR="009B5316">
        <w:t>pla</w:t>
      </w:r>
      <w:r w:rsidRPr="00C52120">
        <w:t xml:space="preserve">nes </w:t>
      </w:r>
      <w:r w:rsidR="009B5316">
        <w:t>e</w:t>
      </w:r>
      <w:r w:rsidRPr="00C52120">
        <w:t xml:space="preserve">stratégicos de </w:t>
      </w:r>
      <w:r w:rsidR="009B5316">
        <w:t>s</w:t>
      </w:r>
      <w:r w:rsidRPr="00C52120">
        <w:t>ubvenciones.</w:t>
      </w:r>
    </w:p>
    <w:p w14:paraId="76F0CF3D" w14:textId="77777777" w:rsidR="00FD248F" w:rsidRPr="00D9725B" w:rsidRDefault="00FD248F" w:rsidP="00FD248F">
      <w:pPr>
        <w:pStyle w:val="Ttulo3"/>
      </w:pPr>
      <w:r w:rsidRPr="00D9725B">
        <w:t>Directrices, acuerdos, instrucciones, circulares y respuestas a consultas</w:t>
      </w:r>
    </w:p>
    <w:p w14:paraId="32E48D51" w14:textId="7C27E45C" w:rsidR="001567FE" w:rsidRPr="00C52120" w:rsidRDefault="001567FE" w:rsidP="00237FCF">
      <w:pPr>
        <w:jc w:val="both"/>
      </w:pPr>
      <w:r>
        <w:t xml:space="preserve">Desde esta UIT se informa a </w:t>
      </w:r>
      <w:r w:rsidR="5D69DD4F">
        <w:t xml:space="preserve">la </w:t>
      </w:r>
      <w:r>
        <w:t>SGTAC que se han tomado las siguientes medidas para mitigar la problemática detectada por el CTBG:</w:t>
      </w:r>
    </w:p>
    <w:p w14:paraId="050E2363" w14:textId="77777777" w:rsidR="001567FE" w:rsidRPr="00C52120" w:rsidRDefault="001567FE" w:rsidP="00237FCF">
      <w:pPr>
        <w:pStyle w:val="Prrafodelista"/>
        <w:numPr>
          <w:ilvl w:val="0"/>
          <w:numId w:val="21"/>
        </w:numPr>
        <w:jc w:val="both"/>
      </w:pPr>
      <w:r w:rsidRPr="00C52120">
        <w:t>Se eliminan registros de MUFACE por pertenecer al Ministerio para Transformación Digital y de la Función Pública.</w:t>
      </w:r>
    </w:p>
    <w:p w14:paraId="0A7040F8" w14:textId="1656A0DF" w:rsidR="001567FE" w:rsidRPr="00C52120" w:rsidRDefault="001567FE" w:rsidP="00237FCF">
      <w:pPr>
        <w:pStyle w:val="Prrafodelista"/>
        <w:numPr>
          <w:ilvl w:val="0"/>
          <w:numId w:val="21"/>
        </w:numPr>
        <w:jc w:val="both"/>
      </w:pPr>
      <w:r w:rsidRPr="00C52120">
        <w:t>Se ha consultado a la S</w:t>
      </w:r>
      <w:r w:rsidR="009B5316">
        <w:t xml:space="preserve">ecretaría </w:t>
      </w:r>
      <w:r w:rsidRPr="00C52120">
        <w:t>G</w:t>
      </w:r>
      <w:r w:rsidR="009B5316">
        <w:t xml:space="preserve">eneral </w:t>
      </w:r>
      <w:r w:rsidRPr="00C52120">
        <w:t>T</w:t>
      </w:r>
      <w:r w:rsidR="009B5316">
        <w:t>écnica</w:t>
      </w:r>
      <w:r w:rsidRPr="00C52120">
        <w:t xml:space="preserve"> del ministerio para que asesoren sobre qué normativa se puede publicar.</w:t>
      </w:r>
    </w:p>
    <w:p w14:paraId="620AB834" w14:textId="77777777" w:rsidR="001567FE" w:rsidRDefault="001567FE" w:rsidP="001567FE">
      <w:pPr>
        <w:pStyle w:val="Ttulo3"/>
      </w:pPr>
      <w:r w:rsidRPr="00D9725B">
        <w:t>Información estadística</w:t>
      </w:r>
    </w:p>
    <w:p w14:paraId="43D9F0E7" w14:textId="514B63B9" w:rsidR="0091220E" w:rsidRPr="00C52120" w:rsidRDefault="0091220E" w:rsidP="00237FCF">
      <w:pPr>
        <w:jc w:val="both"/>
      </w:pPr>
      <w:r>
        <w:t xml:space="preserve">Desde esta UIT se informa a </w:t>
      </w:r>
      <w:r w:rsidR="50628CBD">
        <w:t xml:space="preserve">la </w:t>
      </w:r>
      <w:r>
        <w:t>SGTAC que se han tomado las siguientes medidas para mitigar la problemática detectada por el CTBG:</w:t>
      </w:r>
    </w:p>
    <w:p w14:paraId="1AFB9C5F" w14:textId="77777777" w:rsidR="0091220E" w:rsidRPr="00C52120" w:rsidRDefault="0091220E" w:rsidP="00237FCF">
      <w:pPr>
        <w:pStyle w:val="Prrafodelista"/>
        <w:numPr>
          <w:ilvl w:val="0"/>
          <w:numId w:val="23"/>
        </w:numPr>
        <w:jc w:val="both"/>
      </w:pPr>
      <w:r w:rsidRPr="00C52120">
        <w:t>Se elimina un registro obsoleto</w:t>
      </w:r>
    </w:p>
    <w:p w14:paraId="41AAA2CE" w14:textId="77777777" w:rsidR="0091220E" w:rsidRPr="00C52120" w:rsidRDefault="0091220E" w:rsidP="00237FCF">
      <w:pPr>
        <w:pStyle w:val="Prrafodelista"/>
        <w:numPr>
          <w:ilvl w:val="0"/>
          <w:numId w:val="23"/>
        </w:numPr>
        <w:jc w:val="both"/>
      </w:pPr>
      <w:r w:rsidRPr="00C52120">
        <w:t>Se actualizan todas las cartas de servicios de delegaciones y subdelegaciones, para las que se informa que no incluyen informe de resultados.</w:t>
      </w:r>
    </w:p>
    <w:p w14:paraId="47952D8E" w14:textId="148BD29C" w:rsidR="00BF4A04" w:rsidRDefault="0091220E" w:rsidP="0091220E">
      <w:pPr>
        <w:pStyle w:val="Ttulo2"/>
      </w:pPr>
      <w:r>
        <w:t>5.1</w:t>
      </w:r>
      <w:r w:rsidR="003B4109">
        <w:t>1</w:t>
      </w:r>
      <w:r>
        <w:t xml:space="preserve">. </w:t>
      </w:r>
      <w:r w:rsidR="00D73B56">
        <w:t xml:space="preserve">Alegaciones </w:t>
      </w:r>
      <w:r w:rsidR="00D73B56" w:rsidRPr="00D73B56">
        <w:t>UIT Ministerio de Sanidad</w:t>
      </w:r>
    </w:p>
    <w:p w14:paraId="02408A25" w14:textId="77777777" w:rsidR="00D73B56" w:rsidRPr="00D9725B" w:rsidRDefault="00D73B56" w:rsidP="00D73B56">
      <w:pPr>
        <w:pStyle w:val="Ttulo3"/>
      </w:pPr>
      <w:r w:rsidRPr="00D9725B">
        <w:t>Planes y programas</w:t>
      </w:r>
    </w:p>
    <w:p w14:paraId="0ED256D7" w14:textId="5AD9D4BD" w:rsidR="00E06FE4" w:rsidRPr="00C52120" w:rsidRDefault="00E06FE4" w:rsidP="00237FCF">
      <w:pPr>
        <w:jc w:val="both"/>
      </w:pPr>
      <w:r>
        <w:t xml:space="preserve">Desde esta UIT se informa a </w:t>
      </w:r>
      <w:r w:rsidR="04DD4E20">
        <w:t xml:space="preserve">la </w:t>
      </w:r>
      <w:r>
        <w:t>SGTAC que se han tomado las siguientes medidas para mitigar la problemática detectada por el CTBG:</w:t>
      </w:r>
    </w:p>
    <w:p w14:paraId="365A2529" w14:textId="4FB9AD2E" w:rsidR="00E06FE4" w:rsidRPr="00C52120" w:rsidRDefault="00E06FE4" w:rsidP="00237FCF">
      <w:pPr>
        <w:pStyle w:val="Prrafodelista"/>
        <w:numPr>
          <w:ilvl w:val="0"/>
          <w:numId w:val="20"/>
        </w:numPr>
        <w:jc w:val="both"/>
      </w:pPr>
      <w:r w:rsidRPr="00C52120">
        <w:t xml:space="preserve">Se elimina el </w:t>
      </w:r>
      <w:r w:rsidR="00D137DE">
        <w:t>p</w:t>
      </w:r>
      <w:r w:rsidRPr="00C52120">
        <w:t xml:space="preserve">lan </w:t>
      </w:r>
      <w:r w:rsidR="00D137DE">
        <w:t>a</w:t>
      </w:r>
      <w:r w:rsidRPr="00C52120">
        <w:t>ntifraude</w:t>
      </w:r>
    </w:p>
    <w:p w14:paraId="3B50726E" w14:textId="50F91330" w:rsidR="00E06FE4" w:rsidRPr="00C52120" w:rsidRDefault="00E06FE4" w:rsidP="00237FCF">
      <w:pPr>
        <w:pStyle w:val="Prrafodelista"/>
        <w:numPr>
          <w:ilvl w:val="0"/>
          <w:numId w:val="20"/>
        </w:numPr>
        <w:jc w:val="both"/>
      </w:pPr>
      <w:r w:rsidRPr="00C52120">
        <w:t xml:space="preserve">Se marca como no vigente el </w:t>
      </w:r>
      <w:r w:rsidR="00D137DE">
        <w:t>p</w:t>
      </w:r>
      <w:r w:rsidRPr="00C52120">
        <w:t>lan de subvenciones antiguo.</w:t>
      </w:r>
    </w:p>
    <w:p w14:paraId="6902F95C" w14:textId="77777777" w:rsidR="00E06FE4" w:rsidRPr="00D9725B" w:rsidRDefault="00E06FE4" w:rsidP="00E06FE4">
      <w:pPr>
        <w:pStyle w:val="Ttulo3"/>
      </w:pPr>
      <w:r w:rsidRPr="00D9725B">
        <w:t>Directrices, acuerdos, instrucciones, circulares y respuestas a consultas</w:t>
      </w:r>
    </w:p>
    <w:p w14:paraId="5D119115" w14:textId="6242B816" w:rsidR="00642A93" w:rsidRPr="00C52120" w:rsidRDefault="00642A93" w:rsidP="00237FCF">
      <w:pPr>
        <w:jc w:val="both"/>
      </w:pPr>
      <w:r>
        <w:t xml:space="preserve">Desde esta UIT se informa a </w:t>
      </w:r>
      <w:r w:rsidR="66162F85">
        <w:t xml:space="preserve">la </w:t>
      </w:r>
      <w:r>
        <w:t>SGTAC que se han tomado las siguientes medidas para mitigar la problemática detectada por el CTBG:</w:t>
      </w:r>
    </w:p>
    <w:p w14:paraId="05F7AB59" w14:textId="77777777" w:rsidR="00642A93" w:rsidRPr="00C52120" w:rsidRDefault="00642A93" w:rsidP="00237FCF">
      <w:pPr>
        <w:pStyle w:val="Prrafodelista"/>
        <w:numPr>
          <w:ilvl w:val="0"/>
          <w:numId w:val="7"/>
        </w:numPr>
        <w:jc w:val="both"/>
      </w:pPr>
      <w:r w:rsidRPr="00C52120">
        <w:t xml:space="preserve">Se han eliminado Circulares, Instrucciones, Resoluciones, Informes parlamentarios del Plan Nacional de Drogas. </w:t>
      </w:r>
    </w:p>
    <w:p w14:paraId="6B39D9ED" w14:textId="77777777" w:rsidR="00642A93" w:rsidRDefault="00642A93" w:rsidP="00642A93">
      <w:pPr>
        <w:pStyle w:val="Ttulo3"/>
      </w:pPr>
      <w:r w:rsidRPr="00D9725B">
        <w:lastRenderedPageBreak/>
        <w:t>Información estadística</w:t>
      </w:r>
    </w:p>
    <w:p w14:paraId="30D6ACBB" w14:textId="4BBC10B1" w:rsidR="00C0625A" w:rsidRPr="00C52120" w:rsidRDefault="00C0625A" w:rsidP="00237FCF">
      <w:pPr>
        <w:jc w:val="both"/>
      </w:pPr>
      <w:r>
        <w:t xml:space="preserve">Desde esta UIT se informa a </w:t>
      </w:r>
      <w:r w:rsidR="03F19FE8">
        <w:t xml:space="preserve">la </w:t>
      </w:r>
      <w:r>
        <w:t>SGTAC que se han tomado las siguientes medidas para mitigar la problemática detectada por el CTBG:</w:t>
      </w:r>
    </w:p>
    <w:p w14:paraId="36AD5E2C" w14:textId="77777777" w:rsidR="00C0625A" w:rsidRPr="00C52120" w:rsidRDefault="00C0625A" w:rsidP="00237FCF">
      <w:pPr>
        <w:pStyle w:val="Prrafodelista"/>
        <w:numPr>
          <w:ilvl w:val="0"/>
          <w:numId w:val="1"/>
        </w:numPr>
        <w:jc w:val="both"/>
      </w:pPr>
      <w:r w:rsidRPr="00C52120">
        <w:t>Se han actualizado los planes existentes de ministerios anteriores y se ha reducido de 98 a 33 el número de registros.</w:t>
      </w:r>
    </w:p>
    <w:p w14:paraId="34028877" w14:textId="193501BD" w:rsidR="00C0625A" w:rsidRPr="00C52120" w:rsidRDefault="00C0625A" w:rsidP="00237FCF">
      <w:pPr>
        <w:pStyle w:val="Prrafodelista"/>
        <w:numPr>
          <w:ilvl w:val="0"/>
          <w:numId w:val="1"/>
        </w:numPr>
        <w:jc w:val="both"/>
      </w:pPr>
      <w:r>
        <w:t>Existen 2 registros que se</w:t>
      </w:r>
      <w:r w:rsidR="00432814">
        <w:t>rán</w:t>
      </w:r>
      <w:r>
        <w:t xml:space="preserve"> despublica</w:t>
      </w:r>
      <w:r w:rsidR="00432814">
        <w:t>dos</w:t>
      </w:r>
      <w:r>
        <w:t xml:space="preserve"> por </w:t>
      </w:r>
      <w:r w:rsidR="2228FDA1">
        <w:t xml:space="preserve">la </w:t>
      </w:r>
      <w:r>
        <w:t xml:space="preserve">SGTAC por tratarse de </w:t>
      </w:r>
      <w:r w:rsidR="00592008">
        <w:t xml:space="preserve">planes </w:t>
      </w:r>
      <w:r>
        <w:t>heredados de Ministerios ahora extintos</w:t>
      </w:r>
      <w:r w:rsidR="00742BA2">
        <w:t xml:space="preserve"> a los que la UIT en su configuración actual no tiene acceso.</w:t>
      </w:r>
    </w:p>
    <w:p w14:paraId="49574650" w14:textId="4B68FA53" w:rsidR="00D73B56" w:rsidRDefault="00D24080" w:rsidP="0091220E">
      <w:pPr>
        <w:pStyle w:val="Ttulo2"/>
      </w:pPr>
      <w:r>
        <w:t>5.1</w:t>
      </w:r>
      <w:r w:rsidR="003B4109">
        <w:t>2</w:t>
      </w:r>
      <w:r>
        <w:t xml:space="preserve">. </w:t>
      </w:r>
      <w:r w:rsidRPr="00D24080">
        <w:t>UIT Ministerio de Trabajo y Economía Social</w:t>
      </w:r>
    </w:p>
    <w:p w14:paraId="1952C2EA" w14:textId="77777777" w:rsidR="00D24080" w:rsidRPr="00D9725B" w:rsidRDefault="00D24080" w:rsidP="00D24080">
      <w:pPr>
        <w:pStyle w:val="Ttulo3"/>
      </w:pPr>
      <w:r w:rsidRPr="00D9725B">
        <w:t>Planes y programas</w:t>
      </w:r>
    </w:p>
    <w:p w14:paraId="05773444" w14:textId="77777777" w:rsidR="002B4D40" w:rsidRPr="00C52120" w:rsidRDefault="002B4D40" w:rsidP="00237FCF">
      <w:pPr>
        <w:jc w:val="both"/>
      </w:pPr>
      <w:r w:rsidRPr="00C52120">
        <w:t>Desde esta UIT informan lo siguiente:</w:t>
      </w:r>
    </w:p>
    <w:p w14:paraId="491CB6DF" w14:textId="77777777" w:rsidR="002B4D40" w:rsidRPr="00C52120" w:rsidRDefault="002B4D40" w:rsidP="00237FCF">
      <w:pPr>
        <w:pStyle w:val="Prrafodelista"/>
        <w:numPr>
          <w:ilvl w:val="0"/>
          <w:numId w:val="20"/>
        </w:numPr>
        <w:jc w:val="both"/>
      </w:pPr>
      <w:r w:rsidRPr="00C52120">
        <w:t>Transmiten sus dudas a la hora de proceder a la eliminación de los Planes Estratégicos de Subvenciones.</w:t>
      </w:r>
    </w:p>
    <w:p w14:paraId="6DA05C41" w14:textId="77777777" w:rsidR="002B4D40" w:rsidRPr="00C52120" w:rsidRDefault="002B4D40" w:rsidP="00237FCF">
      <w:pPr>
        <w:pStyle w:val="Prrafodelista"/>
        <w:numPr>
          <w:ilvl w:val="0"/>
          <w:numId w:val="20"/>
        </w:numPr>
        <w:jc w:val="both"/>
      </w:pPr>
      <w:r w:rsidRPr="00C52120">
        <w:t>Se cuestiona la interpretación del ámbito subjetivo del Portal que hace el CTGB, es decir, expresan la necesidad de mantener los planes correspondientes a organismos / entidades vinculadas/dependientes.</w:t>
      </w:r>
    </w:p>
    <w:p w14:paraId="207BA62E" w14:textId="77777777" w:rsidR="002B4D40" w:rsidRPr="00D9725B" w:rsidRDefault="002B4D40" w:rsidP="002B4D40">
      <w:pPr>
        <w:pStyle w:val="Ttulo3"/>
      </w:pPr>
      <w:r w:rsidRPr="00D9725B">
        <w:t>Directrices, acuerdos, instrucciones, circulares y respuestas a consultas</w:t>
      </w:r>
    </w:p>
    <w:p w14:paraId="40A49F0F" w14:textId="306CBEE2" w:rsidR="0095657E" w:rsidRPr="00C52120" w:rsidRDefault="0095657E" w:rsidP="00237FCF">
      <w:pPr>
        <w:jc w:val="both"/>
      </w:pPr>
      <w:r>
        <w:t xml:space="preserve">Desde esta UIT se informa a </w:t>
      </w:r>
      <w:r w:rsidR="1E2304B8">
        <w:t xml:space="preserve">la </w:t>
      </w:r>
      <w:r>
        <w:t>SGTAC que se han tomado las siguientes medidas para mitigar la problemática detectada por el CTBG:</w:t>
      </w:r>
    </w:p>
    <w:p w14:paraId="0676E62F" w14:textId="77777777" w:rsidR="0095657E" w:rsidRPr="00C52120" w:rsidRDefault="0095657E" w:rsidP="00237FCF">
      <w:pPr>
        <w:pStyle w:val="Prrafodelista"/>
        <w:numPr>
          <w:ilvl w:val="0"/>
          <w:numId w:val="7"/>
        </w:numPr>
        <w:jc w:val="both"/>
      </w:pPr>
      <w:r w:rsidRPr="00C52120">
        <w:t>Se revisan los enlaces rotos y las duplicidades existentes.</w:t>
      </w:r>
    </w:p>
    <w:p w14:paraId="0A6E4922" w14:textId="77777777" w:rsidR="007A0613" w:rsidRDefault="007A0613" w:rsidP="007A0613">
      <w:pPr>
        <w:pStyle w:val="Ttulo3"/>
      </w:pPr>
      <w:r w:rsidRPr="00D9725B">
        <w:t>Información estadística</w:t>
      </w:r>
    </w:p>
    <w:p w14:paraId="7C8D6597" w14:textId="6CFC139D" w:rsidR="00912A2C" w:rsidRPr="00C52120" w:rsidRDefault="00912A2C" w:rsidP="00237FCF">
      <w:pPr>
        <w:jc w:val="both"/>
      </w:pPr>
      <w:r>
        <w:t xml:space="preserve">Desde esta UIT se informa a </w:t>
      </w:r>
      <w:r w:rsidR="7B493DF8">
        <w:t xml:space="preserve">la </w:t>
      </w:r>
      <w:r>
        <w:t>SGTAC de lo siguiente:</w:t>
      </w:r>
    </w:p>
    <w:p w14:paraId="577F4E29" w14:textId="77777777" w:rsidR="00912A2C" w:rsidRPr="00C52120" w:rsidRDefault="00912A2C" w:rsidP="00237FCF">
      <w:pPr>
        <w:pStyle w:val="Prrafodelista"/>
        <w:numPr>
          <w:ilvl w:val="0"/>
          <w:numId w:val="17"/>
        </w:numPr>
        <w:jc w:val="both"/>
      </w:pPr>
      <w:r w:rsidRPr="00C52120">
        <w:t>Por lo que se refiere a los planes editoriales del Ministerio, y dada la importancia que tienen las publicaciones, se cuestiona si se debe suprimir dicha información ya que, en ocasiones, la ciudadanía requiere publicaciones de años anteriores y puede resultar de interés conocer en qué año se realizó un informe o estudio en concreto. De hecho, en el ámbito del derecho de acceso, se han formulado preguntas relativas a informes concretos. Por ello, y sin perjuicio de seguir las recomendaciones que a estos efectos se indique de forma definitiva, no se comparte el criterio del Consejo al afirmar en las conclusiones que este Ministerio no cumple con los criterios de contenido, vigencia y accesibilidad.</w:t>
      </w:r>
    </w:p>
    <w:p w14:paraId="49E661EC" w14:textId="77777777" w:rsidR="00912A2C" w:rsidRPr="00C52120" w:rsidRDefault="00912A2C" w:rsidP="00237FCF">
      <w:pPr>
        <w:pStyle w:val="Prrafodelista"/>
        <w:numPr>
          <w:ilvl w:val="0"/>
          <w:numId w:val="17"/>
        </w:numPr>
        <w:jc w:val="both"/>
      </w:pPr>
      <w:r w:rsidRPr="00C52120">
        <w:t xml:space="preserve"> Se ha a actualizar la información de las cartas de servicios de las Consejerías de Trabajo, Migraciones y Seguridad Social, se está pendiente de la aprobación de la Inspección General de la Administración General del Estado (DGGP)</w:t>
      </w:r>
    </w:p>
    <w:p w14:paraId="26476B36" w14:textId="77777777" w:rsidR="00912A2C" w:rsidRPr="00C52120" w:rsidRDefault="00912A2C" w:rsidP="00237FCF">
      <w:pPr>
        <w:pStyle w:val="Prrafodelista"/>
        <w:numPr>
          <w:ilvl w:val="0"/>
          <w:numId w:val="17"/>
        </w:numPr>
        <w:jc w:val="both"/>
      </w:pPr>
      <w:r w:rsidRPr="00C52120">
        <w:t xml:space="preserve">Por lo que se refiere a las cartas de servicios, se va a actualizar el contenido ya que, efectivamente, las referidas a las Consejerías de Trabajo, Migraciones y Seguridad Social, perdieron su vigencia a 31 de diciembre de 2025. Sin embargo, </w:t>
      </w:r>
      <w:r w:rsidRPr="00C52120">
        <w:lastRenderedPageBreak/>
        <w:t>para proceder a publicar la nueva carta de servicios de dichas Consejerías el Ministerio está a espera de la aprobación de la Dirección General de Gobernanza Pública.</w:t>
      </w:r>
    </w:p>
    <w:p w14:paraId="7C348DF2" w14:textId="7078CDF8" w:rsidR="00D24080" w:rsidRDefault="00112445" w:rsidP="0091220E">
      <w:pPr>
        <w:pStyle w:val="Ttulo2"/>
      </w:pPr>
      <w:r>
        <w:t>5.1</w:t>
      </w:r>
      <w:r w:rsidR="003B4109">
        <w:t>3</w:t>
      </w:r>
      <w:r>
        <w:t xml:space="preserve">. </w:t>
      </w:r>
      <w:r w:rsidR="00F05AF1">
        <w:t xml:space="preserve">Alegaciones </w:t>
      </w:r>
      <w:r w:rsidR="00F05AF1" w:rsidRPr="00F05AF1">
        <w:t>UIT Ministerio para la Transformación Digital y de la Función Pública</w:t>
      </w:r>
    </w:p>
    <w:p w14:paraId="7E3E0516" w14:textId="77777777" w:rsidR="00F05AF1" w:rsidRPr="00D9725B" w:rsidRDefault="00F05AF1" w:rsidP="00F05AF1">
      <w:pPr>
        <w:pStyle w:val="Ttulo3"/>
      </w:pPr>
      <w:r w:rsidRPr="00D9725B">
        <w:t>Planes y programas</w:t>
      </w:r>
    </w:p>
    <w:p w14:paraId="51CDE19D" w14:textId="4D6F80E8" w:rsidR="001A293D" w:rsidRPr="00C52120" w:rsidRDefault="001A293D" w:rsidP="00237FCF">
      <w:pPr>
        <w:jc w:val="both"/>
      </w:pPr>
      <w:r>
        <w:t xml:space="preserve">Desde esta UIT se informa a </w:t>
      </w:r>
      <w:r w:rsidR="5DE35E28">
        <w:t xml:space="preserve">la </w:t>
      </w:r>
      <w:r>
        <w:t>SGTAC que se han tomado las siguientes medidas para mitigar la problemática detectada por el CTBG:</w:t>
      </w:r>
    </w:p>
    <w:p w14:paraId="6255201F" w14:textId="48142220" w:rsidR="001A293D" w:rsidRPr="00C52120" w:rsidRDefault="001A293D" w:rsidP="00237FCF">
      <w:pPr>
        <w:pStyle w:val="Prrafodelista"/>
        <w:numPr>
          <w:ilvl w:val="0"/>
          <w:numId w:val="22"/>
        </w:numPr>
        <w:jc w:val="both"/>
      </w:pPr>
      <w:r w:rsidRPr="00C52120">
        <w:t>Se despublican 4 planes (</w:t>
      </w:r>
      <w:r w:rsidR="00A70FD6">
        <w:t>p</w:t>
      </w:r>
      <w:r w:rsidRPr="00C52120">
        <w:t xml:space="preserve">lanes editoriales y </w:t>
      </w:r>
      <w:r w:rsidR="00A70FD6">
        <w:t>p</w:t>
      </w:r>
      <w:r w:rsidRPr="00C52120">
        <w:t xml:space="preserve">lanes de </w:t>
      </w:r>
      <w:r w:rsidR="00A70FD6">
        <w:t>s</w:t>
      </w:r>
      <w:r w:rsidRPr="00C52120">
        <w:t>ubvenciones)</w:t>
      </w:r>
    </w:p>
    <w:p w14:paraId="76BE282A" w14:textId="77777777" w:rsidR="001A293D" w:rsidRPr="00C52120" w:rsidRDefault="001A293D" w:rsidP="00237FCF">
      <w:pPr>
        <w:pStyle w:val="Prrafodelista"/>
        <w:numPr>
          <w:ilvl w:val="0"/>
          <w:numId w:val="22"/>
        </w:numPr>
        <w:jc w:val="both"/>
      </w:pPr>
      <w:r w:rsidRPr="00C52120">
        <w:t>Se marcan como no vigentes dos planes</w:t>
      </w:r>
    </w:p>
    <w:p w14:paraId="7817CA77" w14:textId="77777777" w:rsidR="001A293D" w:rsidRPr="00C52120" w:rsidRDefault="001A293D" w:rsidP="00237FCF">
      <w:pPr>
        <w:pStyle w:val="Prrafodelista"/>
        <w:numPr>
          <w:ilvl w:val="0"/>
          <w:numId w:val="22"/>
        </w:numPr>
        <w:jc w:val="both"/>
      </w:pPr>
      <w:r w:rsidRPr="00C52120">
        <w:t>Se mantienen dos planes en vigor.</w:t>
      </w:r>
    </w:p>
    <w:p w14:paraId="54924447" w14:textId="77777777" w:rsidR="001A293D" w:rsidRPr="00D9725B" w:rsidRDefault="001A293D" w:rsidP="001A293D">
      <w:pPr>
        <w:pStyle w:val="Ttulo3"/>
      </w:pPr>
      <w:r w:rsidRPr="00D9725B">
        <w:t>Directrices, acuerdos, instrucciones, circulares y respuestas a consultas</w:t>
      </w:r>
    </w:p>
    <w:p w14:paraId="697EBA98" w14:textId="0904DC01" w:rsidR="00462A73" w:rsidRPr="00C52120" w:rsidRDefault="00462A73" w:rsidP="00237FCF">
      <w:pPr>
        <w:jc w:val="both"/>
      </w:pPr>
      <w:r>
        <w:t xml:space="preserve">Desde esta UIT se informa a </w:t>
      </w:r>
      <w:r w:rsidR="29313FDB">
        <w:t xml:space="preserve">la </w:t>
      </w:r>
      <w:r>
        <w:t>SGTAC que se han tomado las siguientes medidas para mitigar la problemática detectada por el CTBG:</w:t>
      </w:r>
    </w:p>
    <w:p w14:paraId="3DC93C80" w14:textId="77777777" w:rsidR="00462A73" w:rsidRPr="00C52120" w:rsidRDefault="00462A73" w:rsidP="00237FCF">
      <w:pPr>
        <w:pStyle w:val="Prrafodelista"/>
        <w:numPr>
          <w:ilvl w:val="0"/>
          <w:numId w:val="7"/>
        </w:numPr>
        <w:jc w:val="both"/>
      </w:pPr>
      <w:r w:rsidRPr="00C52120">
        <w:t>Se actualizan los enlaces rotos.</w:t>
      </w:r>
    </w:p>
    <w:p w14:paraId="6C22C7D3" w14:textId="0CB4627E" w:rsidR="00462A73" w:rsidRPr="00C52120" w:rsidRDefault="00462A73" w:rsidP="00237FCF">
      <w:pPr>
        <w:pStyle w:val="Prrafodelista"/>
        <w:numPr>
          <w:ilvl w:val="0"/>
          <w:numId w:val="7"/>
        </w:numPr>
        <w:jc w:val="both"/>
      </w:pPr>
      <w:r>
        <w:t xml:space="preserve">Respecto al </w:t>
      </w:r>
      <w:r w:rsidR="3AEDF53D">
        <w:t>Boletín de Consultas en Materia de Recursos Humanos (</w:t>
      </w:r>
      <w:r>
        <w:t>BODECO</w:t>
      </w:r>
      <w:r w:rsidR="35FD8BAA">
        <w:t>)</w:t>
      </w:r>
      <w:r>
        <w:t xml:space="preserve"> para su inclusión en el Portal, se empezarán las reuniones para la adecuada toma de decisiones al respecto.</w:t>
      </w:r>
    </w:p>
    <w:p w14:paraId="5115E11D" w14:textId="77777777" w:rsidR="00001A57" w:rsidRDefault="00001A57" w:rsidP="00001A57">
      <w:pPr>
        <w:pStyle w:val="Ttulo3"/>
      </w:pPr>
      <w:r w:rsidRPr="00D9725B">
        <w:t>Información estadística</w:t>
      </w:r>
    </w:p>
    <w:p w14:paraId="217EB1F8" w14:textId="4473958B" w:rsidR="00A06D58" w:rsidRPr="00C52120" w:rsidRDefault="00A06D58" w:rsidP="00237FCF">
      <w:pPr>
        <w:jc w:val="both"/>
      </w:pPr>
      <w:r>
        <w:t xml:space="preserve">Desde esta UIT se informa a </w:t>
      </w:r>
      <w:r w:rsidR="7259FB7D">
        <w:t xml:space="preserve">la </w:t>
      </w:r>
      <w:r>
        <w:t>SGTAC que se han tomado las siguientes medidas para mitigar la problemática detectada por el CTBG:</w:t>
      </w:r>
    </w:p>
    <w:p w14:paraId="147E33A4" w14:textId="77777777" w:rsidR="00A06D58" w:rsidRPr="00C52120" w:rsidRDefault="00A06D58" w:rsidP="00237FCF">
      <w:pPr>
        <w:pStyle w:val="Prrafodelista"/>
        <w:numPr>
          <w:ilvl w:val="0"/>
          <w:numId w:val="15"/>
        </w:numPr>
        <w:jc w:val="both"/>
      </w:pPr>
      <w:r w:rsidRPr="00C52120">
        <w:t>Se despublican los planes editoriales.</w:t>
      </w:r>
    </w:p>
    <w:p w14:paraId="488FC510" w14:textId="77777777" w:rsidR="00A06D58" w:rsidRPr="00C52120" w:rsidRDefault="00A06D58" w:rsidP="00237FCF">
      <w:pPr>
        <w:pStyle w:val="Prrafodelista"/>
        <w:numPr>
          <w:ilvl w:val="0"/>
          <w:numId w:val="15"/>
        </w:numPr>
        <w:jc w:val="both"/>
      </w:pPr>
      <w:r w:rsidRPr="00C52120">
        <w:t>Se marcan como no vigentes los planes del INAP correspondientes.</w:t>
      </w:r>
    </w:p>
    <w:p w14:paraId="2C19A577" w14:textId="5CF96C39" w:rsidR="00F05AF1" w:rsidRDefault="00C56340" w:rsidP="0091220E">
      <w:pPr>
        <w:pStyle w:val="Ttulo2"/>
      </w:pPr>
      <w:r>
        <w:t>5.1</w:t>
      </w:r>
      <w:r w:rsidR="003B4109">
        <w:t>4</w:t>
      </w:r>
      <w:r>
        <w:t xml:space="preserve">. Alegaciones </w:t>
      </w:r>
      <w:r w:rsidRPr="00C56340">
        <w:t>UIT Ministerio de Transportes y Movilidad Sostenible</w:t>
      </w:r>
    </w:p>
    <w:p w14:paraId="0A5CDADB" w14:textId="77777777" w:rsidR="00C56340" w:rsidRPr="00D9725B" w:rsidRDefault="00C56340" w:rsidP="00C56340">
      <w:pPr>
        <w:pStyle w:val="Ttulo3"/>
      </w:pPr>
      <w:r w:rsidRPr="00D9725B">
        <w:t>Planes y programas</w:t>
      </w:r>
    </w:p>
    <w:p w14:paraId="16B49E5D" w14:textId="12E27F46" w:rsidR="00393377" w:rsidRPr="00C52120" w:rsidRDefault="00393377" w:rsidP="00237FCF">
      <w:pPr>
        <w:jc w:val="both"/>
      </w:pPr>
      <w:r>
        <w:t xml:space="preserve">Desde esta UIT se informa a </w:t>
      </w:r>
      <w:r w:rsidR="698FD073">
        <w:t xml:space="preserve">la </w:t>
      </w:r>
      <w:r>
        <w:t>SGTAC que se han tomado las siguientes medidas para mitigar la problemática detectada por el CTBG:</w:t>
      </w:r>
    </w:p>
    <w:p w14:paraId="2A2C2390" w14:textId="77777777" w:rsidR="00393377" w:rsidRPr="00C52120" w:rsidRDefault="00393377" w:rsidP="00237FCF">
      <w:pPr>
        <w:pStyle w:val="Prrafodelista"/>
        <w:numPr>
          <w:ilvl w:val="0"/>
          <w:numId w:val="24"/>
        </w:numPr>
        <w:jc w:val="both"/>
      </w:pPr>
      <w:r w:rsidRPr="00C52120">
        <w:t>Se marcan como no vigentes aquellos planes que lo son.</w:t>
      </w:r>
    </w:p>
    <w:p w14:paraId="7A5D139D" w14:textId="77777777" w:rsidR="00393377" w:rsidRPr="00C52120" w:rsidRDefault="00393377" w:rsidP="00237FCF">
      <w:pPr>
        <w:pStyle w:val="Prrafodelista"/>
        <w:numPr>
          <w:ilvl w:val="0"/>
          <w:numId w:val="24"/>
        </w:numPr>
        <w:jc w:val="both"/>
      </w:pPr>
      <w:r w:rsidRPr="00C52120">
        <w:t>Se corrigen los enlaces rotos detectados.</w:t>
      </w:r>
    </w:p>
    <w:p w14:paraId="61174567" w14:textId="77777777" w:rsidR="00393377" w:rsidRPr="00D9725B" w:rsidRDefault="00393377" w:rsidP="00393377">
      <w:pPr>
        <w:pStyle w:val="Ttulo3"/>
      </w:pPr>
      <w:r w:rsidRPr="00D9725B">
        <w:t>Directrices, acuerdos, instrucciones, circulares y respuestas a consultas</w:t>
      </w:r>
    </w:p>
    <w:p w14:paraId="56FC7FF5" w14:textId="213CBD5B" w:rsidR="00BC7A2B" w:rsidRPr="00C52120" w:rsidRDefault="00BC7A2B" w:rsidP="00237FCF">
      <w:pPr>
        <w:jc w:val="both"/>
      </w:pPr>
      <w:r>
        <w:t xml:space="preserve">Desde esta UIT se informa a </w:t>
      </w:r>
      <w:r w:rsidR="074B0025">
        <w:t xml:space="preserve">la </w:t>
      </w:r>
      <w:r>
        <w:t>SGTAC que se han tomado las siguientes medidas para mitigar la problemática detectada por el CTBG:</w:t>
      </w:r>
    </w:p>
    <w:p w14:paraId="2FC5BD5C" w14:textId="77777777" w:rsidR="00BC7A2B" w:rsidRPr="00C52120" w:rsidRDefault="00BC7A2B" w:rsidP="00237FCF">
      <w:pPr>
        <w:pStyle w:val="Prrafodelista"/>
        <w:numPr>
          <w:ilvl w:val="0"/>
          <w:numId w:val="3"/>
        </w:numPr>
        <w:jc w:val="both"/>
      </w:pPr>
      <w:r w:rsidRPr="00C52120">
        <w:lastRenderedPageBreak/>
        <w:t xml:space="preserve">Se ha mantenido sólo una resolución que publica el “Acuerdo del Consejo de </w:t>
      </w:r>
      <w:proofErr w:type="gramStart"/>
      <w:r w:rsidRPr="00C52120">
        <w:t>Ministros</w:t>
      </w:r>
      <w:proofErr w:type="gramEnd"/>
      <w:r w:rsidRPr="00C52120">
        <w:t xml:space="preserve"> de 27 de enero de 2017, por el que se aprueba el Documento de Regulación Aeroportuaria 2017-2021”, eliminándose el resto de los elementos al entenderse que no debían estar publicados en esta categoría.</w:t>
      </w:r>
    </w:p>
    <w:p w14:paraId="7FB2D649" w14:textId="77777777" w:rsidR="00BC7A2B" w:rsidRDefault="00BC7A2B" w:rsidP="00BC7A2B">
      <w:pPr>
        <w:pStyle w:val="Ttulo3"/>
      </w:pPr>
      <w:r w:rsidRPr="00D9725B">
        <w:t>Información estadística</w:t>
      </w:r>
    </w:p>
    <w:p w14:paraId="1035CF70" w14:textId="52AF479D" w:rsidR="006E6F81" w:rsidRPr="00C52120" w:rsidRDefault="006E6F81" w:rsidP="00237FCF">
      <w:pPr>
        <w:jc w:val="both"/>
      </w:pPr>
      <w:r>
        <w:t xml:space="preserve">Desde esta UIT se informa a </w:t>
      </w:r>
      <w:r w:rsidR="63D08A46">
        <w:t xml:space="preserve">la </w:t>
      </w:r>
      <w:r>
        <w:t>SGTAC que se han tomado las siguientes medidas para mitigar la problemática detectada por el CTBG:</w:t>
      </w:r>
    </w:p>
    <w:p w14:paraId="7B63C02B" w14:textId="77777777" w:rsidR="006E6F81" w:rsidRPr="00C52120" w:rsidRDefault="006E6F81" w:rsidP="00237FCF">
      <w:pPr>
        <w:pStyle w:val="Prrafodelista"/>
        <w:numPr>
          <w:ilvl w:val="0"/>
          <w:numId w:val="16"/>
        </w:numPr>
        <w:jc w:val="both"/>
      </w:pPr>
      <w:r w:rsidRPr="00C52120">
        <w:t>Se ha reducido a 7 el número de registros tras eliminar elementos que no correspondían a este apartado.</w:t>
      </w:r>
    </w:p>
    <w:p w14:paraId="47EB9A92" w14:textId="2E4C1249" w:rsidR="00C56340" w:rsidRDefault="006E6F81" w:rsidP="00237FCF">
      <w:pPr>
        <w:pStyle w:val="Prrafodelista"/>
        <w:numPr>
          <w:ilvl w:val="0"/>
          <w:numId w:val="16"/>
        </w:numPr>
        <w:jc w:val="both"/>
      </w:pPr>
      <w:r w:rsidRPr="00C52120">
        <w:t>Tienen pendiente revisar la vigencia de los elementos restantes.</w:t>
      </w:r>
    </w:p>
    <w:p w14:paraId="6B774253" w14:textId="77777777" w:rsidR="006E6F81" w:rsidRPr="00D9725B" w:rsidRDefault="006E6F81" w:rsidP="006E6F81"/>
    <w:p w14:paraId="6A04BFAC" w14:textId="77777777" w:rsidR="00962243" w:rsidRDefault="00962243">
      <w:pPr>
        <w:rPr>
          <w:rFonts w:eastAsia="Times New Roman" w:cs="Times New Roman"/>
          <w:b/>
          <w:bCs/>
          <w:color w:val="2F5496" w:themeColor="accent1" w:themeShade="BF"/>
          <w:sz w:val="36"/>
          <w:szCs w:val="36"/>
          <w:lang w:eastAsia="es-ES"/>
        </w:rPr>
      </w:pPr>
      <w:r>
        <w:br w:type="page"/>
      </w:r>
    </w:p>
    <w:p w14:paraId="30D13218" w14:textId="721B6F2F" w:rsidR="000E407D" w:rsidRPr="00D53306" w:rsidRDefault="000E407D" w:rsidP="00AA7B46">
      <w:pPr>
        <w:pStyle w:val="Ttulo1"/>
      </w:pPr>
      <w:r>
        <w:lastRenderedPageBreak/>
        <w:t>6</w:t>
      </w:r>
      <w:r w:rsidRPr="00D53306">
        <w:t>. Observaciones generales y conclusiones</w:t>
      </w:r>
    </w:p>
    <w:p w14:paraId="31C1BA26" w14:textId="77777777" w:rsidR="000E407D" w:rsidRDefault="5687B1FD" w:rsidP="000E407D">
      <w:pPr>
        <w:spacing w:after="0" w:line="240" w:lineRule="auto"/>
        <w:jc w:val="both"/>
        <w:rPr>
          <w:rFonts w:eastAsia="Times New Roman" w:cs="Times New Roman"/>
          <w:szCs w:val="24"/>
          <w:lang w:eastAsia="es-ES"/>
        </w:rPr>
      </w:pPr>
      <w:r w:rsidRPr="2858D7F0">
        <w:rPr>
          <w:rFonts w:eastAsia="Times New Roman" w:cs="Times New Roman"/>
          <w:szCs w:val="24"/>
          <w:lang w:eastAsia="es-ES"/>
        </w:rPr>
        <w:t xml:space="preserve">A la vista de las observaciones formuladas por el CTBG y de la información recabada de las </w:t>
      </w:r>
      <w:proofErr w:type="spellStart"/>
      <w:r w:rsidRPr="2858D7F0">
        <w:rPr>
          <w:rFonts w:eastAsia="Times New Roman" w:cs="Times New Roman"/>
          <w:szCs w:val="24"/>
          <w:lang w:eastAsia="es-ES"/>
        </w:rPr>
        <w:t>UITs</w:t>
      </w:r>
      <w:proofErr w:type="spellEnd"/>
      <w:r w:rsidRPr="2858D7F0">
        <w:rPr>
          <w:rFonts w:eastAsia="Times New Roman" w:cs="Times New Roman"/>
          <w:szCs w:val="24"/>
          <w:lang w:eastAsia="es-ES"/>
        </w:rPr>
        <w:t>, puede afirmarse que la AGE ha reaccionado de forma diligente y coordinada ante el informe provisional, impulsando un plan de acción orientado a corregir, en la medida de lo posible, las incidencias detectadas.</w:t>
      </w:r>
    </w:p>
    <w:p w14:paraId="2398352F" w14:textId="652CFB07" w:rsidR="2858D7F0" w:rsidRDefault="2858D7F0" w:rsidP="2858D7F0">
      <w:pPr>
        <w:spacing w:after="0" w:line="240" w:lineRule="auto"/>
        <w:jc w:val="both"/>
        <w:rPr>
          <w:rFonts w:eastAsia="Times New Roman" w:cs="Times New Roman"/>
          <w:szCs w:val="24"/>
          <w:lang w:eastAsia="es-ES"/>
        </w:rPr>
      </w:pPr>
    </w:p>
    <w:p w14:paraId="1105CA30" w14:textId="628E23F5" w:rsidR="000E407D" w:rsidRDefault="2FF4C5B4">
      <w:pPr>
        <w:spacing w:after="0" w:line="240" w:lineRule="auto"/>
        <w:jc w:val="both"/>
        <w:rPr>
          <w:rFonts w:eastAsia="Times New Roman" w:cs="Times New Roman"/>
          <w:szCs w:val="24"/>
          <w:lang w:eastAsia="es-ES"/>
        </w:rPr>
      </w:pPr>
      <w:r w:rsidRPr="00D052DA">
        <w:rPr>
          <w:rFonts w:eastAsia="Times New Roman" w:cs="Times New Roman"/>
          <w:szCs w:val="24"/>
          <w:lang w:eastAsia="es-ES"/>
        </w:rPr>
        <w:t xml:space="preserve">En este sentido, y con el fin de recopilar la información necesaria para la correcta actualización de los elementos de información del Portal, esta Dirección General elaborará una guía de buenas prácticas en colaboración con las </w:t>
      </w:r>
      <w:proofErr w:type="spellStart"/>
      <w:r w:rsidRPr="00D052DA">
        <w:rPr>
          <w:rFonts w:eastAsia="Times New Roman" w:cs="Times New Roman"/>
          <w:szCs w:val="24"/>
          <w:lang w:eastAsia="es-ES"/>
        </w:rPr>
        <w:t>UITs</w:t>
      </w:r>
      <w:proofErr w:type="spellEnd"/>
      <w:r w:rsidRPr="00D052DA">
        <w:rPr>
          <w:rFonts w:eastAsia="Times New Roman" w:cs="Times New Roman"/>
          <w:szCs w:val="24"/>
          <w:lang w:eastAsia="es-ES"/>
        </w:rPr>
        <w:t>. La primera fase se centrará en los elementos de información de carácter descentralizado, es decir, aquellos cuya actualización y mantenimiento corresponde a las Unidades de Información de Transparencia (</w:t>
      </w:r>
      <w:proofErr w:type="spellStart"/>
      <w:r w:rsidRPr="00D052DA">
        <w:rPr>
          <w:rFonts w:eastAsia="Times New Roman" w:cs="Times New Roman"/>
          <w:szCs w:val="24"/>
          <w:lang w:eastAsia="es-ES"/>
        </w:rPr>
        <w:t>UITs</w:t>
      </w:r>
      <w:proofErr w:type="spellEnd"/>
      <w:r w:rsidRPr="00D052DA">
        <w:rPr>
          <w:rFonts w:eastAsia="Times New Roman" w:cs="Times New Roman"/>
          <w:szCs w:val="24"/>
          <w:lang w:eastAsia="es-ES"/>
        </w:rPr>
        <w:t>).</w:t>
      </w:r>
    </w:p>
    <w:p w14:paraId="01F63205" w14:textId="77777777" w:rsidR="00D052DA" w:rsidRPr="00D052DA" w:rsidRDefault="00D052DA" w:rsidP="00D052DA">
      <w:pPr>
        <w:spacing w:after="0" w:line="240" w:lineRule="auto"/>
        <w:jc w:val="both"/>
        <w:rPr>
          <w:rFonts w:eastAsia="Times New Roman" w:cs="Times New Roman"/>
          <w:szCs w:val="24"/>
          <w:lang w:eastAsia="es-ES"/>
        </w:rPr>
      </w:pPr>
    </w:p>
    <w:p w14:paraId="0E83D988" w14:textId="6A692D3E" w:rsidR="000E407D" w:rsidRDefault="6FB0E729" w:rsidP="000E407D">
      <w:pPr>
        <w:spacing w:after="0" w:line="240" w:lineRule="auto"/>
        <w:jc w:val="both"/>
        <w:rPr>
          <w:rFonts w:eastAsia="Times New Roman" w:cs="Times New Roman"/>
          <w:szCs w:val="24"/>
          <w:lang w:eastAsia="es-ES"/>
        </w:rPr>
      </w:pPr>
      <w:r w:rsidRPr="00D052DA">
        <w:rPr>
          <w:rFonts w:eastAsiaTheme="minorEastAsia" w:cs="Times New Roman"/>
          <w:szCs w:val="24"/>
          <w:lang w:eastAsia="es-ES"/>
        </w:rPr>
        <w:t>En todo caso, s</w:t>
      </w:r>
      <w:r w:rsidR="5687B1FD" w:rsidRPr="009E32D8">
        <w:rPr>
          <w:rFonts w:eastAsia="Times New Roman" w:cs="Times New Roman"/>
          <w:szCs w:val="24"/>
          <w:lang w:eastAsia="es-ES"/>
        </w:rPr>
        <w:t>e</w:t>
      </w:r>
      <w:r w:rsidR="5687B1FD" w:rsidRPr="2858D7F0">
        <w:rPr>
          <w:rFonts w:eastAsia="Times New Roman" w:cs="Times New Roman"/>
          <w:szCs w:val="24"/>
          <w:lang w:eastAsia="es-ES"/>
        </w:rPr>
        <w:t xml:space="preserve"> considera necesario reiterar la conveniencia de que, en futuros ejercicios, el CTBG facilite criterios interpretativos más precisos y ejemplos concretos sobre el contenido material esperado para cada obligación, a fin de evitar discrepancias interpretativas y favorecer una mayor homogeneidad en la publicación de contenidos.</w:t>
      </w:r>
    </w:p>
    <w:p w14:paraId="733CEC94" w14:textId="77777777" w:rsidR="000E407D" w:rsidRPr="00D53306" w:rsidRDefault="000E407D" w:rsidP="000E407D">
      <w:pPr>
        <w:spacing w:after="0" w:line="240" w:lineRule="auto"/>
        <w:jc w:val="both"/>
        <w:rPr>
          <w:rFonts w:eastAsia="Times New Roman" w:cs="Times New Roman"/>
          <w:szCs w:val="24"/>
          <w:lang w:eastAsia="es-ES"/>
        </w:rPr>
      </w:pPr>
    </w:p>
    <w:p w14:paraId="034CD01F" w14:textId="77777777" w:rsidR="000E407D" w:rsidRPr="00D53306" w:rsidRDefault="000E407D" w:rsidP="000E407D">
      <w:pPr>
        <w:spacing w:after="0" w:line="240" w:lineRule="auto"/>
        <w:jc w:val="both"/>
        <w:rPr>
          <w:rFonts w:eastAsia="Times New Roman" w:cs="Times New Roman"/>
          <w:szCs w:val="24"/>
          <w:lang w:eastAsia="es-ES"/>
        </w:rPr>
      </w:pPr>
      <w:r w:rsidRPr="00D53306">
        <w:rPr>
          <w:rFonts w:eastAsia="Times New Roman" w:cs="Times New Roman"/>
          <w:szCs w:val="24"/>
          <w:lang w:eastAsia="es-ES"/>
        </w:rPr>
        <w:t xml:space="preserve">Finalmente, esta </w:t>
      </w:r>
      <w:r>
        <w:rPr>
          <w:rFonts w:eastAsia="Times New Roman" w:cs="Times New Roman"/>
          <w:szCs w:val="24"/>
          <w:lang w:eastAsia="es-ES"/>
        </w:rPr>
        <w:t>Dirección</w:t>
      </w:r>
      <w:r w:rsidRPr="00D53306">
        <w:rPr>
          <w:rFonts w:eastAsia="Times New Roman" w:cs="Times New Roman"/>
          <w:szCs w:val="24"/>
          <w:lang w:eastAsia="es-ES"/>
        </w:rPr>
        <w:t xml:space="preserve"> General entiende que las observaciones del informe provisional deben contextualizarse adecuadamente, teniendo en cuenta tanto la metodología aplicada en el ejercicio 2025 como las actuaciones correctoras ya implementadas o en curso. Lejos de evidenciar un retroceso en materia de transparencia, el análisis pone de manifiesto un proceso continuo de mejora, depuración y alineación progresiva con los criterios interpretativos del CTBG, sin perjuicio de las legítimas diferencias de criterio existentes sobre el alcance de determinadas obligaciones de publicidad activa.</w:t>
      </w:r>
    </w:p>
    <w:p w14:paraId="34D8ED89" w14:textId="77777777" w:rsidR="000E407D" w:rsidRPr="00D9725B" w:rsidRDefault="000E407D" w:rsidP="000E407D">
      <w:pPr>
        <w:rPr>
          <w:rFonts w:cs="Times New Roman"/>
        </w:rPr>
      </w:pPr>
    </w:p>
    <w:p w14:paraId="2C07583F" w14:textId="77777777" w:rsidR="000E407D" w:rsidRPr="00D9725B" w:rsidRDefault="000E407D">
      <w:pPr>
        <w:rPr>
          <w:rFonts w:cs="Times New Roman"/>
        </w:rPr>
      </w:pPr>
    </w:p>
    <w:sectPr w:rsidR="000E407D" w:rsidRPr="00D9725B">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5FDA5" w14:textId="77777777" w:rsidR="003560AE" w:rsidRDefault="003560AE" w:rsidP="00EA2AD9">
      <w:pPr>
        <w:spacing w:after="0" w:line="240" w:lineRule="auto"/>
      </w:pPr>
      <w:r>
        <w:separator/>
      </w:r>
    </w:p>
  </w:endnote>
  <w:endnote w:type="continuationSeparator" w:id="0">
    <w:p w14:paraId="08DC7A15" w14:textId="77777777" w:rsidR="003560AE" w:rsidRDefault="003560AE" w:rsidP="00EA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974360"/>
      <w:docPartObj>
        <w:docPartGallery w:val="Page Numbers (Bottom of Page)"/>
        <w:docPartUnique/>
      </w:docPartObj>
    </w:sdtPr>
    <w:sdtEndPr/>
    <w:sdtContent>
      <w:p w14:paraId="78B1E3C3" w14:textId="2235FD7B" w:rsidR="00843F0F" w:rsidRDefault="00843F0F">
        <w:pPr>
          <w:pStyle w:val="Piedepgina"/>
          <w:jc w:val="center"/>
        </w:pPr>
        <w:r>
          <w:fldChar w:fldCharType="begin"/>
        </w:r>
        <w:r>
          <w:instrText>PAGE   \* MERGEFORMAT</w:instrText>
        </w:r>
        <w:r>
          <w:fldChar w:fldCharType="separate"/>
        </w:r>
        <w:r>
          <w:t>2</w:t>
        </w:r>
        <w:r>
          <w:fldChar w:fldCharType="end"/>
        </w:r>
      </w:p>
    </w:sdtContent>
  </w:sdt>
  <w:p w14:paraId="7CF851AF" w14:textId="52C207CB" w:rsidR="00EA2AD9" w:rsidRPr="00EA2AD9" w:rsidRDefault="00EA2AD9" w:rsidP="00EA2AD9">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2110F" w14:textId="77777777" w:rsidR="003560AE" w:rsidRDefault="003560AE" w:rsidP="00EA2AD9">
      <w:pPr>
        <w:spacing w:after="0" w:line="240" w:lineRule="auto"/>
      </w:pPr>
      <w:r>
        <w:separator/>
      </w:r>
    </w:p>
  </w:footnote>
  <w:footnote w:type="continuationSeparator" w:id="0">
    <w:p w14:paraId="5A65894E" w14:textId="77777777" w:rsidR="003560AE" w:rsidRDefault="003560AE" w:rsidP="00EA2A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7553"/>
    <w:multiLevelType w:val="hybridMultilevel"/>
    <w:tmpl w:val="73305A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95156C"/>
    <w:multiLevelType w:val="hybridMultilevel"/>
    <w:tmpl w:val="2506DA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94E2015"/>
    <w:multiLevelType w:val="multilevel"/>
    <w:tmpl w:val="DB083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C2D00"/>
    <w:multiLevelType w:val="hybridMultilevel"/>
    <w:tmpl w:val="DBB2DE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2CD3998"/>
    <w:multiLevelType w:val="hybridMultilevel"/>
    <w:tmpl w:val="7C7ABA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2F37BC7"/>
    <w:multiLevelType w:val="hybridMultilevel"/>
    <w:tmpl w:val="695AF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290027"/>
    <w:multiLevelType w:val="hybridMultilevel"/>
    <w:tmpl w:val="F384CD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57B2958"/>
    <w:multiLevelType w:val="hybridMultilevel"/>
    <w:tmpl w:val="8DE03A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0420988"/>
    <w:multiLevelType w:val="hybridMultilevel"/>
    <w:tmpl w:val="C4C2BF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1C74CF8"/>
    <w:multiLevelType w:val="hybridMultilevel"/>
    <w:tmpl w:val="0D2CB7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8751A04"/>
    <w:multiLevelType w:val="multilevel"/>
    <w:tmpl w:val="6DBAD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BC600B"/>
    <w:multiLevelType w:val="hybridMultilevel"/>
    <w:tmpl w:val="B7FE42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0374E7F"/>
    <w:multiLevelType w:val="hybridMultilevel"/>
    <w:tmpl w:val="374E23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4CFE79BF"/>
    <w:multiLevelType w:val="hybridMultilevel"/>
    <w:tmpl w:val="DE90E1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646397"/>
    <w:multiLevelType w:val="hybridMultilevel"/>
    <w:tmpl w:val="AC84EF7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3761AF2"/>
    <w:multiLevelType w:val="hybridMultilevel"/>
    <w:tmpl w:val="DC0694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548D6968"/>
    <w:multiLevelType w:val="hybridMultilevel"/>
    <w:tmpl w:val="2E7833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4C1356F"/>
    <w:multiLevelType w:val="hybridMultilevel"/>
    <w:tmpl w:val="BB30B0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553AA5"/>
    <w:multiLevelType w:val="hybridMultilevel"/>
    <w:tmpl w:val="E2BE32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7187C51"/>
    <w:multiLevelType w:val="hybridMultilevel"/>
    <w:tmpl w:val="F5BCF3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5F200D2F"/>
    <w:multiLevelType w:val="hybridMultilevel"/>
    <w:tmpl w:val="F5D0A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71A28FC"/>
    <w:multiLevelType w:val="hybridMultilevel"/>
    <w:tmpl w:val="0FB4A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7881069"/>
    <w:multiLevelType w:val="hybridMultilevel"/>
    <w:tmpl w:val="9C46CC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E2E2A4B"/>
    <w:multiLevelType w:val="hybridMultilevel"/>
    <w:tmpl w:val="ECE221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8E24070"/>
    <w:multiLevelType w:val="hybridMultilevel"/>
    <w:tmpl w:val="D6481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6"/>
  </w:num>
  <w:num w:numId="4">
    <w:abstractNumId w:val="17"/>
  </w:num>
  <w:num w:numId="5">
    <w:abstractNumId w:val="11"/>
  </w:num>
  <w:num w:numId="6">
    <w:abstractNumId w:val="12"/>
  </w:num>
  <w:num w:numId="7">
    <w:abstractNumId w:val="20"/>
  </w:num>
  <w:num w:numId="8">
    <w:abstractNumId w:val="7"/>
  </w:num>
  <w:num w:numId="9">
    <w:abstractNumId w:val="9"/>
  </w:num>
  <w:num w:numId="10">
    <w:abstractNumId w:val="13"/>
  </w:num>
  <w:num w:numId="11">
    <w:abstractNumId w:val="19"/>
  </w:num>
  <w:num w:numId="12">
    <w:abstractNumId w:val="22"/>
  </w:num>
  <w:num w:numId="13">
    <w:abstractNumId w:val="4"/>
  </w:num>
  <w:num w:numId="14">
    <w:abstractNumId w:val="10"/>
  </w:num>
  <w:num w:numId="15">
    <w:abstractNumId w:val="5"/>
  </w:num>
  <w:num w:numId="16">
    <w:abstractNumId w:val="21"/>
  </w:num>
  <w:num w:numId="17">
    <w:abstractNumId w:val="8"/>
  </w:num>
  <w:num w:numId="18">
    <w:abstractNumId w:val="2"/>
  </w:num>
  <w:num w:numId="19">
    <w:abstractNumId w:val="14"/>
  </w:num>
  <w:num w:numId="20">
    <w:abstractNumId w:val="3"/>
  </w:num>
  <w:num w:numId="21">
    <w:abstractNumId w:val="18"/>
  </w:num>
  <w:num w:numId="22">
    <w:abstractNumId w:val="1"/>
  </w:num>
  <w:num w:numId="23">
    <w:abstractNumId w:val="23"/>
  </w:num>
  <w:num w:numId="24">
    <w:abstractNumId w:val="16"/>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06"/>
    <w:rsid w:val="00001A57"/>
    <w:rsid w:val="00022EAF"/>
    <w:rsid w:val="00024012"/>
    <w:rsid w:val="0003160C"/>
    <w:rsid w:val="00041EC9"/>
    <w:rsid w:val="00050823"/>
    <w:rsid w:val="00053BDC"/>
    <w:rsid w:val="000718DF"/>
    <w:rsid w:val="000816CE"/>
    <w:rsid w:val="000818C2"/>
    <w:rsid w:val="00082DBF"/>
    <w:rsid w:val="000961D3"/>
    <w:rsid w:val="000A72B7"/>
    <w:rsid w:val="000B1ADB"/>
    <w:rsid w:val="000B5412"/>
    <w:rsid w:val="000B6FFC"/>
    <w:rsid w:val="000D2A86"/>
    <w:rsid w:val="000E2DE8"/>
    <w:rsid w:val="000E407D"/>
    <w:rsid w:val="000E763F"/>
    <w:rsid w:val="000F0DE4"/>
    <w:rsid w:val="000F1921"/>
    <w:rsid w:val="000F48B1"/>
    <w:rsid w:val="0010044A"/>
    <w:rsid w:val="00101847"/>
    <w:rsid w:val="00112445"/>
    <w:rsid w:val="00135F09"/>
    <w:rsid w:val="001360EF"/>
    <w:rsid w:val="00137027"/>
    <w:rsid w:val="00146421"/>
    <w:rsid w:val="00151B11"/>
    <w:rsid w:val="001567FE"/>
    <w:rsid w:val="00166E09"/>
    <w:rsid w:val="00172081"/>
    <w:rsid w:val="0018299B"/>
    <w:rsid w:val="00193266"/>
    <w:rsid w:val="001A293D"/>
    <w:rsid w:val="001B6059"/>
    <w:rsid w:val="001D050E"/>
    <w:rsid w:val="001D0E78"/>
    <w:rsid w:val="001D465E"/>
    <w:rsid w:val="001E163B"/>
    <w:rsid w:val="001E6D93"/>
    <w:rsid w:val="001E6FA5"/>
    <w:rsid w:val="002200BF"/>
    <w:rsid w:val="00227969"/>
    <w:rsid w:val="002376A3"/>
    <w:rsid w:val="00237FCF"/>
    <w:rsid w:val="0024094F"/>
    <w:rsid w:val="00240BBD"/>
    <w:rsid w:val="002418C4"/>
    <w:rsid w:val="00254CF4"/>
    <w:rsid w:val="002634C8"/>
    <w:rsid w:val="002712EC"/>
    <w:rsid w:val="00277DE8"/>
    <w:rsid w:val="002856BB"/>
    <w:rsid w:val="002B4D40"/>
    <w:rsid w:val="002D6A63"/>
    <w:rsid w:val="002E40BF"/>
    <w:rsid w:val="002F3C7A"/>
    <w:rsid w:val="00315216"/>
    <w:rsid w:val="0032021D"/>
    <w:rsid w:val="003237CF"/>
    <w:rsid w:val="003241BD"/>
    <w:rsid w:val="00334E10"/>
    <w:rsid w:val="0035040D"/>
    <w:rsid w:val="00352A5A"/>
    <w:rsid w:val="003538B4"/>
    <w:rsid w:val="00355B00"/>
    <w:rsid w:val="003560AE"/>
    <w:rsid w:val="00357AD0"/>
    <w:rsid w:val="00370636"/>
    <w:rsid w:val="003806B3"/>
    <w:rsid w:val="00387C90"/>
    <w:rsid w:val="00393377"/>
    <w:rsid w:val="0039606D"/>
    <w:rsid w:val="003A5AC6"/>
    <w:rsid w:val="003A7F64"/>
    <w:rsid w:val="003B4109"/>
    <w:rsid w:val="003D2447"/>
    <w:rsid w:val="003E532D"/>
    <w:rsid w:val="003F040D"/>
    <w:rsid w:val="00411CF5"/>
    <w:rsid w:val="004140ED"/>
    <w:rsid w:val="00423A8A"/>
    <w:rsid w:val="00424702"/>
    <w:rsid w:val="00432814"/>
    <w:rsid w:val="0043598A"/>
    <w:rsid w:val="004363F1"/>
    <w:rsid w:val="00437DB7"/>
    <w:rsid w:val="00457213"/>
    <w:rsid w:val="00462A73"/>
    <w:rsid w:val="0046417E"/>
    <w:rsid w:val="004900DB"/>
    <w:rsid w:val="0049244A"/>
    <w:rsid w:val="004B3D4E"/>
    <w:rsid w:val="004C0CBC"/>
    <w:rsid w:val="004C3626"/>
    <w:rsid w:val="004E5C3E"/>
    <w:rsid w:val="004F3876"/>
    <w:rsid w:val="004F7308"/>
    <w:rsid w:val="00506D4D"/>
    <w:rsid w:val="005165AC"/>
    <w:rsid w:val="005427A3"/>
    <w:rsid w:val="0054758A"/>
    <w:rsid w:val="00555789"/>
    <w:rsid w:val="00562F2A"/>
    <w:rsid w:val="00571BF5"/>
    <w:rsid w:val="00586D37"/>
    <w:rsid w:val="00592008"/>
    <w:rsid w:val="00592F71"/>
    <w:rsid w:val="00594B8B"/>
    <w:rsid w:val="005962C9"/>
    <w:rsid w:val="005A2D7F"/>
    <w:rsid w:val="005A343B"/>
    <w:rsid w:val="005B1290"/>
    <w:rsid w:val="005B5CAC"/>
    <w:rsid w:val="005B74CA"/>
    <w:rsid w:val="005C0E6E"/>
    <w:rsid w:val="005E2464"/>
    <w:rsid w:val="005E6CCA"/>
    <w:rsid w:val="00607D97"/>
    <w:rsid w:val="00612BEB"/>
    <w:rsid w:val="00620800"/>
    <w:rsid w:val="00622B6E"/>
    <w:rsid w:val="00630D01"/>
    <w:rsid w:val="006416DE"/>
    <w:rsid w:val="00642A93"/>
    <w:rsid w:val="00655FA4"/>
    <w:rsid w:val="00672EE6"/>
    <w:rsid w:val="0068078F"/>
    <w:rsid w:val="0068537C"/>
    <w:rsid w:val="00690334"/>
    <w:rsid w:val="006921F1"/>
    <w:rsid w:val="006B0601"/>
    <w:rsid w:val="006B4806"/>
    <w:rsid w:val="006E6F81"/>
    <w:rsid w:val="006F3008"/>
    <w:rsid w:val="006F4F9A"/>
    <w:rsid w:val="0070376C"/>
    <w:rsid w:val="00704171"/>
    <w:rsid w:val="00705660"/>
    <w:rsid w:val="00707939"/>
    <w:rsid w:val="00722F11"/>
    <w:rsid w:val="0074286A"/>
    <w:rsid w:val="00742BA2"/>
    <w:rsid w:val="00750594"/>
    <w:rsid w:val="00752D9A"/>
    <w:rsid w:val="00754D8B"/>
    <w:rsid w:val="00763759"/>
    <w:rsid w:val="007661EF"/>
    <w:rsid w:val="007825EA"/>
    <w:rsid w:val="007900FB"/>
    <w:rsid w:val="00791F49"/>
    <w:rsid w:val="007A0613"/>
    <w:rsid w:val="007B36D8"/>
    <w:rsid w:val="007C2792"/>
    <w:rsid w:val="007C45AC"/>
    <w:rsid w:val="008100E3"/>
    <w:rsid w:val="00812790"/>
    <w:rsid w:val="00814C52"/>
    <w:rsid w:val="00830E30"/>
    <w:rsid w:val="00843F0F"/>
    <w:rsid w:val="00853E2B"/>
    <w:rsid w:val="008559D3"/>
    <w:rsid w:val="00855C35"/>
    <w:rsid w:val="008659DC"/>
    <w:rsid w:val="00876FEF"/>
    <w:rsid w:val="008901F7"/>
    <w:rsid w:val="008A1EA7"/>
    <w:rsid w:val="008A2053"/>
    <w:rsid w:val="008A3128"/>
    <w:rsid w:val="008B4753"/>
    <w:rsid w:val="008C0E3E"/>
    <w:rsid w:val="008E2982"/>
    <w:rsid w:val="008F1A9E"/>
    <w:rsid w:val="0091220E"/>
    <w:rsid w:val="00912A2C"/>
    <w:rsid w:val="00920949"/>
    <w:rsid w:val="009275D2"/>
    <w:rsid w:val="0095468C"/>
    <w:rsid w:val="009558AE"/>
    <w:rsid w:val="0095657E"/>
    <w:rsid w:val="00960F56"/>
    <w:rsid w:val="00962243"/>
    <w:rsid w:val="00966291"/>
    <w:rsid w:val="00977ED8"/>
    <w:rsid w:val="00977F17"/>
    <w:rsid w:val="00983610"/>
    <w:rsid w:val="009843A3"/>
    <w:rsid w:val="00984CE0"/>
    <w:rsid w:val="0099575C"/>
    <w:rsid w:val="009A0015"/>
    <w:rsid w:val="009B28E4"/>
    <w:rsid w:val="009B48A0"/>
    <w:rsid w:val="009B5316"/>
    <w:rsid w:val="009C49E2"/>
    <w:rsid w:val="009E1EEB"/>
    <w:rsid w:val="009E2C25"/>
    <w:rsid w:val="009E32D8"/>
    <w:rsid w:val="009E67BC"/>
    <w:rsid w:val="009F27A1"/>
    <w:rsid w:val="00A05F5B"/>
    <w:rsid w:val="00A06D58"/>
    <w:rsid w:val="00A3006A"/>
    <w:rsid w:val="00A55098"/>
    <w:rsid w:val="00A553D0"/>
    <w:rsid w:val="00A70FD6"/>
    <w:rsid w:val="00A71485"/>
    <w:rsid w:val="00A754BF"/>
    <w:rsid w:val="00A81468"/>
    <w:rsid w:val="00A96A16"/>
    <w:rsid w:val="00A96F26"/>
    <w:rsid w:val="00AA5B05"/>
    <w:rsid w:val="00AA6F3C"/>
    <w:rsid w:val="00AA7B46"/>
    <w:rsid w:val="00AB5A73"/>
    <w:rsid w:val="00AB6AAD"/>
    <w:rsid w:val="00AD0827"/>
    <w:rsid w:val="00AE226A"/>
    <w:rsid w:val="00AF17A3"/>
    <w:rsid w:val="00AF59E7"/>
    <w:rsid w:val="00B05ABE"/>
    <w:rsid w:val="00B141B6"/>
    <w:rsid w:val="00B22A01"/>
    <w:rsid w:val="00B22EE9"/>
    <w:rsid w:val="00B23DCA"/>
    <w:rsid w:val="00B265C8"/>
    <w:rsid w:val="00B26CC5"/>
    <w:rsid w:val="00B62350"/>
    <w:rsid w:val="00B64789"/>
    <w:rsid w:val="00B65169"/>
    <w:rsid w:val="00B80C76"/>
    <w:rsid w:val="00B83458"/>
    <w:rsid w:val="00B95A12"/>
    <w:rsid w:val="00BA18EE"/>
    <w:rsid w:val="00BA205D"/>
    <w:rsid w:val="00BA607C"/>
    <w:rsid w:val="00BB259F"/>
    <w:rsid w:val="00BC0024"/>
    <w:rsid w:val="00BC4634"/>
    <w:rsid w:val="00BC7A2B"/>
    <w:rsid w:val="00BD5A90"/>
    <w:rsid w:val="00BD7023"/>
    <w:rsid w:val="00BE42AA"/>
    <w:rsid w:val="00BF19D7"/>
    <w:rsid w:val="00BF4A04"/>
    <w:rsid w:val="00C0625A"/>
    <w:rsid w:val="00C148F0"/>
    <w:rsid w:val="00C17E8B"/>
    <w:rsid w:val="00C25162"/>
    <w:rsid w:val="00C25509"/>
    <w:rsid w:val="00C40849"/>
    <w:rsid w:val="00C44FBF"/>
    <w:rsid w:val="00C5238E"/>
    <w:rsid w:val="00C56340"/>
    <w:rsid w:val="00C67171"/>
    <w:rsid w:val="00C67847"/>
    <w:rsid w:val="00C72842"/>
    <w:rsid w:val="00C74830"/>
    <w:rsid w:val="00C81B62"/>
    <w:rsid w:val="00CB6072"/>
    <w:rsid w:val="00CC1560"/>
    <w:rsid w:val="00CD62A3"/>
    <w:rsid w:val="00CE3774"/>
    <w:rsid w:val="00CE5773"/>
    <w:rsid w:val="00CF6B21"/>
    <w:rsid w:val="00D01B90"/>
    <w:rsid w:val="00D052DA"/>
    <w:rsid w:val="00D05DE4"/>
    <w:rsid w:val="00D137DE"/>
    <w:rsid w:val="00D13958"/>
    <w:rsid w:val="00D15144"/>
    <w:rsid w:val="00D24080"/>
    <w:rsid w:val="00D302D3"/>
    <w:rsid w:val="00D432B9"/>
    <w:rsid w:val="00D43975"/>
    <w:rsid w:val="00D53306"/>
    <w:rsid w:val="00D564C7"/>
    <w:rsid w:val="00D62DD3"/>
    <w:rsid w:val="00D73B56"/>
    <w:rsid w:val="00D82764"/>
    <w:rsid w:val="00D82E70"/>
    <w:rsid w:val="00D841CC"/>
    <w:rsid w:val="00D859FE"/>
    <w:rsid w:val="00D90BC0"/>
    <w:rsid w:val="00D91CD4"/>
    <w:rsid w:val="00D92D24"/>
    <w:rsid w:val="00D9725B"/>
    <w:rsid w:val="00DA4419"/>
    <w:rsid w:val="00DA7DBC"/>
    <w:rsid w:val="00DC0AE4"/>
    <w:rsid w:val="00DC6660"/>
    <w:rsid w:val="00DE2780"/>
    <w:rsid w:val="00DE3E58"/>
    <w:rsid w:val="00E06FE4"/>
    <w:rsid w:val="00E1687B"/>
    <w:rsid w:val="00E26940"/>
    <w:rsid w:val="00E33C1D"/>
    <w:rsid w:val="00E355C7"/>
    <w:rsid w:val="00E45323"/>
    <w:rsid w:val="00E466F4"/>
    <w:rsid w:val="00E65B78"/>
    <w:rsid w:val="00E65E99"/>
    <w:rsid w:val="00E7053B"/>
    <w:rsid w:val="00E76FDF"/>
    <w:rsid w:val="00E80F6D"/>
    <w:rsid w:val="00E820B2"/>
    <w:rsid w:val="00E90888"/>
    <w:rsid w:val="00E935D9"/>
    <w:rsid w:val="00E93E91"/>
    <w:rsid w:val="00E963BE"/>
    <w:rsid w:val="00EA2AD9"/>
    <w:rsid w:val="00EA6A6A"/>
    <w:rsid w:val="00EB03E8"/>
    <w:rsid w:val="00EB1F07"/>
    <w:rsid w:val="00EB2E1A"/>
    <w:rsid w:val="00EB343F"/>
    <w:rsid w:val="00EC48B7"/>
    <w:rsid w:val="00EC5343"/>
    <w:rsid w:val="00ED06A8"/>
    <w:rsid w:val="00ED0C47"/>
    <w:rsid w:val="00ED4FCB"/>
    <w:rsid w:val="00EE3840"/>
    <w:rsid w:val="00EE4B3A"/>
    <w:rsid w:val="00EE7A31"/>
    <w:rsid w:val="00EE7AC9"/>
    <w:rsid w:val="00EF0037"/>
    <w:rsid w:val="00F0418D"/>
    <w:rsid w:val="00F05AF1"/>
    <w:rsid w:val="00F2068E"/>
    <w:rsid w:val="00F2788E"/>
    <w:rsid w:val="00F31A78"/>
    <w:rsid w:val="00F37C1C"/>
    <w:rsid w:val="00F43620"/>
    <w:rsid w:val="00F52D92"/>
    <w:rsid w:val="00F70872"/>
    <w:rsid w:val="00F816AC"/>
    <w:rsid w:val="00FA4EFC"/>
    <w:rsid w:val="00FA6742"/>
    <w:rsid w:val="00FB23C9"/>
    <w:rsid w:val="00FC6785"/>
    <w:rsid w:val="00FD248F"/>
    <w:rsid w:val="00FE4739"/>
    <w:rsid w:val="00FE4F6C"/>
    <w:rsid w:val="00FE5AA9"/>
    <w:rsid w:val="03F19FE8"/>
    <w:rsid w:val="04DB1405"/>
    <w:rsid w:val="04DD4E20"/>
    <w:rsid w:val="05EC486C"/>
    <w:rsid w:val="071D54D6"/>
    <w:rsid w:val="074B0025"/>
    <w:rsid w:val="092650E3"/>
    <w:rsid w:val="0A95B856"/>
    <w:rsid w:val="0E82DC03"/>
    <w:rsid w:val="0F20E9F7"/>
    <w:rsid w:val="11B47A56"/>
    <w:rsid w:val="11E84F60"/>
    <w:rsid w:val="1B13A220"/>
    <w:rsid w:val="1BA2FA6F"/>
    <w:rsid w:val="1E2304B8"/>
    <w:rsid w:val="1EB96D99"/>
    <w:rsid w:val="2228FDA1"/>
    <w:rsid w:val="2260E92F"/>
    <w:rsid w:val="2858D7F0"/>
    <w:rsid w:val="29313FDB"/>
    <w:rsid w:val="29E43C62"/>
    <w:rsid w:val="2ABB9DA5"/>
    <w:rsid w:val="2ECE7EA3"/>
    <w:rsid w:val="2FF4C5B4"/>
    <w:rsid w:val="301629B3"/>
    <w:rsid w:val="307097FF"/>
    <w:rsid w:val="3182ECD1"/>
    <w:rsid w:val="32BFC31B"/>
    <w:rsid w:val="33B13CD7"/>
    <w:rsid w:val="33D3664E"/>
    <w:rsid w:val="346A7358"/>
    <w:rsid w:val="35FD8BAA"/>
    <w:rsid w:val="38CAFBF2"/>
    <w:rsid w:val="3AEDF53D"/>
    <w:rsid w:val="3CDBCB73"/>
    <w:rsid w:val="3D4879D6"/>
    <w:rsid w:val="3D7D8A62"/>
    <w:rsid w:val="445E7CB8"/>
    <w:rsid w:val="4477F941"/>
    <w:rsid w:val="469556DF"/>
    <w:rsid w:val="483504DC"/>
    <w:rsid w:val="48D65E45"/>
    <w:rsid w:val="4D2F7ABC"/>
    <w:rsid w:val="4DE6893A"/>
    <w:rsid w:val="4F181880"/>
    <w:rsid w:val="50628CBD"/>
    <w:rsid w:val="51F50959"/>
    <w:rsid w:val="52C49F76"/>
    <w:rsid w:val="55D287F8"/>
    <w:rsid w:val="5687B1FD"/>
    <w:rsid w:val="5827AC0B"/>
    <w:rsid w:val="5BDD4991"/>
    <w:rsid w:val="5C74FA98"/>
    <w:rsid w:val="5CB359B1"/>
    <w:rsid w:val="5D69DD4F"/>
    <w:rsid w:val="5D7F46F7"/>
    <w:rsid w:val="5DE35E28"/>
    <w:rsid w:val="5ECD3CEB"/>
    <w:rsid w:val="5FBFF4D4"/>
    <w:rsid w:val="637DE108"/>
    <w:rsid w:val="63D08A46"/>
    <w:rsid w:val="66162F85"/>
    <w:rsid w:val="698FD073"/>
    <w:rsid w:val="6A5A003F"/>
    <w:rsid w:val="6AD00F88"/>
    <w:rsid w:val="6C657B11"/>
    <w:rsid w:val="6D913A4C"/>
    <w:rsid w:val="6E056394"/>
    <w:rsid w:val="6FB0E729"/>
    <w:rsid w:val="7259FB7D"/>
    <w:rsid w:val="75F1EDD6"/>
    <w:rsid w:val="78E13DFA"/>
    <w:rsid w:val="7B493DF8"/>
    <w:rsid w:val="7CDF56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2E1A9"/>
  <w15:chartTrackingRefBased/>
  <w15:docId w15:val="{36E154D4-F508-4622-A911-714CB5E7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A01"/>
    <w:rPr>
      <w:rFonts w:ascii="Times New Roman" w:hAnsi="Times New Roman"/>
      <w:sz w:val="24"/>
    </w:rPr>
  </w:style>
  <w:style w:type="paragraph" w:styleId="Ttulo1">
    <w:name w:val="heading 1"/>
    <w:basedOn w:val="Normal"/>
    <w:link w:val="Ttulo1Car"/>
    <w:uiPriority w:val="9"/>
    <w:qFormat/>
    <w:rsid w:val="00AA7B46"/>
    <w:pPr>
      <w:spacing w:before="100" w:beforeAutospacing="1" w:after="100" w:afterAutospacing="1" w:line="240" w:lineRule="auto"/>
      <w:jc w:val="both"/>
      <w:outlineLvl w:val="0"/>
    </w:pPr>
    <w:rPr>
      <w:rFonts w:eastAsia="Times New Roman" w:cs="Times New Roman"/>
      <w:b/>
      <w:bCs/>
      <w:color w:val="2F5496" w:themeColor="accent1" w:themeShade="BF"/>
      <w:sz w:val="36"/>
      <w:szCs w:val="36"/>
      <w:lang w:eastAsia="es-ES"/>
    </w:rPr>
  </w:style>
  <w:style w:type="paragraph" w:styleId="Ttulo2">
    <w:name w:val="heading 2"/>
    <w:basedOn w:val="Normal"/>
    <w:link w:val="Ttulo2Car"/>
    <w:uiPriority w:val="9"/>
    <w:qFormat/>
    <w:rsid w:val="00AA7B46"/>
    <w:pPr>
      <w:spacing w:before="100" w:beforeAutospacing="1" w:after="100" w:afterAutospacing="1" w:line="240" w:lineRule="auto"/>
      <w:jc w:val="both"/>
      <w:outlineLvl w:val="1"/>
    </w:pPr>
    <w:rPr>
      <w:rFonts w:eastAsia="Times New Roman" w:cs="Times New Roman"/>
      <w:b/>
      <w:bCs/>
      <w:color w:val="2F5496" w:themeColor="accent1" w:themeShade="BF"/>
      <w:sz w:val="27"/>
      <w:szCs w:val="27"/>
      <w:lang w:eastAsia="es-ES"/>
    </w:rPr>
  </w:style>
  <w:style w:type="paragraph" w:styleId="Ttulo3">
    <w:name w:val="heading 3"/>
    <w:basedOn w:val="Ttulo2"/>
    <w:link w:val="Ttulo3Car"/>
    <w:uiPriority w:val="9"/>
    <w:qFormat/>
    <w:rsid w:val="00983610"/>
    <w:pPr>
      <w:outlineLvl w:val="2"/>
    </w:pPr>
    <w:rPr>
      <w:b w:val="0"/>
      <w:bCs w:val="0"/>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A7B46"/>
    <w:rPr>
      <w:rFonts w:ascii="Times New Roman" w:eastAsia="Times New Roman" w:hAnsi="Times New Roman" w:cs="Times New Roman"/>
      <w:b/>
      <w:bCs/>
      <w:color w:val="2F5496" w:themeColor="accent1" w:themeShade="BF"/>
      <w:sz w:val="36"/>
      <w:szCs w:val="36"/>
      <w:lang w:eastAsia="es-ES"/>
    </w:rPr>
  </w:style>
  <w:style w:type="character" w:customStyle="1" w:styleId="Ttulo2Car">
    <w:name w:val="Título 2 Car"/>
    <w:basedOn w:val="Fuentedeprrafopredeter"/>
    <w:link w:val="Ttulo2"/>
    <w:uiPriority w:val="9"/>
    <w:rsid w:val="00AA7B46"/>
    <w:rPr>
      <w:rFonts w:ascii="Times New Roman" w:eastAsia="Times New Roman" w:hAnsi="Times New Roman" w:cs="Times New Roman"/>
      <w:b/>
      <w:bCs/>
      <w:color w:val="2F5496" w:themeColor="accent1" w:themeShade="BF"/>
      <w:sz w:val="27"/>
      <w:szCs w:val="27"/>
      <w:lang w:eastAsia="es-ES"/>
    </w:rPr>
  </w:style>
  <w:style w:type="character" w:customStyle="1" w:styleId="Ttulo3Car">
    <w:name w:val="Título 3 Car"/>
    <w:basedOn w:val="Fuentedeprrafopredeter"/>
    <w:link w:val="Ttulo3"/>
    <w:uiPriority w:val="9"/>
    <w:rsid w:val="00D53306"/>
    <w:rPr>
      <w:rFonts w:ascii="Times New Roman" w:eastAsia="Times New Roman" w:hAnsi="Times New Roman" w:cs="Times New Roman"/>
      <w:color w:val="2F5496" w:themeColor="accent1" w:themeShade="BF"/>
      <w:sz w:val="24"/>
      <w:szCs w:val="24"/>
      <w:lang w:eastAsia="es-ES"/>
    </w:rPr>
  </w:style>
  <w:style w:type="paragraph" w:customStyle="1" w:styleId="scriptor-listitemlistlist-1b9fd586-e8e7-42c6-9805-adead4acf4c50">
    <w:name w:val="scriptor-listitemlist!list-1b9fd586-e8e7-42c6-9805-adead4acf4c50"/>
    <w:basedOn w:val="Normal"/>
    <w:rsid w:val="00D53306"/>
    <w:pPr>
      <w:spacing w:line="240" w:lineRule="auto"/>
    </w:pPr>
    <w:rPr>
      <w:rFonts w:eastAsia="Times New Roman" w:cs="Times New Roman"/>
      <w:szCs w:val="24"/>
      <w:lang w:eastAsia="es-ES"/>
    </w:rPr>
  </w:style>
  <w:style w:type="paragraph" w:customStyle="1" w:styleId="scriptor-listitemlistlist-1b9fd586-e8e7-42c6-9805-adead4acf4c51">
    <w:name w:val="scriptor-listitemlist!list-1b9fd586-e8e7-42c6-9805-adead4acf4c51"/>
    <w:basedOn w:val="Normal"/>
    <w:rsid w:val="00D53306"/>
    <w:pPr>
      <w:spacing w:line="240" w:lineRule="auto"/>
    </w:pPr>
    <w:rPr>
      <w:rFonts w:eastAsia="Times New Roman" w:cs="Times New Roman"/>
      <w:szCs w:val="24"/>
      <w:lang w:eastAsia="es-ES"/>
    </w:rPr>
  </w:style>
  <w:style w:type="paragraph" w:styleId="Revisin">
    <w:name w:val="Revision"/>
    <w:hidden/>
    <w:uiPriority w:val="99"/>
    <w:semiHidden/>
    <w:rsid w:val="009E32D8"/>
    <w:pPr>
      <w:spacing w:after="0" w:line="240" w:lineRule="auto"/>
    </w:pPr>
  </w:style>
  <w:style w:type="paragraph" w:styleId="Encabezado">
    <w:name w:val="header"/>
    <w:basedOn w:val="Normal"/>
    <w:link w:val="EncabezadoCar"/>
    <w:uiPriority w:val="99"/>
    <w:unhideWhenUsed/>
    <w:rsid w:val="00EA2A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2AD9"/>
  </w:style>
  <w:style w:type="paragraph" w:styleId="Piedepgina">
    <w:name w:val="footer"/>
    <w:basedOn w:val="Normal"/>
    <w:link w:val="PiedepginaCar"/>
    <w:uiPriority w:val="99"/>
    <w:unhideWhenUsed/>
    <w:rsid w:val="00EA2A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2AD9"/>
  </w:style>
  <w:style w:type="paragraph" w:styleId="Prrafodelista">
    <w:name w:val="List Paragraph"/>
    <w:basedOn w:val="Normal"/>
    <w:uiPriority w:val="34"/>
    <w:qFormat/>
    <w:rsid w:val="00240BBD"/>
    <w:pPr>
      <w:ind w:left="720"/>
      <w:contextualSpacing/>
    </w:pPr>
  </w:style>
  <w:style w:type="character" w:styleId="Hipervnculo">
    <w:name w:val="Hyperlink"/>
    <w:basedOn w:val="Fuentedeprrafopredeter"/>
    <w:uiPriority w:val="99"/>
    <w:unhideWhenUsed/>
    <w:rsid w:val="004C0CBC"/>
    <w:rPr>
      <w:color w:val="0563C1" w:themeColor="hyperlink"/>
      <w:u w:val="single"/>
    </w:rPr>
  </w:style>
  <w:style w:type="character" w:styleId="Mencinsinresolver">
    <w:name w:val="Unresolved Mention"/>
    <w:basedOn w:val="Fuentedeprrafopredeter"/>
    <w:uiPriority w:val="99"/>
    <w:semiHidden/>
    <w:unhideWhenUsed/>
    <w:rsid w:val="004C0CBC"/>
    <w:rPr>
      <w:color w:val="605E5C"/>
      <w:shd w:val="clear" w:color="auto" w:fill="E1DFDD"/>
    </w:rPr>
  </w:style>
  <w:style w:type="character" w:styleId="Refdecomentario">
    <w:name w:val="annotation reference"/>
    <w:basedOn w:val="Fuentedeprrafopredeter"/>
    <w:uiPriority w:val="99"/>
    <w:semiHidden/>
    <w:unhideWhenUsed/>
    <w:rsid w:val="004C3626"/>
    <w:rPr>
      <w:sz w:val="16"/>
      <w:szCs w:val="16"/>
    </w:rPr>
  </w:style>
  <w:style w:type="character" w:customStyle="1" w:styleId="CommentReference1">
    <w:name w:val="Comment Reference1"/>
    <w:basedOn w:val="Fuentedeprrafopredeter"/>
    <w:uiPriority w:val="99"/>
    <w:semiHidden/>
    <w:unhideWhenUsed/>
    <w:rsid w:val="00CB6072"/>
    <w:rPr>
      <w:sz w:val="16"/>
      <w:szCs w:val="16"/>
    </w:rPr>
  </w:style>
  <w:style w:type="paragraph" w:customStyle="1" w:styleId="CommentText1">
    <w:name w:val="Comment Text1"/>
    <w:basedOn w:val="Normal"/>
    <w:link w:val="CommentTextChar"/>
    <w:uiPriority w:val="99"/>
    <w:unhideWhenUsed/>
    <w:rsid w:val="00CB6072"/>
    <w:pPr>
      <w:spacing w:line="240" w:lineRule="auto"/>
    </w:pPr>
    <w:rPr>
      <w:sz w:val="20"/>
      <w:szCs w:val="20"/>
    </w:rPr>
  </w:style>
  <w:style w:type="character" w:customStyle="1" w:styleId="CommentTextChar">
    <w:name w:val="Comment Text Char"/>
    <w:basedOn w:val="Fuentedeprrafopredeter"/>
    <w:link w:val="CommentText1"/>
    <w:uiPriority w:val="99"/>
    <w:rsid w:val="00CB6072"/>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pa.gob.es/es/ministerio/servicios/analisis-y-prospectiva/serie-indicadores/indicadores_semestre" TargetMode="External"/><Relationship Id="rId18" Type="http://schemas.openxmlformats.org/officeDocument/2006/relationships/hyperlink" Target="https://www.mapa.gob.es/es/estadistica/temas/estadisticas-agrarias/ganaderia/estadistica-industrias-lactea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apa.gob.es/es/estadistica/temas/estadisticas-agrarias/agricultura/avances-superficies-producciones-agricolas" TargetMode="External"/><Relationship Id="rId7" Type="http://schemas.openxmlformats.org/officeDocument/2006/relationships/webSettings" Target="webSettings.xml"/><Relationship Id="rId12" Type="http://schemas.openxmlformats.org/officeDocument/2006/relationships/hyperlink" Target="https://www.mapa.gob.es/es/estadistica/temas/estadisticas-agrarias/economia/powerbi-tierra-precios" TargetMode="External"/><Relationship Id="rId17" Type="http://schemas.openxmlformats.org/officeDocument/2006/relationships/hyperlink" Target="https://www.mapa.gob.es/es/estadistica/temas/estadisticas-agrarias/ganaderia/encuestas-mensuales-anual-salas-incubacio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apa.gob.es/es/estadistica/temas/estadisticas-agrarias/ganaderia/estadistica-de-lana" TargetMode="External"/><Relationship Id="rId20" Type="http://schemas.openxmlformats.org/officeDocument/2006/relationships/hyperlink" Target="https://www.mapa.gob.es/es/estadistica/temas/estadistica-digita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pa.gob.es/es/ministerio/servicios/analisis-y-prospectiva/comercio-exterior" TargetMode="External"/><Relationship Id="rId24" Type="http://schemas.openxmlformats.org/officeDocument/2006/relationships/hyperlink" Target="https://www.mapa.gob.es/es/ministerio/servicios/analisis-y-prospectiva/financiacion-fiscalidad-costes-energia/ecrea" TargetMode="External"/><Relationship Id="rId5" Type="http://schemas.openxmlformats.org/officeDocument/2006/relationships/styles" Target="styles.xml"/><Relationship Id="rId15" Type="http://schemas.openxmlformats.org/officeDocument/2006/relationships/hyperlink" Target="https://www.mapa.gob.es/es/estadistica/temas/estadisticas-agrarias/ganaderia/encuestas-sacrificio-ganado" TargetMode="External"/><Relationship Id="rId23" Type="http://schemas.openxmlformats.org/officeDocument/2006/relationships/hyperlink" Target="https://www.mapa.gob.es/es/estadistica/temas/estadisticas-agrarias/agricultura/esyrce-tendencias-mensuales-rendimientos-cultivos" TargetMode="External"/><Relationship Id="rId10" Type="http://schemas.openxmlformats.org/officeDocument/2006/relationships/hyperlink" Target="https://www.mapa.gob.es/es/ministerio/servicios/analisis-y-prospectiva/serie-indicadores/ayp_serie_territorial" TargetMode="External"/><Relationship Id="rId19" Type="http://schemas.openxmlformats.org/officeDocument/2006/relationships/hyperlink" Target="https://www.mapa.gob.es/es/estadistica/temas/estadisticas-agrarias/ganaderia/encuesta-nacional-cunicultur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pa.gob.es/es/estadistica/temas/estadisticas-agrarias/ganaderia/encuestas-ganaderas" TargetMode="External"/><Relationship Id="rId22" Type="http://schemas.openxmlformats.org/officeDocument/2006/relationships/hyperlink" Target="https://www.mapa.gob.es/es/estadistica/temas/estadisticas-agrarias/agricultura/superficies-producciones-anuales-cultivos"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e3b4e20-938e-49c3-803d-20322e7a89de">
      <Terms xmlns="http://schemas.microsoft.com/office/infopath/2007/PartnerControls"/>
    </lcf76f155ced4ddcb4097134ff3c332f>
    <TaxCatchAll xmlns="b9f7d158-88c8-4ed6-a224-58a1620210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26DEBAB3C83FE46AA549203A2892E14" ma:contentTypeVersion="15" ma:contentTypeDescription="Crear nuevo documento." ma:contentTypeScope="" ma:versionID="b8ce38a5e4365ca05ccfd1a98b20fae6">
  <xsd:schema xmlns:xsd="http://www.w3.org/2001/XMLSchema" xmlns:xs="http://www.w3.org/2001/XMLSchema" xmlns:p="http://schemas.microsoft.com/office/2006/metadata/properties" xmlns:ns2="3e3b4e20-938e-49c3-803d-20322e7a89de" xmlns:ns3="b9f7d158-88c8-4ed6-a224-58a162021065" targetNamespace="http://schemas.microsoft.com/office/2006/metadata/properties" ma:root="true" ma:fieldsID="3ae203f66038585d620308ed3b967af6" ns2:_="" ns3:_="">
    <xsd:import namespace="3e3b4e20-938e-49c3-803d-20322e7a89de"/>
    <xsd:import namespace="b9f7d158-88c8-4ed6-a224-58a162021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b4e20-938e-49c3-803d-20322e7a89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dea7e4b4-080f-4af5-898c-d5b6bd791ef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f7d158-88c8-4ed6-a224-58a162021065"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0" nillable="true" ma:displayName="Taxonomy Catch All Column" ma:hidden="true" ma:list="{e382adea-e083-4055-87b1-ace091209990}" ma:internalName="TaxCatchAll" ma:showField="CatchAllData" ma:web="b9f7d158-88c8-4ed6-a224-58a162021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ABDF00-AD5E-44F0-ACFB-2D5555FB8736}">
  <ds:schemaRefs>
    <ds:schemaRef ds:uri="http://schemas.microsoft.com/office/2006/metadata/properties"/>
    <ds:schemaRef ds:uri="http://schemas.microsoft.com/office/infopath/2007/PartnerControls"/>
    <ds:schemaRef ds:uri="3e3b4e20-938e-49c3-803d-20322e7a89de"/>
    <ds:schemaRef ds:uri="b9f7d158-88c8-4ed6-a224-58a162021065"/>
  </ds:schemaRefs>
</ds:datastoreItem>
</file>

<file path=customXml/itemProps2.xml><?xml version="1.0" encoding="utf-8"?>
<ds:datastoreItem xmlns:ds="http://schemas.openxmlformats.org/officeDocument/2006/customXml" ds:itemID="{29C51FC1-E87B-4F85-8B90-F2BEE7976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b4e20-938e-49c3-803d-20322e7a89de"/>
    <ds:schemaRef ds:uri="b9f7d158-88c8-4ed6-a224-58a162021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691C1C-066D-4A2D-B6DF-28B7B2167F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5528</Words>
  <Characters>30405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FEITO CASTELLANO</dc:creator>
  <cp:keywords/>
  <dc:description/>
  <cp:lastModifiedBy>GONZALO GOMEZ DE VILLALOBOS</cp:lastModifiedBy>
  <cp:revision>2</cp:revision>
  <dcterms:created xsi:type="dcterms:W3CDTF">2026-03-18T11:25:00Z</dcterms:created>
  <dcterms:modified xsi:type="dcterms:W3CDTF">2026-03-18T11:25:00Z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0x010100626DEBAB3C83FE46AA549203A2892E14</vt:lpwstr>
  </property>
  <property fmtid="{D5CDD505-2E9C-101B-9397-08002B2CF9AE}" pid="3" name="docLang">
    <vt:lpwstr>es</vt:lpwstr>
  </property>
  <property fmtid="{D5CDD505-2E9C-101B-9397-08002B2CF9AE}" pid="4" name="MediaServiceImageTags">
    <vt:lpwstr/>
  </property>
</Properties>
</file>