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DBC5" w14:textId="626230E4" w:rsidR="00482FD6" w:rsidRPr="00B80115" w:rsidRDefault="00482FD6" w:rsidP="00482FD6">
      <w:pPr>
        <w:pStyle w:val="Textoindependiente"/>
        <w:spacing w:before="88" w:line="276" w:lineRule="auto"/>
        <w:ind w:right="21"/>
        <w:jc w:val="center"/>
        <w:rPr>
          <w:color w:val="0C0C0C" w:themeColor="text1"/>
          <w:sz w:val="22"/>
          <w:szCs w:val="22"/>
          <w:u w:val="single"/>
        </w:rPr>
      </w:pPr>
      <w:bookmarkStart w:id="0" w:name="_Hlk225327379"/>
      <w:r>
        <w:rPr>
          <w:color w:val="0C0C0C" w:themeColor="text1"/>
          <w:sz w:val="22"/>
          <w:szCs w:val="22"/>
          <w:u w:val="single"/>
        </w:rPr>
        <w:t xml:space="preserve">El Consejo de Transparencia publica su informe de evaluación del Portal de la Transparencia de la Administración General del Estado </w:t>
      </w:r>
    </w:p>
    <w:p w14:paraId="23F202B7" w14:textId="77777777" w:rsidR="00482FD6" w:rsidRPr="00B80115" w:rsidRDefault="00482FD6" w:rsidP="00482FD6">
      <w:pPr>
        <w:pStyle w:val="Textoindependiente"/>
        <w:spacing w:before="88" w:line="276" w:lineRule="auto"/>
        <w:ind w:right="21"/>
        <w:rPr>
          <w:color w:val="0C0C0C" w:themeColor="text1"/>
          <w:sz w:val="22"/>
          <w:szCs w:val="22"/>
        </w:rPr>
      </w:pPr>
    </w:p>
    <w:p w14:paraId="165EDA69" w14:textId="3A814DE8" w:rsidR="00482FD6" w:rsidRDefault="00482FD6" w:rsidP="00482FD6">
      <w:pPr>
        <w:tabs>
          <w:tab w:val="left" w:pos="2535"/>
        </w:tabs>
        <w:jc w:val="center"/>
        <w:rPr>
          <w:rFonts w:ascii="Mulish" w:eastAsia="Mulish" w:hAnsi="Mulish" w:cs="Mulish"/>
          <w:b/>
          <w:bCs/>
          <w:color w:val="0C0C0C" w:themeColor="text1"/>
          <w:lang w:eastAsia="es-ES" w:bidi="es-ES"/>
        </w:rPr>
      </w:pPr>
      <w:r w:rsidRPr="00597D3E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EL </w:t>
      </w:r>
      <w:r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>PORTAL DE LA TRANSPARENCIA DE LA AGE ALCANZA UN GRADO DE CUMPLIMIENTO DE LAS OBLIGACIONES DE TRANSPARENCIA ACTIVA DEL 86,9%</w:t>
      </w:r>
    </w:p>
    <w:p w14:paraId="6B5902FB" w14:textId="77777777" w:rsidR="009C1C4B" w:rsidRDefault="009C1C4B" w:rsidP="007101D5">
      <w:pPr>
        <w:tabs>
          <w:tab w:val="left" w:pos="2535"/>
        </w:tabs>
        <w:spacing w:after="120"/>
        <w:rPr>
          <w:rFonts w:ascii="Mulish" w:eastAsia="Mulish" w:hAnsi="Mulish" w:cs="Mulish"/>
          <w:b/>
          <w:bCs/>
          <w:color w:val="0C0C0C" w:themeColor="text1"/>
          <w:lang w:eastAsia="es-ES" w:bidi="es-ES"/>
        </w:rPr>
      </w:pPr>
    </w:p>
    <w:p w14:paraId="7FF2D629" w14:textId="6BFA8513" w:rsidR="00845FF9" w:rsidRDefault="00EC5719" w:rsidP="00FC7309">
      <w:pPr>
        <w:pStyle w:val="Prrafodelista"/>
        <w:numPr>
          <w:ilvl w:val="0"/>
          <w:numId w:val="1"/>
        </w:numPr>
        <w:tabs>
          <w:tab w:val="left" w:pos="2535"/>
        </w:tabs>
        <w:ind w:left="714" w:hanging="357"/>
        <w:contextualSpacing w:val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>L</w:t>
      </w:r>
      <w:r w:rsidR="00482FD6">
        <w:rPr>
          <w:rFonts w:ascii="Mulish" w:eastAsia="Mulish" w:hAnsi="Mulish" w:cs="Mulish"/>
          <w:color w:val="0C0C0C" w:themeColor="text1"/>
          <w:lang w:eastAsia="es-ES" w:bidi="es-ES"/>
        </w:rPr>
        <w:t>a evaluación realizada en 2025 evidencia un</w:t>
      </w:r>
      <w:r w:rsidR="000A2F2B">
        <w:rPr>
          <w:rFonts w:ascii="Mulish" w:eastAsia="Mulish" w:hAnsi="Mulish" w:cs="Mulish"/>
          <w:color w:val="0C0C0C" w:themeColor="text1"/>
          <w:lang w:eastAsia="es-ES" w:bidi="es-ES"/>
        </w:rPr>
        <w:t xml:space="preserve"> incremento global del </w:t>
      </w:r>
      <w:r w:rsidR="009214EC">
        <w:rPr>
          <w:rFonts w:ascii="Mulish" w:eastAsia="Mulish" w:hAnsi="Mulish" w:cs="Mulish"/>
          <w:color w:val="0C0C0C" w:themeColor="text1"/>
          <w:lang w:eastAsia="es-ES" w:bidi="es-ES"/>
        </w:rPr>
        <w:t>Índice de C</w:t>
      </w:r>
      <w:r w:rsidR="000A2F2B">
        <w:rPr>
          <w:rFonts w:ascii="Mulish" w:eastAsia="Mulish" w:hAnsi="Mulish" w:cs="Mulish"/>
          <w:color w:val="0C0C0C" w:themeColor="text1"/>
          <w:lang w:eastAsia="es-ES" w:bidi="es-ES"/>
        </w:rPr>
        <w:t xml:space="preserve">umplimiento </w:t>
      </w:r>
      <w:r w:rsidR="00482FD6">
        <w:rPr>
          <w:rFonts w:ascii="Mulish" w:eastAsia="Mulish" w:hAnsi="Mulish" w:cs="Mulish"/>
          <w:color w:val="0C0C0C" w:themeColor="text1"/>
          <w:lang w:eastAsia="es-ES" w:bidi="es-ES"/>
        </w:rPr>
        <w:t>de</w:t>
      </w:r>
      <w:r w:rsidR="009214EC">
        <w:rPr>
          <w:rFonts w:ascii="Mulish" w:eastAsia="Mulish" w:hAnsi="Mulish" w:cs="Mulish"/>
          <w:color w:val="0C0C0C" w:themeColor="text1"/>
          <w:lang w:eastAsia="es-ES" w:bidi="es-ES"/>
        </w:rPr>
        <w:t xml:space="preserve"> la Información Obligatoria (ICIO) de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>l Portal</w:t>
      </w:r>
      <w:r w:rsidR="000A2F2B">
        <w:rPr>
          <w:rFonts w:ascii="Mulish" w:eastAsia="Mulish" w:hAnsi="Mulish" w:cs="Mulish"/>
          <w:color w:val="0C0C0C" w:themeColor="text1"/>
          <w:lang w:eastAsia="es-ES" w:bidi="es-ES"/>
        </w:rPr>
        <w:t xml:space="preserve"> del 1,5% respecto a 2024. </w:t>
      </w:r>
    </w:p>
    <w:p w14:paraId="4DB0BB1F" w14:textId="1C739738" w:rsidR="00482FD6" w:rsidRPr="00482FD6" w:rsidRDefault="00EC5719" w:rsidP="00482FD6">
      <w:pPr>
        <w:pStyle w:val="Prrafodelista"/>
        <w:numPr>
          <w:ilvl w:val="0"/>
          <w:numId w:val="1"/>
        </w:numPr>
        <w:tabs>
          <w:tab w:val="left" w:pos="2535"/>
        </w:tabs>
        <w:contextualSpacing w:val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Le evaluación y el correspondiente 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>informe se centra</w:t>
      </w:r>
      <w:r>
        <w:rPr>
          <w:rFonts w:ascii="Mulish" w:eastAsia="Mulish" w:hAnsi="Mulish" w:cs="Mulish"/>
          <w:color w:val="0C0C0C" w:themeColor="text1"/>
          <w:lang w:eastAsia="es-ES" w:bidi="es-ES"/>
        </w:rPr>
        <w:t>n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 en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las</w:t>
      </w:r>
      <w:r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obligaciones de publicidad activa que habían presentado un peor índice de cumplimiento en la </w:t>
      </w:r>
      <w:r w:rsidR="00CA5C44">
        <w:rPr>
          <w:rFonts w:ascii="Mulish" w:eastAsia="Mulish" w:hAnsi="Mulish" w:cs="Mulish"/>
          <w:color w:val="0C0C0C" w:themeColor="text1"/>
          <w:lang w:eastAsia="es-ES" w:bidi="es-ES"/>
        </w:rPr>
        <w:t xml:space="preserve">evaluación 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>realizada en 2024</w:t>
      </w:r>
      <w:r w:rsidR="00482FD6">
        <w:rPr>
          <w:rFonts w:ascii="Mulish" w:eastAsia="Mulish" w:hAnsi="Mulish" w:cs="Mulish"/>
          <w:color w:val="0C0C0C" w:themeColor="text1"/>
          <w:lang w:eastAsia="es-ES" w:bidi="es-ES"/>
        </w:rPr>
        <w:t>.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</w:p>
    <w:p w14:paraId="6E910D1B" w14:textId="717A67BA" w:rsidR="00482FD6" w:rsidRPr="004A356B" w:rsidRDefault="001350C4" w:rsidP="00FC7309">
      <w:pPr>
        <w:pStyle w:val="Prrafodelista"/>
        <w:numPr>
          <w:ilvl w:val="0"/>
          <w:numId w:val="1"/>
        </w:numPr>
        <w:tabs>
          <w:tab w:val="left" w:pos="2535"/>
        </w:tabs>
        <w:ind w:left="714" w:hanging="357"/>
        <w:contextualSpacing w:val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En concreto, </w:t>
      </w:r>
      <w:r w:rsidR="00CA5C44">
        <w:rPr>
          <w:rFonts w:ascii="Mulish" w:eastAsia="Mulish" w:hAnsi="Mulish" w:cs="Mulish"/>
          <w:color w:val="0C0C0C" w:themeColor="text1"/>
          <w:lang w:eastAsia="es-ES" w:bidi="es-ES"/>
        </w:rPr>
        <w:t xml:space="preserve">los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p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lanes y programas; 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 xml:space="preserve">las 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instrucciones, acuerdos, circulares o respuestas a consultas; 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>y la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 información estadística para valorar el grado de cumplimiento y calidad de los servicios</w:t>
      </w:r>
      <w:r w:rsid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 públicos</w:t>
      </w:r>
      <w:r w:rsidR="00CA5C44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bookmarkEnd w:id="0"/>
    <w:p w14:paraId="1FE6B89C" w14:textId="77777777" w:rsidR="00AA4A9B" w:rsidRDefault="00AA4A9B" w:rsidP="00380E11">
      <w:pPr>
        <w:pStyle w:val="Prrafodelista"/>
        <w:tabs>
          <w:tab w:val="left" w:pos="2535"/>
        </w:tabs>
        <w:ind w:left="714"/>
        <w:contextualSpacing w:val="0"/>
        <w:jc w:val="both"/>
        <w:rPr>
          <w:color w:val="0C0C0C" w:themeColor="text1"/>
          <w:u w:val="single"/>
          <w:lang w:eastAsia="es-ES" w:bidi="es-ES"/>
        </w:rPr>
      </w:pPr>
    </w:p>
    <w:p w14:paraId="783B2E05" w14:textId="2DB71FF1" w:rsidR="005E2969" w:rsidRDefault="00BA4068" w:rsidP="005E2969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 w:rsidRPr="00254F24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Madrid</w:t>
      </w:r>
      <w:r w:rsidR="00C23867" w:rsidRPr="00254F24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, </w:t>
      </w:r>
      <w:r w:rsidR="00405C45" w:rsidRPr="00254F24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25</w:t>
      </w:r>
      <w:r w:rsidRPr="00380BE5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 de </w:t>
      </w:r>
      <w:r w:rsidR="00405C45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marzo</w:t>
      </w:r>
      <w:r w:rsidR="00405C45" w:rsidRPr="00380BE5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 </w:t>
      </w:r>
      <w:r w:rsidRPr="00380BE5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de 202</w:t>
      </w:r>
      <w:r w:rsidR="00405C45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6</w:t>
      </w:r>
      <w:r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.- </w:t>
      </w:r>
      <w:r w:rsidR="00A251FA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El Consejo de Transparencia y Buen Gobierno acaba de publicar 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 xml:space="preserve">su </w:t>
      </w:r>
      <w:r w:rsidR="00A251FA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informe </w:t>
      </w:r>
      <w:r w:rsidR="00E923C9">
        <w:rPr>
          <w:rFonts w:ascii="Mulish" w:eastAsia="Mulish" w:hAnsi="Mulish" w:cs="Mulish"/>
          <w:color w:val="0C0C0C" w:themeColor="text1"/>
          <w:lang w:eastAsia="es-ES" w:bidi="es-ES"/>
        </w:rPr>
        <w:t>de evaluación</w:t>
      </w:r>
      <w:r w:rsidR="00011715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CA5C44">
        <w:rPr>
          <w:rFonts w:ascii="Mulish" w:eastAsia="Mulish" w:hAnsi="Mulish" w:cs="Mulish"/>
          <w:color w:val="0C0C0C" w:themeColor="text1"/>
          <w:lang w:eastAsia="es-ES" w:bidi="es-ES"/>
        </w:rPr>
        <w:t xml:space="preserve">2025 </w:t>
      </w:r>
      <w:r w:rsidR="00011715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del cumplimiento de las obligaciones de publicidad activa </w:t>
      </w:r>
      <w:r w:rsidR="004A356B" w:rsidRPr="00380BE5">
        <w:rPr>
          <w:rFonts w:ascii="Mulish" w:eastAsia="Mulish" w:hAnsi="Mulish" w:cs="Mulish"/>
          <w:color w:val="0C0C0C" w:themeColor="text1"/>
          <w:lang w:eastAsia="es-ES" w:bidi="es-ES"/>
        </w:rPr>
        <w:t>de la Administración General del Estado (AGE</w:t>
      </w:r>
      <w:r w:rsidR="00B97C6D">
        <w:rPr>
          <w:rFonts w:ascii="Mulish" w:eastAsia="Mulish" w:hAnsi="Mulish" w:cs="Mulish"/>
          <w:color w:val="0C0C0C" w:themeColor="text1"/>
          <w:lang w:eastAsia="es-ES" w:bidi="es-ES"/>
        </w:rPr>
        <w:t>)</w:t>
      </w:r>
      <w:r w:rsidR="004A356B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 a través de su</w:t>
      </w:r>
      <w:r w:rsidR="00011715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hyperlink r:id="rId8" w:history="1">
        <w:r w:rsidR="00011715" w:rsidRPr="00380BE5">
          <w:rPr>
            <w:rFonts w:ascii="Mulish" w:hAnsi="Mulish"/>
            <w:color w:val="0C0C0C" w:themeColor="text1"/>
            <w:lang w:eastAsia="es-ES" w:bidi="es-ES"/>
          </w:rPr>
          <w:t>Portal de</w:t>
        </w:r>
        <w:r w:rsidR="00C76E55">
          <w:rPr>
            <w:rFonts w:ascii="Mulish" w:hAnsi="Mulish"/>
            <w:color w:val="0C0C0C" w:themeColor="text1"/>
            <w:lang w:eastAsia="es-ES" w:bidi="es-ES"/>
          </w:rPr>
          <w:t xml:space="preserve"> la</w:t>
        </w:r>
        <w:r w:rsidR="00011715" w:rsidRPr="00380BE5">
          <w:rPr>
            <w:rFonts w:ascii="Mulish" w:hAnsi="Mulish"/>
            <w:color w:val="0C0C0C" w:themeColor="text1"/>
            <w:lang w:eastAsia="es-ES" w:bidi="es-ES"/>
          </w:rPr>
          <w:t xml:space="preserve"> Transparencia</w:t>
        </w:r>
      </w:hyperlink>
      <w:r w:rsidR="004A356B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 xml:space="preserve">El Índice de Cumplimiento de la Información Obligatoria (ICIO) global alcanzado por el Portal </w:t>
      </w:r>
      <w:r w:rsidR="005E2969" w:rsidRPr="00380BE5">
        <w:rPr>
          <w:rFonts w:ascii="Mulish" w:eastAsia="Mulish" w:hAnsi="Mulish" w:cs="Mulish"/>
          <w:color w:val="0C0C0C" w:themeColor="text1"/>
          <w:lang w:eastAsia="es-ES" w:bidi="es-ES"/>
        </w:rPr>
        <w:t>se sitúa en el 8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>6</w:t>
      </w:r>
      <w:r w:rsidR="005E2969" w:rsidRPr="00380BE5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>9</w:t>
      </w:r>
      <w:r w:rsidR="005E2969" w:rsidRPr="00380BE5">
        <w:rPr>
          <w:rFonts w:ascii="Mulish" w:eastAsia="Mulish" w:hAnsi="Mulish" w:cs="Mulish"/>
          <w:color w:val="0C0C0C" w:themeColor="text1"/>
          <w:lang w:eastAsia="es-ES" w:bidi="es-ES"/>
        </w:rPr>
        <w:t>%, lo que supone un</w:t>
      </w:r>
      <w:r w:rsidR="000A2F2B">
        <w:rPr>
          <w:rFonts w:ascii="Mulish" w:eastAsia="Mulish" w:hAnsi="Mulish" w:cs="Mulish"/>
          <w:color w:val="0C0C0C" w:themeColor="text1"/>
          <w:lang w:eastAsia="es-ES" w:bidi="es-ES"/>
        </w:rPr>
        <w:t xml:space="preserve"> incremento del cumplimiento </w:t>
      </w:r>
      <w:r w:rsidR="009214EC">
        <w:rPr>
          <w:rFonts w:ascii="Mulish" w:eastAsia="Mulish" w:hAnsi="Mulish" w:cs="Mulish"/>
          <w:color w:val="0C0C0C" w:themeColor="text1"/>
          <w:lang w:eastAsia="es-ES" w:bidi="es-ES"/>
        </w:rPr>
        <w:t xml:space="preserve">del 1,5% </w:t>
      </w:r>
      <w:r w:rsidR="005E2969"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respecto a la evaluación realizada 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>en 2024.</w:t>
      </w:r>
    </w:p>
    <w:p w14:paraId="7FFF3CB1" w14:textId="11617EA3" w:rsidR="001350C4" w:rsidRDefault="001350C4" w:rsidP="00144F49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2FA331CA" w14:textId="197D0302" w:rsidR="00405C45" w:rsidRDefault="00405C45" w:rsidP="00144F49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Una vez constatado </w:t>
      </w:r>
      <w:r w:rsidR="00D53D91">
        <w:rPr>
          <w:rFonts w:ascii="Mulish" w:eastAsia="Mulish" w:hAnsi="Mulish" w:cs="Mulish"/>
          <w:color w:val="0C0C0C" w:themeColor="text1"/>
          <w:lang w:eastAsia="es-ES" w:bidi="es-ES"/>
        </w:rPr>
        <w:t xml:space="preserve">por el Consejo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en </w:t>
      </w:r>
      <w:r w:rsidR="00E923C9">
        <w:rPr>
          <w:rFonts w:ascii="Mulish" w:eastAsia="Mulish" w:hAnsi="Mulish" w:cs="Mulish"/>
          <w:color w:val="0C0C0C" w:themeColor="text1"/>
          <w:lang w:eastAsia="es-ES" w:bidi="es-ES"/>
        </w:rPr>
        <w:t>la evaluación de 2024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que el Portal había alcanzado un nivel de cumplimiento elevado y estable en la mayoría de las obligaciones que establece la Ley 19/2013 de transparencia, acceso a la información pública y buen gobierno (LTAIBG), en 2025 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>la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evaluación se ha </w:t>
      </w:r>
      <w:r w:rsidR="00380E11">
        <w:rPr>
          <w:rFonts w:ascii="Mulish" w:eastAsia="Mulish" w:hAnsi="Mulish" w:cs="Mulish"/>
          <w:color w:val="0C0C0C" w:themeColor="text1"/>
          <w:lang w:eastAsia="es-ES" w:bidi="es-ES"/>
        </w:rPr>
        <w:t>focali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>za</w:t>
      </w:r>
      <w:r w:rsidR="00D112E6">
        <w:rPr>
          <w:rFonts w:ascii="Mulish" w:eastAsia="Mulish" w:hAnsi="Mulish" w:cs="Mulish"/>
          <w:color w:val="0C0C0C" w:themeColor="text1"/>
          <w:lang w:eastAsia="es-ES" w:bidi="es-ES"/>
        </w:rPr>
        <w:t>do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 en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aquellas obligaciones que </w:t>
      </w:r>
      <w:r w:rsidR="00380E11">
        <w:rPr>
          <w:rFonts w:ascii="Mulish" w:eastAsia="Mulish" w:hAnsi="Mulish" w:cs="Mulish"/>
          <w:color w:val="0C0C0C" w:themeColor="text1"/>
          <w:lang w:eastAsia="es-ES" w:bidi="es-ES"/>
        </w:rPr>
        <w:t xml:space="preserve">presentaban un mayor 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 xml:space="preserve">grado de </w:t>
      </w:r>
      <w:r w:rsidR="00380E11">
        <w:rPr>
          <w:rFonts w:ascii="Mulish" w:eastAsia="Mulish" w:hAnsi="Mulish" w:cs="Mulish"/>
          <w:color w:val="0C0C0C" w:themeColor="text1"/>
          <w:lang w:eastAsia="es-ES" w:bidi="es-ES"/>
        </w:rPr>
        <w:t>incumplimiento y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 w:rsidR="00380E11">
        <w:rPr>
          <w:rFonts w:ascii="Mulish" w:eastAsia="Mulish" w:hAnsi="Mulish" w:cs="Mulish"/>
          <w:color w:val="0C0C0C" w:themeColor="text1"/>
          <w:lang w:eastAsia="es-ES" w:bidi="es-ES"/>
        </w:rPr>
        <w:t xml:space="preserve"> por tanto,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necesitaban un mayor progreso</w:t>
      </w:r>
      <w:r w:rsid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24A19B0A" w14:textId="4C2AD40D" w:rsidR="00405C45" w:rsidRDefault="00405C45" w:rsidP="00144F49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37F50CBF" w14:textId="4001A1B8" w:rsidR="00386128" w:rsidRPr="00386128" w:rsidRDefault="00EC5719" w:rsidP="00386128">
      <w:pPr>
        <w:tabs>
          <w:tab w:val="left" w:pos="2535"/>
        </w:tabs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>La evaluación</w:t>
      </w:r>
      <w:r w:rsidR="00482FD6" w:rsidRP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D112E6">
        <w:rPr>
          <w:rFonts w:ascii="Mulish" w:eastAsia="Mulish" w:hAnsi="Mulish" w:cs="Mulish"/>
          <w:color w:val="0C0C0C" w:themeColor="text1"/>
          <w:lang w:eastAsia="es-ES" w:bidi="es-ES"/>
        </w:rPr>
        <w:t xml:space="preserve">se ha 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>centra</w:t>
      </w:r>
      <w:r w:rsidR="00D112E6">
        <w:rPr>
          <w:rFonts w:ascii="Mulish" w:eastAsia="Mulish" w:hAnsi="Mulish" w:cs="Mulish"/>
          <w:color w:val="0C0C0C" w:themeColor="text1"/>
          <w:lang w:eastAsia="es-ES" w:bidi="es-ES"/>
        </w:rPr>
        <w:t>do,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>por tanto</w:t>
      </w:r>
      <w:r w:rsidR="00D112E6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 xml:space="preserve"> en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examinar 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 xml:space="preserve">si se publican correctamente </w:t>
      </w:r>
      <w:r w:rsidR="00E923C9">
        <w:rPr>
          <w:rFonts w:ascii="Mulish" w:eastAsia="Mulish" w:hAnsi="Mulish" w:cs="Mulish"/>
          <w:color w:val="0C0C0C" w:themeColor="text1"/>
          <w:lang w:eastAsia="es-ES" w:bidi="es-ES"/>
        </w:rPr>
        <w:t>tres obligaciones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>: los i</w:t>
      </w:r>
      <w:r w:rsidR="00386128" w:rsidRPr="00386128">
        <w:rPr>
          <w:rFonts w:ascii="Mulish" w:eastAsia="Mulish" w:hAnsi="Mulish" w:cs="Mulish"/>
          <w:color w:val="0C0C0C" w:themeColor="text1"/>
          <w:lang w:eastAsia="es-ES" w:bidi="es-ES"/>
        </w:rPr>
        <w:t>nstrumentos de planificación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 xml:space="preserve"> (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>p</w:t>
      </w:r>
      <w:r w:rsidR="00386128" w:rsidRPr="00386128">
        <w:rPr>
          <w:rFonts w:ascii="Mulish" w:eastAsia="Mulish" w:hAnsi="Mulish" w:cs="Mulish"/>
          <w:color w:val="0C0C0C" w:themeColor="text1"/>
          <w:lang w:eastAsia="es-ES" w:bidi="es-ES"/>
        </w:rPr>
        <w:t>lanes y programas</w:t>
      </w:r>
      <w:r w:rsidR="005E2969">
        <w:rPr>
          <w:rFonts w:ascii="Mulish" w:eastAsia="Mulish" w:hAnsi="Mulish" w:cs="Mulish"/>
          <w:color w:val="0C0C0C" w:themeColor="text1"/>
          <w:lang w:eastAsia="es-ES" w:bidi="es-ES"/>
        </w:rPr>
        <w:t>)</w:t>
      </w:r>
      <w:r w:rsidR="00386128" w:rsidRPr="00386128">
        <w:rPr>
          <w:rFonts w:ascii="Mulish" w:eastAsia="Mulish" w:hAnsi="Mulish" w:cs="Mulish"/>
          <w:color w:val="0C0C0C" w:themeColor="text1"/>
          <w:lang w:eastAsia="es-ES" w:bidi="es-ES"/>
        </w:rPr>
        <w:t xml:space="preserve">; </w:t>
      </w:r>
      <w:r w:rsidR="00482FD6">
        <w:rPr>
          <w:rFonts w:ascii="Mulish" w:eastAsia="Mulish" w:hAnsi="Mulish" w:cs="Mulish"/>
          <w:color w:val="0C0C0C" w:themeColor="text1"/>
          <w:lang w:eastAsia="es-ES" w:bidi="es-ES"/>
        </w:rPr>
        <w:t xml:space="preserve">la </w:t>
      </w:r>
      <w:r w:rsidR="00386128">
        <w:rPr>
          <w:rFonts w:ascii="Mulish" w:eastAsia="Mulish" w:hAnsi="Mulish" w:cs="Mulish"/>
          <w:color w:val="0C0C0C" w:themeColor="text1"/>
          <w:lang w:eastAsia="es-ES" w:bidi="es-ES"/>
        </w:rPr>
        <w:t xml:space="preserve">información de relevancia jurídica como </w:t>
      </w:r>
      <w:r w:rsidR="003A532D">
        <w:rPr>
          <w:rFonts w:ascii="Mulish" w:eastAsia="Mulish" w:hAnsi="Mulish" w:cs="Mulish"/>
          <w:color w:val="0C0C0C" w:themeColor="text1"/>
          <w:lang w:eastAsia="es-ES" w:bidi="es-ES"/>
        </w:rPr>
        <w:t xml:space="preserve">directrices, </w:t>
      </w:r>
      <w:r w:rsidR="00386128" w:rsidRPr="00386128">
        <w:rPr>
          <w:rFonts w:ascii="Mulish" w:eastAsia="Mulish" w:hAnsi="Mulish" w:cs="Mulish"/>
          <w:color w:val="0C0C0C" w:themeColor="text1"/>
          <w:lang w:eastAsia="es-ES" w:bidi="es-ES"/>
        </w:rPr>
        <w:t>instrucciones, acuerdos, circulares o respuestas a consultas</w:t>
      </w:r>
      <w:r w:rsidR="00386128">
        <w:rPr>
          <w:rFonts w:ascii="Mulish" w:eastAsia="Mulish" w:hAnsi="Mulish" w:cs="Mulish"/>
          <w:color w:val="0C0C0C" w:themeColor="text1"/>
          <w:lang w:eastAsia="es-ES" w:bidi="es-ES"/>
        </w:rPr>
        <w:t xml:space="preserve"> (en la medida en que supongan una interpretación del derecho o tengan efectos jurídicos</w:t>
      </w:r>
      <w:r w:rsidR="00386128" w:rsidRPr="00386128">
        <w:rPr>
          <w:rFonts w:ascii="Mulish" w:eastAsia="Mulish" w:hAnsi="Mulish" w:cs="Mulish"/>
          <w:color w:val="0C0C0C" w:themeColor="text1"/>
          <w:lang w:eastAsia="es-ES" w:bidi="es-ES"/>
        </w:rPr>
        <w:t>); y la</w:t>
      </w:r>
      <w:r w:rsidR="00386128">
        <w:rPr>
          <w:rFonts w:ascii="Mulish" w:eastAsia="Mulish" w:hAnsi="Mulish" w:cs="Mulish"/>
          <w:color w:val="0C0C0C" w:themeColor="text1"/>
          <w:lang w:eastAsia="es-ES" w:bidi="es-ES"/>
        </w:rPr>
        <w:t xml:space="preserve"> i</w:t>
      </w:r>
      <w:r w:rsidR="00386128" w:rsidRPr="00386128">
        <w:rPr>
          <w:rFonts w:ascii="Mulish" w:eastAsia="Mulish" w:hAnsi="Mulish" w:cs="Mulish"/>
          <w:color w:val="0C0C0C" w:themeColor="text1"/>
          <w:lang w:eastAsia="es-ES" w:bidi="es-ES"/>
        </w:rPr>
        <w:t>nformación estadística necesaria para valorar el grado de cumplimiento y calidad de los servicios públicos prestados</w:t>
      </w:r>
      <w:r w:rsidR="00386128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36488F95" w14:textId="124AD1BC" w:rsidR="00E923C9" w:rsidRPr="000A086D" w:rsidRDefault="00EC5719" w:rsidP="00482FD6">
      <w:pPr>
        <w:spacing w:after="0"/>
        <w:jc w:val="both"/>
        <w:rPr>
          <w:rFonts w:ascii="Mulish" w:eastAsia="Mulish" w:hAnsi="Mulish" w:cs="Mulish"/>
          <w:strike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lastRenderedPageBreak/>
        <w:t xml:space="preserve">Los resultados de la 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>evaluación realizada por el Consejo evidencia</w:t>
      </w:r>
      <w:r>
        <w:rPr>
          <w:rFonts w:ascii="Mulish" w:eastAsia="Mulish" w:hAnsi="Mulish" w:cs="Mulish"/>
          <w:color w:val="0C0C0C" w:themeColor="text1"/>
          <w:lang w:eastAsia="es-ES" w:bidi="es-ES"/>
        </w:rPr>
        <w:t>n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 xml:space="preserve"> que</w:t>
      </w:r>
      <w:r w:rsidR="00E923C9">
        <w:rPr>
          <w:rFonts w:ascii="Mulish" w:eastAsia="Mulish" w:hAnsi="Mulish" w:cs="Mulish"/>
          <w:color w:val="0C0C0C" w:themeColor="text1"/>
          <w:lang w:eastAsia="es-ES" w:bidi="es-ES"/>
        </w:rPr>
        <w:t xml:space="preserve"> se han atendido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algunas </w:t>
      </w:r>
      <w:r w:rsidR="00E923C9">
        <w:rPr>
          <w:rFonts w:ascii="Mulish" w:eastAsia="Mulish" w:hAnsi="Mulish" w:cs="Mulish"/>
          <w:color w:val="0C0C0C" w:themeColor="text1"/>
          <w:lang w:eastAsia="es-ES" w:bidi="es-ES"/>
        </w:rPr>
        <w:t>de las recomendaciones formuladas en 2024 y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 xml:space="preserve"> ha habido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cierta 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 xml:space="preserve">mejora en la publicación de </w:t>
      </w:r>
      <w:r w:rsidR="00D17138">
        <w:rPr>
          <w:rFonts w:ascii="Mulish" w:eastAsia="Mulish" w:hAnsi="Mulish" w:cs="Mulish"/>
          <w:color w:val="0C0C0C" w:themeColor="text1"/>
          <w:lang w:eastAsia="es-ES" w:bidi="es-ES"/>
        </w:rPr>
        <w:t>los</w:t>
      </w:r>
      <w:r w:rsidR="002B603B">
        <w:rPr>
          <w:rFonts w:ascii="Mulish" w:eastAsia="Mulish" w:hAnsi="Mulish" w:cs="Mulish"/>
          <w:color w:val="0C0C0C" w:themeColor="text1"/>
          <w:lang w:eastAsia="es-ES" w:bidi="es-ES"/>
        </w:rPr>
        <w:t xml:space="preserve"> contenidos </w:t>
      </w:r>
      <w:r w:rsidR="00D17138">
        <w:rPr>
          <w:rFonts w:ascii="Mulish" w:eastAsia="Mulish" w:hAnsi="Mulish" w:cs="Mulish"/>
          <w:color w:val="0C0C0C" w:themeColor="text1"/>
          <w:lang w:eastAsia="es-ES" w:bidi="es-ES"/>
        </w:rPr>
        <w:t xml:space="preserve">en estas </w:t>
      </w:r>
      <w:r w:rsidR="00482FD6">
        <w:rPr>
          <w:rFonts w:ascii="Mulish" w:eastAsia="Mulish" w:hAnsi="Mulish" w:cs="Mulish"/>
          <w:color w:val="0C0C0C" w:themeColor="text1"/>
          <w:lang w:eastAsia="es-ES" w:bidi="es-ES"/>
        </w:rPr>
        <w:t>obligaciones</w:t>
      </w:r>
      <w:r w:rsidR="000A086D">
        <w:rPr>
          <w:rFonts w:ascii="Mulish" w:eastAsia="Mulish" w:hAnsi="Mulish" w:cs="Mulish"/>
          <w:color w:val="0C0C0C" w:themeColor="text1"/>
          <w:lang w:eastAsia="es-ES" w:bidi="es-ES"/>
        </w:rPr>
        <w:t>.</w:t>
      </w:r>
      <w:r w:rsidR="00482FD6" w:rsidRPr="000A086D">
        <w:rPr>
          <w:rFonts w:ascii="Mulish" w:eastAsia="Mulish" w:hAnsi="Mulish" w:cs="Mulish"/>
          <w:strike/>
          <w:color w:val="0C0C0C" w:themeColor="text1"/>
          <w:lang w:eastAsia="es-ES" w:bidi="es-ES"/>
        </w:rPr>
        <w:t xml:space="preserve"> </w:t>
      </w:r>
    </w:p>
    <w:p w14:paraId="6F8EC428" w14:textId="77777777" w:rsidR="005E2969" w:rsidRDefault="005E2969" w:rsidP="00482FD6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46553485" w14:textId="6166C59F" w:rsidR="006D666C" w:rsidRDefault="00E923C9" w:rsidP="00482FD6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Se observa </w:t>
      </w:r>
      <w:r w:rsidR="008B5270">
        <w:rPr>
          <w:rFonts w:ascii="Mulish" w:eastAsia="Mulish" w:hAnsi="Mulish" w:cs="Mulish"/>
          <w:color w:val="0C0C0C" w:themeColor="text1"/>
          <w:lang w:eastAsia="es-ES" w:bidi="es-ES"/>
        </w:rPr>
        <w:t xml:space="preserve">sin embargo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una 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>gran</w:t>
      </w:r>
      <w:r w:rsidR="003538F3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 xml:space="preserve">disparidad de cumplimiento en estas obligaciones según los </w:t>
      </w:r>
      <w:r w:rsidR="003538F3">
        <w:rPr>
          <w:rFonts w:ascii="Mulish" w:eastAsia="Mulish" w:hAnsi="Mulish" w:cs="Mulish"/>
          <w:color w:val="0C0C0C" w:themeColor="text1"/>
          <w:lang w:eastAsia="es-ES" w:bidi="es-ES"/>
        </w:rPr>
        <w:t>ministerios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 xml:space="preserve">: algunos </w:t>
      </w:r>
      <w:r w:rsidR="008B5270">
        <w:rPr>
          <w:rFonts w:ascii="Mulish" w:eastAsia="Mulish" w:hAnsi="Mulish" w:cs="Mulish"/>
          <w:color w:val="0C0C0C" w:themeColor="text1"/>
          <w:lang w:eastAsia="es-ES" w:bidi="es-ES"/>
        </w:rPr>
        <w:t xml:space="preserve">no publican ningún documento 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>relacionado con</w:t>
      </w:r>
      <w:r w:rsidR="008B5270">
        <w:rPr>
          <w:rFonts w:ascii="Mulish" w:eastAsia="Mulish" w:hAnsi="Mulish" w:cs="Mulish"/>
          <w:color w:val="0C0C0C" w:themeColor="text1"/>
          <w:lang w:eastAsia="es-ES" w:bidi="es-ES"/>
        </w:rPr>
        <w:t xml:space="preserve"> la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>s</w:t>
      </w:r>
      <w:r w:rsidR="008B5270">
        <w:rPr>
          <w:rFonts w:ascii="Mulish" w:eastAsia="Mulish" w:hAnsi="Mulish" w:cs="Mulish"/>
          <w:color w:val="0C0C0C" w:themeColor="text1"/>
          <w:lang w:eastAsia="es-ES" w:bidi="es-ES"/>
        </w:rPr>
        <w:t xml:space="preserve"> materia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>s</w:t>
      </w:r>
      <w:r w:rsidR="008B5270">
        <w:rPr>
          <w:rFonts w:ascii="Mulish" w:eastAsia="Mulish" w:hAnsi="Mulish" w:cs="Mulish"/>
          <w:color w:val="0C0C0C" w:themeColor="text1"/>
          <w:lang w:eastAsia="es-ES" w:bidi="es-ES"/>
        </w:rPr>
        <w:t xml:space="preserve"> concernida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>s</w:t>
      </w:r>
      <w:r w:rsidR="008B5270">
        <w:rPr>
          <w:rFonts w:ascii="Mulish" w:eastAsia="Mulish" w:hAnsi="Mulish" w:cs="Mulish"/>
          <w:color w:val="0C0C0C" w:themeColor="text1"/>
          <w:lang w:eastAsia="es-ES" w:bidi="es-ES"/>
        </w:rPr>
        <w:t xml:space="preserve"> (y </w:t>
      </w:r>
      <w:r w:rsidR="003538F3">
        <w:rPr>
          <w:rFonts w:ascii="Mulish" w:eastAsia="Mulish" w:hAnsi="Mulish" w:cs="Mulish"/>
          <w:color w:val="0C0C0C" w:themeColor="text1"/>
          <w:lang w:eastAsia="es-ES" w:bidi="es-ES"/>
        </w:rPr>
        <w:t xml:space="preserve">tampoco 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 xml:space="preserve">reflejan </w:t>
      </w:r>
      <w:r w:rsidR="003538F3">
        <w:rPr>
          <w:rFonts w:ascii="Mulish" w:eastAsia="Mulish" w:hAnsi="Mulish" w:cs="Mulish"/>
          <w:color w:val="0C0C0C" w:themeColor="text1"/>
          <w:lang w:eastAsia="es-ES" w:bidi="es-ES"/>
        </w:rPr>
        <w:t>que no haya existido actividad que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 xml:space="preserve"> deba ser</w:t>
      </w:r>
      <w:r w:rsidR="003538F3">
        <w:rPr>
          <w:rFonts w:ascii="Mulish" w:eastAsia="Mulish" w:hAnsi="Mulish" w:cs="Mulish"/>
          <w:color w:val="0C0C0C" w:themeColor="text1"/>
          <w:lang w:eastAsia="es-ES" w:bidi="es-ES"/>
        </w:rPr>
        <w:t xml:space="preserve"> publica</w:t>
      </w:r>
      <w:r w:rsidR="00EC5719">
        <w:rPr>
          <w:rFonts w:ascii="Mulish" w:eastAsia="Mulish" w:hAnsi="Mulish" w:cs="Mulish"/>
          <w:color w:val="0C0C0C" w:themeColor="text1"/>
          <w:lang w:eastAsia="es-ES" w:bidi="es-ES"/>
        </w:rPr>
        <w:t>da</w:t>
      </w:r>
      <w:r w:rsidR="001350C4">
        <w:rPr>
          <w:rFonts w:ascii="Mulish" w:eastAsia="Mulish" w:hAnsi="Mulish" w:cs="Mulish"/>
          <w:color w:val="0C0C0C" w:themeColor="text1"/>
          <w:lang w:eastAsia="es-ES" w:bidi="es-ES"/>
        </w:rPr>
        <w:t>)</w:t>
      </w:r>
      <w:r w:rsidR="00D17138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671C4983" w14:textId="13164D8C" w:rsidR="002B603B" w:rsidRDefault="002B603B" w:rsidP="00144F49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2E33AC06" w14:textId="653BDFF6" w:rsidR="008B5270" w:rsidRDefault="003A532D" w:rsidP="00144F49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 w:rsidRPr="009214EC">
        <w:rPr>
          <w:rFonts w:ascii="Mulish" w:eastAsia="Mulish" w:hAnsi="Mulish" w:cs="Mulish"/>
          <w:lang w:eastAsia="es-ES" w:bidi="es-ES"/>
        </w:rPr>
        <w:t xml:space="preserve">En conclusión, se valora positivamente el esfuerzo </w:t>
      </w:r>
      <w:r w:rsidR="00EC5719">
        <w:rPr>
          <w:rFonts w:ascii="Mulish" w:eastAsia="Mulish" w:hAnsi="Mulish" w:cs="Mulish"/>
          <w:lang w:eastAsia="es-ES" w:bidi="es-ES"/>
        </w:rPr>
        <w:t>que se está llevando</w:t>
      </w:r>
      <w:r w:rsidR="00EC5719" w:rsidRPr="009214EC">
        <w:rPr>
          <w:rFonts w:ascii="Mulish" w:eastAsia="Mulish" w:hAnsi="Mulish" w:cs="Mulish"/>
          <w:lang w:eastAsia="es-ES" w:bidi="es-ES"/>
        </w:rPr>
        <w:t xml:space="preserve"> </w:t>
      </w:r>
      <w:r w:rsidRPr="009214EC">
        <w:rPr>
          <w:rFonts w:ascii="Mulish" w:eastAsia="Mulish" w:hAnsi="Mulish" w:cs="Mulish"/>
          <w:lang w:eastAsia="es-ES" w:bidi="es-ES"/>
        </w:rPr>
        <w:t>a cabo para mejorar los contenidos publicados en el Portal, aunque resulta necesario continuar esa labor para seguir mejorando el nivel de cumplimiento de las obligaciones.</w:t>
      </w:r>
    </w:p>
    <w:p w14:paraId="37E416F7" w14:textId="77777777" w:rsidR="008B5270" w:rsidRDefault="008B5270" w:rsidP="00144F49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1E6019A4" w14:textId="4607738A" w:rsidR="006778A7" w:rsidRPr="00B97C6D" w:rsidRDefault="008B5270" w:rsidP="006778A7">
      <w:pPr>
        <w:spacing w:after="0"/>
        <w:jc w:val="both"/>
        <w:rPr>
          <w:rFonts w:ascii="Mulish" w:eastAsia="Mulish" w:hAnsi="Mulish" w:cs="Mulish"/>
          <w:b/>
          <w:bCs/>
          <w:color w:val="00806F" w:themeColor="text2"/>
          <w:lang w:eastAsia="es-ES" w:bidi="es-ES"/>
        </w:rPr>
      </w:pPr>
      <w:r>
        <w:rPr>
          <w:rFonts w:ascii="Mulish" w:eastAsia="Mulish" w:hAnsi="Mulish" w:cs="Mulish"/>
          <w:b/>
          <w:bCs/>
          <w:color w:val="00806F" w:themeColor="text2"/>
          <w:lang w:eastAsia="es-ES" w:bidi="es-ES"/>
        </w:rPr>
        <w:t>Grad</w:t>
      </w:r>
      <w:r w:rsidR="006778A7" w:rsidRPr="00B97C6D">
        <w:rPr>
          <w:rFonts w:ascii="Mulish" w:eastAsia="Mulish" w:hAnsi="Mulish" w:cs="Mulish"/>
          <w:b/>
          <w:bCs/>
          <w:color w:val="00806F" w:themeColor="text2"/>
          <w:lang w:eastAsia="es-ES" w:bidi="es-ES"/>
        </w:rPr>
        <w:t>o de cumplimiento de las obligaciones de publicidad activa (en porcentaje)</w:t>
      </w:r>
      <w:r w:rsidR="006778A7">
        <w:rPr>
          <w:rFonts w:ascii="Mulish" w:eastAsia="Mulish" w:hAnsi="Mulish" w:cs="Mulish"/>
          <w:b/>
          <w:bCs/>
          <w:color w:val="00806F" w:themeColor="text2"/>
          <w:lang w:eastAsia="es-ES" w:bidi="es-ES"/>
        </w:rPr>
        <w:t xml:space="preserve"> del Portal de </w:t>
      </w:r>
      <w:r w:rsidR="00C76E55">
        <w:rPr>
          <w:rFonts w:ascii="Mulish" w:eastAsia="Mulish" w:hAnsi="Mulish" w:cs="Mulish"/>
          <w:b/>
          <w:bCs/>
          <w:color w:val="00806F" w:themeColor="text2"/>
          <w:lang w:eastAsia="es-ES" w:bidi="es-ES"/>
        </w:rPr>
        <w:t xml:space="preserve">la </w:t>
      </w:r>
      <w:r w:rsidR="006778A7">
        <w:rPr>
          <w:rFonts w:ascii="Mulish" w:eastAsia="Mulish" w:hAnsi="Mulish" w:cs="Mulish"/>
          <w:b/>
          <w:bCs/>
          <w:color w:val="00806F" w:themeColor="text2"/>
          <w:lang w:eastAsia="es-ES" w:bidi="es-ES"/>
        </w:rPr>
        <w:t xml:space="preserve">Transparencia de la AGE </w:t>
      </w:r>
    </w:p>
    <w:p w14:paraId="67C45C80" w14:textId="77777777" w:rsidR="006778A7" w:rsidRDefault="006778A7" w:rsidP="006778A7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7732E4EE" w14:textId="77777777" w:rsidR="00380E11" w:rsidRDefault="00380E11" w:rsidP="00380BE5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608"/>
        <w:gridCol w:w="608"/>
        <w:gridCol w:w="608"/>
        <w:gridCol w:w="608"/>
        <w:gridCol w:w="608"/>
        <w:gridCol w:w="609"/>
        <w:gridCol w:w="609"/>
        <w:gridCol w:w="604"/>
      </w:tblGrid>
      <w:tr w:rsidR="00380E11" w:rsidRPr="00380E11" w14:paraId="18458DF8" w14:textId="77777777" w:rsidTr="00380E11">
        <w:trPr>
          <w:trHeight w:val="1245"/>
        </w:trPr>
        <w:tc>
          <w:tcPr>
            <w:tcW w:w="173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00806F" w:themeFill="text2"/>
            <w:noWrap/>
            <w:hideMark/>
          </w:tcPr>
          <w:p w14:paraId="24D270AA" w14:textId="77777777" w:rsidR="00380E11" w:rsidRDefault="00380E11" w:rsidP="00F000F5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</w:p>
          <w:p w14:paraId="586044CB" w14:textId="157DB20F" w:rsidR="00380E11" w:rsidRPr="00380E11" w:rsidRDefault="00380E11" w:rsidP="00F000F5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BLOQUE DE INFORMACIÓN</w:t>
            </w:r>
            <w:r w:rsidRPr="00380E11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003C16D0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1C43CEBB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705E9301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773A88FE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1BA66D64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5ABF4535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76CEDEB6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00806F" w:themeFill="text2"/>
            <w:noWrap/>
            <w:textDirection w:val="btLr"/>
            <w:vAlign w:val="center"/>
            <w:hideMark/>
          </w:tcPr>
          <w:p w14:paraId="7942F1DC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380E11" w:rsidRPr="00380E11" w14:paraId="6A1FD850" w14:textId="77777777" w:rsidTr="00380E11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06F" w:themeFill="text2"/>
            <w:noWrap/>
            <w:vAlign w:val="center"/>
            <w:hideMark/>
          </w:tcPr>
          <w:p w14:paraId="3F641F1D" w14:textId="77777777" w:rsidR="00380E11" w:rsidRPr="00380E11" w:rsidRDefault="00380E11" w:rsidP="00F000F5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0A61F7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87,1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5D370B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94,2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1573A5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94,2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0241D4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94,2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A44765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94,2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53BE51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94,2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B8EDFD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94,2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8EBE1A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93,2</w:t>
            </w:r>
          </w:p>
        </w:tc>
      </w:tr>
      <w:tr w:rsidR="00380E11" w:rsidRPr="00380E11" w14:paraId="4339D057" w14:textId="77777777" w:rsidTr="00380E11">
        <w:trPr>
          <w:trHeight w:val="45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06F" w:themeFill="text2"/>
            <w:noWrap/>
            <w:vAlign w:val="center"/>
            <w:hideMark/>
          </w:tcPr>
          <w:p w14:paraId="62BA7257" w14:textId="77777777" w:rsidR="00380E11" w:rsidRPr="00380E11" w:rsidRDefault="00380E11" w:rsidP="00F000F5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C1686C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44,1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CFB188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A6E05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BB97D2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BC439C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7A75DD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086FFC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BCE214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41,7</w:t>
            </w:r>
          </w:p>
        </w:tc>
      </w:tr>
      <w:tr w:rsidR="00380E11" w:rsidRPr="00380E11" w14:paraId="09214F11" w14:textId="77777777" w:rsidTr="00380E11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06F" w:themeFill="text2"/>
            <w:noWrap/>
            <w:vAlign w:val="center"/>
            <w:hideMark/>
          </w:tcPr>
          <w:p w14:paraId="1BFA607D" w14:textId="77777777" w:rsidR="00380E11" w:rsidRPr="00380E11" w:rsidRDefault="00380E11" w:rsidP="00F000F5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46ECE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96,0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BB50C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86,5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CD4987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96,0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8A946B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86,5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6C6E38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96,0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CD074E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96,0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9DEE36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96,0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C87445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93,3</w:t>
            </w:r>
          </w:p>
        </w:tc>
      </w:tr>
      <w:tr w:rsidR="00380E11" w:rsidRPr="00380E11" w14:paraId="0F023784" w14:textId="77777777" w:rsidTr="00380E11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06F" w:themeFill="text2"/>
            <w:noWrap/>
            <w:vAlign w:val="center"/>
            <w:hideMark/>
          </w:tcPr>
          <w:p w14:paraId="5DE2E40A" w14:textId="77777777" w:rsidR="00380E11" w:rsidRPr="00380E11" w:rsidRDefault="00380E11" w:rsidP="00F000F5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533B8E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20B450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25952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198D15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4646DB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190C70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EE619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CE3CDF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</w:tr>
      <w:tr w:rsidR="00380E11" w:rsidRPr="00380E11" w14:paraId="794655E4" w14:textId="77777777" w:rsidTr="00380E11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806F" w:themeFill="text2"/>
            <w:noWrap/>
            <w:vAlign w:val="center"/>
            <w:hideMark/>
          </w:tcPr>
          <w:p w14:paraId="63188A35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7B097E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27F260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82,8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8A3148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88,2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9159EC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82,8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336025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88,2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FC21C3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88,2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A82A21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88,2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650A3C" w14:textId="77777777" w:rsidR="00380E11" w:rsidRPr="00380E11" w:rsidRDefault="00380E11" w:rsidP="00F000F5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380E11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86,9</w:t>
            </w:r>
          </w:p>
        </w:tc>
      </w:tr>
    </w:tbl>
    <w:p w14:paraId="5728A254" w14:textId="77777777" w:rsidR="008B5270" w:rsidRDefault="008B5270" w:rsidP="00380BE5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084DE1A7" w14:textId="77777777" w:rsidR="008B5270" w:rsidRDefault="008B5270" w:rsidP="00BB0598">
      <w:pPr>
        <w:spacing w:after="0"/>
        <w:jc w:val="both"/>
        <w:rPr>
          <w:rFonts w:ascii="Mulish" w:eastAsia="Mulish" w:hAnsi="Mulish" w:cs="Mulish"/>
          <w:b/>
          <w:bCs/>
          <w:color w:val="00806F" w:themeColor="text2"/>
          <w:lang w:eastAsia="es-ES" w:bidi="es-ES"/>
        </w:rPr>
      </w:pPr>
    </w:p>
    <w:p w14:paraId="6681C8C6" w14:textId="37786BA8" w:rsidR="00BB0598" w:rsidRDefault="00D5417D" w:rsidP="00BB059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b/>
          <w:bCs/>
          <w:color w:val="00806F" w:themeColor="text2"/>
          <w:lang w:eastAsia="es-ES" w:bidi="es-ES"/>
        </w:rPr>
        <w:t>¿C</w:t>
      </w:r>
      <w:r w:rsidR="00BB0598" w:rsidRPr="005E34BF">
        <w:rPr>
          <w:rFonts w:ascii="Mulish" w:eastAsia="Mulish" w:hAnsi="Mulish" w:cs="Mulish"/>
          <w:b/>
          <w:bCs/>
          <w:color w:val="00806F" w:themeColor="text2"/>
          <w:lang w:eastAsia="es-ES" w:bidi="es-ES"/>
        </w:rPr>
        <w:t xml:space="preserve">ómo realiza la evaluación el Consejo? </w:t>
      </w:r>
    </w:p>
    <w:p w14:paraId="6BD83B80" w14:textId="77777777" w:rsidR="009214EC" w:rsidRDefault="009214EC" w:rsidP="00EB6CDC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04D3AAFB" w14:textId="3BBA0ED8" w:rsidR="00EB6CDC" w:rsidRPr="00380BE5" w:rsidRDefault="00EB6CDC" w:rsidP="00EB6CDC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El artículo 9 de la Ley de Transparencia </w:t>
      </w:r>
      <w:r w:rsidRPr="00380BE5">
        <w:rPr>
          <w:rFonts w:ascii="Mulish" w:eastAsia="Mulish" w:hAnsi="Mulish" w:cs="Mulish"/>
          <w:color w:val="0C0C0C" w:themeColor="text1"/>
          <w:lang w:eastAsia="es-ES" w:bidi="es-ES"/>
        </w:rPr>
        <w:t>establece que el cumplimiento por parte de la Administración General del Estado de las obligaciones de publicidad activa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Pr="00380BE5">
        <w:rPr>
          <w:rFonts w:ascii="Mulish" w:eastAsia="Mulish" w:hAnsi="Mulish" w:cs="Mulish"/>
          <w:color w:val="0C0C0C" w:themeColor="text1"/>
          <w:lang w:eastAsia="es-ES" w:bidi="es-ES"/>
        </w:rPr>
        <w:t xml:space="preserve">será objeto de control por parte del Consejo de Transparencia y Buen Gobierno.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Por ello, el Consejo evalúa cada año el Portal de </w:t>
      </w:r>
      <w:r w:rsidR="00C76E55">
        <w:rPr>
          <w:rFonts w:ascii="Mulish" w:eastAsia="Mulish" w:hAnsi="Mulish" w:cs="Mulish"/>
          <w:color w:val="0C0C0C" w:themeColor="text1"/>
          <w:lang w:eastAsia="es-ES" w:bidi="es-ES"/>
        </w:rPr>
        <w:t xml:space="preserve">la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Transparencia de la AGE</w:t>
      </w:r>
      <w:r w:rsidR="00D26B49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 realizando recomendaciones específicas de mejora para subsanar las deficiencias encontradas. </w:t>
      </w:r>
    </w:p>
    <w:p w14:paraId="67C17C8A" w14:textId="77777777" w:rsidR="00EB6CDC" w:rsidRPr="00A251FA" w:rsidRDefault="00EB6CDC" w:rsidP="00BB059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7B902B8B" w14:textId="3E70E2B4" w:rsidR="00BD1A28" w:rsidRDefault="00BB0598" w:rsidP="00BD1A2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 xml:space="preserve">La evaluación se realiza con recursos propios y utilizando la metodología MESTA, desarrollada por el Consejo y por la extinta Agencia de Evaluación de las Políticas Públicas </w:t>
      </w:r>
      <w:r w:rsidRPr="00C27BA6">
        <w:rPr>
          <w:rFonts w:ascii="Mulish" w:eastAsia="Mulish" w:hAnsi="Mulish" w:cs="Mulish"/>
          <w:color w:val="0C0C0C" w:themeColor="text1"/>
          <w:lang w:eastAsia="es-ES" w:bidi="es-ES"/>
        </w:rPr>
        <w:t xml:space="preserve">y de la Calidad de los Servicios 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>(AEVAL). El Consejo emite un informe individual en el que recoge recomendaciones concretas que permit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 al Portal 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 xml:space="preserve">mejorar su índice de cumplimiento.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Este informe, junto a 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 xml:space="preserve">las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alegaciones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 xml:space="preserve"> efectuadas por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los responsables del </w:t>
      </w:r>
      <w:r>
        <w:rPr>
          <w:rFonts w:ascii="Mulish" w:eastAsia="Mulish" w:hAnsi="Mulish" w:cs="Mulish"/>
          <w:color w:val="0C0C0C" w:themeColor="text1"/>
          <w:lang w:eastAsia="es-ES" w:bidi="es-ES"/>
        </w:rPr>
        <w:lastRenderedPageBreak/>
        <w:t xml:space="preserve">Portal de </w:t>
      </w:r>
      <w:r w:rsidR="00C76E55">
        <w:rPr>
          <w:rFonts w:ascii="Mulish" w:eastAsia="Mulish" w:hAnsi="Mulish" w:cs="Mulish"/>
          <w:color w:val="0C0C0C" w:themeColor="text1"/>
          <w:lang w:eastAsia="es-ES" w:bidi="es-ES"/>
        </w:rPr>
        <w:t>l</w:t>
      </w:r>
      <w:bookmarkStart w:id="1" w:name="_Hlk225330697"/>
      <w:r w:rsidR="00C76E55">
        <w:rPr>
          <w:rFonts w:ascii="Mulish" w:eastAsia="Mulish" w:hAnsi="Mulish" w:cs="Mulish"/>
          <w:color w:val="0C0C0C" w:themeColor="text1"/>
          <w:lang w:eastAsia="es-ES" w:bidi="es-ES"/>
        </w:rPr>
        <w:t xml:space="preserve">a 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Transparencia 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>a los informes provisionales de evaluación</w:t>
      </w:r>
      <w:r w:rsidR="00EB6CDC">
        <w:rPr>
          <w:rFonts w:ascii="Mulish" w:eastAsia="Mulish" w:hAnsi="Mulish" w:cs="Mulish"/>
          <w:color w:val="0C0C0C" w:themeColor="text1"/>
          <w:lang w:eastAsia="es-ES" w:bidi="es-ES"/>
        </w:rPr>
        <w:t xml:space="preserve"> y la </w:t>
      </w:r>
      <w:r w:rsidR="00576D32">
        <w:rPr>
          <w:rFonts w:ascii="Mulish" w:eastAsia="Mulish" w:hAnsi="Mulish" w:cs="Mulish"/>
          <w:color w:val="0C0C0C" w:themeColor="text1"/>
          <w:lang w:eastAsia="es-ES" w:bidi="es-ES"/>
        </w:rPr>
        <w:t>c</w:t>
      </w:r>
      <w:r w:rsidR="00EB6CDC">
        <w:rPr>
          <w:rFonts w:ascii="Mulish" w:eastAsia="Mulish" w:hAnsi="Mulish" w:cs="Mulish"/>
          <w:color w:val="0C0C0C" w:themeColor="text1"/>
          <w:lang w:eastAsia="es-ES" w:bidi="es-ES"/>
        </w:rPr>
        <w:t>ontestación del Consejo a esas alegaciones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>, puede</w:t>
      </w:r>
      <w:r w:rsidR="00576D32">
        <w:rPr>
          <w:rFonts w:ascii="Mulish" w:eastAsia="Mulish" w:hAnsi="Mulish" w:cs="Mulish"/>
          <w:color w:val="0C0C0C" w:themeColor="text1"/>
          <w:lang w:eastAsia="es-ES" w:bidi="es-ES"/>
        </w:rPr>
        <w:t>n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 xml:space="preserve"> consultarse en la </w:t>
      </w:r>
      <w:hyperlink r:id="rId9" w:history="1">
        <w:r w:rsidRPr="00AA1460">
          <w:rPr>
            <w:rStyle w:val="Hipervnculo"/>
            <w:rFonts w:ascii="Mulish" w:eastAsia="Mulish" w:hAnsi="Mulish" w:cs="Mulish"/>
            <w:b/>
            <w:bCs/>
            <w:lang w:eastAsia="es-ES" w:bidi="es-ES"/>
          </w:rPr>
          <w:t>página web del Consejo</w:t>
        </w:r>
      </w:hyperlink>
      <w:r w:rsidRPr="006E1DB7">
        <w:rPr>
          <w:rFonts w:ascii="Mulish" w:eastAsia="Mulish" w:hAnsi="Mulish" w:cs="Mulish"/>
          <w:color w:val="0C0C0C" w:themeColor="text1"/>
          <w:lang w:eastAsia="es-ES" w:bidi="es-ES"/>
        </w:rPr>
        <w:t>.</w:t>
      </w:r>
      <w:r w:rsidRPr="00A251FA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bookmarkEnd w:id="1"/>
    </w:p>
    <w:p w14:paraId="0239CA0A" w14:textId="77777777" w:rsidR="00BD1A28" w:rsidRDefault="00BD1A28" w:rsidP="00BD1A2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2FDA648E" w14:textId="1FE66BE8" w:rsidR="00BD1A28" w:rsidRPr="00BD1A28" w:rsidRDefault="00B80115" w:rsidP="00BD1A28">
      <w:pPr>
        <w:spacing w:after="0"/>
        <w:jc w:val="both"/>
        <w:rPr>
          <w:rStyle w:val="Hipervnculo"/>
          <w:color w:val="auto"/>
          <w:sz w:val="24"/>
          <w:szCs w:val="24"/>
        </w:rPr>
      </w:pPr>
      <w:r w:rsidRPr="0076793C">
        <w:rPr>
          <w:sz w:val="24"/>
          <w:szCs w:val="24"/>
          <w:u w:val="single"/>
        </w:rPr>
        <w:t>Más información:</w:t>
      </w:r>
      <w:r w:rsidR="00C27BA6">
        <w:rPr>
          <w:sz w:val="24"/>
          <w:szCs w:val="24"/>
          <w:u w:val="single"/>
        </w:rPr>
        <w:t xml:space="preserve"> </w:t>
      </w:r>
    </w:p>
    <w:p w14:paraId="54F46BBF" w14:textId="2DB85BA4" w:rsidR="007C2E7A" w:rsidRDefault="00BD014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  <w:hyperlink r:id="rId10" w:history="1">
        <w:r w:rsidR="00BD1A28" w:rsidRPr="00BD1C83">
          <w:rPr>
            <w:rStyle w:val="Hipervnculo"/>
            <w:sz w:val="24"/>
            <w:szCs w:val="24"/>
          </w:rPr>
          <w:t>prensa@consejodetransparencia.es</w:t>
        </w:r>
      </w:hyperlink>
    </w:p>
    <w:p w14:paraId="1D53F720" w14:textId="393C395A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56710A69" w14:textId="49A93A62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7C318C14" w14:textId="13D7CA3D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58763A16" w14:textId="4A9F331C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5878A032" w14:textId="26A69501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5FAEFDFC" w14:textId="57529658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250A1D7E" w14:textId="101A2598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5621023F" w14:textId="4B601669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404886B9" w14:textId="3965331C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7A669315" w14:textId="4C258BA2" w:rsidR="007C2E7A" w:rsidRDefault="007C2E7A" w:rsidP="00C05613">
      <w:pPr>
        <w:spacing w:after="0" w:line="240" w:lineRule="auto"/>
        <w:jc w:val="both"/>
        <w:rPr>
          <w:rStyle w:val="Hipervnculo"/>
          <w:sz w:val="24"/>
          <w:szCs w:val="24"/>
        </w:rPr>
      </w:pPr>
    </w:p>
    <w:p w14:paraId="576A9B32" w14:textId="77777777" w:rsidR="007C2E7A" w:rsidRPr="005B0C58" w:rsidRDefault="007C2E7A" w:rsidP="00C05613">
      <w:pPr>
        <w:spacing w:after="0" w:line="240" w:lineRule="auto"/>
        <w:jc w:val="both"/>
        <w:rPr>
          <w:rFonts w:ascii="Arial" w:hAnsi="Arial" w:cs="Arial"/>
        </w:rPr>
      </w:pPr>
    </w:p>
    <w:sectPr w:rsidR="007C2E7A" w:rsidRPr="005B0C58" w:rsidSect="00936CB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A1F1" w14:textId="77777777" w:rsidR="0002715C" w:rsidRDefault="0002715C" w:rsidP="00E033DF">
      <w:pPr>
        <w:spacing w:after="0" w:line="240" w:lineRule="auto"/>
      </w:pPr>
      <w:r>
        <w:separator/>
      </w:r>
    </w:p>
  </w:endnote>
  <w:endnote w:type="continuationSeparator" w:id="0">
    <w:p w14:paraId="5F4ACFCD" w14:textId="77777777" w:rsidR="0002715C" w:rsidRDefault="0002715C" w:rsidP="00E0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9197"/>
      <w:docPartObj>
        <w:docPartGallery w:val="Page Numbers (Bottom of Page)"/>
        <w:docPartUnique/>
      </w:docPartObj>
    </w:sdtPr>
    <w:sdtEndPr/>
    <w:sdtContent>
      <w:p w14:paraId="6C40E5E8" w14:textId="388E40E1" w:rsidR="009B3A1E" w:rsidRPr="00A40308" w:rsidRDefault="00A667E2" w:rsidP="00F436DD">
        <w:pPr>
          <w:pStyle w:val="Piedepgina"/>
          <w:tabs>
            <w:tab w:val="clear" w:pos="8504"/>
          </w:tabs>
          <w:ind w:right="-568"/>
          <w:jc w:val="center"/>
          <w:rPr>
            <w:rFonts w:ascii="Mulish" w:hAnsi="Mulish"/>
            <w:sz w:val="16"/>
            <w:szCs w:val="16"/>
          </w:rPr>
        </w:pPr>
        <w:r w:rsidRPr="00F436DD">
          <w:rPr>
            <w:rFonts w:ascii="Mulish" w:hAnsi="Mulish"/>
            <w:noProof/>
            <w:sz w:val="16"/>
            <w:szCs w:val="16"/>
            <w:lang w:eastAsia="es-ES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6C40E5F9" wp14:editId="572EC6D2">
                  <wp:simplePos x="0" y="0"/>
                  <wp:positionH relativeFrom="column">
                    <wp:posOffset>7855585</wp:posOffset>
                  </wp:positionH>
                  <wp:positionV relativeFrom="paragraph">
                    <wp:posOffset>164465</wp:posOffset>
                  </wp:positionV>
                  <wp:extent cx="0" cy="358140"/>
                  <wp:effectExtent l="6985" t="12065" r="12065" b="10795"/>
                  <wp:wrapNone/>
                  <wp:docPr id="980581345" name="AutoShap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58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type w14:anchorId="335C4C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6" type="#_x0000_t32" style="position:absolute;margin-left:618.55pt;margin-top:12.95pt;width:0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ystwEAAFU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"/>
              </w:pict>
            </mc:Fallback>
          </mc:AlternateContent>
        </w:r>
        <w:r w:rsidR="00E94641">
          <w:tab/>
        </w:r>
        <w:r w:rsidRPr="00F436DD">
          <w:rPr>
            <w:rFonts w:ascii="Mulish" w:hAnsi="Mulish"/>
            <w:sz w:val="16"/>
            <w:szCs w:val="16"/>
          </w:rPr>
          <w:fldChar w:fldCharType="begin"/>
        </w:r>
        <w:r w:rsidRPr="00F436DD">
          <w:rPr>
            <w:rFonts w:ascii="Mulish" w:hAnsi="Mulish"/>
            <w:sz w:val="16"/>
            <w:szCs w:val="16"/>
          </w:rPr>
          <w:instrText xml:space="preserve"> PAGE   \* MERGEFORMAT </w:instrText>
        </w:r>
        <w:r w:rsidRPr="00F436DD">
          <w:rPr>
            <w:rFonts w:ascii="Mulish" w:hAnsi="Mulish"/>
            <w:sz w:val="16"/>
            <w:szCs w:val="16"/>
          </w:rPr>
          <w:fldChar w:fldCharType="separate"/>
        </w:r>
        <w:r w:rsidR="000A35BB">
          <w:rPr>
            <w:rFonts w:ascii="Mulish" w:hAnsi="Mulish"/>
            <w:noProof/>
            <w:sz w:val="16"/>
            <w:szCs w:val="16"/>
          </w:rPr>
          <w:t>1</w:t>
        </w:r>
        <w:r w:rsidRPr="00F436DD">
          <w:rPr>
            <w:rFonts w:ascii="Mulish" w:hAnsi="Mulish"/>
            <w:noProof/>
            <w:sz w:val="16"/>
            <w:szCs w:val="16"/>
          </w:rPr>
          <w:fldChar w:fldCharType="end"/>
        </w:r>
        <w:r w:rsidR="009B3A1E" w:rsidRPr="00F436DD">
          <w:rPr>
            <w:rFonts w:ascii="Mulish" w:hAnsi="Mulish"/>
            <w:sz w:val="16"/>
            <w:szCs w:val="16"/>
          </w:rPr>
          <w:t xml:space="preserve">  </w:t>
        </w:r>
        <w:r w:rsidR="009B3A1E" w:rsidRPr="00A40308">
          <w:rPr>
            <w:rFonts w:ascii="Mulish" w:hAnsi="Mulish"/>
          </w:rPr>
          <w:t xml:space="preserve">                                                                                                            </w:t>
        </w:r>
        <w:r w:rsidR="009B3A1E" w:rsidRPr="00A40308">
          <w:rPr>
            <w:rFonts w:ascii="Mulish" w:hAnsi="Mulish"/>
            <w:sz w:val="16"/>
            <w:szCs w:val="16"/>
          </w:rPr>
          <w:t>CONSEJO DE TRANSPARENCIA</w:t>
        </w:r>
        <w:r w:rsidR="00F51DB5" w:rsidRPr="00A40308">
          <w:rPr>
            <w:rFonts w:ascii="Mulish" w:hAnsi="Mulish"/>
            <w:sz w:val="16"/>
            <w:szCs w:val="16"/>
          </w:rPr>
          <w:t xml:space="preserve"> </w:t>
        </w:r>
        <w:r w:rsidR="00DD76CF" w:rsidRPr="00A40308">
          <w:rPr>
            <w:rFonts w:ascii="Mulish" w:hAnsi="Mulish"/>
            <w:sz w:val="16"/>
            <w:szCs w:val="16"/>
          </w:rPr>
          <w:t>AAI</w:t>
        </w:r>
        <w:r w:rsidR="009B3A1E" w:rsidRPr="00A40308">
          <w:rPr>
            <w:rFonts w:ascii="Mulish" w:hAnsi="Mulish"/>
            <w:noProof/>
            <w:sz w:val="24"/>
            <w:szCs w:val="24"/>
            <w:lang w:eastAsia="es-ES"/>
          </w:rPr>
          <w:t xml:space="preserve"> </w:t>
        </w:r>
      </w:p>
      <w:p w14:paraId="6C40E5E9" w14:textId="77777777" w:rsidR="004E6B2E" w:rsidRDefault="00BD014A" w:rsidP="005B3D95">
        <w:pPr>
          <w:pStyle w:val="Piedepgina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E5F5" w14:textId="413E2187" w:rsidR="009B3A1E" w:rsidRPr="000974DF" w:rsidRDefault="00A667E2" w:rsidP="001021B2">
    <w:pPr>
      <w:pStyle w:val="Piedepgina"/>
      <w:jc w:val="center"/>
      <w:rPr>
        <w:rFonts w:ascii="Mulish" w:hAnsi="Mulish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56DAD95" wp14:editId="4E703215">
              <wp:simplePos x="0" y="0"/>
              <wp:positionH relativeFrom="page">
                <wp:posOffset>876935</wp:posOffset>
              </wp:positionH>
              <wp:positionV relativeFrom="page">
                <wp:posOffset>10072370</wp:posOffset>
              </wp:positionV>
              <wp:extent cx="1299845" cy="365760"/>
              <wp:effectExtent l="0" t="0" r="0" b="0"/>
              <wp:wrapNone/>
              <wp:docPr id="3599534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F72EF" w14:textId="77777777" w:rsidR="00362D91" w:rsidRPr="00A655A2" w:rsidRDefault="00362D91" w:rsidP="00362D91">
                          <w:pPr>
                            <w:spacing w:before="20" w:line="225" w:lineRule="auto"/>
                            <w:ind w:left="20" w:right="-18"/>
                            <w:rPr>
                              <w:rFonts w:ascii="Mulish" w:hAnsi="Mulish"/>
                              <w:sz w:val="14"/>
                            </w:rPr>
                          </w:pPr>
                          <w:r w:rsidRPr="00A655A2">
                            <w:rPr>
                              <w:rFonts w:ascii="Mulish" w:hAnsi="Mulish"/>
                              <w:b/>
                              <w:sz w:val="14"/>
                            </w:rPr>
                            <w:t xml:space="preserve">Consejo de Transparencia AAI </w:t>
                          </w:r>
                          <w:r w:rsidRPr="00A655A2">
                            <w:rPr>
                              <w:rFonts w:ascii="Mulish" w:hAnsi="Mulish"/>
                              <w:sz w:val="14"/>
                            </w:rPr>
                            <w:t>C/ José Abascal, nº 2, 5º-C 28003 MADRID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AD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9.05pt;margin-top:793.1pt;width:102.35pt;height:28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" filled="f" stroked="f">
              <v:textbox inset="0,0,0,0">
                <w:txbxContent>
                  <w:p w14:paraId="5DFF72EF" w14:textId="77777777" w:rsidR="00362D91" w:rsidRPr="00A655A2" w:rsidRDefault="00362D91" w:rsidP="00362D91">
                    <w:pPr>
                      <w:spacing w:before="20" w:line="225" w:lineRule="auto"/>
                      <w:ind w:left="20" w:right="-18"/>
                      <w:rPr>
                        <w:rFonts w:ascii="Mulish" w:hAnsi="Mulish"/>
                        <w:sz w:val="14"/>
                      </w:rPr>
                    </w:pPr>
                    <w:r w:rsidRPr="00A655A2">
                      <w:rPr>
                        <w:rFonts w:ascii="Mulish" w:hAnsi="Mulish"/>
                        <w:b/>
                        <w:sz w:val="14"/>
                      </w:rPr>
                      <w:t xml:space="preserve">Consejo de Transparencia AAI </w:t>
                    </w:r>
                    <w:r w:rsidRPr="00A655A2">
                      <w:rPr>
                        <w:rFonts w:ascii="Mulish" w:hAnsi="Mulish"/>
                        <w:sz w:val="14"/>
                      </w:rPr>
                      <w:t>C/ José Abascal, nº 2, 5º-C 28003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9F40DE2" wp14:editId="52CD6E8A">
              <wp:simplePos x="0" y="0"/>
              <wp:positionH relativeFrom="page">
                <wp:posOffset>4848860</wp:posOffset>
              </wp:positionH>
              <wp:positionV relativeFrom="page">
                <wp:posOffset>10081260</wp:posOffset>
              </wp:positionV>
              <wp:extent cx="2000250" cy="419100"/>
              <wp:effectExtent l="0" t="0" r="0" b="0"/>
              <wp:wrapNone/>
              <wp:docPr id="44388711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F72C9" w14:textId="77777777" w:rsidR="001C2B35" w:rsidRPr="00C76E55" w:rsidRDefault="00BD014A" w:rsidP="001C2B35">
                          <w:pPr>
                            <w:tabs>
                              <w:tab w:val="left" w:pos="2798"/>
                            </w:tabs>
                            <w:spacing w:before="20" w:line="225" w:lineRule="auto"/>
                            <w:ind w:left="101" w:right="342" w:hanging="82"/>
                            <w:jc w:val="right"/>
                            <w:rPr>
                              <w:rFonts w:ascii="Mulish" w:hAnsi="Mulish"/>
                              <w:sz w:val="14"/>
                              <w:lang w:val="en-GB"/>
                            </w:rPr>
                          </w:pPr>
                          <w:hyperlink r:id="rId1">
                            <w:r w:rsidR="001C2B35" w:rsidRPr="00C76E55">
                              <w:rPr>
                                <w:rFonts w:ascii="Mulish" w:hAnsi="Mulish"/>
                                <w:sz w:val="14"/>
                                <w:lang w:val="en-GB"/>
                              </w:rPr>
                              <w:t>email: ctbg@consejodetransparencia.es</w:t>
                            </w:r>
                          </w:hyperlink>
                          <w:r w:rsidR="001C2B35" w:rsidRPr="00C76E55">
                            <w:rPr>
                              <w:rFonts w:ascii="Mulish" w:hAnsi="Mulish"/>
                              <w:sz w:val="14"/>
                              <w:lang w:val="en-GB"/>
                            </w:rPr>
                            <w:t xml:space="preserve"> Teléfono: 91 273 33 20 - 91 273 33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40DE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81.8pt;margin-top:793.8pt;width:157.5pt;height:3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" filled="f" stroked="f">
              <v:textbox inset="0,0,0,0">
                <w:txbxContent>
                  <w:p w14:paraId="59EF72C9" w14:textId="77777777" w:rsidR="001C2B35" w:rsidRPr="00C76E55" w:rsidRDefault="000778DA" w:rsidP="001C2B35">
                    <w:pPr>
                      <w:tabs>
                        <w:tab w:val="left" w:pos="2798"/>
                      </w:tabs>
                      <w:spacing w:before="20" w:line="225" w:lineRule="auto"/>
                      <w:ind w:left="101" w:right="342" w:hanging="82"/>
                      <w:jc w:val="right"/>
                      <w:rPr>
                        <w:rFonts w:ascii="Mulish" w:hAnsi="Mulish"/>
                        <w:sz w:val="14"/>
                        <w:lang w:val="en-GB"/>
                      </w:rPr>
                    </w:pPr>
                    <w:r>
                      <w:fldChar w:fldCharType="begin"/>
                    </w:r>
                    <w:r w:rsidRPr="0052634E">
                      <w:rPr>
                        <w:lang w:val="en-GB"/>
                      </w:rPr>
                      <w:instrText xml:space="preserve"> HYPERLINK "mailto:ctbg@consejo</w:instrText>
                    </w:r>
                    <w:r w:rsidRPr="0052634E">
                      <w:rPr>
                        <w:lang w:val="en-GB"/>
                      </w:rPr>
                      <w:instrText xml:space="preserve">detransparencia.es" \h </w:instrText>
                    </w:r>
                    <w:r>
                      <w:fldChar w:fldCharType="separate"/>
                    </w:r>
                    <w:r w:rsidR="001C2B35" w:rsidRPr="00C76E55">
                      <w:rPr>
                        <w:rFonts w:ascii="Mulish" w:hAnsi="Mulish"/>
                        <w:sz w:val="14"/>
                        <w:lang w:val="en-GB"/>
                      </w:rPr>
                      <w:t>email: ctbg@consejodetransparencia.es</w:t>
                    </w:r>
                    <w:r>
                      <w:rPr>
                        <w:rFonts w:ascii="Mulish" w:hAnsi="Mulish"/>
                        <w:sz w:val="14"/>
                        <w:lang w:val="en-GB"/>
                      </w:rPr>
                      <w:fldChar w:fldCharType="end"/>
                    </w:r>
                    <w:r w:rsidR="001C2B35" w:rsidRPr="00C76E55">
                      <w:rPr>
                        <w:rFonts w:ascii="Mulish" w:hAnsi="Mulish"/>
                        <w:sz w:val="14"/>
                        <w:lang w:val="en-GB"/>
                      </w:rPr>
                      <w:t xml:space="preserve"> Teléfono: 91 273 33 20 - 91 273 33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A91">
      <w:tab/>
    </w:r>
    <w:r w:rsidR="00F31A91">
      <w:tab/>
    </w:r>
    <w:r w:rsidR="00F31A91">
      <w:tab/>
    </w:r>
    <w:r w:rsidR="00F31A91">
      <w:tab/>
    </w:r>
    <w:r w:rsidR="001C2B3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6C66" w14:textId="77777777" w:rsidR="0002715C" w:rsidRDefault="0002715C" w:rsidP="00E033DF">
      <w:pPr>
        <w:spacing w:after="0" w:line="240" w:lineRule="auto"/>
      </w:pPr>
      <w:r>
        <w:separator/>
      </w:r>
    </w:p>
  </w:footnote>
  <w:footnote w:type="continuationSeparator" w:id="0">
    <w:p w14:paraId="1491BDE4" w14:textId="77777777" w:rsidR="0002715C" w:rsidRDefault="0002715C" w:rsidP="00E0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1301" w14:textId="0A349650" w:rsidR="00A666AD" w:rsidRDefault="00BD1A28" w:rsidP="008D3392">
    <w:pPr>
      <w:pStyle w:val="Encabezado"/>
      <w:ind w:left="-284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 wp14:anchorId="009FC8A4" wp14:editId="220E36A6">
          <wp:simplePos x="0" y="0"/>
          <wp:positionH relativeFrom="margin">
            <wp:posOffset>-87842</wp:posOffset>
          </wp:positionH>
          <wp:positionV relativeFrom="margin">
            <wp:posOffset>-742950</wp:posOffset>
          </wp:positionV>
          <wp:extent cx="1798320" cy="419100"/>
          <wp:effectExtent l="0" t="0" r="0" b="0"/>
          <wp:wrapSquare wrapText="bothSides"/>
          <wp:docPr id="2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353F07" w14:textId="11B5E591" w:rsidR="00A666AD" w:rsidRDefault="00A666AD" w:rsidP="008D3392">
    <w:pPr>
      <w:pStyle w:val="Encabezado"/>
      <w:ind w:left="-284"/>
      <w:rPr>
        <w:sz w:val="16"/>
        <w:szCs w:val="16"/>
      </w:rPr>
    </w:pPr>
  </w:p>
  <w:p w14:paraId="4F080CFF" w14:textId="77777777" w:rsidR="00A666AD" w:rsidRDefault="00A666AD" w:rsidP="008D3392">
    <w:pPr>
      <w:pStyle w:val="Encabezado"/>
      <w:ind w:left="-284"/>
      <w:rPr>
        <w:sz w:val="16"/>
        <w:szCs w:val="16"/>
      </w:rPr>
    </w:pPr>
  </w:p>
  <w:p w14:paraId="1BA3DC98" w14:textId="0CCD295B" w:rsidR="00A666AD" w:rsidRDefault="00A666AD" w:rsidP="008D3392">
    <w:pPr>
      <w:pStyle w:val="Encabezado"/>
      <w:ind w:left="-284"/>
      <w:rPr>
        <w:sz w:val="16"/>
        <w:szCs w:val="16"/>
      </w:rPr>
    </w:pPr>
  </w:p>
  <w:p w14:paraId="35B84C8B" w14:textId="77777777" w:rsidR="00BB0598" w:rsidRDefault="00BB0598" w:rsidP="008D3392">
    <w:pPr>
      <w:pStyle w:val="Encabezado"/>
      <w:ind w:left="-284"/>
      <w:rPr>
        <w:sz w:val="16"/>
        <w:szCs w:val="16"/>
      </w:rPr>
    </w:pPr>
  </w:p>
  <w:p w14:paraId="6C40E5E5" w14:textId="081D95D3" w:rsidR="004E6B2E" w:rsidRPr="005951F3" w:rsidRDefault="004E6B2E" w:rsidP="008D3392">
    <w:pPr>
      <w:pStyle w:val="Encabezado"/>
      <w:ind w:left="-28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E5EB" w14:textId="31BCD447" w:rsidR="005D4FB7" w:rsidRDefault="00F3528C" w:rsidP="00407A64">
    <w:pPr>
      <w:pStyle w:val="Sinespaciado"/>
      <w:tabs>
        <w:tab w:val="left" w:pos="6705"/>
      </w:tabs>
      <w:ind w:left="-284"/>
    </w:pPr>
    <w:r>
      <w:tab/>
    </w:r>
  </w:p>
  <w:p w14:paraId="6C40E5EC" w14:textId="568A3200" w:rsidR="004E6B2E" w:rsidRDefault="004E6B2E" w:rsidP="00E873AB">
    <w:pPr>
      <w:pStyle w:val="Encabezado"/>
    </w:pPr>
  </w:p>
  <w:p w14:paraId="6C40E5F1" w14:textId="77777777" w:rsidR="00F31A91" w:rsidRDefault="00F31A91" w:rsidP="00E873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9pt;height:9pt" o:bullet="t">
        <v:imagedata r:id="rId1" o:title="BD14533_"/>
      </v:shape>
    </w:pict>
  </w:numPicBullet>
  <w:abstractNum w:abstractNumId="0" w15:restartNumberingAfterBreak="0">
    <w:nsid w:val="156E44EF"/>
    <w:multiLevelType w:val="hybridMultilevel"/>
    <w:tmpl w:val="A25624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5189"/>
    <w:multiLevelType w:val="hybridMultilevel"/>
    <w:tmpl w:val="93604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13DA"/>
    <w:multiLevelType w:val="hybridMultilevel"/>
    <w:tmpl w:val="7F36AAA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305A0"/>
    <w:multiLevelType w:val="hybridMultilevel"/>
    <w:tmpl w:val="FF68F5BC"/>
    <w:lvl w:ilvl="0" w:tplc="CA582274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3610947"/>
    <w:multiLevelType w:val="hybridMultilevel"/>
    <w:tmpl w:val="7AD0E230"/>
    <w:lvl w:ilvl="0" w:tplc="F22AECF0">
      <w:numFmt w:val="bullet"/>
      <w:lvlText w:val="•"/>
      <w:lvlJc w:val="left"/>
      <w:pPr>
        <w:ind w:left="786" w:hanging="360"/>
      </w:pPr>
      <w:rPr>
        <w:rFonts w:ascii="Mulish" w:eastAsia="Mulish" w:hAnsi="Mulish" w:cs="Mulish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A8"/>
    <w:rsid w:val="00011715"/>
    <w:rsid w:val="00011958"/>
    <w:rsid w:val="00020447"/>
    <w:rsid w:val="0002715C"/>
    <w:rsid w:val="000319A0"/>
    <w:rsid w:val="00046F96"/>
    <w:rsid w:val="000566D2"/>
    <w:rsid w:val="00067423"/>
    <w:rsid w:val="000778DA"/>
    <w:rsid w:val="000974DF"/>
    <w:rsid w:val="000A086D"/>
    <w:rsid w:val="000A2F2B"/>
    <w:rsid w:val="000A35BB"/>
    <w:rsid w:val="000A4F42"/>
    <w:rsid w:val="000B3967"/>
    <w:rsid w:val="00101E4F"/>
    <w:rsid w:val="001021B2"/>
    <w:rsid w:val="00110D03"/>
    <w:rsid w:val="00126747"/>
    <w:rsid w:val="00132B3F"/>
    <w:rsid w:val="001350C4"/>
    <w:rsid w:val="00144F49"/>
    <w:rsid w:val="00153863"/>
    <w:rsid w:val="001543D9"/>
    <w:rsid w:val="001565DF"/>
    <w:rsid w:val="00161CD5"/>
    <w:rsid w:val="00164B7D"/>
    <w:rsid w:val="0016527D"/>
    <w:rsid w:val="00170A27"/>
    <w:rsid w:val="00172B40"/>
    <w:rsid w:val="0018353B"/>
    <w:rsid w:val="001A43AF"/>
    <w:rsid w:val="001C28B1"/>
    <w:rsid w:val="001C2B35"/>
    <w:rsid w:val="001D323F"/>
    <w:rsid w:val="00224350"/>
    <w:rsid w:val="00224C4F"/>
    <w:rsid w:val="002438FA"/>
    <w:rsid w:val="0025152B"/>
    <w:rsid w:val="00254F24"/>
    <w:rsid w:val="00285BCA"/>
    <w:rsid w:val="00292E9B"/>
    <w:rsid w:val="002B2476"/>
    <w:rsid w:val="002B603B"/>
    <w:rsid w:val="002D3A62"/>
    <w:rsid w:val="002D6E52"/>
    <w:rsid w:val="002E3710"/>
    <w:rsid w:val="002E4E66"/>
    <w:rsid w:val="003250CD"/>
    <w:rsid w:val="00335EDE"/>
    <w:rsid w:val="00343319"/>
    <w:rsid w:val="003538F3"/>
    <w:rsid w:val="00362D91"/>
    <w:rsid w:val="003712C7"/>
    <w:rsid w:val="00380BE5"/>
    <w:rsid w:val="00380E11"/>
    <w:rsid w:val="00386128"/>
    <w:rsid w:val="003A532D"/>
    <w:rsid w:val="003B4951"/>
    <w:rsid w:val="003B6659"/>
    <w:rsid w:val="003C3727"/>
    <w:rsid w:val="003C665C"/>
    <w:rsid w:val="003C685A"/>
    <w:rsid w:val="003D41CC"/>
    <w:rsid w:val="003D5AFA"/>
    <w:rsid w:val="003E58C6"/>
    <w:rsid w:val="003F5A90"/>
    <w:rsid w:val="003F6CAC"/>
    <w:rsid w:val="00405C45"/>
    <w:rsid w:val="00407A64"/>
    <w:rsid w:val="0045349D"/>
    <w:rsid w:val="00482FD6"/>
    <w:rsid w:val="00485A86"/>
    <w:rsid w:val="00487512"/>
    <w:rsid w:val="00492494"/>
    <w:rsid w:val="004A356B"/>
    <w:rsid w:val="004A5EA5"/>
    <w:rsid w:val="004B3E4B"/>
    <w:rsid w:val="004B6393"/>
    <w:rsid w:val="004D002C"/>
    <w:rsid w:val="004D3C31"/>
    <w:rsid w:val="004D679E"/>
    <w:rsid w:val="004E3AC4"/>
    <w:rsid w:val="004E6B2E"/>
    <w:rsid w:val="00505712"/>
    <w:rsid w:val="005102DD"/>
    <w:rsid w:val="00516FAB"/>
    <w:rsid w:val="0052634E"/>
    <w:rsid w:val="00530B5A"/>
    <w:rsid w:val="00532CA0"/>
    <w:rsid w:val="00533D96"/>
    <w:rsid w:val="005432EE"/>
    <w:rsid w:val="00553F22"/>
    <w:rsid w:val="00576D32"/>
    <w:rsid w:val="00577451"/>
    <w:rsid w:val="005832D7"/>
    <w:rsid w:val="005951F3"/>
    <w:rsid w:val="00596401"/>
    <w:rsid w:val="00597D3E"/>
    <w:rsid w:val="005A1797"/>
    <w:rsid w:val="005B0C58"/>
    <w:rsid w:val="005B1E17"/>
    <w:rsid w:val="005B3D95"/>
    <w:rsid w:val="005B7B5A"/>
    <w:rsid w:val="005C2162"/>
    <w:rsid w:val="005D4FB7"/>
    <w:rsid w:val="005E2969"/>
    <w:rsid w:val="005E34BF"/>
    <w:rsid w:val="006136F0"/>
    <w:rsid w:val="0064406A"/>
    <w:rsid w:val="00644241"/>
    <w:rsid w:val="0064511D"/>
    <w:rsid w:val="00651D35"/>
    <w:rsid w:val="0066322B"/>
    <w:rsid w:val="006778A7"/>
    <w:rsid w:val="00686DAC"/>
    <w:rsid w:val="0069451C"/>
    <w:rsid w:val="006D666C"/>
    <w:rsid w:val="006E1DB7"/>
    <w:rsid w:val="006E2CA6"/>
    <w:rsid w:val="006E6BAE"/>
    <w:rsid w:val="007101D5"/>
    <w:rsid w:val="00721825"/>
    <w:rsid w:val="007526F7"/>
    <w:rsid w:val="0077727F"/>
    <w:rsid w:val="00794850"/>
    <w:rsid w:val="007B410A"/>
    <w:rsid w:val="007C2E7A"/>
    <w:rsid w:val="007D462E"/>
    <w:rsid w:val="007F57CD"/>
    <w:rsid w:val="00813C78"/>
    <w:rsid w:val="008217AF"/>
    <w:rsid w:val="00845FF9"/>
    <w:rsid w:val="008502CE"/>
    <w:rsid w:val="00882413"/>
    <w:rsid w:val="008B5270"/>
    <w:rsid w:val="008D3354"/>
    <w:rsid w:val="008D3392"/>
    <w:rsid w:val="008E2617"/>
    <w:rsid w:val="00902756"/>
    <w:rsid w:val="00916A7F"/>
    <w:rsid w:val="00920FC8"/>
    <w:rsid w:val="009214EC"/>
    <w:rsid w:val="00922C73"/>
    <w:rsid w:val="0093132C"/>
    <w:rsid w:val="00936CB5"/>
    <w:rsid w:val="00945360"/>
    <w:rsid w:val="00946059"/>
    <w:rsid w:val="00952890"/>
    <w:rsid w:val="00960A8E"/>
    <w:rsid w:val="00964EB4"/>
    <w:rsid w:val="00966AFC"/>
    <w:rsid w:val="00967E04"/>
    <w:rsid w:val="009733DB"/>
    <w:rsid w:val="0099233F"/>
    <w:rsid w:val="00993416"/>
    <w:rsid w:val="009B3A1E"/>
    <w:rsid w:val="009C1C4B"/>
    <w:rsid w:val="00A0030B"/>
    <w:rsid w:val="00A035A9"/>
    <w:rsid w:val="00A251FA"/>
    <w:rsid w:val="00A40308"/>
    <w:rsid w:val="00A666AD"/>
    <w:rsid w:val="00A667E2"/>
    <w:rsid w:val="00A83B8F"/>
    <w:rsid w:val="00A90913"/>
    <w:rsid w:val="00AA0900"/>
    <w:rsid w:val="00AA1460"/>
    <w:rsid w:val="00AA4A9B"/>
    <w:rsid w:val="00AC124E"/>
    <w:rsid w:val="00AD4EAB"/>
    <w:rsid w:val="00B25D70"/>
    <w:rsid w:val="00B27714"/>
    <w:rsid w:val="00B33859"/>
    <w:rsid w:val="00B33F7D"/>
    <w:rsid w:val="00B3521D"/>
    <w:rsid w:val="00B56E1A"/>
    <w:rsid w:val="00B73720"/>
    <w:rsid w:val="00B80115"/>
    <w:rsid w:val="00B86292"/>
    <w:rsid w:val="00B92379"/>
    <w:rsid w:val="00B965B4"/>
    <w:rsid w:val="00B97C6D"/>
    <w:rsid w:val="00BA4068"/>
    <w:rsid w:val="00BA62A5"/>
    <w:rsid w:val="00BB0598"/>
    <w:rsid w:val="00BC1926"/>
    <w:rsid w:val="00BD014A"/>
    <w:rsid w:val="00BD1A28"/>
    <w:rsid w:val="00BD42E2"/>
    <w:rsid w:val="00BD4D98"/>
    <w:rsid w:val="00C00902"/>
    <w:rsid w:val="00C05613"/>
    <w:rsid w:val="00C23867"/>
    <w:rsid w:val="00C27BA6"/>
    <w:rsid w:val="00C34F68"/>
    <w:rsid w:val="00C40DD4"/>
    <w:rsid w:val="00C451D3"/>
    <w:rsid w:val="00C6302D"/>
    <w:rsid w:val="00C76E55"/>
    <w:rsid w:val="00C94749"/>
    <w:rsid w:val="00C9616E"/>
    <w:rsid w:val="00CA1CA7"/>
    <w:rsid w:val="00CA4A22"/>
    <w:rsid w:val="00CA5C44"/>
    <w:rsid w:val="00CD17C3"/>
    <w:rsid w:val="00CD436E"/>
    <w:rsid w:val="00CD4664"/>
    <w:rsid w:val="00CF04E9"/>
    <w:rsid w:val="00CF7BBC"/>
    <w:rsid w:val="00D04F1E"/>
    <w:rsid w:val="00D112E6"/>
    <w:rsid w:val="00D13FB4"/>
    <w:rsid w:val="00D154B7"/>
    <w:rsid w:val="00D17138"/>
    <w:rsid w:val="00D26B49"/>
    <w:rsid w:val="00D519BA"/>
    <w:rsid w:val="00D53D91"/>
    <w:rsid w:val="00D5417D"/>
    <w:rsid w:val="00D70DAE"/>
    <w:rsid w:val="00D71C8B"/>
    <w:rsid w:val="00D74DBF"/>
    <w:rsid w:val="00D775C2"/>
    <w:rsid w:val="00DA1AA8"/>
    <w:rsid w:val="00DA2CF7"/>
    <w:rsid w:val="00DC0E41"/>
    <w:rsid w:val="00DC45C2"/>
    <w:rsid w:val="00DD76CF"/>
    <w:rsid w:val="00DF0AA4"/>
    <w:rsid w:val="00DF50CF"/>
    <w:rsid w:val="00DF52D8"/>
    <w:rsid w:val="00DF62C2"/>
    <w:rsid w:val="00E033DF"/>
    <w:rsid w:val="00E1510B"/>
    <w:rsid w:val="00E369D7"/>
    <w:rsid w:val="00E42F8B"/>
    <w:rsid w:val="00E82BF6"/>
    <w:rsid w:val="00E84E80"/>
    <w:rsid w:val="00E873AB"/>
    <w:rsid w:val="00E923C9"/>
    <w:rsid w:val="00E94641"/>
    <w:rsid w:val="00EB6CDC"/>
    <w:rsid w:val="00EB7AAC"/>
    <w:rsid w:val="00EC5719"/>
    <w:rsid w:val="00EF73FE"/>
    <w:rsid w:val="00EF7F60"/>
    <w:rsid w:val="00F253DF"/>
    <w:rsid w:val="00F30B12"/>
    <w:rsid w:val="00F31A91"/>
    <w:rsid w:val="00F34666"/>
    <w:rsid w:val="00F3528C"/>
    <w:rsid w:val="00F436DD"/>
    <w:rsid w:val="00F51DB5"/>
    <w:rsid w:val="00F71D01"/>
    <w:rsid w:val="00F73ACD"/>
    <w:rsid w:val="00F80D55"/>
    <w:rsid w:val="00FC0CAA"/>
    <w:rsid w:val="00FC7309"/>
    <w:rsid w:val="00FD0A75"/>
    <w:rsid w:val="00FD375B"/>
    <w:rsid w:val="00FD7623"/>
    <w:rsid w:val="00FE5C64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0E5B0"/>
  <w15:docId w15:val="{3A54E176-1594-43FE-802E-0F09132E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AA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2476"/>
    <w:pPr>
      <w:keepNext/>
      <w:keepLines/>
      <w:spacing w:before="200" w:after="0" w:line="240" w:lineRule="auto"/>
      <w:outlineLvl w:val="1"/>
    </w:pPr>
    <w:rPr>
      <w:rFonts w:ascii="Mulish" w:eastAsiaTheme="majorEastAsia" w:hAnsi="Mulish" w:cstheme="majorBidi"/>
      <w:b/>
      <w:bCs/>
      <w:color w:val="50866C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8E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3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3DF"/>
  </w:style>
  <w:style w:type="paragraph" w:styleId="Piedepgina">
    <w:name w:val="footer"/>
    <w:basedOn w:val="Normal"/>
    <w:link w:val="PiedepginaCar"/>
    <w:uiPriority w:val="99"/>
    <w:unhideWhenUsed/>
    <w:rsid w:val="00E03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3DF"/>
  </w:style>
  <w:style w:type="paragraph" w:styleId="Sinespaciado">
    <w:name w:val="No Spacing"/>
    <w:uiPriority w:val="1"/>
    <w:qFormat/>
    <w:rsid w:val="0018353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835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35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353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53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A1E"/>
    <w:rPr>
      <w:color w:val="034638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07A64"/>
    <w:pPr>
      <w:widowControl w:val="0"/>
      <w:autoSpaceDE w:val="0"/>
      <w:autoSpaceDN w:val="0"/>
      <w:spacing w:after="0" w:line="240" w:lineRule="auto"/>
    </w:pPr>
    <w:rPr>
      <w:rFonts w:ascii="Mulish" w:eastAsia="Mulish" w:hAnsi="Mulish" w:cs="Mulish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A64"/>
    <w:rPr>
      <w:rFonts w:ascii="Mulish" w:eastAsia="Mulish" w:hAnsi="Mulish" w:cs="Mulish"/>
      <w:sz w:val="20"/>
      <w:szCs w:val="20"/>
      <w:lang w:eastAsia="es-ES" w:bidi="es-ES"/>
    </w:rPr>
  </w:style>
  <w:style w:type="paragraph" w:styleId="Prrafodelista">
    <w:name w:val="List Paragraph"/>
    <w:basedOn w:val="Normal"/>
    <w:uiPriority w:val="34"/>
    <w:qFormat/>
    <w:rsid w:val="00BA4068"/>
    <w:pPr>
      <w:ind w:left="720"/>
      <w:contextualSpacing/>
    </w:pPr>
  </w:style>
  <w:style w:type="table" w:customStyle="1" w:styleId="Sombreadomedio2-nfasis32">
    <w:name w:val="Sombreado medio 2 - Énfasis 32"/>
    <w:basedOn w:val="Tablanormal"/>
    <w:next w:val="Sombreadomedio2-nfasis3"/>
    <w:uiPriority w:val="64"/>
    <w:rsid w:val="00BA4068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BA40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C5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C5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4C5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clara">
    <w:name w:val="Grid Table Light"/>
    <w:basedOn w:val="Tablanormal"/>
    <w:uiPriority w:val="40"/>
    <w:rsid w:val="00BA40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2">
    <w:name w:val="List Table 3 Accent 2"/>
    <w:basedOn w:val="Tablanormal"/>
    <w:uiPriority w:val="48"/>
    <w:rsid w:val="00EF73FE"/>
    <w:pPr>
      <w:spacing w:after="0" w:line="240" w:lineRule="auto"/>
    </w:pPr>
    <w:rPr>
      <w:lang w:eastAsia="es-ES"/>
    </w:rPr>
    <w:tblPr>
      <w:tblStyleRowBandSize w:val="1"/>
      <w:tblStyleColBandSize w:val="1"/>
      <w:tblBorders>
        <w:top w:val="single" w:sz="4" w:space="0" w:color="CB9700" w:themeColor="accent2"/>
        <w:left w:val="single" w:sz="4" w:space="0" w:color="CB9700" w:themeColor="accent2"/>
        <w:bottom w:val="single" w:sz="4" w:space="0" w:color="CB9700" w:themeColor="accent2"/>
        <w:right w:val="single" w:sz="4" w:space="0" w:color="CB97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9700" w:themeFill="accent2"/>
      </w:tcPr>
    </w:tblStylePr>
    <w:tblStylePr w:type="lastRow">
      <w:rPr>
        <w:b/>
        <w:bCs/>
      </w:rPr>
      <w:tblPr/>
      <w:tcPr>
        <w:tcBorders>
          <w:top w:val="double" w:sz="4" w:space="0" w:color="CB97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9700" w:themeColor="accent2"/>
          <w:right w:val="single" w:sz="4" w:space="0" w:color="CB9700" w:themeColor="accent2"/>
        </w:tcBorders>
      </w:tcPr>
    </w:tblStylePr>
    <w:tblStylePr w:type="band1Horz">
      <w:tblPr/>
      <w:tcPr>
        <w:tcBorders>
          <w:top w:val="single" w:sz="4" w:space="0" w:color="CB9700" w:themeColor="accent2"/>
          <w:bottom w:val="single" w:sz="4" w:space="0" w:color="CB97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9700" w:themeColor="accent2"/>
          <w:left w:val="nil"/>
        </w:tcBorders>
      </w:tcPr>
    </w:tblStylePr>
    <w:tblStylePr w:type="swCell">
      <w:tblPr/>
      <w:tcPr>
        <w:tcBorders>
          <w:top w:val="double" w:sz="4" w:space="0" w:color="CB9700" w:themeColor="accent2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70DAE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5E34BF"/>
    <w:pPr>
      <w:spacing w:after="0" w:line="240" w:lineRule="auto"/>
    </w:pPr>
    <w:rPr>
      <w:lang w:eastAsia="es-ES"/>
    </w:rPr>
    <w:tblPr>
      <w:tblStyleRowBandSize w:val="1"/>
      <w:tblStyleColBandSize w:val="1"/>
      <w:tblBorders>
        <w:top w:val="single" w:sz="4" w:space="0" w:color="FFCF46" w:themeColor="accent2" w:themeTint="99"/>
        <w:left w:val="single" w:sz="4" w:space="0" w:color="FFCF46" w:themeColor="accent2" w:themeTint="99"/>
        <w:bottom w:val="single" w:sz="4" w:space="0" w:color="FFCF46" w:themeColor="accent2" w:themeTint="99"/>
        <w:right w:val="single" w:sz="4" w:space="0" w:color="FFCF46" w:themeColor="accent2" w:themeTint="99"/>
        <w:insideH w:val="single" w:sz="4" w:space="0" w:color="FFCF46" w:themeColor="accent2" w:themeTint="99"/>
        <w:insideV w:val="single" w:sz="4" w:space="0" w:color="FFCF4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9700" w:themeColor="accent2"/>
          <w:left w:val="single" w:sz="4" w:space="0" w:color="CB9700" w:themeColor="accent2"/>
          <w:bottom w:val="single" w:sz="4" w:space="0" w:color="CB9700" w:themeColor="accent2"/>
          <w:right w:val="single" w:sz="4" w:space="0" w:color="CB9700" w:themeColor="accent2"/>
          <w:insideH w:val="nil"/>
          <w:insideV w:val="nil"/>
        </w:tcBorders>
        <w:shd w:val="clear" w:color="auto" w:fill="CB9700" w:themeFill="accent2"/>
      </w:tcPr>
    </w:tblStylePr>
    <w:tblStylePr w:type="lastRow">
      <w:rPr>
        <w:b/>
        <w:bCs/>
      </w:rPr>
      <w:tblPr/>
      <w:tcPr>
        <w:tcBorders>
          <w:top w:val="double" w:sz="4" w:space="0" w:color="CB97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2" w:themeFillTint="33"/>
      </w:tcPr>
    </w:tblStylePr>
    <w:tblStylePr w:type="band1Horz">
      <w:tblPr/>
      <w:tcPr>
        <w:shd w:val="clear" w:color="auto" w:fill="FFEFC1" w:themeFill="accent2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E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E4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E7A"/>
    <w:rPr>
      <w:color w:val="CB970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B2476"/>
    <w:rPr>
      <w:rFonts w:ascii="Mulish" w:eastAsiaTheme="majorEastAsia" w:hAnsi="Mulish" w:cstheme="majorBidi"/>
      <w:b/>
      <w:bCs/>
      <w:color w:val="50866C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CA5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gob.es/transparencia/transparencia_Home/index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nsa@consejodetranspar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ejodetransparencia.es/evaluacion/evaluacion2025/2025/age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bg@consejodetransparen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C0C0C"/>
      </a:dk1>
      <a:lt1>
        <a:sysClr val="window" lastClr="FFFFFF"/>
      </a:lt1>
      <a:dk2>
        <a:srgbClr val="00806F"/>
      </a:dk2>
      <a:lt2>
        <a:srgbClr val="D6D2C4"/>
      </a:lt2>
      <a:accent1>
        <a:srgbClr val="00806F"/>
      </a:accent1>
      <a:accent2>
        <a:srgbClr val="CB9700"/>
      </a:accent2>
      <a:accent3>
        <a:srgbClr val="244C5A"/>
      </a:accent3>
      <a:accent4>
        <a:srgbClr val="034638"/>
      </a:accent4>
      <a:accent5>
        <a:srgbClr val="00806F"/>
      </a:accent5>
      <a:accent6>
        <a:srgbClr val="034638"/>
      </a:accent6>
      <a:hlink>
        <a:srgbClr val="034638"/>
      </a:hlink>
      <a:folHlink>
        <a:srgbClr val="CB9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5FD049-96EB-4473-A8A5-C7F6FF3C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PILAR FERRANDEZ FACI</cp:lastModifiedBy>
  <cp:revision>2</cp:revision>
  <cp:lastPrinted>2016-01-05T09:13:00Z</cp:lastPrinted>
  <dcterms:created xsi:type="dcterms:W3CDTF">2026-03-25T10:25:00Z</dcterms:created>
  <dcterms:modified xsi:type="dcterms:W3CDTF">2026-03-25T10:32:00Z</dcterms:modified>
</cp:coreProperties>
</file>