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362E7C84" w:rsidR="00676A2E" w:rsidRDefault="00676A2E">
      <w:pPr>
        <w:rPr>
          <w:rFonts w:ascii="Mulish" w:hAnsi="Mulish"/>
        </w:rPr>
      </w:pPr>
    </w:p>
    <w:p w14:paraId="306BADF1" w14:textId="77777777" w:rsidR="007A2A0C" w:rsidRDefault="007A2A0C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7A2A0C" w:rsidRPr="00FA09F3" w14:paraId="3F507DCF" w14:textId="77777777" w:rsidTr="00E509FE">
        <w:tc>
          <w:tcPr>
            <w:tcW w:w="3625" w:type="dxa"/>
          </w:tcPr>
          <w:p w14:paraId="11685AE2" w14:textId="77777777" w:rsidR="007A2A0C" w:rsidRPr="00FA09F3" w:rsidRDefault="007A2A0C" w:rsidP="00E509F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B733F4E" w14:textId="77777777" w:rsidR="007A2A0C" w:rsidRPr="00B9303E" w:rsidRDefault="007A2A0C" w:rsidP="00E509FE">
            <w:pPr>
              <w:jc w:val="both"/>
              <w:rPr>
                <w:rFonts w:ascii="Mulish" w:hAnsi="Mulish"/>
                <w:sz w:val="24"/>
              </w:rPr>
            </w:pPr>
            <w:r w:rsidRPr="00B9303E">
              <w:rPr>
                <w:rFonts w:ascii="Mulish" w:hAnsi="Mulish"/>
                <w:sz w:val="24"/>
              </w:rPr>
              <w:t>Consejo General de los Colegios Oficiales de Agentes de la Propiedad Inmobiliaria de España</w:t>
            </w:r>
          </w:p>
        </w:tc>
      </w:tr>
      <w:tr w:rsidR="007A2A0C" w:rsidRPr="00FA09F3" w14:paraId="63D19F8E" w14:textId="77777777" w:rsidTr="00E509FE">
        <w:tc>
          <w:tcPr>
            <w:tcW w:w="3625" w:type="dxa"/>
          </w:tcPr>
          <w:p w14:paraId="0DF74C63" w14:textId="77777777" w:rsidR="007A2A0C" w:rsidRPr="00FA09F3" w:rsidRDefault="007A2A0C" w:rsidP="00E509F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33A31CD" w14:textId="77777777" w:rsidR="007A2A0C" w:rsidRPr="00FA09F3" w:rsidRDefault="007A2A0C" w:rsidP="00E509FE">
            <w:pPr>
              <w:rPr>
                <w:rFonts w:ascii="Mulish" w:hAnsi="Mulish"/>
                <w:sz w:val="24"/>
              </w:rPr>
            </w:pPr>
            <w:r w:rsidRPr="00FA09F3">
              <w:rPr>
                <w:rFonts w:ascii="Mulish" w:hAnsi="Mulish"/>
                <w:sz w:val="24"/>
              </w:rPr>
              <w:t>30/04/2024</w:t>
            </w:r>
          </w:p>
          <w:p w14:paraId="4A957C62" w14:textId="32C1B025" w:rsidR="007A2A0C" w:rsidRPr="00FA09F3" w:rsidRDefault="007A2A0C" w:rsidP="00E509FE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</w:t>
            </w:r>
            <w:r w:rsidR="00D20543">
              <w:rPr>
                <w:rFonts w:ascii="Mulish" w:hAnsi="Mulish"/>
                <w:sz w:val="24"/>
              </w:rPr>
              <w:t>11</w:t>
            </w:r>
            <w:r>
              <w:rPr>
                <w:rFonts w:ascii="Mulish" w:hAnsi="Mulish"/>
                <w:sz w:val="24"/>
              </w:rPr>
              <w:t>/0</w:t>
            </w:r>
            <w:r w:rsidR="00D20543">
              <w:rPr>
                <w:rFonts w:ascii="Mulish" w:hAnsi="Mulish"/>
                <w:sz w:val="24"/>
              </w:rPr>
              <w:t>4</w:t>
            </w:r>
            <w:r>
              <w:rPr>
                <w:rFonts w:ascii="Mulish" w:hAnsi="Mulish"/>
                <w:sz w:val="24"/>
              </w:rPr>
              <w:t>/202</w:t>
            </w:r>
            <w:r w:rsidR="00D20543">
              <w:rPr>
                <w:rFonts w:ascii="Mulish" w:hAnsi="Mulish"/>
                <w:sz w:val="24"/>
              </w:rPr>
              <w:t>5</w:t>
            </w:r>
          </w:p>
        </w:tc>
      </w:tr>
      <w:tr w:rsidR="007A2A0C" w:rsidRPr="00FA09F3" w14:paraId="3B66BA2E" w14:textId="77777777" w:rsidTr="00E509FE">
        <w:tc>
          <w:tcPr>
            <w:tcW w:w="3625" w:type="dxa"/>
          </w:tcPr>
          <w:p w14:paraId="7BE2F043" w14:textId="77777777" w:rsidR="007A2A0C" w:rsidRPr="00FA09F3" w:rsidRDefault="007A2A0C" w:rsidP="00E509FE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C2826D6" w14:textId="77777777" w:rsidR="007A2A0C" w:rsidRPr="00E41F54" w:rsidRDefault="00A963D7" w:rsidP="00E509FE">
            <w:pPr>
              <w:rPr>
                <w:rFonts w:ascii="Mulish" w:hAnsi="Mulish"/>
                <w:sz w:val="24"/>
              </w:rPr>
            </w:pPr>
            <w:hyperlink r:id="rId14" w:history="1">
              <w:r w:rsidR="007A2A0C" w:rsidRPr="00E41F54">
                <w:rPr>
                  <w:rFonts w:ascii="Mulish" w:hAnsi="Mulish"/>
                  <w:sz w:val="24"/>
                </w:rPr>
                <w:t>https://consejocoapis.org</w:t>
              </w:r>
            </w:hyperlink>
          </w:p>
        </w:tc>
      </w:tr>
    </w:tbl>
    <w:p w14:paraId="2B8677A6" w14:textId="77777777" w:rsidR="00676A2E" w:rsidRDefault="00676A2E">
      <w:pPr>
        <w:rPr>
          <w:rFonts w:ascii="Mulish" w:hAnsi="Mulish"/>
        </w:rPr>
      </w:pPr>
    </w:p>
    <w:p w14:paraId="1CC3E693" w14:textId="77777777" w:rsidR="007A2A0C" w:rsidRPr="00B37389" w:rsidRDefault="007A2A0C" w:rsidP="007A2A0C">
      <w:pPr>
        <w:rPr>
          <w:rFonts w:ascii="Mulish" w:hAnsi="Mulish"/>
        </w:rPr>
      </w:pPr>
    </w:p>
    <w:p w14:paraId="22716641" w14:textId="77777777" w:rsidR="007A2A0C" w:rsidRPr="00B37389" w:rsidRDefault="00A963D7" w:rsidP="007A2A0C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E65183B844F4536A25C703F1E801CC6"/>
          </w:placeholder>
        </w:sdtPr>
        <w:sdtEndPr>
          <w:rPr>
            <w:color w:val="50866C"/>
          </w:rPr>
        </w:sdtEndPr>
        <w:sdtContent>
          <w:r w:rsidR="007A2A0C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736C7EB6" w14:textId="77777777" w:rsidR="007A2A0C" w:rsidRPr="00B37389" w:rsidRDefault="007A2A0C" w:rsidP="007A2A0C">
      <w:pPr>
        <w:rPr>
          <w:rFonts w:ascii="Mulish" w:hAnsi="Mulish"/>
        </w:rPr>
      </w:pPr>
    </w:p>
    <w:p w14:paraId="244607AD" w14:textId="77777777" w:rsidR="007A2A0C" w:rsidRPr="00B37389" w:rsidRDefault="007A2A0C" w:rsidP="007A2A0C">
      <w:pPr>
        <w:pStyle w:val="Cuerpodelboletn"/>
        <w:rPr>
          <w:rFonts w:ascii="Mulish" w:hAnsi="Mulish"/>
        </w:rPr>
        <w:sectPr w:rsidR="007A2A0C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3437"/>
        <w:gridCol w:w="993"/>
        <w:gridCol w:w="4365"/>
      </w:tblGrid>
      <w:tr w:rsidR="007A2A0C" w:rsidRPr="00FA09F3" w14:paraId="381182F8" w14:textId="77777777" w:rsidTr="007A2A0C">
        <w:trPr>
          <w:tblHeader/>
        </w:trPr>
        <w:tc>
          <w:tcPr>
            <w:tcW w:w="1661" w:type="dxa"/>
            <w:shd w:val="clear" w:color="auto" w:fill="3C8378"/>
          </w:tcPr>
          <w:p w14:paraId="2DA13F8E" w14:textId="77777777" w:rsidR="007A2A0C" w:rsidRPr="00FA09F3" w:rsidRDefault="007A2A0C" w:rsidP="00E509F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A09F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430" w:type="dxa"/>
            <w:gridSpan w:val="2"/>
            <w:shd w:val="clear" w:color="auto" w:fill="3C8378"/>
          </w:tcPr>
          <w:p w14:paraId="1E0FFDE9" w14:textId="77777777" w:rsidR="007A2A0C" w:rsidRPr="00FA09F3" w:rsidRDefault="007A2A0C" w:rsidP="00E509F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A09F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4365" w:type="dxa"/>
            <w:shd w:val="clear" w:color="auto" w:fill="3C8378"/>
          </w:tcPr>
          <w:p w14:paraId="668C8685" w14:textId="77777777" w:rsidR="007A2A0C" w:rsidRPr="00FA09F3" w:rsidRDefault="007A2A0C" w:rsidP="00E509F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A09F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7A2A0C" w:rsidRPr="00FA09F3" w14:paraId="6BCA6909" w14:textId="77777777" w:rsidTr="00E509FE">
        <w:tc>
          <w:tcPr>
            <w:tcW w:w="1661" w:type="dxa"/>
            <w:vMerge w:val="restart"/>
            <w:vAlign w:val="center"/>
          </w:tcPr>
          <w:p w14:paraId="12DA381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437" w:type="dxa"/>
          </w:tcPr>
          <w:p w14:paraId="58A69595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993" w:type="dxa"/>
            <w:vAlign w:val="center"/>
          </w:tcPr>
          <w:p w14:paraId="09C55D0F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738FB97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67EE54DD" w14:textId="77777777" w:rsidTr="00E509FE">
        <w:tc>
          <w:tcPr>
            <w:tcW w:w="1661" w:type="dxa"/>
            <w:vMerge/>
          </w:tcPr>
          <w:p w14:paraId="4F2C6CA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7650987B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993" w:type="dxa"/>
            <w:vAlign w:val="center"/>
          </w:tcPr>
          <w:p w14:paraId="0CF69CC6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BE91598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C296925" w14:textId="77777777" w:rsidTr="00E509FE">
        <w:trPr>
          <w:trHeight w:val="87"/>
        </w:trPr>
        <w:tc>
          <w:tcPr>
            <w:tcW w:w="1661" w:type="dxa"/>
            <w:vMerge/>
          </w:tcPr>
          <w:p w14:paraId="3D3A8AD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09EC0FF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993" w:type="dxa"/>
            <w:vAlign w:val="center"/>
          </w:tcPr>
          <w:p w14:paraId="402CB492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E180FF9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3D4EE75F" w14:textId="77777777" w:rsidTr="00E509FE">
        <w:trPr>
          <w:trHeight w:val="451"/>
        </w:trPr>
        <w:tc>
          <w:tcPr>
            <w:tcW w:w="1661" w:type="dxa"/>
            <w:vMerge/>
          </w:tcPr>
          <w:p w14:paraId="6BB3984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63E645A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993" w:type="dxa"/>
            <w:vAlign w:val="center"/>
          </w:tcPr>
          <w:p w14:paraId="140AA109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76D0A4CB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113A7B07" w14:textId="77777777" w:rsidTr="00E509F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70F0972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437" w:type="dxa"/>
          </w:tcPr>
          <w:p w14:paraId="36EA1D6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993" w:type="dxa"/>
          </w:tcPr>
          <w:p w14:paraId="4E76BABB" w14:textId="77777777" w:rsidR="007A2A0C" w:rsidRPr="00E30FE0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BE66842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1657B0F8" w14:textId="77777777" w:rsidTr="00E509FE">
        <w:tc>
          <w:tcPr>
            <w:tcW w:w="1661" w:type="dxa"/>
            <w:vMerge/>
            <w:vAlign w:val="center"/>
          </w:tcPr>
          <w:p w14:paraId="0B8E8739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5E65AB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33037C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3D198031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8E25F8C" w14:textId="77777777" w:rsidTr="00E509FE">
        <w:tc>
          <w:tcPr>
            <w:tcW w:w="1661" w:type="dxa"/>
            <w:vMerge/>
            <w:vAlign w:val="center"/>
          </w:tcPr>
          <w:p w14:paraId="3D2CD36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FFFFFF" w:themeFill="background1"/>
          </w:tcPr>
          <w:p w14:paraId="7BB7619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993" w:type="dxa"/>
            <w:shd w:val="clear" w:color="auto" w:fill="FFFFFF" w:themeFill="background1"/>
          </w:tcPr>
          <w:p w14:paraId="452901FA" w14:textId="77777777" w:rsidR="007A2A0C" w:rsidRPr="00B9303E" w:rsidRDefault="007A2A0C" w:rsidP="007A2A0C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513DBF57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í</w:t>
            </w:r>
          </w:p>
        </w:tc>
      </w:tr>
      <w:tr w:rsidR="007A2A0C" w:rsidRPr="00FA09F3" w14:paraId="13E07234" w14:textId="77777777" w:rsidTr="00E509FE">
        <w:tc>
          <w:tcPr>
            <w:tcW w:w="1661" w:type="dxa"/>
            <w:vMerge/>
            <w:vAlign w:val="center"/>
          </w:tcPr>
          <w:p w14:paraId="2F7849C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34B297C1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993" w:type="dxa"/>
          </w:tcPr>
          <w:p w14:paraId="42749FC1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0F218463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831DEA7" w14:textId="77777777" w:rsidTr="00E509FE">
        <w:tc>
          <w:tcPr>
            <w:tcW w:w="1661" w:type="dxa"/>
            <w:vMerge/>
            <w:vAlign w:val="center"/>
          </w:tcPr>
          <w:p w14:paraId="2489FD2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5CC06BF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993" w:type="dxa"/>
          </w:tcPr>
          <w:p w14:paraId="5CFBF864" w14:textId="77777777" w:rsidR="007A2A0C" w:rsidRPr="00B9303E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365" w:type="dxa"/>
          </w:tcPr>
          <w:p w14:paraId="4974FD9A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 El acceso organigrama abre una página que contiene una transcripción de los artículos del Estatuto relativos a las estructura y funciones de los órganos de gobierno</w:t>
            </w:r>
          </w:p>
        </w:tc>
      </w:tr>
      <w:tr w:rsidR="007A2A0C" w:rsidRPr="00FA09F3" w14:paraId="64CADA43" w14:textId="77777777" w:rsidTr="00E509FE">
        <w:tc>
          <w:tcPr>
            <w:tcW w:w="1661" w:type="dxa"/>
            <w:vMerge/>
            <w:vAlign w:val="center"/>
          </w:tcPr>
          <w:p w14:paraId="1C37811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18610436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993" w:type="dxa"/>
          </w:tcPr>
          <w:p w14:paraId="5CEB5AD1" w14:textId="77777777" w:rsidR="007A2A0C" w:rsidRPr="00FA09F3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4C07DD8A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725CAFEC" w14:textId="77777777" w:rsidTr="00E509FE">
        <w:tc>
          <w:tcPr>
            <w:tcW w:w="1661" w:type="dxa"/>
            <w:vMerge/>
            <w:vAlign w:val="center"/>
          </w:tcPr>
          <w:p w14:paraId="5524221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63CBFD1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97B19B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2D856ABD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B32C8EE" w14:textId="77777777" w:rsidTr="00E509FE">
        <w:tc>
          <w:tcPr>
            <w:tcW w:w="1661" w:type="dxa"/>
            <w:vMerge/>
            <w:vAlign w:val="center"/>
          </w:tcPr>
          <w:p w14:paraId="68D5D3B6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E27EB5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C7D77D4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446AAB19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5B79BE1F" w14:textId="77777777" w:rsidTr="00E509FE">
        <w:tc>
          <w:tcPr>
            <w:tcW w:w="1661" w:type="dxa"/>
            <w:vMerge/>
            <w:vAlign w:val="center"/>
          </w:tcPr>
          <w:p w14:paraId="76532D0C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FF41659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20A513E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60DB633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71A4B176" w14:textId="77777777" w:rsidTr="00E509FE">
        <w:tc>
          <w:tcPr>
            <w:tcW w:w="1661" w:type="dxa"/>
            <w:vMerge/>
            <w:vAlign w:val="center"/>
          </w:tcPr>
          <w:p w14:paraId="687FA23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8035D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9D27C1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0B03FB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151C782" w14:textId="77777777" w:rsidTr="00E509FE">
        <w:tc>
          <w:tcPr>
            <w:tcW w:w="1661" w:type="dxa"/>
            <w:vMerge/>
            <w:vAlign w:val="center"/>
          </w:tcPr>
          <w:p w14:paraId="5638F0A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7623F1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4DC180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050306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C4A6AC8" w14:textId="77777777" w:rsidTr="00E509FE">
        <w:tc>
          <w:tcPr>
            <w:tcW w:w="1661" w:type="dxa"/>
            <w:vMerge/>
            <w:vAlign w:val="center"/>
          </w:tcPr>
          <w:p w14:paraId="795FA741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5A0716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72C7CE0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60BF772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77E09C76" w14:textId="77777777" w:rsidTr="00E509FE">
        <w:tc>
          <w:tcPr>
            <w:tcW w:w="1661" w:type="dxa"/>
            <w:vMerge/>
            <w:vAlign w:val="center"/>
          </w:tcPr>
          <w:p w14:paraId="3DEF582B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2163779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5AEC3B" w14:textId="77777777" w:rsidR="007A2A0C" w:rsidRPr="00B9303E" w:rsidRDefault="007A2A0C" w:rsidP="00E509F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40257404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1C7FDC14" w14:textId="77777777" w:rsidTr="00E509FE">
        <w:tc>
          <w:tcPr>
            <w:tcW w:w="1661" w:type="dxa"/>
            <w:vMerge/>
            <w:vAlign w:val="center"/>
          </w:tcPr>
          <w:p w14:paraId="7EDF40F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55CD404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E284600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2A125627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0B6F83A3" w14:textId="77777777" w:rsidTr="00E509FE">
        <w:tc>
          <w:tcPr>
            <w:tcW w:w="1661" w:type="dxa"/>
            <w:vMerge/>
            <w:vAlign w:val="center"/>
          </w:tcPr>
          <w:p w14:paraId="702AB0CC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30CD718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48925C7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2C7B260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7CD3D305" w14:textId="77777777" w:rsidTr="00E509FE">
        <w:tc>
          <w:tcPr>
            <w:tcW w:w="1661" w:type="dxa"/>
            <w:vMerge/>
            <w:vAlign w:val="center"/>
          </w:tcPr>
          <w:p w14:paraId="5019BF8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06D6A566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393E25D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0B5FFF5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1FA63EEE" w14:textId="77777777" w:rsidTr="00E509FE">
        <w:tc>
          <w:tcPr>
            <w:tcW w:w="1661" w:type="dxa"/>
            <w:vMerge/>
            <w:vAlign w:val="center"/>
          </w:tcPr>
          <w:p w14:paraId="655350E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485402A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9F61B0D" w14:textId="77777777" w:rsidR="007A2A0C" w:rsidRPr="00FA09F3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5178BAE2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8B10556" w14:textId="77777777" w:rsidTr="00E509FE">
        <w:tc>
          <w:tcPr>
            <w:tcW w:w="1661" w:type="dxa"/>
            <w:vMerge/>
            <w:vAlign w:val="center"/>
          </w:tcPr>
          <w:p w14:paraId="47C8E73C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auto"/>
          </w:tcPr>
          <w:p w14:paraId="015BBA2C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993" w:type="dxa"/>
            <w:shd w:val="clear" w:color="auto" w:fill="auto"/>
          </w:tcPr>
          <w:p w14:paraId="3701E780" w14:textId="77777777" w:rsidR="007A2A0C" w:rsidRPr="00E30FE0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auto"/>
          </w:tcPr>
          <w:p w14:paraId="5F1AF835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0C14279" w14:textId="77777777" w:rsidTr="00E509FE">
        <w:tc>
          <w:tcPr>
            <w:tcW w:w="1661" w:type="dxa"/>
            <w:vMerge/>
            <w:vAlign w:val="center"/>
          </w:tcPr>
          <w:p w14:paraId="2A26864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2FA9AC1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0F97BD" w14:textId="77777777" w:rsidR="007A2A0C" w:rsidRPr="00DE7AA1" w:rsidRDefault="007A2A0C" w:rsidP="007A2A0C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83CD4ED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7A2A0C" w:rsidRPr="00FA09F3" w14:paraId="5021D0E9" w14:textId="77777777" w:rsidTr="00E509FE">
        <w:tc>
          <w:tcPr>
            <w:tcW w:w="1661" w:type="dxa"/>
            <w:vMerge/>
            <w:vAlign w:val="center"/>
          </w:tcPr>
          <w:p w14:paraId="311FD32C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FFFFFF" w:themeFill="background1"/>
          </w:tcPr>
          <w:p w14:paraId="2CF5048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993" w:type="dxa"/>
            <w:shd w:val="clear" w:color="auto" w:fill="FFFFFF" w:themeFill="background1"/>
          </w:tcPr>
          <w:p w14:paraId="4EBC9B4E" w14:textId="77777777" w:rsidR="007A2A0C" w:rsidRPr="00957CBD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365" w:type="dxa"/>
            <w:shd w:val="clear" w:color="auto" w:fill="FFFFFF" w:themeFill="background1"/>
          </w:tcPr>
          <w:p w14:paraId="349EEE1E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A2A0C" w:rsidRPr="00FA09F3" w14:paraId="1586BA44" w14:textId="77777777" w:rsidTr="00E509FE">
        <w:trPr>
          <w:trHeight w:val="113"/>
        </w:trPr>
        <w:tc>
          <w:tcPr>
            <w:tcW w:w="1661" w:type="dxa"/>
            <w:vMerge/>
            <w:vAlign w:val="center"/>
          </w:tcPr>
          <w:p w14:paraId="3C585695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23FE671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1C6032B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547487B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0C10DC4D" w14:textId="77777777" w:rsidTr="00E509FE">
        <w:tc>
          <w:tcPr>
            <w:tcW w:w="1661" w:type="dxa"/>
            <w:vMerge/>
            <w:vAlign w:val="center"/>
          </w:tcPr>
          <w:p w14:paraId="6CA48D2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FC90CA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F8497F" w14:textId="77777777" w:rsidR="007A2A0C" w:rsidRPr="00E30FE0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62888B1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7858CFF2" w14:textId="77777777" w:rsidTr="00E509FE">
        <w:tc>
          <w:tcPr>
            <w:tcW w:w="1661" w:type="dxa"/>
            <w:vMerge/>
            <w:vAlign w:val="center"/>
          </w:tcPr>
          <w:p w14:paraId="7DE01BF5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9D89BB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8AFF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163E1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1965E666" w14:textId="77777777" w:rsidTr="00E509FE">
        <w:tc>
          <w:tcPr>
            <w:tcW w:w="1661" w:type="dxa"/>
            <w:vMerge/>
            <w:vAlign w:val="center"/>
          </w:tcPr>
          <w:p w14:paraId="022E5DB8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47CE1769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865007F" w14:textId="77777777" w:rsidR="007A2A0C" w:rsidRPr="00FA09F3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65D0E17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046B6279" w14:textId="77777777" w:rsidTr="00E509FE">
        <w:tc>
          <w:tcPr>
            <w:tcW w:w="1661" w:type="dxa"/>
            <w:vMerge/>
            <w:vAlign w:val="center"/>
          </w:tcPr>
          <w:p w14:paraId="7544A6E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5C4C41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8A27E4B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1CD3CCF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6261E30" w14:textId="77777777" w:rsidTr="00E509FE">
        <w:tc>
          <w:tcPr>
            <w:tcW w:w="1661" w:type="dxa"/>
            <w:vMerge/>
            <w:vAlign w:val="center"/>
          </w:tcPr>
          <w:p w14:paraId="26AD72A8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714616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3EAC754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30ED997D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4E7FE52" w14:textId="77777777" w:rsidTr="00E509FE">
        <w:tc>
          <w:tcPr>
            <w:tcW w:w="1661" w:type="dxa"/>
            <w:vMerge/>
            <w:vAlign w:val="center"/>
          </w:tcPr>
          <w:p w14:paraId="1F60DFB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7460B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AF9E35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551A8A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5963AEDC" w14:textId="77777777" w:rsidTr="00E509FE">
        <w:tc>
          <w:tcPr>
            <w:tcW w:w="1661" w:type="dxa"/>
            <w:vMerge/>
            <w:vAlign w:val="center"/>
          </w:tcPr>
          <w:p w14:paraId="73144FA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FA409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84D14D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5E3D55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4AEC466" w14:textId="77777777" w:rsidTr="00E509FE">
        <w:tc>
          <w:tcPr>
            <w:tcW w:w="1661" w:type="dxa"/>
            <w:vMerge/>
            <w:vAlign w:val="center"/>
          </w:tcPr>
          <w:p w14:paraId="6038049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015DAF1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17D3C92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7C8991E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548324B" w14:textId="77777777" w:rsidTr="00E509FE">
        <w:tc>
          <w:tcPr>
            <w:tcW w:w="1661" w:type="dxa"/>
            <w:vMerge/>
            <w:vAlign w:val="center"/>
          </w:tcPr>
          <w:p w14:paraId="7FB15E88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8493AC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220886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ADCAC2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017832FD" w14:textId="77777777" w:rsidTr="00E509FE">
        <w:tc>
          <w:tcPr>
            <w:tcW w:w="1661" w:type="dxa"/>
            <w:vMerge/>
            <w:vAlign w:val="center"/>
          </w:tcPr>
          <w:p w14:paraId="5DBE3B77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65FC245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50BDF5A" w14:textId="77777777" w:rsidR="007A2A0C" w:rsidRPr="00FA09F3" w:rsidRDefault="007A2A0C" w:rsidP="00E509F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038431D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211F7ED" w14:textId="77777777" w:rsidTr="00E509FE">
        <w:tc>
          <w:tcPr>
            <w:tcW w:w="1661" w:type="dxa"/>
            <w:vMerge/>
            <w:vAlign w:val="center"/>
          </w:tcPr>
          <w:p w14:paraId="7B48C46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  <w:shd w:val="clear" w:color="auto" w:fill="BFBFBF" w:themeFill="background1" w:themeFillShade="BF"/>
          </w:tcPr>
          <w:p w14:paraId="31A2F7D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409B084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  <w:shd w:val="clear" w:color="auto" w:fill="BFBFBF" w:themeFill="background1" w:themeFillShade="BF"/>
          </w:tcPr>
          <w:p w14:paraId="12C59C8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AA18B28" w14:textId="77777777" w:rsidTr="00E509F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6610AA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3437" w:type="dxa"/>
          </w:tcPr>
          <w:p w14:paraId="13E1799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993" w:type="dxa"/>
            <w:vAlign w:val="center"/>
          </w:tcPr>
          <w:p w14:paraId="4C015032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696E618F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27A87310" w14:textId="77777777" w:rsidTr="00E509FE">
        <w:tc>
          <w:tcPr>
            <w:tcW w:w="1661" w:type="dxa"/>
            <w:vMerge/>
          </w:tcPr>
          <w:p w14:paraId="3264601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4FC61A2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993" w:type="dxa"/>
            <w:vAlign w:val="center"/>
          </w:tcPr>
          <w:p w14:paraId="7DE744C7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2C467FFA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0BEB0D37" w14:textId="77777777" w:rsidTr="00E509FE">
        <w:tc>
          <w:tcPr>
            <w:tcW w:w="1661" w:type="dxa"/>
            <w:vMerge/>
          </w:tcPr>
          <w:p w14:paraId="0452ED1B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7C5ED270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993" w:type="dxa"/>
            <w:vAlign w:val="center"/>
          </w:tcPr>
          <w:p w14:paraId="5CBC0447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33FCFFB8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48415E1B" w14:textId="77777777" w:rsidTr="00E509FE">
        <w:tc>
          <w:tcPr>
            <w:tcW w:w="1661" w:type="dxa"/>
            <w:vMerge/>
          </w:tcPr>
          <w:p w14:paraId="5366A28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237569E3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993" w:type="dxa"/>
            <w:vAlign w:val="center"/>
          </w:tcPr>
          <w:p w14:paraId="6A6BEB53" w14:textId="77777777" w:rsidR="007A2A0C" w:rsidRPr="00FA09F3" w:rsidRDefault="007A2A0C" w:rsidP="00E509F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492FC264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A2A0C" w:rsidRPr="00FA09F3" w14:paraId="3B395D69" w14:textId="77777777" w:rsidTr="00E509FE">
        <w:tc>
          <w:tcPr>
            <w:tcW w:w="1661" w:type="dxa"/>
            <w:vMerge/>
          </w:tcPr>
          <w:p w14:paraId="0EC3FB3E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37" w:type="dxa"/>
          </w:tcPr>
          <w:p w14:paraId="0F8A2D4D" w14:textId="77777777" w:rsidR="007A2A0C" w:rsidRPr="00FA09F3" w:rsidRDefault="007A2A0C" w:rsidP="00E509FE">
            <w:pPr>
              <w:rPr>
                <w:rFonts w:ascii="Mulish" w:hAnsi="Mulish"/>
                <w:sz w:val="18"/>
                <w:szCs w:val="18"/>
              </w:rPr>
            </w:pPr>
            <w:r w:rsidRPr="00FA09F3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993" w:type="dxa"/>
            <w:vAlign w:val="center"/>
          </w:tcPr>
          <w:p w14:paraId="42F8AA28" w14:textId="77777777" w:rsidR="007A2A0C" w:rsidRPr="0042316A" w:rsidRDefault="007A2A0C" w:rsidP="007A2A0C">
            <w:pPr>
              <w:pStyle w:val="Prrafodelista"/>
              <w:numPr>
                <w:ilvl w:val="0"/>
                <w:numId w:val="3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365" w:type="dxa"/>
          </w:tcPr>
          <w:p w14:paraId="58A4896F" w14:textId="77777777" w:rsidR="007A2A0C" w:rsidRPr="00FA09F3" w:rsidRDefault="007A2A0C" w:rsidP="00E509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7A2A0C" w:rsidRPr="00FA09F3" w14:paraId="7067922C" w14:textId="77777777" w:rsidTr="00E509FE">
        <w:tc>
          <w:tcPr>
            <w:tcW w:w="5098" w:type="dxa"/>
            <w:gridSpan w:val="2"/>
          </w:tcPr>
          <w:p w14:paraId="22C1692D" w14:textId="77777777" w:rsidR="007A2A0C" w:rsidRPr="00FA09F3" w:rsidRDefault="007A2A0C" w:rsidP="00E509F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FA09F3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FA09F3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993" w:type="dxa"/>
            <w:vAlign w:val="center"/>
          </w:tcPr>
          <w:p w14:paraId="70ECA9A1" w14:textId="77777777" w:rsidR="007A2A0C" w:rsidRPr="00FA09F3" w:rsidRDefault="007A2A0C" w:rsidP="00E509F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5</w:t>
            </w:r>
          </w:p>
        </w:tc>
        <w:tc>
          <w:tcPr>
            <w:tcW w:w="4365" w:type="dxa"/>
          </w:tcPr>
          <w:p w14:paraId="42346DDD" w14:textId="77777777" w:rsidR="007A2A0C" w:rsidRPr="00FA09F3" w:rsidRDefault="007A2A0C" w:rsidP="00E509F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05F887C" w14:textId="77777777" w:rsidR="007A2A0C" w:rsidRPr="00B37389" w:rsidRDefault="007A2A0C" w:rsidP="007A2A0C">
      <w:pPr>
        <w:jc w:val="both"/>
        <w:rPr>
          <w:rFonts w:ascii="Mulish" w:hAnsi="Mulish"/>
        </w:rPr>
      </w:pPr>
    </w:p>
    <w:p w14:paraId="7C03E977" w14:textId="77777777" w:rsidR="007A2A0C" w:rsidRDefault="007A2A0C" w:rsidP="007A2A0C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Pr="00DE7AA1">
        <w:rPr>
          <w:rFonts w:ascii="Mulish" w:hAnsi="Mulish"/>
        </w:rPr>
        <w:t>Consejo General de los Colegios Oficiales de Agentes de la Propiedad Inmobiliaria de España</w:t>
      </w:r>
      <w:r w:rsidRPr="00B37389">
        <w:rPr>
          <w:rFonts w:ascii="Mulish" w:hAnsi="Mulish"/>
        </w:rPr>
        <w:t xml:space="preserve"> ha </w:t>
      </w:r>
      <w:r>
        <w:rPr>
          <w:rFonts w:ascii="Mulish" w:hAnsi="Mulish"/>
        </w:rPr>
        <w:t>resuelto 3 de los 5 incumplimientos</w:t>
      </w:r>
      <w:r w:rsidRPr="00B37389">
        <w:rPr>
          <w:rFonts w:ascii="Mulish" w:hAnsi="Mulish"/>
        </w:rPr>
        <w:t xml:space="preserve"> </w:t>
      </w:r>
      <w:r>
        <w:rPr>
          <w:rFonts w:ascii="Mulish" w:hAnsi="Mulish"/>
        </w:rPr>
        <w:t>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48A9CDF7" w14:textId="77777777" w:rsidR="00676A2E" w:rsidRDefault="00676A2E">
      <w:pPr>
        <w:rPr>
          <w:rFonts w:ascii="Mulish" w:hAnsi="Mulish"/>
        </w:rPr>
      </w:pPr>
    </w:p>
    <w:bookmarkStart w:id="0" w:name="_Hlk163474435"/>
    <w:p w14:paraId="785033C3" w14:textId="5AFF8E24" w:rsidR="007A2A0C" w:rsidRPr="00B37389" w:rsidRDefault="00A963D7" w:rsidP="007A2A0C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54DD7BCF54094DE38D6618776566C312"/>
          </w:placeholder>
        </w:sdtPr>
        <w:sdtEndPr/>
        <w:sdtContent>
          <w:r w:rsidR="007A2A0C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00891A54" w14:textId="099608D7" w:rsidR="007A2A0C" w:rsidRDefault="007A2A0C">
      <w:pPr>
        <w:rPr>
          <w:rFonts w:asciiTheme="minorHAnsi" w:hAnsiTheme="minorHAnsi"/>
          <w:sz w:val="20"/>
          <w:szCs w:val="20"/>
        </w:rPr>
      </w:pPr>
      <w:r>
        <w:fldChar w:fldCharType="begin"/>
      </w:r>
      <w:r>
        <w:instrText xml:space="preserve"> LINK </w:instrText>
      </w:r>
      <w:r w:rsidR="00A963D7">
        <w:instrText xml:space="preserve">Excel.Sheet.12 "\\\\DSIC.ES\\sscc\\550Grupos\\ctbg-sgtbg\\14 MEMORIA\\MEMORIA 2024\\Terceras evaluaciones\\200- Agentes Propiedad Inmobiliaria\\2024\\200-Agentes propiedad inmobiliaria-2024.xlsx" Tablas!F2C1:F7C9 </w:instrText>
      </w:r>
      <w:r>
        <w:instrText xml:space="preserve">\a \f 4 \h  \* MERGEFORMAT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7A2A0C" w:rsidRPr="007A2A0C" w14:paraId="4900AB30" w14:textId="77777777" w:rsidTr="007A2A0C">
        <w:trPr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7E9B3EC0" w14:textId="0549F001" w:rsidR="007A2A0C" w:rsidRPr="007A2A0C" w:rsidRDefault="007A2A0C" w:rsidP="007A2A0C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4C3473C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2908975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DF64457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BA89ABD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E453C65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12AD291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2DD09D4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4CEB4F3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A2A0C" w:rsidRPr="007A2A0C" w14:paraId="7F29B1A1" w14:textId="77777777" w:rsidTr="007A2A0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9B43345" w14:textId="77777777" w:rsidR="007A2A0C" w:rsidRPr="007A2A0C" w:rsidRDefault="007A2A0C" w:rsidP="007A2A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1FA7F2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7ACC80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041F51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3257F1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649995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64CB95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E306E4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8C4B17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  <w:tr w:rsidR="007A2A0C" w:rsidRPr="007A2A0C" w14:paraId="6034ED6F" w14:textId="77777777" w:rsidTr="007A2A0C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D906C7D" w14:textId="77777777" w:rsidR="007A2A0C" w:rsidRPr="007A2A0C" w:rsidRDefault="007A2A0C" w:rsidP="007A2A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9EF31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E19B8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18EE94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85578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7C36A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4A7A44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41605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1AAB92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A2A0C" w:rsidRPr="007A2A0C" w14:paraId="5425D385" w14:textId="77777777" w:rsidTr="007A2A0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985B3BB" w14:textId="77777777" w:rsidR="007A2A0C" w:rsidRPr="007A2A0C" w:rsidRDefault="007A2A0C" w:rsidP="007A2A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4D092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65703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8FC826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FE3A8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1886CB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F7D83D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2F625F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DD918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49,0</w:t>
            </w:r>
          </w:p>
        </w:tc>
      </w:tr>
      <w:tr w:rsidR="007A2A0C" w:rsidRPr="007A2A0C" w14:paraId="287210F7" w14:textId="77777777" w:rsidTr="007A2A0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A30747A" w14:textId="77777777" w:rsidR="007A2A0C" w:rsidRPr="007A2A0C" w:rsidRDefault="007A2A0C" w:rsidP="007A2A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F13A05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4BB985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18E5C8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33E18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60CB64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67AE1F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8F993B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F6283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A2A0C" w:rsidRPr="007A2A0C" w14:paraId="51ED2FF7" w14:textId="77777777" w:rsidTr="007A2A0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B0189AE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0BA9A8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787CE0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5B9E55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D5C738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488CDB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507B68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9B3A6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1CFB9A" w14:textId="77777777" w:rsidR="007A2A0C" w:rsidRPr="007A2A0C" w:rsidRDefault="007A2A0C" w:rsidP="007A2A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A2A0C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79,1</w:t>
            </w:r>
          </w:p>
        </w:tc>
      </w:tr>
    </w:tbl>
    <w:p w14:paraId="4E2760E0" w14:textId="1355FBA9" w:rsidR="00676A2E" w:rsidRDefault="007A2A0C">
      <w:pPr>
        <w:rPr>
          <w:rFonts w:ascii="Mulish" w:hAnsi="Mulish"/>
        </w:rPr>
      </w:pPr>
      <w:r>
        <w:rPr>
          <w:rFonts w:ascii="Mulish" w:hAnsi="Mulish"/>
        </w:rPr>
        <w:fldChar w:fldCharType="end"/>
      </w:r>
    </w:p>
    <w:p w14:paraId="3626CF4C" w14:textId="4B8F482B" w:rsidR="007A2A0C" w:rsidRPr="00B37389" w:rsidRDefault="007A2A0C" w:rsidP="007A2A0C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79,1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Respecto de 2023 </w:t>
      </w:r>
      <w:r>
        <w:rPr>
          <w:rFonts w:ascii="Mulish" w:hAnsi="Mulish"/>
          <w:lang w:bidi="es-ES"/>
        </w:rPr>
        <w:t xml:space="preserve">se produce un incremento de </w:t>
      </w:r>
      <w:r w:rsidRPr="00D20543">
        <w:rPr>
          <w:rFonts w:ascii="Mulish" w:hAnsi="Mulish"/>
          <w:color w:val="auto"/>
          <w:lang w:bidi="es-ES"/>
        </w:rPr>
        <w:t>30,7</w:t>
      </w:r>
      <w:r>
        <w:rPr>
          <w:rFonts w:ascii="Mulish" w:hAnsi="Mulish"/>
          <w:color w:val="FF0000"/>
          <w:lang w:bidi="es-ES"/>
        </w:rPr>
        <w:t xml:space="preserve"> </w:t>
      </w:r>
      <w:r>
        <w:rPr>
          <w:rFonts w:ascii="Mulish" w:hAnsi="Mulish"/>
          <w:lang w:bidi="es-ES"/>
        </w:rPr>
        <w:t>puntos porcentuales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>ya que se han resuelto 3 de los 5 incumplimientos evidenciados en</w:t>
      </w:r>
      <w:r w:rsidRPr="00B37389">
        <w:rPr>
          <w:rFonts w:ascii="Mulish" w:hAnsi="Mulish"/>
        </w:rPr>
        <w:t xml:space="preserve"> la tercera evaluación realizada e</w:t>
      </w:r>
      <w:r>
        <w:rPr>
          <w:rFonts w:ascii="Mulish" w:hAnsi="Mulish"/>
        </w:rPr>
        <w:t>se año</w:t>
      </w:r>
      <w:r w:rsidRPr="00B37389">
        <w:rPr>
          <w:rFonts w:ascii="Mulish" w:hAnsi="Mulish"/>
        </w:rPr>
        <w:t xml:space="preserve">. </w:t>
      </w:r>
    </w:p>
    <w:p w14:paraId="6E4AC6E4" w14:textId="447E0B6D" w:rsidR="00676A2E" w:rsidRDefault="007A2A0C" w:rsidP="007A2A0C">
      <w:pPr>
        <w:jc w:val="both"/>
        <w:rPr>
          <w:rFonts w:ascii="Mulish" w:hAnsi="Mulish"/>
          <w:lang w:bidi="es-ES"/>
        </w:rPr>
      </w:pPr>
      <w:r>
        <w:rPr>
          <w:rFonts w:ascii="Mulish" w:hAnsi="Mulish"/>
          <w:lang w:bidi="es-ES"/>
        </w:rPr>
        <w:t xml:space="preserve">La </w:t>
      </w:r>
      <w:r w:rsidRPr="00E30FE0">
        <w:rPr>
          <w:rFonts w:ascii="Mulish" w:hAnsi="Mulish"/>
          <w:lang w:bidi="es-ES"/>
        </w:rPr>
        <w:t xml:space="preserve">evolución del cumplimiento de las obligaciones de publicidad activa, así como las recomendaciones aplicadas por parte del </w:t>
      </w:r>
      <w:r w:rsidRPr="001A0016">
        <w:rPr>
          <w:rFonts w:ascii="Mulish" w:hAnsi="Mulish"/>
          <w:lang w:bidi="es-ES"/>
        </w:rPr>
        <w:t>Consejo General de los Colegios Oficiales de Agentes de la Propiedad Inmobiliaria de España</w:t>
      </w:r>
      <w:r w:rsidRPr="00E30FE0">
        <w:rPr>
          <w:rFonts w:ascii="Mulish" w:hAnsi="Mulish"/>
          <w:lang w:bidi="es-ES"/>
        </w:rPr>
        <w:t xml:space="preserve"> en el periodo 2021-2024, se refleja en la siguiente tabla</w:t>
      </w:r>
      <w:r>
        <w:rPr>
          <w:rFonts w:ascii="Mulish" w:hAnsi="Mulish"/>
          <w:lang w:bidi="es-ES"/>
        </w:rPr>
        <w:t>:</w:t>
      </w:r>
    </w:p>
    <w:p w14:paraId="32893854" w14:textId="5542BF4A" w:rsidR="007A2A0C" w:rsidRDefault="007A2A0C" w:rsidP="007A2A0C">
      <w:pPr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7A2A0C" w:rsidRPr="00B9303E" w14:paraId="02A5ECF5" w14:textId="77777777" w:rsidTr="00FF4932">
        <w:trPr>
          <w:jc w:val="center"/>
        </w:trPr>
        <w:tc>
          <w:tcPr>
            <w:tcW w:w="2418" w:type="dxa"/>
            <w:vAlign w:val="center"/>
          </w:tcPr>
          <w:p w14:paraId="4D976FD8" w14:textId="77777777" w:rsidR="007A2A0C" w:rsidRPr="00B9303E" w:rsidRDefault="007A2A0C" w:rsidP="00FF49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540" w:type="dxa"/>
            <w:vAlign w:val="center"/>
          </w:tcPr>
          <w:p w14:paraId="45AA8B9C" w14:textId="77777777" w:rsidR="007A2A0C" w:rsidRPr="00B9303E" w:rsidRDefault="007A2A0C" w:rsidP="00FF49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vAlign w:val="center"/>
          </w:tcPr>
          <w:p w14:paraId="3ABAA6DB" w14:textId="77777777" w:rsidR="007A2A0C" w:rsidRPr="00B9303E" w:rsidRDefault="007A2A0C" w:rsidP="00FF49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vAlign w:val="center"/>
          </w:tcPr>
          <w:p w14:paraId="259FE877" w14:textId="77777777" w:rsidR="007A2A0C" w:rsidRPr="00B9303E" w:rsidRDefault="007A2A0C" w:rsidP="00FF49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7A2A0C" w:rsidRPr="00B9303E" w14:paraId="43329CBC" w14:textId="77777777" w:rsidTr="00E509FE">
        <w:trPr>
          <w:jc w:val="center"/>
        </w:trPr>
        <w:tc>
          <w:tcPr>
            <w:tcW w:w="2418" w:type="dxa"/>
          </w:tcPr>
          <w:p w14:paraId="328030AC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540" w:type="dxa"/>
          </w:tcPr>
          <w:p w14:paraId="7AD7FCC4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31,9%</w:t>
            </w:r>
          </w:p>
        </w:tc>
        <w:tc>
          <w:tcPr>
            <w:tcW w:w="2730" w:type="dxa"/>
          </w:tcPr>
          <w:p w14:paraId="4B08EA95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59" w:type="dxa"/>
          </w:tcPr>
          <w:p w14:paraId="301C27E1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7A2A0C" w:rsidRPr="00B9303E" w14:paraId="64A426C8" w14:textId="77777777" w:rsidTr="00E509FE">
        <w:trPr>
          <w:jc w:val="center"/>
        </w:trPr>
        <w:tc>
          <w:tcPr>
            <w:tcW w:w="2418" w:type="dxa"/>
          </w:tcPr>
          <w:p w14:paraId="07B3A268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116A158C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65,8%</w:t>
            </w:r>
          </w:p>
        </w:tc>
        <w:tc>
          <w:tcPr>
            <w:tcW w:w="2730" w:type="dxa"/>
          </w:tcPr>
          <w:p w14:paraId="2DC96451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59" w:type="dxa"/>
          </w:tcPr>
          <w:p w14:paraId="221A43B4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9303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7A2A0C" w:rsidRPr="00B9303E" w14:paraId="45145BEE" w14:textId="77777777" w:rsidTr="00E509FE">
        <w:trPr>
          <w:jc w:val="center"/>
        </w:trPr>
        <w:tc>
          <w:tcPr>
            <w:tcW w:w="2418" w:type="dxa"/>
            <w:shd w:val="clear" w:color="auto" w:fill="BFBFBF" w:themeFill="background1" w:themeFillShade="BF"/>
          </w:tcPr>
          <w:p w14:paraId="0870B10F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66453D3A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094ABD6E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59" w:type="dxa"/>
            <w:shd w:val="clear" w:color="auto" w:fill="BFBFBF" w:themeFill="background1" w:themeFillShade="BF"/>
          </w:tcPr>
          <w:p w14:paraId="1351D2E5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7A2A0C" w:rsidRPr="00B9303E" w14:paraId="2CDC9FC1" w14:textId="77777777" w:rsidTr="00E509FE">
        <w:trPr>
          <w:jc w:val="center"/>
        </w:trPr>
        <w:tc>
          <w:tcPr>
            <w:tcW w:w="2418" w:type="dxa"/>
          </w:tcPr>
          <w:p w14:paraId="391790E7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540" w:type="dxa"/>
          </w:tcPr>
          <w:p w14:paraId="581EC6C8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  <w:r w:rsidRPr="001A001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8,4%</w:t>
            </w:r>
          </w:p>
        </w:tc>
        <w:tc>
          <w:tcPr>
            <w:tcW w:w="2730" w:type="dxa"/>
          </w:tcPr>
          <w:p w14:paraId="2FBCD0D5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059" w:type="dxa"/>
          </w:tcPr>
          <w:p w14:paraId="79A43D9D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7A2A0C" w:rsidRPr="00B9303E" w14:paraId="0C4D416F" w14:textId="77777777" w:rsidTr="00E509FE">
        <w:trPr>
          <w:jc w:val="center"/>
        </w:trPr>
        <w:tc>
          <w:tcPr>
            <w:tcW w:w="2418" w:type="dxa"/>
          </w:tcPr>
          <w:p w14:paraId="26E9825C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2024</w:t>
            </w:r>
          </w:p>
        </w:tc>
        <w:tc>
          <w:tcPr>
            <w:tcW w:w="2540" w:type="dxa"/>
          </w:tcPr>
          <w:p w14:paraId="673AD5B1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  <w:r w:rsidRPr="009856A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9,1</w:t>
            </w:r>
            <w:r w:rsidRPr="001A001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30" w:type="dxa"/>
          </w:tcPr>
          <w:p w14:paraId="5724D213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59" w:type="dxa"/>
          </w:tcPr>
          <w:p w14:paraId="3A9BF686" w14:textId="77777777" w:rsidR="007A2A0C" w:rsidRPr="00B9303E" w:rsidRDefault="007A2A0C" w:rsidP="00E509F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7CB14C60" w14:textId="77777777" w:rsidR="007A2A0C" w:rsidRDefault="007A2A0C" w:rsidP="007A2A0C">
      <w:pPr>
        <w:jc w:val="both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5AB7DBE49D4945A1ABBCCBCB72DF42F8"/>
        </w:placeholder>
      </w:sdtPr>
      <w:sdtEndPr/>
      <w:sdtContent>
        <w:p w14:paraId="43599035" w14:textId="7902A5F5" w:rsidR="007A2A0C" w:rsidRPr="007A2A0C" w:rsidRDefault="007A2A0C" w:rsidP="004236C2">
          <w:pPr>
            <w:pStyle w:val="Cuerpodelboletn"/>
            <w:numPr>
              <w:ilvl w:val="0"/>
              <w:numId w:val="2"/>
            </w:numPr>
            <w:ind w:left="502" w:hanging="284"/>
            <w:rPr>
              <w:rFonts w:ascii="Mulish" w:hAnsi="Mulish"/>
              <w:sz w:val="30"/>
              <w:szCs w:val="30"/>
            </w:rPr>
          </w:pPr>
          <w:r w:rsidRPr="007A2A0C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32F690F" w14:textId="77777777" w:rsidR="007A2A0C" w:rsidRDefault="007A2A0C" w:rsidP="007A2A0C">
      <w:pPr>
        <w:jc w:val="both"/>
        <w:rPr>
          <w:rFonts w:ascii="Mulish" w:hAnsi="Mulish"/>
        </w:rPr>
      </w:pPr>
    </w:p>
    <w:p w14:paraId="5DFE09C8" w14:textId="29A4D295" w:rsidR="007A2A0C" w:rsidRPr="00E30FE0" w:rsidRDefault="007A2A0C" w:rsidP="007A2A0C">
      <w:pPr>
        <w:jc w:val="both"/>
        <w:rPr>
          <w:rFonts w:ascii="Mulish" w:hAnsi="Mulish"/>
        </w:rPr>
      </w:pPr>
      <w:r>
        <w:rPr>
          <w:rFonts w:ascii="Mulish" w:hAnsi="Mulish"/>
        </w:rPr>
        <w:t>Aunque e</w:t>
      </w:r>
      <w:r w:rsidRPr="00E30FE0">
        <w:rPr>
          <w:rFonts w:ascii="Mulish" w:hAnsi="Mulish"/>
        </w:rPr>
        <w:t xml:space="preserve">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positivament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del </w:t>
      </w:r>
      <w:r w:rsidRPr="001A0016">
        <w:rPr>
          <w:rFonts w:ascii="Mulish" w:hAnsi="Mulish"/>
          <w:bCs/>
        </w:rPr>
        <w:t>Consejo General de los Colegios Oficiales de Agentes de la Propiedad Inmobiliaria de España</w:t>
      </w:r>
      <w:r w:rsidRPr="00D439B9">
        <w:rPr>
          <w:rFonts w:ascii="Mulish" w:hAnsi="Mulish"/>
          <w:bCs/>
        </w:rPr>
        <w:t xml:space="preserve">, </w:t>
      </w:r>
      <w:r>
        <w:rPr>
          <w:rFonts w:ascii="Mulish" w:hAnsi="Mulish"/>
          <w:bCs/>
        </w:rPr>
        <w:t>dado que el Índice de Cumplimiento se ha incrementado</w:t>
      </w:r>
      <w:r w:rsidRPr="00D439B9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en el 53% respecto de los valores obtenidos en </w:t>
      </w:r>
      <w:r w:rsidRPr="00E30FE0">
        <w:rPr>
          <w:rFonts w:ascii="Mulish" w:hAnsi="Mulish"/>
          <w:szCs w:val="22"/>
        </w:rPr>
        <w:t>2023</w:t>
      </w:r>
      <w:r>
        <w:rPr>
          <w:rFonts w:ascii="Mulish" w:hAnsi="Mulish"/>
          <w:szCs w:val="22"/>
        </w:rPr>
        <w:t xml:space="preserve">, existe todavía margen de mejora para </w:t>
      </w:r>
      <w:r>
        <w:rPr>
          <w:rFonts w:ascii="Mulish" w:hAnsi="Mulish"/>
        </w:rPr>
        <w:t>lograr el pleno cumplimiento de la LTAIBG.</w:t>
      </w:r>
    </w:p>
    <w:p w14:paraId="75CA3743" w14:textId="77777777" w:rsidR="007A2A0C" w:rsidRPr="00E30FE0" w:rsidRDefault="007A2A0C" w:rsidP="007A2A0C">
      <w:pPr>
        <w:pStyle w:val="Cuerpodelboletn"/>
        <w:rPr>
          <w:rFonts w:ascii="Mulish" w:hAnsi="Mulish"/>
        </w:rPr>
      </w:pPr>
    </w:p>
    <w:p w14:paraId="69B6FDF9" w14:textId="77777777" w:rsidR="007A2A0C" w:rsidRPr="00E30FE0" w:rsidRDefault="007A2A0C" w:rsidP="007A2A0C">
      <w:pPr>
        <w:jc w:val="both"/>
        <w:rPr>
          <w:rFonts w:ascii="Mulish" w:hAnsi="Mulish"/>
          <w:bCs/>
          <w:color w:val="000000"/>
        </w:rPr>
      </w:pPr>
      <w:r>
        <w:rPr>
          <w:rFonts w:ascii="Mulish" w:hAnsi="Mulish"/>
        </w:rPr>
        <w:t>Por esta razón</w:t>
      </w:r>
      <w:r w:rsidRPr="00E30FE0">
        <w:rPr>
          <w:rFonts w:ascii="Mulish" w:hAnsi="Mulish"/>
        </w:rPr>
        <w:t xml:space="preserve">, este Consejo vuelve a </w:t>
      </w:r>
      <w:r w:rsidRPr="00E30FE0">
        <w:rPr>
          <w:rFonts w:ascii="Mulish" w:hAnsi="Mulish"/>
          <w:b/>
          <w:bCs/>
        </w:rPr>
        <w:t xml:space="preserve">INSTAR </w:t>
      </w:r>
      <w:r w:rsidRPr="00D439B9">
        <w:rPr>
          <w:rFonts w:ascii="Mulish" w:hAnsi="Mulish"/>
          <w:bCs/>
          <w:color w:val="000000"/>
        </w:rPr>
        <w:t xml:space="preserve">al </w:t>
      </w:r>
      <w:r w:rsidRPr="001A0016">
        <w:rPr>
          <w:rFonts w:ascii="Mulish" w:hAnsi="Mulish"/>
        </w:rPr>
        <w:t>Consejo General de los Colegios Oficiales de Agentes de la Propiedad Inmobiliaria de España</w:t>
      </w:r>
      <w:r w:rsidRPr="00E30FE0">
        <w:rPr>
          <w:rFonts w:ascii="Mulish" w:hAnsi="Mulish"/>
          <w:bCs/>
          <w:color w:val="000000"/>
        </w:rPr>
        <w:t xml:space="preserve"> a que proceda a la subsanación de los siguientes incumplimientos, en los términos que se establecen a continuación</w:t>
      </w:r>
      <w:r>
        <w:rPr>
          <w:rFonts w:ascii="Mulish" w:hAnsi="Mulish"/>
          <w:bCs/>
          <w:color w:val="000000"/>
        </w:rPr>
        <w:t>, con el fin de alcanzar el 100% de cumplimiento</w:t>
      </w:r>
      <w:r w:rsidRPr="00E30FE0">
        <w:rPr>
          <w:rFonts w:ascii="Mulish" w:hAnsi="Mulish"/>
          <w:bCs/>
          <w:color w:val="000000"/>
        </w:rPr>
        <w:t>:</w:t>
      </w:r>
    </w:p>
    <w:p w14:paraId="791FD59F" w14:textId="77777777" w:rsidR="007A2A0C" w:rsidRPr="00E30FE0" w:rsidRDefault="007A2A0C" w:rsidP="007A2A0C">
      <w:pPr>
        <w:jc w:val="both"/>
        <w:rPr>
          <w:rFonts w:ascii="Mulish" w:hAnsi="Mulish"/>
        </w:rPr>
      </w:pPr>
    </w:p>
    <w:p w14:paraId="55533629" w14:textId="05369C56" w:rsidR="007A2A0C" w:rsidRPr="00DE7AA1" w:rsidRDefault="007A2A0C" w:rsidP="007A2A0C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DE7AA1">
        <w:rPr>
          <w:rFonts w:ascii="Mulish" w:hAnsi="Mulish"/>
        </w:rPr>
        <w:t>Publicar el organigrama</w:t>
      </w:r>
      <w:r>
        <w:rPr>
          <w:rFonts w:ascii="Mulish" w:hAnsi="Mulish"/>
        </w:rPr>
        <w:t>, entendido como la representación gráfica de la estructura organizativa de la entidad y de las relaciones de jerarquía existentes entre los diferentes niveles de dicha estructura.</w:t>
      </w:r>
    </w:p>
    <w:p w14:paraId="7451B768" w14:textId="77777777" w:rsidR="007A2A0C" w:rsidRPr="00896B9B" w:rsidRDefault="007A2A0C" w:rsidP="007A2A0C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896B9B">
        <w:rPr>
          <w:rFonts w:ascii="Mulish" w:hAnsi="Mulish"/>
        </w:rPr>
        <w:t>Publicar información sobre las encomiendas de gestión que le hayan sido adjudicadas o, en su caso, informar expresamente sobre su inexistencia</w:t>
      </w:r>
    </w:p>
    <w:p w14:paraId="7DF5FBED" w14:textId="77777777" w:rsidR="007A2A0C" w:rsidRPr="00D56AAA" w:rsidRDefault="007A2A0C" w:rsidP="007A2A0C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32F7865A" w14:textId="3B6A7ADF" w:rsidR="007A2A0C" w:rsidRDefault="007A2A0C" w:rsidP="007A2A0C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C11F17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r w:rsidR="00C11F17">
        <w:rPr>
          <w:rFonts w:ascii="Mulish" w:hAnsi="Mulish"/>
        </w:rPr>
        <w:t>5</w:t>
      </w:r>
    </w:p>
    <w:p w14:paraId="05DAE1CF" w14:textId="45BD077F" w:rsidR="00F42471" w:rsidRDefault="00F42471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E604DA" w:rsidRDefault="00F42471" w:rsidP="00F42471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E604DA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A442" w14:textId="77777777" w:rsidR="00497867" w:rsidRDefault="00497867" w:rsidP="00F31BC3">
      <w:r>
        <w:separator/>
      </w:r>
    </w:p>
  </w:endnote>
  <w:endnote w:type="continuationSeparator" w:id="0">
    <w:p w14:paraId="79BA4C33" w14:textId="77777777" w:rsidR="00497867" w:rsidRDefault="0049786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6FAC" w14:textId="77777777" w:rsidR="00497867" w:rsidRDefault="00497867" w:rsidP="00F31BC3">
      <w:r>
        <w:separator/>
      </w:r>
    </w:p>
  </w:footnote>
  <w:footnote w:type="continuationSeparator" w:id="0">
    <w:p w14:paraId="296FD59D" w14:textId="77777777" w:rsidR="00497867" w:rsidRDefault="00497867" w:rsidP="00F31BC3">
      <w:r>
        <w:continuationSeparator/>
      </w:r>
    </w:p>
  </w:footnote>
  <w:footnote w:id="1">
    <w:p w14:paraId="0AD3EF22" w14:textId="77777777" w:rsidR="007A2A0C" w:rsidRPr="00B9303E" w:rsidRDefault="007A2A0C" w:rsidP="007A2A0C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B9303E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2620706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5B4755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5D61EA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3A532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685A"/>
    <w:multiLevelType w:val="hybridMultilevel"/>
    <w:tmpl w:val="993E5BE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F5FE3"/>
    <w:multiLevelType w:val="hybridMultilevel"/>
    <w:tmpl w:val="AFB68C5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24140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0"/>
  </w:num>
  <w:num w:numId="5">
    <w:abstractNumId w:val="24"/>
  </w:num>
  <w:num w:numId="6">
    <w:abstractNumId w:val="27"/>
  </w:num>
  <w:num w:numId="7">
    <w:abstractNumId w:val="23"/>
  </w:num>
  <w:num w:numId="8">
    <w:abstractNumId w:val="1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4"/>
  </w:num>
  <w:num w:numId="14">
    <w:abstractNumId w:val="31"/>
  </w:num>
  <w:num w:numId="15">
    <w:abstractNumId w:val="2"/>
  </w:num>
  <w:num w:numId="16">
    <w:abstractNumId w:val="33"/>
  </w:num>
  <w:num w:numId="17">
    <w:abstractNumId w:val="20"/>
  </w:num>
  <w:num w:numId="18">
    <w:abstractNumId w:val="11"/>
  </w:num>
  <w:num w:numId="19">
    <w:abstractNumId w:val="9"/>
  </w:num>
  <w:num w:numId="20">
    <w:abstractNumId w:val="25"/>
  </w:num>
  <w:num w:numId="21">
    <w:abstractNumId w:val="6"/>
  </w:num>
  <w:num w:numId="22">
    <w:abstractNumId w:val="29"/>
  </w:num>
  <w:num w:numId="23">
    <w:abstractNumId w:val="15"/>
  </w:num>
  <w:num w:numId="24">
    <w:abstractNumId w:val="12"/>
  </w:num>
  <w:num w:numId="25">
    <w:abstractNumId w:val="36"/>
  </w:num>
  <w:num w:numId="26">
    <w:abstractNumId w:val="13"/>
  </w:num>
  <w:num w:numId="27">
    <w:abstractNumId w:val="17"/>
  </w:num>
  <w:num w:numId="28">
    <w:abstractNumId w:val="3"/>
  </w:num>
  <w:num w:numId="29">
    <w:abstractNumId w:val="32"/>
  </w:num>
  <w:num w:numId="30">
    <w:abstractNumId w:val="16"/>
  </w:num>
  <w:num w:numId="31">
    <w:abstractNumId w:val="34"/>
  </w:num>
  <w:num w:numId="32">
    <w:abstractNumId w:val="22"/>
  </w:num>
  <w:num w:numId="33">
    <w:abstractNumId w:val="26"/>
  </w:num>
  <w:num w:numId="34">
    <w:abstractNumId w:val="10"/>
  </w:num>
  <w:num w:numId="35">
    <w:abstractNumId w:val="8"/>
  </w:num>
  <w:num w:numId="36">
    <w:abstractNumId w:val="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2A0C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963D7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1F17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20543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  <w:rsid w:val="00FF4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sejocoapis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5183B844F4536A25C703F1E80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D1CA-BBDE-4646-AF58-EE2A2488D122}"/>
      </w:docPartPr>
      <w:docPartBody>
        <w:p w:rsidR="00A6030E" w:rsidRDefault="00154A0C" w:rsidP="00154A0C">
          <w:pPr>
            <w:pStyle w:val="9E65183B844F4536A25C703F1E801CC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DD7BCF54094DE38D6618776566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3FF0A-633C-48E1-885B-1476520CFE53}"/>
      </w:docPartPr>
      <w:docPartBody>
        <w:p w:rsidR="00A6030E" w:rsidRDefault="00154A0C" w:rsidP="00154A0C">
          <w:pPr>
            <w:pStyle w:val="54DD7BCF54094DE38D6618776566C31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AB7DBE49D4945A1ABBCCBCB72DF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4DC9-E890-455D-91CE-0E62A04F464F}"/>
      </w:docPartPr>
      <w:docPartBody>
        <w:p w:rsidR="00A6030E" w:rsidRDefault="00154A0C" w:rsidP="00154A0C">
          <w:pPr>
            <w:pStyle w:val="5AB7DBE49D4945A1ABBCCBCB72DF42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0C"/>
    <w:rsid w:val="00154A0C"/>
    <w:rsid w:val="00A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4A0C"/>
    <w:rPr>
      <w:color w:val="808080"/>
    </w:rPr>
  </w:style>
  <w:style w:type="paragraph" w:customStyle="1" w:styleId="9E65183B844F4536A25C703F1E801CC6">
    <w:name w:val="9E65183B844F4536A25C703F1E801CC6"/>
    <w:rsid w:val="00154A0C"/>
  </w:style>
  <w:style w:type="paragraph" w:customStyle="1" w:styleId="54DD7BCF54094DE38D6618776566C312">
    <w:name w:val="54DD7BCF54094DE38D6618776566C312"/>
    <w:rsid w:val="00154A0C"/>
  </w:style>
  <w:style w:type="paragraph" w:customStyle="1" w:styleId="5AB7DBE49D4945A1ABBCCBCB72DF42F8">
    <w:name w:val="5AB7DBE49D4945A1ABBCCBCB72DF42F8"/>
    <w:rsid w:val="00154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2025-04-21T07:22:00Z</dcterms:created>
  <dcterms:modified xsi:type="dcterms:W3CDTF">2025-04-21T07:22:00Z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