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002B3618" w:rsidR="005E61F8" w:rsidRPr="005E61F8" w:rsidRDefault="003A530E" w:rsidP="0061302F">
            <w:pPr>
              <w:rPr>
                <w:rFonts w:ascii="Mulish" w:hAnsi="Mulish"/>
                <w:sz w:val="24"/>
              </w:rPr>
            </w:pPr>
            <w:proofErr w:type="spellStart"/>
            <w:r>
              <w:rPr>
                <w:rFonts w:ascii="Mulish" w:hAnsi="Mulish"/>
                <w:sz w:val="24"/>
              </w:rPr>
              <w:t>Ribercamp</w:t>
            </w:r>
            <w:proofErr w:type="spellEnd"/>
            <w:r>
              <w:rPr>
                <w:rFonts w:ascii="Mulish" w:hAnsi="Mulish"/>
                <w:sz w:val="24"/>
              </w:rPr>
              <w:t>, Cooperativa V.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495AADD7" w:rsidR="005E61F8" w:rsidRPr="005E61F8" w:rsidRDefault="003A530E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de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7B418BE4" w:rsidR="005E61F8" w:rsidRPr="005E61F8" w:rsidRDefault="003A530E" w:rsidP="0061302F">
            <w:pPr>
              <w:rPr>
                <w:rFonts w:ascii="Mulish" w:hAnsi="Mulish"/>
                <w:sz w:val="24"/>
              </w:rPr>
            </w:pPr>
            <w:r w:rsidRPr="00C52495">
              <w:rPr>
                <w:rFonts w:ascii="Mulish" w:hAnsi="Mulish"/>
                <w:sz w:val="24"/>
              </w:rPr>
              <w:t>https://ribercamp.com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bookmarkStart w:id="0" w:name="_Hlk180406198"/>
    <w:bookmarkStart w:id="1" w:name="_Hlk180406145"/>
    <w:bookmarkStart w:id="2" w:name="_Hlk180406092"/>
    <w:p w14:paraId="2A8B3BDC" w14:textId="77777777" w:rsidR="0082470D" w:rsidRPr="006E6789" w:rsidRDefault="00BF7F4D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6221C5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  <w:vAlign w:val="center"/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6221C5" w:rsidRDefault="00D77D83" w:rsidP="006221C5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56DDE003" w:rsidR="00D77D83" w:rsidRPr="005E61F8" w:rsidRDefault="006221C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Situado en la parte baja de la página home</w:t>
            </w: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042FCB42" w:rsidR="005B1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34F585B" w14:textId="41A2C13B" w:rsidR="005B11B3" w:rsidRPr="005E61F8" w:rsidRDefault="006221C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No se publican los estatutos</w:t>
            </w: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58295170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3E940343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77777777" w:rsidR="00F361B3" w:rsidRPr="006221C5" w:rsidRDefault="00F361B3" w:rsidP="006221C5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77777777" w:rsidR="00F361B3" w:rsidRPr="006221C5" w:rsidRDefault="00F361B3" w:rsidP="006221C5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52F81A73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0704AB5F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4771CFCA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6EAEB7D0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6221C5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vAlign w:val="center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  <w:vAlign w:val="center"/>
          </w:tcPr>
          <w:p w14:paraId="24AE29F5" w14:textId="77777777" w:rsidR="00F361B3" w:rsidRPr="006221C5" w:rsidRDefault="00F361B3" w:rsidP="006221C5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8C6BE1" w14:textId="65767CCE" w:rsidR="00F361B3" w:rsidRPr="005E61F8" w:rsidRDefault="006221C5" w:rsidP="006221C5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Parcial. Se publica información sobre una subvención en 2023, pero, </w:t>
            </w:r>
            <w:r>
              <w:rPr>
                <w:rFonts w:ascii="Mulish" w:hAnsi="Mulish"/>
                <w:sz w:val="18"/>
                <w:szCs w:val="18"/>
              </w:rPr>
              <w:lastRenderedPageBreak/>
              <w:t>dado que la publicación no está datada, no queda claro si la información está actualizada.</w:t>
            </w: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361B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223730AF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06E1AB8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3A53812B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AE829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308F0F10" w:rsidR="00F361B3" w:rsidRPr="005E61F8" w:rsidRDefault="006221C5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B419461" w:rsidR="00A770A3" w:rsidRPr="005E61F8" w:rsidRDefault="006221C5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691" w:type="dxa"/>
            <w:vAlign w:val="center"/>
          </w:tcPr>
          <w:p w14:paraId="7C2B6F9A" w14:textId="5C1910D1" w:rsidR="00A770A3" w:rsidRPr="005E61F8" w:rsidRDefault="006221C5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15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11003E59" w14:textId="0C3E1961" w:rsidR="00BA4354" w:rsidRDefault="006221C5" w:rsidP="00DF56A7">
      <w:pPr>
        <w:jc w:val="both"/>
        <w:rPr>
          <w:rFonts w:ascii="Mulish" w:hAnsi="Mulish"/>
        </w:rPr>
      </w:pPr>
      <w:r>
        <w:rPr>
          <w:rFonts w:ascii="Mulish" w:hAnsi="Mulish"/>
        </w:rPr>
        <w:t xml:space="preserve">La Cooperativa </w:t>
      </w:r>
      <w:proofErr w:type="spellStart"/>
      <w:r>
        <w:rPr>
          <w:rFonts w:ascii="Mulish" w:hAnsi="Mulish"/>
        </w:rPr>
        <w:t>Ribercamp</w:t>
      </w:r>
      <w:proofErr w:type="spellEnd"/>
      <w:r>
        <w:rPr>
          <w:rFonts w:ascii="Mulish" w:hAnsi="Mulish"/>
        </w:rPr>
        <w:t xml:space="preserve"> sólo </w:t>
      </w:r>
      <w:r w:rsidR="00C52EE5" w:rsidRPr="005E61F8">
        <w:rPr>
          <w:rFonts w:ascii="Mulish" w:hAnsi="Mulish"/>
        </w:rPr>
        <w:t xml:space="preserve">ha aplicado </w:t>
      </w:r>
      <w:r>
        <w:rPr>
          <w:rFonts w:ascii="Mulish" w:hAnsi="Mulish"/>
        </w:rPr>
        <w:t>cuatro</w:t>
      </w:r>
      <w:r w:rsidR="00C52EE5" w:rsidRPr="005E61F8">
        <w:rPr>
          <w:rFonts w:ascii="Mulish" w:hAnsi="Mulish"/>
        </w:rPr>
        <w:t xml:space="preserve"> de las recomendaciones derivadas de la evaluación realizada en 202</w:t>
      </w:r>
      <w:r>
        <w:rPr>
          <w:rFonts w:ascii="Mulish" w:hAnsi="Mulish"/>
        </w:rPr>
        <w:t>4, y una de ellas, de forma parcial</w:t>
      </w:r>
      <w:r w:rsidR="00C52EE5" w:rsidRPr="005E61F8">
        <w:rPr>
          <w:rFonts w:ascii="Mulish" w:hAnsi="Mulish"/>
        </w:rPr>
        <w:t>.</w:t>
      </w:r>
      <w:r>
        <w:rPr>
          <w:rFonts w:ascii="Mulish" w:hAnsi="Mulish"/>
        </w:rPr>
        <w:t xml:space="preserve"> Por otro lado, ha habido que revisar a la baja el cumplimiento de la obligación ‘Funciones’, porque no se ha localizado información al respecto.</w:t>
      </w:r>
    </w:p>
    <w:p w14:paraId="4560559C" w14:textId="77777777" w:rsidR="00A05221" w:rsidRPr="005E61F8" w:rsidRDefault="00A05221" w:rsidP="00DF56A7">
      <w:pPr>
        <w:jc w:val="both"/>
        <w:rPr>
          <w:rFonts w:ascii="Mulish" w:hAnsi="Mulish"/>
        </w:rPr>
      </w:pPr>
    </w:p>
    <w:bookmarkEnd w:id="1"/>
    <w:p w14:paraId="523CD473" w14:textId="77777777" w:rsidR="003F6EDC" w:rsidRPr="00AF443D" w:rsidRDefault="00BF7F4D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00BF32B0" w14:textId="6473DF95" w:rsidR="00CC003C" w:rsidRDefault="00CC003C" w:rsidP="006D1C9B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CC003C" w:rsidRPr="00CC003C" w14:paraId="7F2D3B8E" w14:textId="77777777" w:rsidTr="00CC003C">
        <w:trPr>
          <w:divId w:val="1251893052"/>
          <w:trHeight w:val="1266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3702E41F" w14:textId="35B1CAD6" w:rsidR="00CC003C" w:rsidRPr="00CC003C" w:rsidRDefault="00CC003C" w:rsidP="00CC00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4F63AC1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538A82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9978FD3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75593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EEC3200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6470B7C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E90539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1E37C88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CC003C" w:rsidRPr="00CC003C" w14:paraId="24ADDF51" w14:textId="77777777" w:rsidTr="00CC003C">
        <w:trPr>
          <w:divId w:val="125189305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552A1BD" w14:textId="77777777" w:rsidR="00CC003C" w:rsidRPr="00CC003C" w:rsidRDefault="00CC003C" w:rsidP="00CC003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13798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2AB7F0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DF6859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B3095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79C40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629C62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33,3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1632E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AB461E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28,6</w:t>
            </w:r>
          </w:p>
        </w:tc>
      </w:tr>
      <w:tr w:rsidR="00CC003C" w:rsidRPr="00CC003C" w14:paraId="5B0DE337" w14:textId="77777777" w:rsidTr="00CC003C">
        <w:trPr>
          <w:divId w:val="1251893052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D5CE7FD" w14:textId="77777777" w:rsidR="00CC003C" w:rsidRPr="00CC003C" w:rsidRDefault="00CC003C" w:rsidP="00CC003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AC47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F1B1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DB3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4EA9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7658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FCB6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BDC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C8E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CC003C" w:rsidRPr="00CC003C" w14:paraId="7ED4C0CF" w14:textId="77777777" w:rsidTr="00CC003C">
        <w:trPr>
          <w:divId w:val="125189305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ED28FB8" w14:textId="02165552" w:rsidR="00CC003C" w:rsidRPr="00CC003C" w:rsidRDefault="00CC003C" w:rsidP="00CC003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E05E69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92B071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87D823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7B7E92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B3884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809C9C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04CDCA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576BF0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12,2</w:t>
            </w:r>
          </w:p>
        </w:tc>
      </w:tr>
      <w:tr w:rsidR="00CC003C" w:rsidRPr="00CC003C" w14:paraId="47C5CFAE" w14:textId="77777777" w:rsidTr="00CC003C">
        <w:trPr>
          <w:divId w:val="125189305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2F5B13F" w14:textId="77777777" w:rsidR="00CC003C" w:rsidRPr="00CC003C" w:rsidRDefault="00CC003C" w:rsidP="00CC003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9507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10E6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1BDA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3AEF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BA44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9B91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F3D9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B46E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CC003C" w:rsidRPr="00CC003C" w14:paraId="39D80998" w14:textId="77777777" w:rsidTr="00CC003C">
        <w:trPr>
          <w:divId w:val="125189305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ABD1976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866FC7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77AE9B4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647203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576ABD6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4AB2D45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F4AC13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23,1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7A1FFA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29BA2B" w14:textId="77777777" w:rsidR="00CC003C" w:rsidRPr="00CC003C" w:rsidRDefault="00CC003C" w:rsidP="00CC003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CC003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20,7</w:t>
            </w:r>
          </w:p>
        </w:tc>
      </w:tr>
    </w:tbl>
    <w:p w14:paraId="3EE1ACFF" w14:textId="2B3D29A8" w:rsidR="006D1C9B" w:rsidRDefault="006D1C9B" w:rsidP="006D1C9B">
      <w:pPr>
        <w:pStyle w:val="Cuerpodelboletn"/>
        <w:rPr>
          <w:rFonts w:ascii="Mulish" w:hAnsi="Mulish"/>
          <w:lang w:bidi="es-ES"/>
        </w:rPr>
      </w:pPr>
    </w:p>
    <w:p w14:paraId="1192134F" w14:textId="31DB2330" w:rsidR="00BB3652" w:rsidRPr="005E61F8" w:rsidRDefault="004061BC" w:rsidP="00CC003C">
      <w:pPr>
        <w:pStyle w:val="Cuerpodelboletn"/>
        <w:spacing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lastRenderedPageBreak/>
        <w:t xml:space="preserve">El Índice de Cumplimiento de la Información Obligatoria (ICIO) se sitúa en el </w:t>
      </w:r>
      <w:r w:rsidR="0002636B">
        <w:rPr>
          <w:rFonts w:ascii="Mulish" w:hAnsi="Mulish"/>
          <w:lang w:bidi="es-ES"/>
        </w:rPr>
        <w:t>20,7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02636B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 </w:t>
      </w:r>
      <w:r w:rsidR="0002636B">
        <w:rPr>
          <w:rFonts w:ascii="Mulish" w:hAnsi="Mulish"/>
          <w:lang w:bidi="es-ES"/>
        </w:rPr>
        <w:t>14,1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s a la aplicación de </w:t>
      </w:r>
      <w:r w:rsidR="0002636B">
        <w:rPr>
          <w:rFonts w:ascii="Mulish" w:hAnsi="Mulish"/>
          <w:lang w:bidi="es-ES"/>
        </w:rPr>
        <w:t>cuatro</w:t>
      </w:r>
      <w:r w:rsidR="0076567C" w:rsidRPr="005E61F8">
        <w:rPr>
          <w:rFonts w:ascii="Mulish" w:hAnsi="Mulish"/>
          <w:lang w:bidi="es-ES"/>
        </w:rPr>
        <w:t xml:space="preserve"> de las recomendaciones efectuadas en 202</w:t>
      </w:r>
      <w:r w:rsidR="0002636B">
        <w:rPr>
          <w:rFonts w:ascii="Mulish" w:hAnsi="Mulish"/>
          <w:lang w:bidi="es-ES"/>
        </w:rPr>
        <w:t>4, aunque una de ellas, de forma parcial</w:t>
      </w:r>
      <w:r w:rsidR="00BB3652" w:rsidRPr="005E61F8">
        <w:rPr>
          <w:rFonts w:ascii="Mulish" w:hAnsi="Mulish"/>
          <w:lang w:bidi="es-ES"/>
        </w:rPr>
        <w:t>.</w:t>
      </w:r>
    </w:p>
    <w:p w14:paraId="2BFB87F4" w14:textId="11642F83" w:rsidR="00A670E9" w:rsidRPr="005E61F8" w:rsidRDefault="0076567C" w:rsidP="00CC003C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</w:rPr>
        <w:t>Por otra parte</w:t>
      </w:r>
      <w:r w:rsidR="003127E7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se ha revisado a la baja el cumplimiento de la obligación “</w:t>
      </w:r>
      <w:r w:rsidR="0002636B">
        <w:rPr>
          <w:rFonts w:ascii="Mulish" w:hAnsi="Mulish"/>
        </w:rPr>
        <w:t>Funciones</w:t>
      </w:r>
      <w:r w:rsidRPr="005E61F8">
        <w:rPr>
          <w:rFonts w:ascii="Mulish" w:hAnsi="Mulish"/>
        </w:rPr>
        <w:t>”</w:t>
      </w:r>
      <w:r w:rsidR="0002636B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dado que </w:t>
      </w:r>
      <w:r w:rsidR="00F03027">
        <w:rPr>
          <w:rFonts w:ascii="Mulish" w:hAnsi="Mulish"/>
        </w:rPr>
        <w:t>no se ha localizado la información que se publicaba en 2024.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1E11B6DC" w:rsidR="00BB3652" w:rsidRPr="005E61F8" w:rsidRDefault="00BB3652" w:rsidP="006D1C9B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BF7F4D">
        <w:rPr>
          <w:rFonts w:ascii="Mulish" w:hAnsi="Mulish"/>
        </w:rPr>
        <w:t xml:space="preserve">Consejo </w:t>
      </w:r>
      <w:r w:rsidRPr="005E61F8">
        <w:rPr>
          <w:rFonts w:ascii="Mulish" w:hAnsi="Mulish"/>
          <w:b/>
        </w:rPr>
        <w:t xml:space="preserve">valora </w:t>
      </w:r>
      <w:r w:rsidR="00CC003C">
        <w:rPr>
          <w:rFonts w:ascii="Mulish" w:hAnsi="Mulish"/>
          <w:b/>
        </w:rPr>
        <w:t>como insuficiente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F03027">
        <w:rPr>
          <w:rFonts w:ascii="Mulish" w:hAnsi="Mulish"/>
        </w:rPr>
        <w:t xml:space="preserve"> la Cooperativa </w:t>
      </w:r>
      <w:proofErr w:type="spellStart"/>
      <w:r w:rsidR="00F03027">
        <w:rPr>
          <w:rFonts w:ascii="Mulish" w:hAnsi="Mulish"/>
        </w:rPr>
        <w:t>Ribercamp</w:t>
      </w:r>
      <w:proofErr w:type="spellEnd"/>
      <w:r w:rsidRPr="005E61F8">
        <w:rPr>
          <w:rFonts w:ascii="Mulish" w:hAnsi="Mulish"/>
        </w:rPr>
        <w:t xml:space="preserve">. </w:t>
      </w:r>
      <w:r w:rsidR="0076567C" w:rsidRPr="005E61F8">
        <w:rPr>
          <w:rFonts w:ascii="Mulish" w:hAnsi="Mulish"/>
        </w:rPr>
        <w:t>Sólo</w:t>
      </w:r>
      <w:r w:rsidRPr="005E61F8">
        <w:rPr>
          <w:rFonts w:ascii="Mulish" w:hAnsi="Mulish"/>
        </w:rPr>
        <w:t xml:space="preserve"> se ha</w:t>
      </w:r>
      <w:r w:rsidR="00F03027">
        <w:rPr>
          <w:rFonts w:ascii="Mulish" w:hAnsi="Mulish"/>
        </w:rPr>
        <w:t>n</w:t>
      </w:r>
      <w:r w:rsidRPr="005E61F8">
        <w:rPr>
          <w:rFonts w:ascii="Mulish" w:hAnsi="Mulish"/>
        </w:rPr>
        <w:t xml:space="preserve"> aplicado </w:t>
      </w:r>
      <w:r w:rsidR="00F03027">
        <w:rPr>
          <w:rFonts w:ascii="Mulish" w:hAnsi="Mulish"/>
        </w:rPr>
        <w:t>cuatro</w:t>
      </w:r>
      <w:r w:rsidR="00AF443D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F03027">
        <w:rPr>
          <w:rFonts w:ascii="Mulish" w:hAnsi="Mulish"/>
        </w:rPr>
        <w:t xml:space="preserve">4, una de ellas, de forma parcial, </w:t>
      </w:r>
      <w:proofErr w:type="gramStart"/>
      <w:r w:rsidR="00F03027">
        <w:rPr>
          <w:rFonts w:ascii="Mulish" w:hAnsi="Mulish"/>
        </w:rPr>
        <w:t>y</w:t>
      </w:r>
      <w:proofErr w:type="gramEnd"/>
      <w:r w:rsidR="00F03027">
        <w:rPr>
          <w:rFonts w:ascii="Mulish" w:hAnsi="Mulish"/>
        </w:rPr>
        <w:t xml:space="preserve"> además, ha habido que revisar a la baja el cumplimiento de otra</w:t>
      </w:r>
      <w:r w:rsidRPr="005E61F8">
        <w:rPr>
          <w:rFonts w:ascii="Mulish" w:hAnsi="Mulish"/>
        </w:rPr>
        <w:t>.</w:t>
      </w:r>
    </w:p>
    <w:p w14:paraId="7D8CA51C" w14:textId="79752445" w:rsidR="004061BC" w:rsidRPr="005E61F8" w:rsidRDefault="00BB3652" w:rsidP="006D1C9B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633719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2B32F377" w:rsidR="00A670E9" w:rsidRDefault="00633719" w:rsidP="006D1C9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>
        <w:rPr>
          <w:rFonts w:ascii="Mulish" w:hAnsi="Mulish"/>
        </w:rPr>
        <w:t>L</w:t>
      </w:r>
      <w:r w:rsidR="0076567C" w:rsidRPr="005E61F8">
        <w:rPr>
          <w:rFonts w:ascii="Mulish" w:hAnsi="Mulish"/>
        </w:rPr>
        <w:t xml:space="preserve">a información </w:t>
      </w:r>
      <w:r>
        <w:rPr>
          <w:rFonts w:ascii="Mulish" w:hAnsi="Mulish"/>
        </w:rPr>
        <w:t xml:space="preserve">publicada en el Portal de Transparencia no se organiza </w:t>
      </w:r>
      <w:r w:rsidR="0076567C" w:rsidRPr="005E61F8">
        <w:rPr>
          <w:rFonts w:ascii="Mulish" w:hAnsi="Mulish"/>
        </w:rPr>
        <w:t>conforme al patrón definido por la LTAIBG</w:t>
      </w:r>
      <w:r>
        <w:rPr>
          <w:rFonts w:ascii="Mulish" w:hAnsi="Mulish"/>
        </w:rPr>
        <w:t>.</w:t>
      </w:r>
    </w:p>
    <w:p w14:paraId="236AB41D" w14:textId="77777777" w:rsidR="004D4B3E" w:rsidRPr="003127E7" w:rsidRDefault="004061BC" w:rsidP="006D1C9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43FC720C" w:rsidR="003127E7" w:rsidRDefault="00A670E9" w:rsidP="006D1C9B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</w:t>
      </w:r>
      <w:r w:rsidR="00633719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nformación </w:t>
      </w:r>
      <w:r w:rsidR="00633719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nstitucional y </w:t>
      </w:r>
      <w:r w:rsidR="00633719">
        <w:rPr>
          <w:rFonts w:ascii="Mulish" w:hAnsi="Mulish"/>
        </w:rPr>
        <w:t>o</w:t>
      </w:r>
      <w:r w:rsidRPr="005E61F8">
        <w:rPr>
          <w:rFonts w:ascii="Mulish" w:hAnsi="Mulish"/>
        </w:rPr>
        <w:t xml:space="preserve">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633719">
        <w:rPr>
          <w:rFonts w:ascii="Mulish" w:hAnsi="Mulish"/>
        </w:rPr>
        <w:t xml:space="preserve"> (los estatutos), las funciones, la descripción de la estructura organizativa y el perfil y trayectoria profesional de los máximos responsables</w:t>
      </w:r>
      <w:r w:rsidRPr="005E61F8">
        <w:rPr>
          <w:rFonts w:ascii="Mulish" w:hAnsi="Mulish"/>
        </w:rPr>
        <w:t>.</w:t>
      </w:r>
    </w:p>
    <w:p w14:paraId="1A8B41CE" w14:textId="64FC7A3E" w:rsidR="004D4B3E" w:rsidRDefault="00C52EE5" w:rsidP="006D1C9B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</w:t>
      </w:r>
      <w:r w:rsidR="00633719">
        <w:rPr>
          <w:rFonts w:ascii="Mulish" w:hAnsi="Mulish"/>
        </w:rPr>
        <w:t>I</w:t>
      </w:r>
      <w:r w:rsidRPr="003127E7">
        <w:rPr>
          <w:rFonts w:ascii="Mulish" w:hAnsi="Mulish"/>
        </w:rPr>
        <w:t xml:space="preserve">nformación económica no se publica información sobre los contratos adjudicados por administraciones públicas, los convenios </w:t>
      </w:r>
      <w:r w:rsidR="00B536EE">
        <w:rPr>
          <w:rFonts w:ascii="Mulish" w:hAnsi="Mulish"/>
        </w:rPr>
        <w:t>suscrito</w:t>
      </w:r>
      <w:r w:rsidRPr="003127E7">
        <w:rPr>
          <w:rFonts w:ascii="Mulish" w:hAnsi="Mulish"/>
        </w:rPr>
        <w:t>s con administraciones públicas</w:t>
      </w:r>
      <w:r w:rsidR="0076567C" w:rsidRPr="003127E7">
        <w:rPr>
          <w:rFonts w:ascii="Mulish" w:hAnsi="Mulish"/>
        </w:rPr>
        <w:t xml:space="preserve">, </w:t>
      </w:r>
      <w:r w:rsidR="00633719">
        <w:rPr>
          <w:rFonts w:ascii="Mulish" w:hAnsi="Mulish"/>
        </w:rPr>
        <w:t>las cuentas anuales, los informes de fiscalización y las retribuciones de los máximos responsables</w:t>
      </w:r>
      <w:r w:rsidRPr="003127E7">
        <w:rPr>
          <w:rFonts w:ascii="Mulish" w:hAnsi="Mulish"/>
        </w:rPr>
        <w:t>.</w:t>
      </w:r>
    </w:p>
    <w:p w14:paraId="1847B217" w14:textId="28D8FA8B" w:rsidR="004061BC" w:rsidRPr="005E61F8" w:rsidRDefault="000F0DA5" w:rsidP="006D1C9B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gran parte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381391F6" w14:textId="77777777" w:rsidR="00C52495" w:rsidRDefault="00C52495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666E7F39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633719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633719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BF7F4D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2B4" w14:textId="77777777" w:rsidR="00712213" w:rsidRDefault="00712213" w:rsidP="00F31BC3">
      <w:r>
        <w:separator/>
      </w:r>
    </w:p>
  </w:endnote>
  <w:endnote w:type="continuationSeparator" w:id="0">
    <w:p w14:paraId="5EDFFE64" w14:textId="77777777" w:rsidR="00712213" w:rsidRDefault="00712213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987" w14:textId="77777777" w:rsidR="00712213" w:rsidRDefault="00712213" w:rsidP="00F31BC3">
      <w:r>
        <w:separator/>
      </w:r>
    </w:p>
  </w:footnote>
  <w:footnote w:type="continuationSeparator" w:id="0">
    <w:p w14:paraId="49F678EA" w14:textId="77777777" w:rsidR="00712213" w:rsidRDefault="00712213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7B69D817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2693E384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1A138F36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42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DCA"/>
    <w:multiLevelType w:val="hybridMultilevel"/>
    <w:tmpl w:val="8970FEA2"/>
    <w:lvl w:ilvl="0" w:tplc="58C86A0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2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0"/>
  </w:num>
  <w:num w:numId="5">
    <w:abstractNumId w:val="18"/>
  </w:num>
  <w:num w:numId="6">
    <w:abstractNumId w:val="20"/>
  </w:num>
  <w:num w:numId="7">
    <w:abstractNumId w:val="17"/>
  </w:num>
  <w:num w:numId="8">
    <w:abstractNumId w:val="1"/>
  </w:num>
  <w:num w:numId="9">
    <w:abstractNumId w:val="5"/>
  </w:num>
  <w:num w:numId="10">
    <w:abstractNumId w:val="4"/>
  </w:num>
  <w:num w:numId="11">
    <w:abstractNumId w:val="22"/>
  </w:num>
  <w:num w:numId="12">
    <w:abstractNumId w:val="13"/>
  </w:num>
  <w:num w:numId="13">
    <w:abstractNumId w:val="9"/>
  </w:num>
  <w:num w:numId="14">
    <w:abstractNumId w:val="23"/>
  </w:num>
  <w:num w:numId="15">
    <w:abstractNumId w:val="3"/>
  </w:num>
  <w:num w:numId="16">
    <w:abstractNumId w:val="24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7"/>
  </w:num>
  <w:num w:numId="22">
    <w:abstractNumId w:val="16"/>
  </w:num>
  <w:num w:numId="23">
    <w:abstractNumId w:val="14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2636B"/>
    <w:rsid w:val="00032D8A"/>
    <w:rsid w:val="000366CB"/>
    <w:rsid w:val="00040AF4"/>
    <w:rsid w:val="00053A0E"/>
    <w:rsid w:val="0005642F"/>
    <w:rsid w:val="00072B7E"/>
    <w:rsid w:val="000775A5"/>
    <w:rsid w:val="000810AF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A530E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720A5"/>
    <w:rsid w:val="00474625"/>
    <w:rsid w:val="0047735C"/>
    <w:rsid w:val="004859CC"/>
    <w:rsid w:val="004A1663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21C5"/>
    <w:rsid w:val="00623CFC"/>
    <w:rsid w:val="006253FA"/>
    <w:rsid w:val="006266A5"/>
    <w:rsid w:val="00633719"/>
    <w:rsid w:val="00633EAA"/>
    <w:rsid w:val="006475A7"/>
    <w:rsid w:val="0069673B"/>
    <w:rsid w:val="006B2C2E"/>
    <w:rsid w:val="006B75D8"/>
    <w:rsid w:val="006C0CDD"/>
    <w:rsid w:val="006D1C9B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221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5314A"/>
    <w:rsid w:val="00B536EE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BF7F4D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495"/>
    <w:rsid w:val="00C52EE5"/>
    <w:rsid w:val="00C54D21"/>
    <w:rsid w:val="00C555C6"/>
    <w:rsid w:val="00C61E7F"/>
    <w:rsid w:val="00C66E73"/>
    <w:rsid w:val="00C740BF"/>
    <w:rsid w:val="00C91330"/>
    <w:rsid w:val="00CA41DD"/>
    <w:rsid w:val="00CB6837"/>
    <w:rsid w:val="00CC003C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3027"/>
    <w:rsid w:val="00F04B4F"/>
    <w:rsid w:val="00F05E2C"/>
    <w:rsid w:val="00F132F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622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167</TotalTime>
  <Pages>4</Pages>
  <Words>1175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18</cp:revision>
  <cp:lastPrinted>2008-09-26T23:14:00Z</cp:lastPrinted>
  <dcterms:created xsi:type="dcterms:W3CDTF">2024-10-21T10:51:00Z</dcterms:created>
  <dcterms:modified xsi:type="dcterms:W3CDTF">2026-01-14T16:48:00Z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