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5E61F8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4AD1BC88" w:rsidR="005E61F8" w:rsidRPr="005E61F8" w:rsidRDefault="00DF67DA" w:rsidP="0061302F">
            <w:pPr>
              <w:rPr>
                <w:rFonts w:ascii="Mulish" w:hAnsi="Mulish"/>
                <w:sz w:val="24"/>
              </w:rPr>
            </w:pPr>
            <w:proofErr w:type="spellStart"/>
            <w:r>
              <w:rPr>
                <w:rFonts w:ascii="Mulish" w:hAnsi="Mulish"/>
                <w:sz w:val="24"/>
              </w:rPr>
              <w:t>Avateltelecom</w:t>
            </w:r>
            <w:proofErr w:type="spellEnd"/>
          </w:p>
        </w:tc>
      </w:tr>
      <w:tr w:rsidR="005E61F8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5799873" w14:textId="30C71B82" w:rsidR="005E61F8" w:rsidRPr="005E61F8" w:rsidRDefault="00DF67DA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Noviembre 2025</w:t>
            </w:r>
          </w:p>
        </w:tc>
      </w:tr>
      <w:tr w:rsidR="005E61F8" w:rsidRPr="005E61F8" w14:paraId="1E39768D" w14:textId="77777777" w:rsidTr="006E6789">
        <w:tc>
          <w:tcPr>
            <w:tcW w:w="3625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76B2DA03" w:rsidR="005E61F8" w:rsidRPr="005E61F8" w:rsidRDefault="00DF67DA" w:rsidP="0061302F">
            <w:pPr>
              <w:rPr>
                <w:rFonts w:ascii="Mulish" w:hAnsi="Mulish"/>
                <w:sz w:val="24"/>
              </w:rPr>
            </w:pPr>
            <w:r w:rsidRPr="00AA165A">
              <w:rPr>
                <w:rFonts w:ascii="Mulish" w:hAnsi="Mulish"/>
                <w:sz w:val="24"/>
              </w:rPr>
              <w:t>https://www.avatel.es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92195B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5395"/>
        <w:gridCol w:w="691"/>
        <w:gridCol w:w="2709"/>
      </w:tblGrid>
      <w:tr w:rsidR="00A249BB" w:rsidRPr="005E61F8" w14:paraId="20B915EC" w14:textId="77777777" w:rsidTr="001342AA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086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804174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691" w:type="dxa"/>
            <w:tcBorders>
              <w:top w:val="single" w:sz="4" w:space="0" w:color="3C8378"/>
            </w:tcBorders>
            <w:vAlign w:val="center"/>
          </w:tcPr>
          <w:p w14:paraId="50278811" w14:textId="5B592A03" w:rsidR="00D77D8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top w:val="single" w:sz="4" w:space="0" w:color="3C8378"/>
            </w:tcBorders>
          </w:tcPr>
          <w:p w14:paraId="179BC7F3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F361B3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691" w:type="dxa"/>
            <w:vAlign w:val="center"/>
          </w:tcPr>
          <w:p w14:paraId="2006F71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F361B3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691" w:type="dxa"/>
            <w:vAlign w:val="center"/>
          </w:tcPr>
          <w:p w14:paraId="2D6648DC" w14:textId="65CD241D" w:rsidR="00D77D8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F361B3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691" w:type="dxa"/>
            <w:vAlign w:val="center"/>
          </w:tcPr>
          <w:p w14:paraId="4E246E9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6B3143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5B11B3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004208E0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691" w:type="dxa"/>
          </w:tcPr>
          <w:p w14:paraId="32BE8DB6" w14:textId="59098499" w:rsidR="005B1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34F585B" w14:textId="77777777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F8723A8" w14:textId="77777777" w:rsidTr="009E63D3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360DD5E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1342AA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691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F361B3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691" w:type="dxa"/>
          </w:tcPr>
          <w:p w14:paraId="4A565035" w14:textId="00F44270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6C4FEEC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F361B3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691" w:type="dxa"/>
          </w:tcPr>
          <w:p w14:paraId="1B30813B" w14:textId="3254EEB3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2EDA76E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F361B3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691" w:type="dxa"/>
          </w:tcPr>
          <w:p w14:paraId="37BA24B8" w14:textId="1624F680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7B1F88F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9E63D3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36926B" w14:textId="24F0285A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99C04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1342AA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691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BB0E3B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A6C8C5" w14:textId="77777777" w:rsidTr="001342AA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691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1342AA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1342AA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691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6125102" w14:textId="77777777" w:rsidTr="001342AA">
        <w:tc>
          <w:tcPr>
            <w:tcW w:w="1661" w:type="dxa"/>
            <w:vMerge/>
            <w:vAlign w:val="center"/>
          </w:tcPr>
          <w:p w14:paraId="01A08BA0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719305A" w14:textId="2BCE84E5" w:rsidR="00A770A3" w:rsidRPr="005E61F8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691" w:type="dxa"/>
            <w:shd w:val="clear" w:color="auto" w:fill="9BBEB7"/>
          </w:tcPr>
          <w:p w14:paraId="6C609B26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12CFDD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D57CF80" w14:textId="77777777" w:rsidTr="001342AA">
        <w:tc>
          <w:tcPr>
            <w:tcW w:w="1661" w:type="dxa"/>
            <w:vMerge/>
            <w:vAlign w:val="center"/>
          </w:tcPr>
          <w:p w14:paraId="1EBC145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0648168" w14:textId="267437FE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691" w:type="dxa"/>
            <w:shd w:val="clear" w:color="auto" w:fill="9BBEB7"/>
          </w:tcPr>
          <w:p w14:paraId="1AC530A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9E911AD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B1AA751" w14:textId="77777777" w:rsidTr="001342AA">
        <w:tc>
          <w:tcPr>
            <w:tcW w:w="1661" w:type="dxa"/>
            <w:vMerge/>
            <w:vAlign w:val="center"/>
          </w:tcPr>
          <w:p w14:paraId="7BA68EFC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FC863B7" w14:textId="0E42AEDC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691" w:type="dxa"/>
            <w:shd w:val="clear" w:color="auto" w:fill="9BBEB7"/>
          </w:tcPr>
          <w:p w14:paraId="05A63B3A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53AC815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BA708AD" w14:textId="77777777" w:rsidTr="001342AA">
        <w:tc>
          <w:tcPr>
            <w:tcW w:w="1661" w:type="dxa"/>
            <w:vMerge/>
            <w:vAlign w:val="center"/>
          </w:tcPr>
          <w:p w14:paraId="37AC7F3E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F9A4197" w14:textId="12049F1B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691" w:type="dxa"/>
            <w:shd w:val="clear" w:color="auto" w:fill="9BBEB7"/>
          </w:tcPr>
          <w:p w14:paraId="0BD3366B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0DB646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1342AA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691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9E63D3"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4E1CFA" w14:textId="34A00CEC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50BA99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1342AA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691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1342AA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691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1342AA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691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1342AA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691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F361B3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691" w:type="dxa"/>
          </w:tcPr>
          <w:p w14:paraId="64EC4E78" w14:textId="4F11C6BC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88B2B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9E63D3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B4BEFCA" w14:textId="7801EF90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B3AECE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1342AA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691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1342AA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691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F361B3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691" w:type="dxa"/>
          </w:tcPr>
          <w:p w14:paraId="24AE29F5" w14:textId="0BE01447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488C6B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8BA35CC" w14:textId="77777777" w:rsidTr="009E63D3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3DA87F7" w14:textId="6E57042C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19EEB6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1342AA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691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07B5BF86" w14:textId="77777777" w:rsidTr="001342AA">
        <w:tc>
          <w:tcPr>
            <w:tcW w:w="1661" w:type="dxa"/>
            <w:vMerge/>
            <w:vAlign w:val="center"/>
          </w:tcPr>
          <w:p w14:paraId="5E97775F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3CB504D" w14:textId="250F9903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691" w:type="dxa"/>
            <w:shd w:val="clear" w:color="auto" w:fill="9BBEB7"/>
          </w:tcPr>
          <w:p w14:paraId="59D47D2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7D3141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00F641" w14:textId="77777777" w:rsidTr="001342AA">
        <w:tc>
          <w:tcPr>
            <w:tcW w:w="1661" w:type="dxa"/>
            <w:vMerge/>
            <w:vAlign w:val="center"/>
          </w:tcPr>
          <w:p w14:paraId="13EFC5F4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089E167" w14:textId="2C6B6F1F" w:rsidR="00A770A3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691" w:type="dxa"/>
            <w:shd w:val="clear" w:color="auto" w:fill="9BBEB7"/>
          </w:tcPr>
          <w:p w14:paraId="74991C5C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0E1DDA6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F361B3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691" w:type="dxa"/>
          </w:tcPr>
          <w:p w14:paraId="25E615DE" w14:textId="7B692B32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06E1AB8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D5A25D" w14:textId="77777777" w:rsidTr="00F361B3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07D0D0C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9F0873">
              <w:rPr>
                <w:rFonts w:ascii="Mulish" w:hAnsi="Mulish"/>
                <w:sz w:val="18"/>
                <w:szCs w:val="18"/>
              </w:rPr>
              <w:t>fiscalización</w:t>
            </w:r>
          </w:p>
        </w:tc>
        <w:tc>
          <w:tcPr>
            <w:tcW w:w="691" w:type="dxa"/>
          </w:tcPr>
          <w:p w14:paraId="15AD2699" w14:textId="0CAB0C83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2EAE829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EA39982" w14:textId="77777777" w:rsidTr="009E63D3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ECD55FD" w14:textId="190BAE12" w:rsidR="00F361B3" w:rsidRPr="005E61F8" w:rsidRDefault="00DF67DA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1342AA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691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1342AA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691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1342AA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691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453D78B" w14:textId="77777777" w:rsidTr="001342AA">
        <w:tc>
          <w:tcPr>
            <w:tcW w:w="1661" w:type="dxa"/>
            <w:vMerge/>
            <w:vAlign w:val="center"/>
          </w:tcPr>
          <w:p w14:paraId="0A5636FF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88923B" w14:textId="09E8F616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1A5EA0C0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B49ABE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6BB8450" w14:textId="77777777" w:rsidTr="001342AA">
        <w:tc>
          <w:tcPr>
            <w:tcW w:w="1661" w:type="dxa"/>
            <w:vMerge/>
            <w:vAlign w:val="center"/>
          </w:tcPr>
          <w:p w14:paraId="3B196F4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9CE2738" w14:textId="0884111A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54C36CEE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836BB4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1757693" w14:textId="77777777" w:rsidTr="001342AA">
        <w:tc>
          <w:tcPr>
            <w:tcW w:w="1661" w:type="dxa"/>
            <w:vMerge/>
            <w:vAlign w:val="center"/>
          </w:tcPr>
          <w:p w14:paraId="09AB6AF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691" w:type="dxa"/>
            <w:shd w:val="clear" w:color="auto" w:fill="9BBEB7"/>
          </w:tcPr>
          <w:p w14:paraId="7B2E4595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9306A9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51DCB43" w14:textId="77777777" w:rsidTr="001342AA">
        <w:tc>
          <w:tcPr>
            <w:tcW w:w="1661" w:type="dxa"/>
            <w:vMerge/>
            <w:vAlign w:val="center"/>
          </w:tcPr>
          <w:p w14:paraId="6252B1D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691" w:type="dxa"/>
            <w:shd w:val="clear" w:color="auto" w:fill="9BBEB7"/>
          </w:tcPr>
          <w:p w14:paraId="6A03701F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0F153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38C8CDA" w14:textId="77777777" w:rsidTr="00F361B3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691" w:type="dxa"/>
            <w:vAlign w:val="center"/>
          </w:tcPr>
          <w:p w14:paraId="04C81643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B0AAC9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7E99D04C" w14:textId="77777777" w:rsidTr="00F361B3">
        <w:tc>
          <w:tcPr>
            <w:tcW w:w="1661" w:type="dxa"/>
            <w:vMerge/>
          </w:tcPr>
          <w:p w14:paraId="3204592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691" w:type="dxa"/>
            <w:vAlign w:val="center"/>
          </w:tcPr>
          <w:p w14:paraId="2EBDF36C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30437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36DEA3E" w14:textId="77777777" w:rsidTr="00F361B3">
        <w:tc>
          <w:tcPr>
            <w:tcW w:w="1661" w:type="dxa"/>
            <w:vMerge/>
          </w:tcPr>
          <w:p w14:paraId="6DD8F528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691" w:type="dxa"/>
            <w:vAlign w:val="center"/>
          </w:tcPr>
          <w:p w14:paraId="7A52DD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7FB6C1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0A1D485" w14:textId="77777777" w:rsidTr="00F361B3">
        <w:tc>
          <w:tcPr>
            <w:tcW w:w="1661" w:type="dxa"/>
            <w:vMerge/>
          </w:tcPr>
          <w:p w14:paraId="0AC0487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691" w:type="dxa"/>
            <w:vAlign w:val="center"/>
          </w:tcPr>
          <w:p w14:paraId="128E8926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1302FA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3E9693" w14:textId="77777777" w:rsidTr="00F361B3">
        <w:tc>
          <w:tcPr>
            <w:tcW w:w="1661" w:type="dxa"/>
            <w:vMerge/>
          </w:tcPr>
          <w:p w14:paraId="4B62AF89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691" w:type="dxa"/>
            <w:vAlign w:val="center"/>
          </w:tcPr>
          <w:p w14:paraId="059F9A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6E9D93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2F13D281" w14:textId="77777777" w:rsidTr="00F361B3">
        <w:tc>
          <w:tcPr>
            <w:tcW w:w="7056" w:type="dxa"/>
            <w:gridSpan w:val="2"/>
          </w:tcPr>
          <w:p w14:paraId="50237AD0" w14:textId="77777777" w:rsidR="00A770A3" w:rsidRPr="005E61F8" w:rsidRDefault="00A770A3" w:rsidP="00A770A3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proofErr w:type="gramStart"/>
            <w:r w:rsidRPr="005E61F8">
              <w:rPr>
                <w:rFonts w:ascii="Mulish" w:hAnsi="Mulish"/>
                <w:b/>
                <w:sz w:val="18"/>
                <w:szCs w:val="18"/>
              </w:rPr>
              <w:t>Total</w:t>
            </w:r>
            <w:proofErr w:type="gramEnd"/>
            <w:r w:rsidRPr="005E61F8">
              <w:rPr>
                <w:rFonts w:ascii="Mulish" w:hAnsi="Mulish"/>
                <w:b/>
                <w:sz w:val="18"/>
                <w:szCs w:val="18"/>
              </w:rPr>
              <w:t xml:space="preserve"> Recomendaciones</w:t>
            </w:r>
          </w:p>
        </w:tc>
        <w:tc>
          <w:tcPr>
            <w:tcW w:w="691" w:type="dxa"/>
            <w:vAlign w:val="center"/>
          </w:tcPr>
          <w:p w14:paraId="7C2B6F9A" w14:textId="5F24D287" w:rsidR="00A770A3" w:rsidRPr="005E61F8" w:rsidRDefault="00DF67DA" w:rsidP="00A770A3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14</w:t>
            </w:r>
          </w:p>
        </w:tc>
        <w:tc>
          <w:tcPr>
            <w:tcW w:w="2709" w:type="dxa"/>
          </w:tcPr>
          <w:p w14:paraId="29655252" w14:textId="77777777" w:rsidR="00A770A3" w:rsidRPr="005E61F8" w:rsidRDefault="00A770A3" w:rsidP="00A770A3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1B80C428" w:rsidR="00BA4354" w:rsidRPr="005E61F8" w:rsidRDefault="00DF67DA" w:rsidP="00D43BAB">
      <w:pPr>
        <w:spacing w:line="276" w:lineRule="auto"/>
        <w:jc w:val="both"/>
        <w:rPr>
          <w:rFonts w:ascii="Mulish" w:hAnsi="Mulish"/>
        </w:rPr>
      </w:pPr>
      <w:proofErr w:type="spellStart"/>
      <w:r>
        <w:rPr>
          <w:rFonts w:ascii="Mulish" w:hAnsi="Mulish"/>
        </w:rPr>
        <w:t>Avateltelecom</w:t>
      </w:r>
      <w:proofErr w:type="spellEnd"/>
      <w:r>
        <w:rPr>
          <w:rFonts w:ascii="Mulish" w:hAnsi="Mulish"/>
        </w:rPr>
        <w:t xml:space="preserve"> no </w:t>
      </w:r>
      <w:r w:rsidR="00C52EE5" w:rsidRPr="005E61F8">
        <w:rPr>
          <w:rFonts w:ascii="Mulish" w:hAnsi="Mulish"/>
        </w:rPr>
        <w:t xml:space="preserve">ha aplicado </w:t>
      </w:r>
      <w:r>
        <w:rPr>
          <w:rFonts w:ascii="Mulish" w:hAnsi="Mulish"/>
        </w:rPr>
        <w:t>ning</w:t>
      </w:r>
      <w:r w:rsidR="0076567C" w:rsidRPr="005E61F8">
        <w:rPr>
          <w:rFonts w:ascii="Mulish" w:hAnsi="Mulish"/>
        </w:rPr>
        <w:t>una</w:t>
      </w:r>
      <w:r w:rsidR="00C52EE5" w:rsidRPr="005E61F8">
        <w:rPr>
          <w:rFonts w:ascii="Mulish" w:hAnsi="Mulish"/>
        </w:rPr>
        <w:t xml:space="preserve"> de las recomendaciones derivadas de la evaluación realizada en 202</w:t>
      </w:r>
      <w:r>
        <w:rPr>
          <w:rFonts w:ascii="Mulish" w:hAnsi="Mulish"/>
        </w:rPr>
        <w:t>4</w:t>
      </w:r>
      <w:r w:rsidR="00C52EE5" w:rsidRPr="005E61F8">
        <w:rPr>
          <w:rFonts w:ascii="Mulish" w:hAnsi="Mulish"/>
        </w:rPr>
        <w:t>.</w:t>
      </w:r>
      <w:r>
        <w:rPr>
          <w:rFonts w:ascii="Mulish" w:hAnsi="Mulish"/>
        </w:rPr>
        <w:t xml:space="preserve"> Además, ha habido que revisar a la baja la obligación “Subvenciones y ayudas públicas”, ya que no se ha localizado la información correspondiente.</w:t>
      </w:r>
    </w:p>
    <w:p w14:paraId="51648A90" w14:textId="77777777" w:rsidR="00FA5AFD" w:rsidRPr="005E61F8" w:rsidRDefault="00FA5AFD" w:rsidP="00AC4A6F">
      <w:pPr>
        <w:rPr>
          <w:rFonts w:ascii="Mulish" w:hAnsi="Mulish"/>
        </w:rPr>
      </w:pPr>
    </w:p>
    <w:p w14:paraId="192492ED" w14:textId="77777777" w:rsidR="00E17DF6" w:rsidRPr="005E61F8" w:rsidRDefault="00E17DF6" w:rsidP="00AC4A6F">
      <w:pPr>
        <w:rPr>
          <w:rFonts w:ascii="Mulish" w:hAnsi="Mulish"/>
        </w:rPr>
      </w:pPr>
    </w:p>
    <w:bookmarkEnd w:id="1"/>
    <w:p w14:paraId="2B25550E" w14:textId="6A46DE54" w:rsidR="00FA5AFD" w:rsidRPr="00AF443D" w:rsidRDefault="00FA5AFD" w:rsidP="00AC4A6F">
      <w:pPr>
        <w:rPr>
          <w:rFonts w:ascii="Mulish" w:hAnsi="Mulish"/>
          <w:color w:val="3C8378"/>
        </w:rPr>
      </w:pPr>
    </w:p>
    <w:p w14:paraId="523CD473" w14:textId="77777777" w:rsidR="003F6EDC" w:rsidRPr="00AF443D" w:rsidRDefault="0092195B" w:rsidP="003F6ED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4C3D706B" w14:textId="3DBB2CA2" w:rsidR="00D43BAB" w:rsidRDefault="00D43BAB" w:rsidP="005F5B99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2"/>
        <w:gridCol w:w="782"/>
        <w:gridCol w:w="782"/>
        <w:gridCol w:w="782"/>
        <w:gridCol w:w="782"/>
        <w:gridCol w:w="782"/>
        <w:gridCol w:w="783"/>
        <w:gridCol w:w="783"/>
      </w:tblGrid>
      <w:tr w:rsidR="00D43BAB" w:rsidRPr="00D43BAB" w14:paraId="6096168E" w14:textId="77777777" w:rsidTr="00D43BAB">
        <w:trPr>
          <w:divId w:val="207039092"/>
          <w:trHeight w:val="1357"/>
        </w:trPr>
        <w:tc>
          <w:tcPr>
            <w:tcW w:w="1736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27182C14" w14:textId="68A99170" w:rsidR="00D43BAB" w:rsidRPr="00D43BAB" w:rsidRDefault="00D43BAB" w:rsidP="00D43B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55FBB1A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499CB5C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B1B4603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059C6C5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F2B39B3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8516278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53B5249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FD0994D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D43BAB" w:rsidRPr="00D43BAB" w14:paraId="21942970" w14:textId="77777777" w:rsidTr="00D43BAB">
        <w:trPr>
          <w:divId w:val="20703909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78EC41E4" w14:textId="77777777" w:rsidR="00D43BAB" w:rsidRPr="00D43BAB" w:rsidRDefault="00D43BAB" w:rsidP="00D43BAB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A8AEC8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45F84F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B53DDBF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6EA334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77F248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A969FAE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F78A2CA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209EB4A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14,3</w:t>
            </w:r>
          </w:p>
        </w:tc>
      </w:tr>
      <w:tr w:rsidR="00D43BAB" w:rsidRPr="00D43BAB" w14:paraId="7DEEEB02" w14:textId="77777777" w:rsidTr="00D43BAB">
        <w:trPr>
          <w:divId w:val="207039092"/>
          <w:trHeight w:val="45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C065FF7" w14:textId="77777777" w:rsidR="00D43BAB" w:rsidRPr="00D43BAB" w:rsidRDefault="00D43BAB" w:rsidP="00D43BAB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5C00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3A9A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EE2E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1216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9263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A2E2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6416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6B5E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D43BAB" w:rsidRPr="00D43BAB" w14:paraId="7485122C" w14:textId="77777777" w:rsidTr="00D43BAB">
        <w:trPr>
          <w:divId w:val="20703909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1BAA14A" w14:textId="16CE3B3A" w:rsidR="00D43BAB" w:rsidRPr="00D43BAB" w:rsidRDefault="00D43BAB" w:rsidP="00D43BAB">
            <w:pP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FCA6D92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DA6424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C407459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BC47D0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1BA2FF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048DF76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B18F02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4C7EABD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</w:tr>
      <w:tr w:rsidR="00D43BAB" w:rsidRPr="00D43BAB" w14:paraId="1F37AD4B" w14:textId="77777777" w:rsidTr="00D43BAB">
        <w:trPr>
          <w:divId w:val="20703909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017270F" w14:textId="77777777" w:rsidR="00D43BAB" w:rsidRPr="00D43BAB" w:rsidRDefault="00D43BAB" w:rsidP="00D43BAB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34B5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B775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C3B9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4DE0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50A9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2568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E198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63C2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D43BAB" w:rsidRPr="00D43BAB" w14:paraId="4634E2ED" w14:textId="77777777" w:rsidTr="00D43BAB">
        <w:trPr>
          <w:divId w:val="20703909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5FFE958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5A7994E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9B111FC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90BE9C9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9147399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0A39B89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F92A06D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213E46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15F0AF9" w14:textId="77777777" w:rsidR="00D43BAB" w:rsidRPr="00D43BAB" w:rsidRDefault="00D43BAB" w:rsidP="00D43BA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D43BA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6,6</w:t>
            </w:r>
          </w:p>
        </w:tc>
      </w:tr>
    </w:tbl>
    <w:p w14:paraId="02AF1BDE" w14:textId="503288E9" w:rsidR="00FA5AFD" w:rsidRPr="005E61F8" w:rsidRDefault="00FA5AFD" w:rsidP="005F5B99">
      <w:pPr>
        <w:pStyle w:val="Cuerpodelboletn"/>
        <w:rPr>
          <w:rFonts w:ascii="Mulish" w:hAnsi="Mulish"/>
          <w:lang w:bidi="es-ES"/>
        </w:rPr>
      </w:pPr>
    </w:p>
    <w:p w14:paraId="25BAB9D8" w14:textId="77777777" w:rsidR="00D43BAB" w:rsidRDefault="00D43BAB" w:rsidP="007A75F4">
      <w:pPr>
        <w:pStyle w:val="Cuerpodelboletn"/>
        <w:spacing w:line="276" w:lineRule="auto"/>
        <w:rPr>
          <w:rFonts w:ascii="Mulish" w:hAnsi="Mulish"/>
          <w:lang w:bidi="es-ES"/>
        </w:rPr>
      </w:pPr>
    </w:p>
    <w:p w14:paraId="2C60626C" w14:textId="77777777" w:rsidR="00D43BAB" w:rsidRDefault="00D43BAB" w:rsidP="007A75F4">
      <w:pPr>
        <w:pStyle w:val="Cuerpodelboletn"/>
        <w:spacing w:line="276" w:lineRule="auto"/>
        <w:rPr>
          <w:rFonts w:ascii="Mulish" w:hAnsi="Mulish"/>
          <w:lang w:bidi="es-ES"/>
        </w:rPr>
      </w:pPr>
    </w:p>
    <w:p w14:paraId="1192134F" w14:textId="0778479F" w:rsidR="00BB3652" w:rsidRPr="005E61F8" w:rsidRDefault="004061BC" w:rsidP="007A75F4">
      <w:pPr>
        <w:pStyle w:val="Cuerpodelboletn"/>
        <w:spacing w:line="276" w:lineRule="auto"/>
        <w:rPr>
          <w:rFonts w:ascii="Mulish" w:hAnsi="Mulish"/>
          <w:lang w:bidi="es-ES"/>
        </w:rPr>
      </w:pPr>
      <w:r w:rsidRPr="005E61F8">
        <w:rPr>
          <w:rFonts w:ascii="Mulish" w:hAnsi="Mulish"/>
          <w:lang w:bidi="es-ES"/>
        </w:rPr>
        <w:t xml:space="preserve">El Índice de Cumplimiento de la Información Obligatoria (ICIO) se sitúa en el </w:t>
      </w:r>
      <w:r w:rsidR="001117CB">
        <w:rPr>
          <w:rFonts w:ascii="Mulish" w:hAnsi="Mulish"/>
          <w:lang w:bidi="es-ES"/>
        </w:rPr>
        <w:t>6,6</w:t>
      </w:r>
      <w:r w:rsidRPr="005E61F8">
        <w:rPr>
          <w:rFonts w:ascii="Mulish" w:hAnsi="Mulish"/>
          <w:lang w:bidi="es-ES"/>
        </w:rPr>
        <w:t>%.</w:t>
      </w:r>
      <w:r w:rsidR="00BB3652" w:rsidRPr="005E61F8">
        <w:rPr>
          <w:rFonts w:ascii="Mulish" w:hAnsi="Mulish"/>
          <w:lang w:bidi="es-ES"/>
        </w:rPr>
        <w:t xml:space="preserve"> Respecto de 202</w:t>
      </w:r>
      <w:r w:rsidR="001117CB">
        <w:rPr>
          <w:rFonts w:ascii="Mulish" w:hAnsi="Mulish"/>
          <w:lang w:bidi="es-ES"/>
        </w:rPr>
        <w:t>4</w:t>
      </w:r>
      <w:r w:rsidR="00BB3652" w:rsidRPr="005E61F8">
        <w:rPr>
          <w:rFonts w:ascii="Mulish" w:hAnsi="Mulish"/>
          <w:lang w:bidi="es-ES"/>
        </w:rPr>
        <w:t xml:space="preserve"> se produce un </w:t>
      </w:r>
      <w:r w:rsidR="00AF443D">
        <w:rPr>
          <w:rFonts w:ascii="Mulish" w:hAnsi="Mulish"/>
          <w:lang w:bidi="es-ES"/>
        </w:rPr>
        <w:t>decremento</w:t>
      </w:r>
      <w:r w:rsidR="00BB3652" w:rsidRPr="005E61F8">
        <w:rPr>
          <w:rFonts w:ascii="Mulish" w:hAnsi="Mulish"/>
          <w:lang w:bidi="es-ES"/>
        </w:rPr>
        <w:t xml:space="preserve"> de </w:t>
      </w:r>
      <w:r w:rsidR="001117CB">
        <w:rPr>
          <w:rFonts w:ascii="Mulish" w:hAnsi="Mulish"/>
          <w:lang w:bidi="es-ES"/>
        </w:rPr>
        <w:t>7,7</w:t>
      </w:r>
      <w:r w:rsidR="00BB3652" w:rsidRPr="005E61F8">
        <w:rPr>
          <w:rFonts w:ascii="Mulish" w:hAnsi="Mulish"/>
          <w:lang w:bidi="es-ES"/>
        </w:rPr>
        <w:t xml:space="preserve"> puntos porcentuales atribuible</w:t>
      </w:r>
      <w:r w:rsidR="0076567C" w:rsidRPr="005E61F8">
        <w:rPr>
          <w:rFonts w:ascii="Mulish" w:hAnsi="Mulish"/>
          <w:lang w:bidi="es-ES"/>
        </w:rPr>
        <w:t xml:space="preserve">s a </w:t>
      </w:r>
      <w:r w:rsidR="001117CB">
        <w:rPr>
          <w:rFonts w:ascii="Mulish" w:hAnsi="Mulish"/>
          <w:lang w:bidi="es-ES"/>
        </w:rPr>
        <w:t>que no se ha aplicado ninguna de las recomendaciones efectuadas en 2024</w:t>
      </w:r>
      <w:r w:rsidR="00BB3652" w:rsidRPr="005E61F8">
        <w:rPr>
          <w:rFonts w:ascii="Mulish" w:hAnsi="Mulish"/>
          <w:lang w:bidi="es-ES"/>
        </w:rPr>
        <w:t>.</w:t>
      </w:r>
    </w:p>
    <w:p w14:paraId="2BFB87F4" w14:textId="6CE8D978" w:rsidR="00A670E9" w:rsidRPr="005E61F8" w:rsidRDefault="0076567C" w:rsidP="007A75F4">
      <w:pPr>
        <w:pStyle w:val="Cuerpodelboletn"/>
        <w:spacing w:line="276" w:lineRule="auto"/>
        <w:rPr>
          <w:rFonts w:ascii="Mulish" w:hAnsi="Mulish"/>
        </w:rPr>
      </w:pPr>
      <w:r w:rsidRPr="005E61F8">
        <w:rPr>
          <w:rFonts w:ascii="Mulish" w:hAnsi="Mulish"/>
        </w:rPr>
        <w:t>Por otra parte</w:t>
      </w:r>
      <w:r w:rsidR="003127E7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se ha revisado a la baja el cumplimiento de la obligación “</w:t>
      </w:r>
      <w:r w:rsidR="003C06DA">
        <w:rPr>
          <w:rFonts w:ascii="Mulish" w:hAnsi="Mulish"/>
        </w:rPr>
        <w:t>Subvenciones y ayudas públicas</w:t>
      </w:r>
      <w:r w:rsidRPr="005E61F8">
        <w:rPr>
          <w:rFonts w:ascii="Mulish" w:hAnsi="Mulish"/>
        </w:rPr>
        <w:t>”</w:t>
      </w:r>
      <w:r w:rsidR="003C06DA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dado que </w:t>
      </w:r>
      <w:r w:rsidR="003C06DA">
        <w:rPr>
          <w:rFonts w:ascii="Mulish" w:hAnsi="Mulish"/>
        </w:rPr>
        <w:t>no se ha localizado la información correspondiente</w:t>
      </w:r>
      <w:r w:rsidRPr="005E61F8">
        <w:rPr>
          <w:rFonts w:ascii="Mulish" w:hAnsi="Mulish"/>
        </w:rPr>
        <w:t xml:space="preserve">. </w:t>
      </w:r>
    </w:p>
    <w:p w14:paraId="659D7B6C" w14:textId="77777777" w:rsidR="00EB68A3" w:rsidRDefault="00EB68A3" w:rsidP="007A75F4">
      <w:pPr>
        <w:pStyle w:val="Cuerpodelboletn"/>
        <w:spacing w:line="276" w:lineRule="auto"/>
        <w:rPr>
          <w:rFonts w:ascii="Mulish" w:hAnsi="Mulish"/>
        </w:rPr>
      </w:pPr>
    </w:p>
    <w:p w14:paraId="6B9B75B4" w14:textId="3A80432A" w:rsidR="00AF443D" w:rsidRPr="005E61F8" w:rsidRDefault="00AF443D" w:rsidP="007A75F4">
      <w:pPr>
        <w:pStyle w:val="Cuerpodelboletn"/>
        <w:spacing w:line="276" w:lineRule="auto"/>
        <w:rPr>
          <w:rFonts w:ascii="Mulish" w:hAnsi="Mulish"/>
        </w:rPr>
        <w:sectPr w:rsidR="00AF443D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7A75F4">
          <w:pPr>
            <w:pStyle w:val="Cuerpodelboletn"/>
            <w:numPr>
              <w:ilvl w:val="0"/>
              <w:numId w:val="2"/>
            </w:numPr>
            <w:spacing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52AD841C" w:rsidR="00BB3652" w:rsidRPr="005E61F8" w:rsidRDefault="00BB3652" w:rsidP="005F5B99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 xml:space="preserve">Este </w:t>
      </w:r>
      <w:r w:rsidR="0092195B">
        <w:rPr>
          <w:rFonts w:ascii="Mulish" w:hAnsi="Mulish"/>
        </w:rPr>
        <w:t>Consejo</w:t>
      </w:r>
      <w:r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  <w:b/>
        </w:rPr>
        <w:t xml:space="preserve">valora </w:t>
      </w:r>
      <w:r w:rsidR="003C06DA">
        <w:rPr>
          <w:rFonts w:ascii="Mulish" w:hAnsi="Mulish"/>
          <w:b/>
        </w:rPr>
        <w:t>muy negativamente</w:t>
      </w:r>
      <w:r w:rsidR="00AF443D">
        <w:rPr>
          <w:rFonts w:ascii="Mulish" w:hAnsi="Mulish"/>
          <w:b/>
        </w:rPr>
        <w:t xml:space="preserve"> </w:t>
      </w:r>
      <w:r w:rsidRPr="005E61F8">
        <w:rPr>
          <w:rFonts w:ascii="Mulish" w:hAnsi="Mulish"/>
        </w:rPr>
        <w:t>la evolución del cumplimiento de las obligaciones de publicidad activa por parte de</w:t>
      </w:r>
      <w:r w:rsidR="003C06DA">
        <w:rPr>
          <w:rFonts w:ascii="Mulish" w:hAnsi="Mulish"/>
        </w:rPr>
        <w:t xml:space="preserve"> </w:t>
      </w:r>
      <w:proofErr w:type="spellStart"/>
      <w:r w:rsidR="003C06DA">
        <w:rPr>
          <w:rFonts w:ascii="Mulish" w:hAnsi="Mulish"/>
        </w:rPr>
        <w:t>Avateltelecom</w:t>
      </w:r>
      <w:proofErr w:type="spellEnd"/>
      <w:r w:rsidRPr="005E61F8">
        <w:rPr>
          <w:rFonts w:ascii="Mulish" w:hAnsi="Mulish"/>
        </w:rPr>
        <w:t xml:space="preserve">. </w:t>
      </w:r>
      <w:r w:rsidR="003C06DA">
        <w:rPr>
          <w:rFonts w:ascii="Mulish" w:hAnsi="Mulish"/>
        </w:rPr>
        <w:t>No</w:t>
      </w:r>
      <w:r w:rsidRPr="005E61F8">
        <w:rPr>
          <w:rFonts w:ascii="Mulish" w:hAnsi="Mulish"/>
        </w:rPr>
        <w:t xml:space="preserve"> se ha aplicado </w:t>
      </w:r>
      <w:r w:rsidR="003C06DA">
        <w:rPr>
          <w:rFonts w:ascii="Mulish" w:hAnsi="Mulish"/>
        </w:rPr>
        <w:t>ninguna</w:t>
      </w:r>
      <w:r w:rsidR="00AF443D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>de las recomendaciones efectuadas como consecuencia de la evaluación realizada en 202</w:t>
      </w:r>
      <w:r w:rsidR="003C06DA">
        <w:rPr>
          <w:rFonts w:ascii="Mulish" w:hAnsi="Mulish"/>
        </w:rPr>
        <w:t>4 y, además, ha habido que revisar a la baja otra</w:t>
      </w:r>
      <w:r w:rsidRPr="005E61F8">
        <w:rPr>
          <w:rFonts w:ascii="Mulish" w:hAnsi="Mulish"/>
        </w:rPr>
        <w:t>.</w:t>
      </w:r>
    </w:p>
    <w:p w14:paraId="7D8CA51C" w14:textId="0CF61A04" w:rsidR="004061BC" w:rsidRPr="005E61F8" w:rsidRDefault="00BB3652" w:rsidP="005F5B99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</w:t>
      </w:r>
      <w:r w:rsidR="003C06DA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38800967" w:rsidR="00A670E9" w:rsidRDefault="0076567C" w:rsidP="005F5B99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 xml:space="preserve">Sigue sin </w:t>
      </w:r>
      <w:r w:rsidR="003C06DA">
        <w:rPr>
          <w:rFonts w:ascii="Mulish" w:hAnsi="Mulish"/>
        </w:rPr>
        <w:t>habilitarse un Portal de Transparencia en el que la información sujeta a publicidad activa se organice</w:t>
      </w:r>
      <w:r w:rsidRPr="005E61F8">
        <w:rPr>
          <w:rFonts w:ascii="Mulish" w:hAnsi="Mulish"/>
        </w:rPr>
        <w:t xml:space="preserve"> conforme al patrón definido por la LTAIBG</w:t>
      </w:r>
      <w:r w:rsidR="00A670E9" w:rsidRPr="005E61F8">
        <w:rPr>
          <w:rFonts w:ascii="Mulish" w:hAnsi="Mulish"/>
        </w:rPr>
        <w:t>.</w:t>
      </w:r>
    </w:p>
    <w:p w14:paraId="236AB41D" w14:textId="77777777" w:rsidR="004D4B3E" w:rsidRPr="003127E7" w:rsidRDefault="004061BC" w:rsidP="005F5B99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5253312" w14:textId="5901FDCE" w:rsidR="003127E7" w:rsidRDefault="00A670E9" w:rsidP="005F5B99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 xml:space="preserve">Dentro del bloque de </w:t>
      </w:r>
      <w:r w:rsidR="003C06DA">
        <w:rPr>
          <w:rFonts w:ascii="Mulish" w:hAnsi="Mulish"/>
        </w:rPr>
        <w:t>I</w:t>
      </w:r>
      <w:r w:rsidRPr="005E61F8">
        <w:rPr>
          <w:rFonts w:ascii="Mulish" w:hAnsi="Mulish"/>
        </w:rPr>
        <w:t xml:space="preserve">nformación </w:t>
      </w:r>
      <w:r w:rsidR="003C06DA">
        <w:rPr>
          <w:rFonts w:ascii="Mulish" w:hAnsi="Mulish"/>
        </w:rPr>
        <w:t>i</w:t>
      </w:r>
      <w:r w:rsidRPr="005E61F8">
        <w:rPr>
          <w:rFonts w:ascii="Mulish" w:hAnsi="Mulish"/>
        </w:rPr>
        <w:t xml:space="preserve">nstitucional y </w:t>
      </w:r>
      <w:r w:rsidR="003C06DA">
        <w:rPr>
          <w:rFonts w:ascii="Mulish" w:hAnsi="Mulish"/>
        </w:rPr>
        <w:t>o</w:t>
      </w:r>
      <w:r w:rsidRPr="005E61F8">
        <w:rPr>
          <w:rFonts w:ascii="Mulish" w:hAnsi="Mulish"/>
        </w:rPr>
        <w:t xml:space="preserve">rganizativa: las normas de carácter general que regulan la actividad de la </w:t>
      </w:r>
      <w:r w:rsidR="00C52EE5" w:rsidRPr="005E61F8">
        <w:rPr>
          <w:rFonts w:ascii="Mulish" w:hAnsi="Mulish"/>
        </w:rPr>
        <w:t>entidad</w:t>
      </w:r>
      <w:r w:rsidR="003C06DA">
        <w:rPr>
          <w:rFonts w:ascii="Mulish" w:hAnsi="Mulish"/>
        </w:rPr>
        <w:t xml:space="preserve"> (los estatutos), la descripción de la estructura organizativa, el organigrama, la identificación de los máximos responsables y el perfil y trayectoria profesional de los máximos responsables</w:t>
      </w:r>
      <w:r w:rsidRPr="005E61F8">
        <w:rPr>
          <w:rFonts w:ascii="Mulish" w:hAnsi="Mulish"/>
        </w:rPr>
        <w:t>.</w:t>
      </w:r>
    </w:p>
    <w:p w14:paraId="1A8B41CE" w14:textId="0095E348" w:rsidR="004D4B3E" w:rsidRPr="003127E7" w:rsidRDefault="00C52EE5" w:rsidP="005F5B99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En el bloque de </w:t>
      </w:r>
      <w:r w:rsidR="003C06DA">
        <w:rPr>
          <w:rFonts w:ascii="Mulish" w:hAnsi="Mulish"/>
        </w:rPr>
        <w:t>I</w:t>
      </w:r>
      <w:r w:rsidRPr="003127E7">
        <w:rPr>
          <w:rFonts w:ascii="Mulish" w:hAnsi="Mulish"/>
        </w:rPr>
        <w:t xml:space="preserve">nformación económica no se publica información sobre los contratos adjudicados por administraciones públicas, los convenios </w:t>
      </w:r>
      <w:r w:rsidR="00B536EE">
        <w:rPr>
          <w:rFonts w:ascii="Mulish" w:hAnsi="Mulish"/>
        </w:rPr>
        <w:t>suscrito</w:t>
      </w:r>
      <w:r w:rsidRPr="003127E7">
        <w:rPr>
          <w:rFonts w:ascii="Mulish" w:hAnsi="Mulish"/>
        </w:rPr>
        <w:t>s con administraciones públicas</w:t>
      </w:r>
      <w:r w:rsidR="0076567C" w:rsidRPr="003127E7">
        <w:rPr>
          <w:rFonts w:ascii="Mulish" w:hAnsi="Mulish"/>
        </w:rPr>
        <w:t xml:space="preserve">, </w:t>
      </w:r>
      <w:r w:rsidR="003C06DA">
        <w:rPr>
          <w:rFonts w:ascii="Mulish" w:hAnsi="Mulish"/>
        </w:rPr>
        <w:t>las</w:t>
      </w:r>
      <w:r w:rsidRPr="003127E7">
        <w:rPr>
          <w:rFonts w:ascii="Mulish" w:hAnsi="Mulish"/>
        </w:rPr>
        <w:t xml:space="preserve"> subvenciones concedidas por administraciones públicas</w:t>
      </w:r>
      <w:r w:rsidR="003C06DA">
        <w:rPr>
          <w:rFonts w:ascii="Mulish" w:hAnsi="Mulish"/>
        </w:rPr>
        <w:t>, las cuentas anuales, los informes de fiscalización y las retribuciones de los máximos responsables</w:t>
      </w:r>
      <w:r w:rsidRPr="003127E7">
        <w:rPr>
          <w:rFonts w:ascii="Mulish" w:hAnsi="Mulish"/>
        </w:rPr>
        <w:t>.</w:t>
      </w:r>
    </w:p>
    <w:p w14:paraId="1847B217" w14:textId="5ECC73A5" w:rsidR="004061BC" w:rsidRPr="005E61F8" w:rsidRDefault="000F0DA5" w:rsidP="005F5B99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Respecto del cumplimiento de los</w:t>
      </w:r>
      <w:r w:rsidR="00C52EE5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 xml:space="preserve">criterios de calidad en la publicación de la información, </w:t>
      </w:r>
      <w:r w:rsidR="0076567C" w:rsidRPr="005E61F8">
        <w:rPr>
          <w:rFonts w:ascii="Mulish" w:hAnsi="Mulish"/>
        </w:rPr>
        <w:t xml:space="preserve">la información no está datada y </w:t>
      </w:r>
      <w:r w:rsidRPr="005E61F8">
        <w:rPr>
          <w:rFonts w:ascii="Mulish" w:hAnsi="Mulish"/>
        </w:rPr>
        <w:t xml:space="preserve">sigue sin publicarse </w:t>
      </w:r>
      <w:r w:rsidR="004D4B3E" w:rsidRPr="005E61F8">
        <w:rPr>
          <w:rFonts w:ascii="Mulish" w:hAnsi="Mulish"/>
        </w:rPr>
        <w:t xml:space="preserve">la fecha </w:t>
      </w:r>
      <w:r w:rsidRPr="005E61F8">
        <w:rPr>
          <w:rFonts w:ascii="Mulish" w:hAnsi="Mulish"/>
        </w:rPr>
        <w:t xml:space="preserve">en </w:t>
      </w:r>
      <w:r w:rsidR="004D4B3E" w:rsidRPr="005E61F8">
        <w:rPr>
          <w:rFonts w:ascii="Mulish" w:hAnsi="Mulish"/>
        </w:rPr>
        <w:t xml:space="preserve">que se revisó o actualizó por última vez </w:t>
      </w:r>
      <w:r w:rsidR="00CC3B31" w:rsidRPr="005E61F8">
        <w:rPr>
          <w:rFonts w:ascii="Mulish" w:hAnsi="Mulish"/>
        </w:rPr>
        <w:t>la información obligatoria publicada en la web de la entidad.</w:t>
      </w:r>
    </w:p>
    <w:p w14:paraId="1187CF89" w14:textId="77777777" w:rsidR="004D4B3E" w:rsidRPr="005E61F8" w:rsidRDefault="004D4B3E" w:rsidP="007A75F4">
      <w:pPr>
        <w:pStyle w:val="Sinespaciado"/>
        <w:spacing w:line="276" w:lineRule="auto"/>
        <w:ind w:left="720"/>
        <w:jc w:val="both"/>
        <w:rPr>
          <w:rFonts w:ascii="Mulish" w:hAnsi="Mulish"/>
        </w:rPr>
      </w:pPr>
    </w:p>
    <w:p w14:paraId="22317092" w14:textId="43C8A947" w:rsidR="00A770A3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 xml:space="preserve">Madrid, </w:t>
      </w:r>
      <w:r w:rsidR="003C06DA">
        <w:rPr>
          <w:rFonts w:ascii="Mulish" w:hAnsi="Mulish"/>
        </w:rPr>
        <w:t xml:space="preserve">noviembre </w:t>
      </w:r>
      <w:r w:rsidRPr="005E61F8">
        <w:rPr>
          <w:rFonts w:ascii="Mulish" w:hAnsi="Mulish"/>
        </w:rPr>
        <w:t>de 202</w:t>
      </w:r>
      <w:r w:rsidR="003C06DA">
        <w:rPr>
          <w:rFonts w:ascii="Mulish" w:hAnsi="Mulish"/>
        </w:rPr>
        <w:t>5</w:t>
      </w:r>
    </w:p>
    <w:p w14:paraId="187FED1B" w14:textId="77777777" w:rsidR="00A770A3" w:rsidRDefault="00A770A3">
      <w:pPr>
        <w:rPr>
          <w:rFonts w:ascii="Mulish" w:hAnsi="Mulish"/>
          <w:szCs w:val="22"/>
        </w:rPr>
      </w:pPr>
      <w:r>
        <w:rPr>
          <w:rFonts w:ascii="Mulish" w:hAnsi="Mulish"/>
        </w:rPr>
        <w:br w:type="page"/>
      </w:r>
    </w:p>
    <w:p w14:paraId="5DB8548C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3C8378"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68F2D7AB" w14:textId="77777777" w:rsidR="00F931B5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7A75F4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4A7AED6A" w:rsidR="009654DA" w:rsidRPr="0059767A" w:rsidRDefault="0092195B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B67246D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2676ECCC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B2B4" w14:textId="77777777" w:rsidR="00712213" w:rsidRDefault="00712213" w:rsidP="00F31BC3">
      <w:r>
        <w:separator/>
      </w:r>
    </w:p>
  </w:endnote>
  <w:endnote w:type="continuationSeparator" w:id="0">
    <w:p w14:paraId="5EDFFE64" w14:textId="77777777" w:rsidR="00712213" w:rsidRDefault="00712213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1B7" w14:textId="77777777" w:rsidR="002C7C45" w:rsidRDefault="002C7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388632"/>
      <w:docPartObj>
        <w:docPartGallery w:val="Page Numbers (Bottom of Page)"/>
        <w:docPartUnique/>
      </w:docPartObj>
    </w:sdtPr>
    <w:sdtEndPr/>
    <w:sdtContent>
      <w:p w14:paraId="798B0C65" w14:textId="0B51EAA2" w:rsidR="007A75F4" w:rsidRDefault="007A75F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AB0AD84" wp14:editId="533693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D6451" w14:textId="77777777" w:rsidR="007A75F4" w:rsidRPr="007A75F4" w:rsidRDefault="007A75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7A75F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7A75F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7A75F4">
                                <w:rPr>
                                  <w:color w:val="3C8378"/>
                                </w:rPr>
                                <w:t>2</w: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B0AD84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36FD6451" w14:textId="77777777" w:rsidR="007A75F4" w:rsidRPr="007A75F4" w:rsidRDefault="007A75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7A75F4">
                          <w:rPr>
                            <w:color w:val="3C8378"/>
                          </w:rPr>
                          <w:fldChar w:fldCharType="begin"/>
                        </w:r>
                        <w:r w:rsidRPr="007A75F4">
                          <w:rPr>
                            <w:color w:val="3C8378"/>
                          </w:rPr>
                          <w:instrText>PAGE   \* MERGEFORMAT</w:instrText>
                        </w:r>
                        <w:r w:rsidRPr="007A75F4">
                          <w:rPr>
                            <w:color w:val="3C8378"/>
                          </w:rPr>
                          <w:fldChar w:fldCharType="separate"/>
                        </w:r>
                        <w:r w:rsidRPr="007A75F4">
                          <w:rPr>
                            <w:color w:val="3C8378"/>
                          </w:rPr>
                          <w:t>2</w:t>
                        </w:r>
                        <w:r w:rsidRPr="007A75F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9F2" w14:textId="77777777" w:rsidR="002C7C45" w:rsidRDefault="002C7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1987" w14:textId="77777777" w:rsidR="00712213" w:rsidRDefault="00712213" w:rsidP="00F31BC3">
      <w:r>
        <w:separator/>
      </w:r>
    </w:p>
  </w:footnote>
  <w:footnote w:type="continuationSeparator" w:id="0">
    <w:p w14:paraId="49F678EA" w14:textId="77777777" w:rsidR="00712213" w:rsidRDefault="00712213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3C8DF111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2C65F869" w:rsidR="00307FC9" w:rsidRPr="00967865" w:rsidRDefault="001342AA">
    <w:pPr>
      <w:pStyle w:val="Encabezado"/>
      <w:rPr>
        <w:b/>
      </w:rPr>
    </w:pPr>
    <w:r w:rsidRPr="002C7C45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730FB489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C7C45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273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1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0"/>
  </w:num>
  <w:num w:numId="5">
    <w:abstractNumId w:val="17"/>
  </w:num>
  <w:num w:numId="6">
    <w:abstractNumId w:val="19"/>
  </w:num>
  <w:num w:numId="7">
    <w:abstractNumId w:val="16"/>
  </w:num>
  <w:num w:numId="8">
    <w:abstractNumId w:val="1"/>
  </w:num>
  <w:num w:numId="9">
    <w:abstractNumId w:val="4"/>
  </w:num>
  <w:num w:numId="10">
    <w:abstractNumId w:val="3"/>
  </w:num>
  <w:num w:numId="11">
    <w:abstractNumId w:val="21"/>
  </w:num>
  <w:num w:numId="12">
    <w:abstractNumId w:val="12"/>
  </w:num>
  <w:num w:numId="13">
    <w:abstractNumId w:val="8"/>
  </w:num>
  <w:num w:numId="14">
    <w:abstractNumId w:val="22"/>
  </w:num>
  <w:num w:numId="15">
    <w:abstractNumId w:val="2"/>
  </w:num>
  <w:num w:numId="16">
    <w:abstractNumId w:val="23"/>
  </w:num>
  <w:num w:numId="17">
    <w:abstractNumId w:val="11"/>
  </w:num>
  <w:num w:numId="18">
    <w:abstractNumId w:val="7"/>
  </w:num>
  <w:num w:numId="19">
    <w:abstractNumId w:val="5"/>
  </w:num>
  <w:num w:numId="20">
    <w:abstractNumId w:val="18"/>
  </w:num>
  <w:num w:numId="21">
    <w:abstractNumId w:val="6"/>
  </w:num>
  <w:num w:numId="22">
    <w:abstractNumId w:val="15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6718"/>
    <w:rsid w:val="00021796"/>
    <w:rsid w:val="00032D8A"/>
    <w:rsid w:val="00040AF4"/>
    <w:rsid w:val="00053A0E"/>
    <w:rsid w:val="0005642F"/>
    <w:rsid w:val="00072B7E"/>
    <w:rsid w:val="000775A5"/>
    <w:rsid w:val="00085C93"/>
    <w:rsid w:val="000A77F5"/>
    <w:rsid w:val="000D3907"/>
    <w:rsid w:val="000D5417"/>
    <w:rsid w:val="000E0A9E"/>
    <w:rsid w:val="000F0DA5"/>
    <w:rsid w:val="00104DE9"/>
    <w:rsid w:val="00104E94"/>
    <w:rsid w:val="001117CB"/>
    <w:rsid w:val="001149B1"/>
    <w:rsid w:val="00132732"/>
    <w:rsid w:val="001342AA"/>
    <w:rsid w:val="00146C3C"/>
    <w:rsid w:val="00164876"/>
    <w:rsid w:val="001763F8"/>
    <w:rsid w:val="00183301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E5AAD"/>
    <w:rsid w:val="0021682B"/>
    <w:rsid w:val="00231D61"/>
    <w:rsid w:val="00243294"/>
    <w:rsid w:val="00244EDA"/>
    <w:rsid w:val="002467FA"/>
    <w:rsid w:val="00250846"/>
    <w:rsid w:val="00263F79"/>
    <w:rsid w:val="002C19B9"/>
    <w:rsid w:val="002C1DD9"/>
    <w:rsid w:val="002C41B4"/>
    <w:rsid w:val="002C7C45"/>
    <w:rsid w:val="002D0702"/>
    <w:rsid w:val="002D27E4"/>
    <w:rsid w:val="002E409F"/>
    <w:rsid w:val="002E644A"/>
    <w:rsid w:val="002F06DC"/>
    <w:rsid w:val="00307FC9"/>
    <w:rsid w:val="003127E7"/>
    <w:rsid w:val="0031769F"/>
    <w:rsid w:val="00337C82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C06DA"/>
    <w:rsid w:val="003D2C4A"/>
    <w:rsid w:val="003E564B"/>
    <w:rsid w:val="003E5D2F"/>
    <w:rsid w:val="003E7CF3"/>
    <w:rsid w:val="003F4DDD"/>
    <w:rsid w:val="003F527E"/>
    <w:rsid w:val="003F6EDC"/>
    <w:rsid w:val="004061BC"/>
    <w:rsid w:val="00415DBD"/>
    <w:rsid w:val="00422B18"/>
    <w:rsid w:val="004720A5"/>
    <w:rsid w:val="0047735C"/>
    <w:rsid w:val="004859CC"/>
    <w:rsid w:val="004A1663"/>
    <w:rsid w:val="004C6440"/>
    <w:rsid w:val="004D4B3E"/>
    <w:rsid w:val="004D50CC"/>
    <w:rsid w:val="004D7037"/>
    <w:rsid w:val="004E7B33"/>
    <w:rsid w:val="00506864"/>
    <w:rsid w:val="00521C69"/>
    <w:rsid w:val="005301DF"/>
    <w:rsid w:val="00536832"/>
    <w:rsid w:val="00540929"/>
    <w:rsid w:val="00563295"/>
    <w:rsid w:val="00564E23"/>
    <w:rsid w:val="00582A8C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5F5B99"/>
    <w:rsid w:val="00603DFC"/>
    <w:rsid w:val="00607613"/>
    <w:rsid w:val="00623CFC"/>
    <w:rsid w:val="006253FA"/>
    <w:rsid w:val="006266A5"/>
    <w:rsid w:val="00633EAA"/>
    <w:rsid w:val="006475A7"/>
    <w:rsid w:val="0069673B"/>
    <w:rsid w:val="006B2C2E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2213"/>
    <w:rsid w:val="00714C54"/>
    <w:rsid w:val="00717272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A75F4"/>
    <w:rsid w:val="007C65C5"/>
    <w:rsid w:val="007D1701"/>
    <w:rsid w:val="007D5CBF"/>
    <w:rsid w:val="007D69D9"/>
    <w:rsid w:val="007F1D56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5E5A"/>
    <w:rsid w:val="00882A5B"/>
    <w:rsid w:val="00891E6F"/>
    <w:rsid w:val="00894358"/>
    <w:rsid w:val="0089455A"/>
    <w:rsid w:val="00897D04"/>
    <w:rsid w:val="008A5AAE"/>
    <w:rsid w:val="008D6E75"/>
    <w:rsid w:val="008F0F7D"/>
    <w:rsid w:val="008F2EF6"/>
    <w:rsid w:val="00902A71"/>
    <w:rsid w:val="009039FD"/>
    <w:rsid w:val="00903FE0"/>
    <w:rsid w:val="00912DB4"/>
    <w:rsid w:val="0092195B"/>
    <w:rsid w:val="00947271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9F0873"/>
    <w:rsid w:val="00A03993"/>
    <w:rsid w:val="00A05F57"/>
    <w:rsid w:val="00A0626F"/>
    <w:rsid w:val="00A06BF1"/>
    <w:rsid w:val="00A10B8C"/>
    <w:rsid w:val="00A1361E"/>
    <w:rsid w:val="00A249BB"/>
    <w:rsid w:val="00A24E51"/>
    <w:rsid w:val="00A32171"/>
    <w:rsid w:val="00A51AAD"/>
    <w:rsid w:val="00A56942"/>
    <w:rsid w:val="00A670E9"/>
    <w:rsid w:val="00A770A3"/>
    <w:rsid w:val="00A82709"/>
    <w:rsid w:val="00AA0AE1"/>
    <w:rsid w:val="00AA165A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1184C"/>
    <w:rsid w:val="00B220EC"/>
    <w:rsid w:val="00B5314A"/>
    <w:rsid w:val="00B536EE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91330"/>
    <w:rsid w:val="00CA41DD"/>
    <w:rsid w:val="00CB6837"/>
    <w:rsid w:val="00CC3B31"/>
    <w:rsid w:val="00CC48E8"/>
    <w:rsid w:val="00CD3DE8"/>
    <w:rsid w:val="00CF21EB"/>
    <w:rsid w:val="00D014E1"/>
    <w:rsid w:val="00D0198B"/>
    <w:rsid w:val="00D01CA1"/>
    <w:rsid w:val="00D1453D"/>
    <w:rsid w:val="00D1530E"/>
    <w:rsid w:val="00D41F4C"/>
    <w:rsid w:val="00D43BAB"/>
    <w:rsid w:val="00D45F5C"/>
    <w:rsid w:val="00D520C8"/>
    <w:rsid w:val="00D70570"/>
    <w:rsid w:val="00D77D83"/>
    <w:rsid w:val="00D9090A"/>
    <w:rsid w:val="00D96084"/>
    <w:rsid w:val="00DA6660"/>
    <w:rsid w:val="00DC5B52"/>
    <w:rsid w:val="00DD515F"/>
    <w:rsid w:val="00DF25D7"/>
    <w:rsid w:val="00DF54AF"/>
    <w:rsid w:val="00DF555F"/>
    <w:rsid w:val="00DF56A7"/>
    <w:rsid w:val="00DF67DA"/>
    <w:rsid w:val="00E023B5"/>
    <w:rsid w:val="00E07201"/>
    <w:rsid w:val="00E17DF6"/>
    <w:rsid w:val="00E33169"/>
    <w:rsid w:val="00E51AC4"/>
    <w:rsid w:val="00E6528C"/>
    <w:rsid w:val="00E73F4D"/>
    <w:rsid w:val="00E83650"/>
    <w:rsid w:val="00EB68A3"/>
    <w:rsid w:val="00EC6A3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931B5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  <w:style w:type="character" w:styleId="Hipervnculovisitado">
    <w:name w:val="FollowedHyperlink"/>
    <w:basedOn w:val="Fuentedeprrafopredeter"/>
    <w:uiPriority w:val="99"/>
    <w:semiHidden/>
    <w:unhideWhenUsed/>
    <w:rsid w:val="00DF67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437E36"/>
    <w:rsid w:val="00443EA4"/>
    <w:rsid w:val="00583D19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C32372"/>
    <w:rsid w:val="00DA008C"/>
    <w:rsid w:val="00DE3DE6"/>
    <w:rsid w:val="00EA0738"/>
    <w:rsid w:val="00EB2177"/>
    <w:rsid w:val="00ED410D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53</TotalTime>
  <Pages>4</Pages>
  <Words>1137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GONZALO GOMEZ DE VILLALOBOS</cp:lastModifiedBy>
  <cp:revision>15</cp:revision>
  <cp:lastPrinted>2008-09-26T23:14:00Z</cp:lastPrinted>
  <dcterms:created xsi:type="dcterms:W3CDTF">2024-10-21T10:51:00Z</dcterms:created>
  <dcterms:modified xsi:type="dcterms:W3CDTF">2026-01-14T16:48:00Z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