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440E" w14:textId="759848F7" w:rsidR="00743995" w:rsidRDefault="00D8384C" w:rsidP="00582DA3">
      <w:pPr>
        <w:pStyle w:val="Descripcin"/>
        <w:rPr>
          <w:rFonts w:eastAsiaTheme="majorEastAsia" w:cstheme="majorBidi"/>
        </w:rPr>
      </w:pPr>
      <w:r w:rsidRPr="004C195D">
        <w:rPr>
          <w:noProof/>
        </w:rPr>
        <mc:AlternateContent>
          <mc:Choice Requires="wps">
            <w:drawing>
              <wp:anchor distT="45720" distB="45720" distL="114300" distR="114300" simplePos="0" relativeHeight="251664384" behindDoc="1" locked="0" layoutInCell="1" allowOverlap="1" wp14:anchorId="229F0D37" wp14:editId="3DE36139">
                <wp:simplePos x="0" y="0"/>
                <wp:positionH relativeFrom="column">
                  <wp:posOffset>-72527</wp:posOffset>
                </wp:positionH>
                <wp:positionV relativeFrom="paragraph">
                  <wp:posOffset>8847438</wp:posOffset>
                </wp:positionV>
                <wp:extent cx="6091881" cy="1404620"/>
                <wp:effectExtent l="0" t="0" r="444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881" cy="1404620"/>
                        </a:xfrm>
                        <a:prstGeom prst="rect">
                          <a:avLst/>
                        </a:prstGeom>
                        <a:solidFill>
                          <a:srgbClr val="FFFFFF"/>
                        </a:solidFill>
                        <a:ln w="9525">
                          <a:noFill/>
                          <a:miter lim="800000"/>
                          <a:headEnd/>
                          <a:tailEnd/>
                        </a:ln>
                      </wps:spPr>
                      <wps:txbx>
                        <w:txbxContent>
                          <w:p w14:paraId="169A92A9" w14:textId="4BDA4BC7" w:rsidR="004C195D" w:rsidRPr="004C195D" w:rsidRDefault="004C195D">
                            <w:pPr>
                              <w:rPr>
                                <w:sz w:val="28"/>
                                <w:szCs w:val="28"/>
                              </w:rPr>
                            </w:pPr>
                            <w:r w:rsidRPr="00D8384C">
                              <w:rPr>
                                <w:b/>
                                <w:bCs/>
                                <w:sz w:val="28"/>
                                <w:szCs w:val="28"/>
                              </w:rPr>
                              <w:t>Evaluaciones 202</w:t>
                            </w:r>
                            <w:r w:rsidR="00815D72">
                              <w:rPr>
                                <w:b/>
                                <w:bCs/>
                                <w:sz w:val="28"/>
                                <w:szCs w:val="28"/>
                              </w:rPr>
                              <w:t>5</w:t>
                            </w:r>
                            <w:r w:rsidRPr="004C195D">
                              <w:rPr>
                                <w:sz w:val="28"/>
                                <w:szCs w:val="28"/>
                              </w:rPr>
                              <w:t>.</w:t>
                            </w:r>
                            <w:r>
                              <w:rPr>
                                <w:sz w:val="28"/>
                                <w:szCs w:val="28"/>
                              </w:rPr>
                              <w:t xml:space="preserve"> </w:t>
                            </w:r>
                            <w:r w:rsidRPr="004C195D">
                              <w:rPr>
                                <w:sz w:val="28"/>
                                <w:szCs w:val="28"/>
                              </w:rPr>
                              <w:t>C</w:t>
                            </w:r>
                            <w:r w:rsidR="00D8384C">
                              <w:rPr>
                                <w:sz w:val="28"/>
                                <w:szCs w:val="28"/>
                              </w:rPr>
                              <w:t xml:space="preserve">onsejo de </w:t>
                            </w:r>
                            <w:r w:rsidRPr="004C195D">
                              <w:rPr>
                                <w:sz w:val="28"/>
                                <w:szCs w:val="28"/>
                              </w:rPr>
                              <w:t>T</w:t>
                            </w:r>
                            <w:r w:rsidR="00D8384C">
                              <w:rPr>
                                <w:sz w:val="28"/>
                                <w:szCs w:val="28"/>
                              </w:rPr>
                              <w:t xml:space="preserve">ransparencia y </w:t>
                            </w:r>
                            <w:r w:rsidRPr="004C195D">
                              <w:rPr>
                                <w:sz w:val="28"/>
                                <w:szCs w:val="28"/>
                              </w:rPr>
                              <w:t>B</w:t>
                            </w:r>
                            <w:r w:rsidR="00D8384C">
                              <w:rPr>
                                <w:sz w:val="28"/>
                                <w:szCs w:val="28"/>
                              </w:rPr>
                              <w:t xml:space="preserve">uen </w:t>
                            </w:r>
                            <w:r w:rsidRPr="004C195D">
                              <w:rPr>
                                <w:sz w:val="28"/>
                                <w:szCs w:val="28"/>
                              </w:rPr>
                              <w:t>G</w:t>
                            </w:r>
                            <w:r w:rsidR="00D8384C">
                              <w:rPr>
                                <w:sz w:val="28"/>
                                <w:szCs w:val="28"/>
                              </w:rPr>
                              <w:t>obierno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9F0D37" id="_x0000_t202" coordsize="21600,21600" o:spt="202" path="m,l,21600r21600,l21600,xe">
                <v:stroke joinstyle="miter"/>
                <v:path gradientshapeok="t" o:connecttype="rect"/>
              </v:shapetype>
              <v:shape id="Cuadro de texto 2" o:spid="_x0000_s1026" type="#_x0000_t202" style="position:absolute;left:0;text-align:left;margin-left:-5.7pt;margin-top:696.65pt;width:479.7pt;height:110.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" stroked="f">
                <v:textbox style="mso-fit-shape-to-text:t">
                  <w:txbxContent>
                    <w:p w14:paraId="169A92A9" w14:textId="4BDA4BC7" w:rsidR="004C195D" w:rsidRPr="004C195D" w:rsidRDefault="004C195D">
                      <w:pPr>
                        <w:rPr>
                          <w:sz w:val="28"/>
                          <w:szCs w:val="28"/>
                        </w:rPr>
                      </w:pPr>
                      <w:r w:rsidRPr="00D8384C">
                        <w:rPr>
                          <w:b/>
                          <w:bCs/>
                          <w:sz w:val="28"/>
                          <w:szCs w:val="28"/>
                        </w:rPr>
                        <w:t>Evaluaciones 202</w:t>
                      </w:r>
                      <w:r w:rsidR="00815D72">
                        <w:rPr>
                          <w:b/>
                          <w:bCs/>
                          <w:sz w:val="28"/>
                          <w:szCs w:val="28"/>
                        </w:rPr>
                        <w:t>5</w:t>
                      </w:r>
                      <w:r w:rsidRPr="004C195D">
                        <w:rPr>
                          <w:sz w:val="28"/>
                          <w:szCs w:val="28"/>
                        </w:rPr>
                        <w:t>.</w:t>
                      </w:r>
                      <w:r>
                        <w:rPr>
                          <w:sz w:val="28"/>
                          <w:szCs w:val="28"/>
                        </w:rPr>
                        <w:t xml:space="preserve"> </w:t>
                      </w:r>
                      <w:r w:rsidRPr="004C195D">
                        <w:rPr>
                          <w:sz w:val="28"/>
                          <w:szCs w:val="28"/>
                        </w:rPr>
                        <w:t>C</w:t>
                      </w:r>
                      <w:r w:rsidR="00D8384C">
                        <w:rPr>
                          <w:sz w:val="28"/>
                          <w:szCs w:val="28"/>
                        </w:rPr>
                        <w:t xml:space="preserve">onsejo de </w:t>
                      </w:r>
                      <w:r w:rsidRPr="004C195D">
                        <w:rPr>
                          <w:sz w:val="28"/>
                          <w:szCs w:val="28"/>
                        </w:rPr>
                        <w:t>T</w:t>
                      </w:r>
                      <w:r w:rsidR="00D8384C">
                        <w:rPr>
                          <w:sz w:val="28"/>
                          <w:szCs w:val="28"/>
                        </w:rPr>
                        <w:t xml:space="preserve">ransparencia y </w:t>
                      </w:r>
                      <w:r w:rsidRPr="004C195D">
                        <w:rPr>
                          <w:sz w:val="28"/>
                          <w:szCs w:val="28"/>
                        </w:rPr>
                        <w:t>B</w:t>
                      </w:r>
                      <w:r w:rsidR="00D8384C">
                        <w:rPr>
                          <w:sz w:val="28"/>
                          <w:szCs w:val="28"/>
                        </w:rPr>
                        <w:t xml:space="preserve">uen </w:t>
                      </w:r>
                      <w:r w:rsidRPr="004C195D">
                        <w:rPr>
                          <w:sz w:val="28"/>
                          <w:szCs w:val="28"/>
                        </w:rPr>
                        <w:t>G</w:t>
                      </w:r>
                      <w:r w:rsidR="00D8384C">
                        <w:rPr>
                          <w:sz w:val="28"/>
                          <w:szCs w:val="28"/>
                        </w:rPr>
                        <w:t>obierno</w:t>
                      </w:r>
                    </w:p>
                  </w:txbxContent>
                </v:textbox>
              </v:shape>
            </w:pict>
          </mc:Fallback>
        </mc:AlternateContent>
      </w:r>
      <w:r w:rsidR="00015DB5" w:rsidRPr="004C195D">
        <w:rPr>
          <w:noProof/>
        </w:rPr>
        <mc:AlternateContent>
          <mc:Choice Requires="wps">
            <w:drawing>
              <wp:anchor distT="45720" distB="45720" distL="114300" distR="114300" simplePos="0" relativeHeight="251668480" behindDoc="1" locked="0" layoutInCell="1" allowOverlap="1" wp14:anchorId="08C64CE9" wp14:editId="1EECF89B">
                <wp:simplePos x="0" y="0"/>
                <wp:positionH relativeFrom="column">
                  <wp:posOffset>-36830</wp:posOffset>
                </wp:positionH>
                <wp:positionV relativeFrom="paragraph">
                  <wp:posOffset>5556250</wp:posOffset>
                </wp:positionV>
                <wp:extent cx="6151880" cy="2775585"/>
                <wp:effectExtent l="0" t="0" r="0" b="571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2775585"/>
                        </a:xfrm>
                        <a:prstGeom prst="rect">
                          <a:avLst/>
                        </a:prstGeom>
                        <a:noFill/>
                        <a:ln w="9525">
                          <a:noFill/>
                          <a:miter lim="800000"/>
                          <a:headEnd/>
                          <a:tailEnd/>
                        </a:ln>
                      </wps:spPr>
                      <wps:txbx>
                        <w:txbxContent>
                          <w:p w14:paraId="20532030" w14:textId="22B7F78A" w:rsidR="004C195D" w:rsidRPr="004C195D" w:rsidRDefault="00015DB5" w:rsidP="004C195D">
                            <w:pPr>
                              <w:jc w:val="left"/>
                              <w:rPr>
                                <w:sz w:val="52"/>
                                <w:szCs w:val="52"/>
                              </w:rPr>
                            </w:pPr>
                            <w:r w:rsidRPr="00015DB5">
                              <w:rPr>
                                <w:color w:val="FFFFFF" w:themeColor="background1"/>
                                <w:sz w:val="52"/>
                                <w:szCs w:val="52"/>
                              </w:rPr>
                              <w:t xml:space="preserve">Informe de evaluación sobre el cumplimiento de la LTAIBG por parte de las entidades perceptoras de subvenciones y ayudas públicas en </w:t>
                            </w:r>
                            <w:r w:rsidR="00454377">
                              <w:rPr>
                                <w:color w:val="FFFFFF" w:themeColor="background1"/>
                                <w:sz w:val="52"/>
                                <w:szCs w:val="52"/>
                              </w:rPr>
                              <w:t>202</w:t>
                            </w:r>
                            <w:r w:rsidR="00815D72">
                              <w:rPr>
                                <w:color w:val="FFFFFF" w:themeColor="background1"/>
                                <w:sz w:val="52"/>
                                <w:szCs w:val="5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64CE9" id="_x0000_s1027" type="#_x0000_t202" style="position:absolute;left:0;text-align:left;margin-left:-2.9pt;margin-top:437.5pt;width:484.4pt;height:218.5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" filled="f" stroked="f">
                <v:textbox>
                  <w:txbxContent>
                    <w:p w14:paraId="20532030" w14:textId="22B7F78A" w:rsidR="004C195D" w:rsidRPr="004C195D" w:rsidRDefault="00015DB5" w:rsidP="004C195D">
                      <w:pPr>
                        <w:jc w:val="left"/>
                        <w:rPr>
                          <w:sz w:val="52"/>
                          <w:szCs w:val="52"/>
                        </w:rPr>
                      </w:pPr>
                      <w:r w:rsidRPr="00015DB5">
                        <w:rPr>
                          <w:color w:val="FFFFFF" w:themeColor="background1"/>
                          <w:sz w:val="52"/>
                          <w:szCs w:val="52"/>
                        </w:rPr>
                        <w:t xml:space="preserve">Informe de evaluación sobre el cumplimiento de la LTAIBG por parte de las entidades perceptoras de subvenciones y ayudas públicas en </w:t>
                      </w:r>
                      <w:r w:rsidR="00454377">
                        <w:rPr>
                          <w:color w:val="FFFFFF" w:themeColor="background1"/>
                          <w:sz w:val="52"/>
                          <w:szCs w:val="52"/>
                        </w:rPr>
                        <w:t>202</w:t>
                      </w:r>
                      <w:r w:rsidR="00815D72">
                        <w:rPr>
                          <w:color w:val="FFFFFF" w:themeColor="background1"/>
                          <w:sz w:val="52"/>
                          <w:szCs w:val="52"/>
                        </w:rPr>
                        <w:t>4</w:t>
                      </w:r>
                    </w:p>
                  </w:txbxContent>
                </v:textbox>
              </v:shape>
            </w:pict>
          </mc:Fallback>
        </mc:AlternateContent>
      </w:r>
      <w:r w:rsidR="00D17499" w:rsidRPr="00D17499">
        <w:rPr>
          <w:noProof/>
        </w:rPr>
        <w:drawing>
          <wp:anchor distT="0" distB="0" distL="114300" distR="114300" simplePos="0" relativeHeight="251669504" behindDoc="0" locked="0" layoutInCell="1" allowOverlap="1" wp14:anchorId="024D054B" wp14:editId="099ED662">
            <wp:simplePos x="0" y="0"/>
            <wp:positionH relativeFrom="margin">
              <wp:posOffset>76200</wp:posOffset>
            </wp:positionH>
            <wp:positionV relativeFrom="paragraph">
              <wp:posOffset>589501</wp:posOffset>
            </wp:positionV>
            <wp:extent cx="3081130" cy="725411"/>
            <wp:effectExtent l="0" t="0" r="508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081130" cy="725411"/>
                    </a:xfrm>
                    <a:prstGeom prst="rect">
                      <a:avLst/>
                    </a:prstGeom>
                  </pic:spPr>
                </pic:pic>
              </a:graphicData>
            </a:graphic>
            <wp14:sizeRelH relativeFrom="page">
              <wp14:pctWidth>0</wp14:pctWidth>
            </wp14:sizeRelH>
            <wp14:sizeRelV relativeFrom="page">
              <wp14:pctHeight>0</wp14:pctHeight>
            </wp14:sizeRelV>
          </wp:anchor>
        </w:drawing>
      </w:r>
      <w:r w:rsidR="0021736B">
        <w:t xml:space="preserve"> </w:t>
      </w:r>
      <w:sdt>
        <w:sdtPr>
          <w:id w:val="1833336649"/>
          <w:docPartObj>
            <w:docPartGallery w:val="Cover Pages"/>
            <w:docPartUnique/>
          </w:docPartObj>
        </w:sdtPr>
        <w:sdtEndPr>
          <w:rPr>
            <w:rFonts w:eastAsiaTheme="majorEastAsia" w:cstheme="majorBidi"/>
          </w:rPr>
        </w:sdtEndPr>
        <w:sdtContent>
          <w:r w:rsidR="004C195D">
            <w:rPr>
              <w:noProof/>
              <w:color w:val="000000"/>
            </w:rPr>
            <mc:AlternateContent>
              <mc:Choice Requires="wps">
                <w:drawing>
                  <wp:anchor distT="0" distB="0" distL="114300" distR="114300" simplePos="0" relativeHeight="251666432" behindDoc="1" locked="0" layoutInCell="1" allowOverlap="1" wp14:anchorId="7C49291E" wp14:editId="5FF434B0">
                    <wp:simplePos x="0" y="0"/>
                    <wp:positionH relativeFrom="page">
                      <wp:align>left</wp:align>
                    </wp:positionH>
                    <wp:positionV relativeFrom="paragraph">
                      <wp:posOffset>-914400</wp:posOffset>
                    </wp:positionV>
                    <wp:extent cx="7533447" cy="9471660"/>
                    <wp:effectExtent l="0" t="0" r="0" b="0"/>
                    <wp:wrapNone/>
                    <wp:docPr id="4" name="Rectángulo 4"/>
                    <wp:cNvGraphicFramePr/>
                    <a:graphic xmlns:a="http://schemas.openxmlformats.org/drawingml/2006/main">
                      <a:graphicData uri="http://schemas.microsoft.com/office/word/2010/wordprocessingShape">
                        <wps:wsp>
                          <wps:cNvSpPr/>
                          <wps:spPr>
                            <a:xfrm>
                              <a:off x="0" y="0"/>
                              <a:ext cx="7533447" cy="9471660"/>
                            </a:xfrm>
                            <a:prstGeom prst="rect">
                              <a:avLst/>
                            </a:prstGeom>
                            <a:solidFill>
                              <a:srgbClr val="3C83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517A9" id="Rectángulo 4" o:spid="_x0000_s1026" style="position:absolute;margin-left:0;margin-top:-1in;width:593.2pt;height:745.8pt;z-index:-251650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" fillcolor="#3c8378" stroked="f" strokeweight="1.5pt">
                    <w10:wrap anchorx="page"/>
                  </v:rect>
                </w:pict>
              </mc:Fallback>
            </mc:AlternateContent>
          </w:r>
          <w:r w:rsidR="004C195D" w:rsidRPr="004C195D">
            <w:rPr>
              <w:noProof/>
            </w:rPr>
            <w:t xml:space="preserve"> </w:t>
          </w:r>
          <w:r w:rsidR="0065420F">
            <w:br w:type="page"/>
          </w:r>
        </w:sdtContent>
      </w:sdt>
    </w:p>
    <w:sdt>
      <w:sdtPr>
        <w:rPr>
          <w:rFonts w:ascii="Century Gothic" w:eastAsiaTheme="minorHAnsi" w:hAnsi="Century Gothic" w:cstheme="minorBidi"/>
          <w:b w:val="0"/>
          <w:bCs w:val="0"/>
          <w:color w:val="auto"/>
          <w:sz w:val="20"/>
          <w:szCs w:val="20"/>
        </w:rPr>
        <w:id w:val="322091043"/>
        <w:docPartObj>
          <w:docPartGallery w:val="Table of Contents"/>
          <w:docPartUnique/>
        </w:docPartObj>
      </w:sdtPr>
      <w:sdtEndPr>
        <w:rPr>
          <w:rFonts w:ascii="Mulish" w:hAnsi="Mulish"/>
          <w:sz w:val="18"/>
          <w:szCs w:val="18"/>
        </w:rPr>
      </w:sdtEndPr>
      <w:sdtContent>
        <w:p w14:paraId="32CFAEA5" w14:textId="1B1774FB" w:rsidR="00E924EF" w:rsidRPr="00454377" w:rsidRDefault="00E924EF">
          <w:pPr>
            <w:pStyle w:val="TtuloTDC"/>
            <w:rPr>
              <w:color w:val="3C8378"/>
              <w:sz w:val="18"/>
              <w:szCs w:val="18"/>
            </w:rPr>
          </w:pPr>
          <w:r w:rsidRPr="00F4624F">
            <w:rPr>
              <w:color w:val="3C8378"/>
              <w:sz w:val="24"/>
              <w:szCs w:val="24"/>
            </w:rPr>
            <w:t>Contenido</w:t>
          </w:r>
          <w:r w:rsidR="008B6C8E" w:rsidRPr="00454377">
            <w:rPr>
              <w:color w:val="3C8378"/>
              <w:sz w:val="18"/>
              <w:szCs w:val="18"/>
            </w:rPr>
            <w:br/>
          </w:r>
        </w:p>
        <w:p w14:paraId="09210992" w14:textId="1CF30F10" w:rsidR="009F4C6A" w:rsidRDefault="00E924EF">
          <w:pPr>
            <w:pStyle w:val="TDC1"/>
            <w:tabs>
              <w:tab w:val="left" w:pos="400"/>
            </w:tabs>
            <w:rPr>
              <w:rFonts w:asciiTheme="minorHAnsi" w:hAnsiTheme="minorHAnsi"/>
              <w:noProof/>
              <w:szCs w:val="22"/>
            </w:rPr>
          </w:pPr>
          <w:r w:rsidRPr="00454377">
            <w:rPr>
              <w:sz w:val="18"/>
              <w:szCs w:val="18"/>
            </w:rPr>
            <w:fldChar w:fldCharType="begin"/>
          </w:r>
          <w:r w:rsidRPr="00454377">
            <w:rPr>
              <w:sz w:val="18"/>
              <w:szCs w:val="18"/>
            </w:rPr>
            <w:instrText xml:space="preserve"> TOC \o "1-3" \h \z \u </w:instrText>
          </w:r>
          <w:r w:rsidRPr="00454377">
            <w:rPr>
              <w:sz w:val="18"/>
              <w:szCs w:val="18"/>
            </w:rPr>
            <w:fldChar w:fldCharType="separate"/>
          </w:r>
          <w:hyperlink w:anchor="_Toc219463050" w:history="1">
            <w:r w:rsidR="009F4C6A" w:rsidRPr="008E777D">
              <w:rPr>
                <w:rStyle w:val="Hipervnculo"/>
                <w:noProof/>
              </w:rPr>
              <w:t>I.</w:t>
            </w:r>
            <w:r w:rsidR="009F4C6A">
              <w:rPr>
                <w:rFonts w:asciiTheme="minorHAnsi" w:hAnsiTheme="minorHAnsi"/>
                <w:noProof/>
                <w:szCs w:val="22"/>
              </w:rPr>
              <w:tab/>
            </w:r>
            <w:r w:rsidR="009F4C6A" w:rsidRPr="008E777D">
              <w:rPr>
                <w:rStyle w:val="Hipervnculo"/>
                <w:noProof/>
              </w:rPr>
              <w:t>Introducción</w:t>
            </w:r>
            <w:r w:rsidR="009F4C6A">
              <w:rPr>
                <w:noProof/>
                <w:webHidden/>
              </w:rPr>
              <w:tab/>
            </w:r>
            <w:r w:rsidR="009F4C6A">
              <w:rPr>
                <w:noProof/>
                <w:webHidden/>
              </w:rPr>
              <w:fldChar w:fldCharType="begin"/>
            </w:r>
            <w:r w:rsidR="009F4C6A">
              <w:rPr>
                <w:noProof/>
                <w:webHidden/>
              </w:rPr>
              <w:instrText xml:space="preserve"> PAGEREF _Toc219463050 \h </w:instrText>
            </w:r>
            <w:r w:rsidR="009F4C6A">
              <w:rPr>
                <w:noProof/>
                <w:webHidden/>
              </w:rPr>
            </w:r>
            <w:r w:rsidR="009F4C6A">
              <w:rPr>
                <w:noProof/>
                <w:webHidden/>
              </w:rPr>
              <w:fldChar w:fldCharType="separate"/>
            </w:r>
            <w:r w:rsidR="009F4C6A">
              <w:rPr>
                <w:noProof/>
                <w:webHidden/>
              </w:rPr>
              <w:t>2</w:t>
            </w:r>
            <w:r w:rsidR="009F4C6A">
              <w:rPr>
                <w:noProof/>
                <w:webHidden/>
              </w:rPr>
              <w:fldChar w:fldCharType="end"/>
            </w:r>
          </w:hyperlink>
        </w:p>
        <w:p w14:paraId="5378E8B9" w14:textId="4837999E" w:rsidR="009F4C6A" w:rsidRDefault="00CE2AF5">
          <w:pPr>
            <w:pStyle w:val="TDC1"/>
            <w:rPr>
              <w:rFonts w:asciiTheme="minorHAnsi" w:hAnsiTheme="minorHAnsi"/>
              <w:noProof/>
              <w:szCs w:val="22"/>
            </w:rPr>
          </w:pPr>
          <w:hyperlink w:anchor="_Toc219463051" w:history="1">
            <w:r w:rsidR="009F4C6A" w:rsidRPr="008E777D">
              <w:rPr>
                <w:rStyle w:val="Hipervnculo"/>
                <w:noProof/>
              </w:rPr>
              <w:t>II. Alcance de la evaluación.</w:t>
            </w:r>
            <w:r w:rsidR="009F4C6A">
              <w:rPr>
                <w:noProof/>
                <w:webHidden/>
              </w:rPr>
              <w:tab/>
            </w:r>
            <w:r w:rsidR="009F4C6A">
              <w:rPr>
                <w:noProof/>
                <w:webHidden/>
              </w:rPr>
              <w:fldChar w:fldCharType="begin"/>
            </w:r>
            <w:r w:rsidR="009F4C6A">
              <w:rPr>
                <w:noProof/>
                <w:webHidden/>
              </w:rPr>
              <w:instrText xml:space="preserve"> PAGEREF _Toc219463051 \h </w:instrText>
            </w:r>
            <w:r w:rsidR="009F4C6A">
              <w:rPr>
                <w:noProof/>
                <w:webHidden/>
              </w:rPr>
            </w:r>
            <w:r w:rsidR="009F4C6A">
              <w:rPr>
                <w:noProof/>
                <w:webHidden/>
              </w:rPr>
              <w:fldChar w:fldCharType="separate"/>
            </w:r>
            <w:r w:rsidR="009F4C6A">
              <w:rPr>
                <w:noProof/>
                <w:webHidden/>
              </w:rPr>
              <w:t>3</w:t>
            </w:r>
            <w:r w:rsidR="009F4C6A">
              <w:rPr>
                <w:noProof/>
                <w:webHidden/>
              </w:rPr>
              <w:fldChar w:fldCharType="end"/>
            </w:r>
          </w:hyperlink>
        </w:p>
        <w:p w14:paraId="6084F45F" w14:textId="319C95BF" w:rsidR="009F4C6A" w:rsidRDefault="00CE2AF5">
          <w:pPr>
            <w:pStyle w:val="TDC2"/>
            <w:rPr>
              <w:rFonts w:asciiTheme="minorHAnsi" w:hAnsiTheme="minorHAnsi"/>
              <w:noProof/>
              <w:szCs w:val="22"/>
            </w:rPr>
          </w:pPr>
          <w:hyperlink w:anchor="_Toc219463052" w:history="1">
            <w:r w:rsidR="009F4C6A" w:rsidRPr="008E777D">
              <w:rPr>
                <w:rStyle w:val="Hipervnculo"/>
                <w:noProof/>
              </w:rPr>
              <w:t>II.1 Entidades incluidas en este grupo de sujetos obligados</w:t>
            </w:r>
            <w:r w:rsidR="009F4C6A">
              <w:rPr>
                <w:noProof/>
                <w:webHidden/>
              </w:rPr>
              <w:tab/>
            </w:r>
            <w:r w:rsidR="009F4C6A">
              <w:rPr>
                <w:noProof/>
                <w:webHidden/>
              </w:rPr>
              <w:fldChar w:fldCharType="begin"/>
            </w:r>
            <w:r w:rsidR="009F4C6A">
              <w:rPr>
                <w:noProof/>
                <w:webHidden/>
              </w:rPr>
              <w:instrText xml:space="preserve"> PAGEREF _Toc219463052 \h </w:instrText>
            </w:r>
            <w:r w:rsidR="009F4C6A">
              <w:rPr>
                <w:noProof/>
                <w:webHidden/>
              </w:rPr>
            </w:r>
            <w:r w:rsidR="009F4C6A">
              <w:rPr>
                <w:noProof/>
                <w:webHidden/>
              </w:rPr>
              <w:fldChar w:fldCharType="separate"/>
            </w:r>
            <w:r w:rsidR="009F4C6A">
              <w:rPr>
                <w:noProof/>
                <w:webHidden/>
              </w:rPr>
              <w:t>3</w:t>
            </w:r>
            <w:r w:rsidR="009F4C6A">
              <w:rPr>
                <w:noProof/>
                <w:webHidden/>
              </w:rPr>
              <w:fldChar w:fldCharType="end"/>
            </w:r>
          </w:hyperlink>
        </w:p>
        <w:p w14:paraId="679FC151" w14:textId="50314B82" w:rsidR="009F4C6A" w:rsidRDefault="00CE2AF5">
          <w:pPr>
            <w:pStyle w:val="TDC2"/>
            <w:rPr>
              <w:rFonts w:asciiTheme="minorHAnsi" w:hAnsiTheme="minorHAnsi"/>
              <w:noProof/>
              <w:szCs w:val="22"/>
            </w:rPr>
          </w:pPr>
          <w:hyperlink w:anchor="_Toc219463053" w:history="1">
            <w:r w:rsidR="009F4C6A" w:rsidRPr="008E777D">
              <w:rPr>
                <w:rStyle w:val="Hipervnculo"/>
                <w:noProof/>
              </w:rPr>
              <w:t>II.2 Delimitación de las obligaciones de publicidad activa aplicables</w:t>
            </w:r>
            <w:r w:rsidR="009F4C6A">
              <w:rPr>
                <w:noProof/>
                <w:webHidden/>
              </w:rPr>
              <w:tab/>
            </w:r>
            <w:r w:rsidR="009F4C6A">
              <w:rPr>
                <w:noProof/>
                <w:webHidden/>
              </w:rPr>
              <w:fldChar w:fldCharType="begin"/>
            </w:r>
            <w:r w:rsidR="009F4C6A">
              <w:rPr>
                <w:noProof/>
                <w:webHidden/>
              </w:rPr>
              <w:instrText xml:space="preserve"> PAGEREF _Toc219463053 \h </w:instrText>
            </w:r>
            <w:r w:rsidR="009F4C6A">
              <w:rPr>
                <w:noProof/>
                <w:webHidden/>
              </w:rPr>
            </w:r>
            <w:r w:rsidR="009F4C6A">
              <w:rPr>
                <w:noProof/>
                <w:webHidden/>
              </w:rPr>
              <w:fldChar w:fldCharType="separate"/>
            </w:r>
            <w:r w:rsidR="009F4C6A">
              <w:rPr>
                <w:noProof/>
                <w:webHidden/>
              </w:rPr>
              <w:t>6</w:t>
            </w:r>
            <w:r w:rsidR="009F4C6A">
              <w:rPr>
                <w:noProof/>
                <w:webHidden/>
              </w:rPr>
              <w:fldChar w:fldCharType="end"/>
            </w:r>
          </w:hyperlink>
        </w:p>
        <w:p w14:paraId="76C83456" w14:textId="12015E11" w:rsidR="009F4C6A" w:rsidRDefault="00CE2AF5">
          <w:pPr>
            <w:pStyle w:val="TDC1"/>
            <w:rPr>
              <w:rFonts w:asciiTheme="minorHAnsi" w:hAnsiTheme="minorHAnsi"/>
              <w:noProof/>
              <w:szCs w:val="22"/>
            </w:rPr>
          </w:pPr>
          <w:hyperlink w:anchor="_Toc219463054" w:history="1">
            <w:r w:rsidR="009F4C6A" w:rsidRPr="008E777D">
              <w:rPr>
                <w:rStyle w:val="Hipervnculo"/>
                <w:noProof/>
              </w:rPr>
              <w:t>III. Evaluación del cumplimiento de las obligaciones de publicidad activa por parte de las entidades perceptoras de subvenciones y ayudas públicas</w:t>
            </w:r>
            <w:r w:rsidR="009F4C6A">
              <w:rPr>
                <w:noProof/>
                <w:webHidden/>
              </w:rPr>
              <w:tab/>
            </w:r>
            <w:r w:rsidR="009F4C6A">
              <w:rPr>
                <w:noProof/>
                <w:webHidden/>
              </w:rPr>
              <w:fldChar w:fldCharType="begin"/>
            </w:r>
            <w:r w:rsidR="009F4C6A">
              <w:rPr>
                <w:noProof/>
                <w:webHidden/>
              </w:rPr>
              <w:instrText xml:space="preserve"> PAGEREF _Toc219463054 \h </w:instrText>
            </w:r>
            <w:r w:rsidR="009F4C6A">
              <w:rPr>
                <w:noProof/>
                <w:webHidden/>
              </w:rPr>
            </w:r>
            <w:r w:rsidR="009F4C6A">
              <w:rPr>
                <w:noProof/>
                <w:webHidden/>
              </w:rPr>
              <w:fldChar w:fldCharType="separate"/>
            </w:r>
            <w:r w:rsidR="009F4C6A">
              <w:rPr>
                <w:noProof/>
                <w:webHidden/>
              </w:rPr>
              <w:t>6</w:t>
            </w:r>
            <w:r w:rsidR="009F4C6A">
              <w:rPr>
                <w:noProof/>
                <w:webHidden/>
              </w:rPr>
              <w:fldChar w:fldCharType="end"/>
            </w:r>
          </w:hyperlink>
        </w:p>
        <w:p w14:paraId="798CC75E" w14:textId="35B819F9" w:rsidR="009F4C6A" w:rsidRDefault="00CE2AF5">
          <w:pPr>
            <w:pStyle w:val="TDC2"/>
            <w:rPr>
              <w:rFonts w:asciiTheme="minorHAnsi" w:hAnsiTheme="minorHAnsi"/>
              <w:noProof/>
              <w:szCs w:val="22"/>
            </w:rPr>
          </w:pPr>
          <w:hyperlink w:anchor="_Toc219463055" w:history="1">
            <w:r w:rsidR="009F4C6A" w:rsidRPr="008E777D">
              <w:rPr>
                <w:rStyle w:val="Hipervnculo"/>
                <w:noProof/>
              </w:rPr>
              <w:t>III.1 Localización y estructuración de la información</w:t>
            </w:r>
            <w:r w:rsidR="009F4C6A">
              <w:rPr>
                <w:noProof/>
                <w:webHidden/>
              </w:rPr>
              <w:tab/>
            </w:r>
            <w:r w:rsidR="009F4C6A">
              <w:rPr>
                <w:noProof/>
                <w:webHidden/>
              </w:rPr>
              <w:fldChar w:fldCharType="begin"/>
            </w:r>
            <w:r w:rsidR="009F4C6A">
              <w:rPr>
                <w:noProof/>
                <w:webHidden/>
              </w:rPr>
              <w:instrText xml:space="preserve"> PAGEREF _Toc219463055 \h </w:instrText>
            </w:r>
            <w:r w:rsidR="009F4C6A">
              <w:rPr>
                <w:noProof/>
                <w:webHidden/>
              </w:rPr>
            </w:r>
            <w:r w:rsidR="009F4C6A">
              <w:rPr>
                <w:noProof/>
                <w:webHidden/>
              </w:rPr>
              <w:fldChar w:fldCharType="separate"/>
            </w:r>
            <w:r w:rsidR="009F4C6A">
              <w:rPr>
                <w:noProof/>
                <w:webHidden/>
              </w:rPr>
              <w:t>6</w:t>
            </w:r>
            <w:r w:rsidR="009F4C6A">
              <w:rPr>
                <w:noProof/>
                <w:webHidden/>
              </w:rPr>
              <w:fldChar w:fldCharType="end"/>
            </w:r>
          </w:hyperlink>
        </w:p>
        <w:p w14:paraId="28C9525E" w14:textId="0EA7E442" w:rsidR="009F4C6A" w:rsidRDefault="00CE2AF5">
          <w:pPr>
            <w:pStyle w:val="TDC2"/>
            <w:rPr>
              <w:rFonts w:asciiTheme="minorHAnsi" w:hAnsiTheme="minorHAnsi"/>
              <w:noProof/>
              <w:szCs w:val="22"/>
            </w:rPr>
          </w:pPr>
          <w:hyperlink w:anchor="_Toc219463056" w:history="1">
            <w:r w:rsidR="009F4C6A" w:rsidRPr="008E777D">
              <w:rPr>
                <w:rStyle w:val="Hipervnculo"/>
                <w:noProof/>
              </w:rPr>
              <w:t>III.2. Cumplimiento de las obligaciones de publicidad activa</w:t>
            </w:r>
            <w:r w:rsidR="009F4C6A">
              <w:rPr>
                <w:noProof/>
                <w:webHidden/>
              </w:rPr>
              <w:tab/>
            </w:r>
            <w:r w:rsidR="009F4C6A">
              <w:rPr>
                <w:noProof/>
                <w:webHidden/>
              </w:rPr>
              <w:fldChar w:fldCharType="begin"/>
            </w:r>
            <w:r w:rsidR="009F4C6A">
              <w:rPr>
                <w:noProof/>
                <w:webHidden/>
              </w:rPr>
              <w:instrText xml:space="preserve"> PAGEREF _Toc219463056 \h </w:instrText>
            </w:r>
            <w:r w:rsidR="009F4C6A">
              <w:rPr>
                <w:noProof/>
                <w:webHidden/>
              </w:rPr>
            </w:r>
            <w:r w:rsidR="009F4C6A">
              <w:rPr>
                <w:noProof/>
                <w:webHidden/>
              </w:rPr>
              <w:fldChar w:fldCharType="separate"/>
            </w:r>
            <w:r w:rsidR="009F4C6A">
              <w:rPr>
                <w:noProof/>
                <w:webHidden/>
              </w:rPr>
              <w:t>7</w:t>
            </w:r>
            <w:r w:rsidR="009F4C6A">
              <w:rPr>
                <w:noProof/>
                <w:webHidden/>
              </w:rPr>
              <w:fldChar w:fldCharType="end"/>
            </w:r>
          </w:hyperlink>
        </w:p>
        <w:p w14:paraId="4E69A54F" w14:textId="6AEDA0F2" w:rsidR="009F4C6A" w:rsidRDefault="00CE2AF5">
          <w:pPr>
            <w:pStyle w:val="TDC3"/>
            <w:rPr>
              <w:rFonts w:asciiTheme="minorHAnsi" w:eastAsiaTheme="minorEastAsia" w:hAnsiTheme="minorHAnsi"/>
              <w:noProof/>
              <w:szCs w:val="22"/>
            </w:rPr>
          </w:pPr>
          <w:hyperlink w:anchor="_Toc219463057" w:history="1">
            <w:r w:rsidR="009F4C6A" w:rsidRPr="008E777D">
              <w:rPr>
                <w:rStyle w:val="Hipervnculo"/>
                <w:noProof/>
              </w:rPr>
              <w:t>III.2.1.  Aplicación de las recomendaciones derivadas de la evaluación 2024.</w:t>
            </w:r>
            <w:r w:rsidR="009F4C6A">
              <w:rPr>
                <w:noProof/>
                <w:webHidden/>
              </w:rPr>
              <w:tab/>
            </w:r>
            <w:r w:rsidR="009F4C6A">
              <w:rPr>
                <w:noProof/>
                <w:webHidden/>
              </w:rPr>
              <w:fldChar w:fldCharType="begin"/>
            </w:r>
            <w:r w:rsidR="009F4C6A">
              <w:rPr>
                <w:noProof/>
                <w:webHidden/>
              </w:rPr>
              <w:instrText xml:space="preserve"> PAGEREF _Toc219463057 \h </w:instrText>
            </w:r>
            <w:r w:rsidR="009F4C6A">
              <w:rPr>
                <w:noProof/>
                <w:webHidden/>
              </w:rPr>
            </w:r>
            <w:r w:rsidR="009F4C6A">
              <w:rPr>
                <w:noProof/>
                <w:webHidden/>
              </w:rPr>
              <w:fldChar w:fldCharType="separate"/>
            </w:r>
            <w:r w:rsidR="009F4C6A">
              <w:rPr>
                <w:noProof/>
                <w:webHidden/>
              </w:rPr>
              <w:t>7</w:t>
            </w:r>
            <w:r w:rsidR="009F4C6A">
              <w:rPr>
                <w:noProof/>
                <w:webHidden/>
              </w:rPr>
              <w:fldChar w:fldCharType="end"/>
            </w:r>
          </w:hyperlink>
        </w:p>
        <w:p w14:paraId="45F79447" w14:textId="77638195" w:rsidR="009F4C6A" w:rsidRDefault="00CE2AF5">
          <w:pPr>
            <w:pStyle w:val="TDC3"/>
            <w:rPr>
              <w:rFonts w:asciiTheme="minorHAnsi" w:eastAsiaTheme="minorEastAsia" w:hAnsiTheme="minorHAnsi"/>
              <w:noProof/>
              <w:szCs w:val="22"/>
            </w:rPr>
          </w:pPr>
          <w:hyperlink w:anchor="_Toc219463058" w:history="1">
            <w:r w:rsidR="009F4C6A" w:rsidRPr="008E777D">
              <w:rPr>
                <w:rStyle w:val="Hipervnculo"/>
                <w:noProof/>
              </w:rPr>
              <w:t>III.2.2.  Información Institucional, Organizativa y de Planificación</w:t>
            </w:r>
            <w:r w:rsidR="009F4C6A">
              <w:rPr>
                <w:noProof/>
                <w:webHidden/>
              </w:rPr>
              <w:tab/>
            </w:r>
            <w:r w:rsidR="009F4C6A">
              <w:rPr>
                <w:noProof/>
                <w:webHidden/>
              </w:rPr>
              <w:fldChar w:fldCharType="begin"/>
            </w:r>
            <w:r w:rsidR="009F4C6A">
              <w:rPr>
                <w:noProof/>
                <w:webHidden/>
              </w:rPr>
              <w:instrText xml:space="preserve"> PAGEREF _Toc219463058 \h </w:instrText>
            </w:r>
            <w:r w:rsidR="009F4C6A">
              <w:rPr>
                <w:noProof/>
                <w:webHidden/>
              </w:rPr>
            </w:r>
            <w:r w:rsidR="009F4C6A">
              <w:rPr>
                <w:noProof/>
                <w:webHidden/>
              </w:rPr>
              <w:fldChar w:fldCharType="separate"/>
            </w:r>
            <w:r w:rsidR="009F4C6A">
              <w:rPr>
                <w:noProof/>
                <w:webHidden/>
              </w:rPr>
              <w:t>8</w:t>
            </w:r>
            <w:r w:rsidR="009F4C6A">
              <w:rPr>
                <w:noProof/>
                <w:webHidden/>
              </w:rPr>
              <w:fldChar w:fldCharType="end"/>
            </w:r>
          </w:hyperlink>
        </w:p>
        <w:p w14:paraId="460033B2" w14:textId="71EEAE1C" w:rsidR="009F4C6A" w:rsidRDefault="00CE2AF5">
          <w:pPr>
            <w:pStyle w:val="TDC3"/>
            <w:rPr>
              <w:rFonts w:asciiTheme="minorHAnsi" w:eastAsiaTheme="minorEastAsia" w:hAnsiTheme="minorHAnsi"/>
              <w:noProof/>
              <w:szCs w:val="22"/>
            </w:rPr>
          </w:pPr>
          <w:hyperlink w:anchor="_Toc219463059" w:history="1">
            <w:r w:rsidR="009F4C6A" w:rsidRPr="008E777D">
              <w:rPr>
                <w:rStyle w:val="Hipervnculo"/>
                <w:noProof/>
              </w:rPr>
              <w:t>III.2.3.  Información Económica y Presupuestaria</w:t>
            </w:r>
            <w:r w:rsidR="009F4C6A">
              <w:rPr>
                <w:noProof/>
                <w:webHidden/>
              </w:rPr>
              <w:tab/>
            </w:r>
            <w:r w:rsidR="009F4C6A">
              <w:rPr>
                <w:noProof/>
                <w:webHidden/>
              </w:rPr>
              <w:fldChar w:fldCharType="begin"/>
            </w:r>
            <w:r w:rsidR="009F4C6A">
              <w:rPr>
                <w:noProof/>
                <w:webHidden/>
              </w:rPr>
              <w:instrText xml:space="preserve"> PAGEREF _Toc219463059 \h </w:instrText>
            </w:r>
            <w:r w:rsidR="009F4C6A">
              <w:rPr>
                <w:noProof/>
                <w:webHidden/>
              </w:rPr>
            </w:r>
            <w:r w:rsidR="009F4C6A">
              <w:rPr>
                <w:noProof/>
                <w:webHidden/>
              </w:rPr>
              <w:fldChar w:fldCharType="separate"/>
            </w:r>
            <w:r w:rsidR="009F4C6A">
              <w:rPr>
                <w:noProof/>
                <w:webHidden/>
              </w:rPr>
              <w:t>11</w:t>
            </w:r>
            <w:r w:rsidR="009F4C6A">
              <w:rPr>
                <w:noProof/>
                <w:webHidden/>
              </w:rPr>
              <w:fldChar w:fldCharType="end"/>
            </w:r>
          </w:hyperlink>
        </w:p>
        <w:p w14:paraId="10CC0D95" w14:textId="3548C249" w:rsidR="009F4C6A" w:rsidRDefault="00CE2AF5">
          <w:pPr>
            <w:pStyle w:val="TDC3"/>
            <w:rPr>
              <w:rFonts w:asciiTheme="minorHAnsi" w:eastAsiaTheme="minorEastAsia" w:hAnsiTheme="minorHAnsi"/>
              <w:noProof/>
              <w:szCs w:val="22"/>
            </w:rPr>
          </w:pPr>
          <w:hyperlink w:anchor="_Toc219463060" w:history="1">
            <w:r w:rsidR="009F4C6A" w:rsidRPr="008E777D">
              <w:rPr>
                <w:rStyle w:val="Hipervnculo"/>
                <w:noProof/>
              </w:rPr>
              <w:t>III.2.4. Índice de Cumplimiento de la Información Obligatoria (ICIO)</w:t>
            </w:r>
            <w:r w:rsidR="009F4C6A">
              <w:rPr>
                <w:noProof/>
                <w:webHidden/>
              </w:rPr>
              <w:tab/>
            </w:r>
            <w:r w:rsidR="009F4C6A">
              <w:rPr>
                <w:noProof/>
                <w:webHidden/>
              </w:rPr>
              <w:fldChar w:fldCharType="begin"/>
            </w:r>
            <w:r w:rsidR="009F4C6A">
              <w:rPr>
                <w:noProof/>
                <w:webHidden/>
              </w:rPr>
              <w:instrText xml:space="preserve"> PAGEREF _Toc219463060 \h </w:instrText>
            </w:r>
            <w:r w:rsidR="009F4C6A">
              <w:rPr>
                <w:noProof/>
                <w:webHidden/>
              </w:rPr>
            </w:r>
            <w:r w:rsidR="009F4C6A">
              <w:rPr>
                <w:noProof/>
                <w:webHidden/>
              </w:rPr>
              <w:fldChar w:fldCharType="separate"/>
            </w:r>
            <w:r w:rsidR="009F4C6A">
              <w:rPr>
                <w:noProof/>
                <w:webHidden/>
              </w:rPr>
              <w:t>14</w:t>
            </w:r>
            <w:r w:rsidR="009F4C6A">
              <w:rPr>
                <w:noProof/>
                <w:webHidden/>
              </w:rPr>
              <w:fldChar w:fldCharType="end"/>
            </w:r>
          </w:hyperlink>
        </w:p>
        <w:p w14:paraId="7F31BF67" w14:textId="43877B8A" w:rsidR="009F4C6A" w:rsidRDefault="00CE2AF5">
          <w:pPr>
            <w:pStyle w:val="TDC2"/>
            <w:rPr>
              <w:rFonts w:asciiTheme="minorHAnsi" w:hAnsiTheme="minorHAnsi"/>
              <w:noProof/>
              <w:szCs w:val="22"/>
            </w:rPr>
          </w:pPr>
          <w:hyperlink w:anchor="_Toc219463061" w:history="1">
            <w:r w:rsidR="009F4C6A" w:rsidRPr="008E777D">
              <w:rPr>
                <w:rStyle w:val="Hipervnculo"/>
                <w:noProof/>
              </w:rPr>
              <w:t>III.3. Transparencia Voluntaria y Buenas Prácticas</w:t>
            </w:r>
            <w:r w:rsidR="009F4C6A">
              <w:rPr>
                <w:noProof/>
                <w:webHidden/>
              </w:rPr>
              <w:tab/>
            </w:r>
            <w:r w:rsidR="009F4C6A">
              <w:rPr>
                <w:noProof/>
                <w:webHidden/>
              </w:rPr>
              <w:fldChar w:fldCharType="begin"/>
            </w:r>
            <w:r w:rsidR="009F4C6A">
              <w:rPr>
                <w:noProof/>
                <w:webHidden/>
              </w:rPr>
              <w:instrText xml:space="preserve"> PAGEREF _Toc219463061 \h </w:instrText>
            </w:r>
            <w:r w:rsidR="009F4C6A">
              <w:rPr>
                <w:noProof/>
                <w:webHidden/>
              </w:rPr>
            </w:r>
            <w:r w:rsidR="009F4C6A">
              <w:rPr>
                <w:noProof/>
                <w:webHidden/>
              </w:rPr>
              <w:fldChar w:fldCharType="separate"/>
            </w:r>
            <w:r w:rsidR="009F4C6A">
              <w:rPr>
                <w:noProof/>
                <w:webHidden/>
              </w:rPr>
              <w:t>16</w:t>
            </w:r>
            <w:r w:rsidR="009F4C6A">
              <w:rPr>
                <w:noProof/>
                <w:webHidden/>
              </w:rPr>
              <w:fldChar w:fldCharType="end"/>
            </w:r>
          </w:hyperlink>
        </w:p>
        <w:p w14:paraId="3288CE0D" w14:textId="22AB067C" w:rsidR="009F4C6A" w:rsidRDefault="00CE2AF5">
          <w:pPr>
            <w:pStyle w:val="TDC1"/>
            <w:tabs>
              <w:tab w:val="left" w:pos="660"/>
            </w:tabs>
            <w:rPr>
              <w:rFonts w:asciiTheme="minorHAnsi" w:hAnsiTheme="minorHAnsi"/>
              <w:noProof/>
              <w:szCs w:val="22"/>
            </w:rPr>
          </w:pPr>
          <w:hyperlink w:anchor="_Toc219463062" w:history="1">
            <w:r w:rsidR="009F4C6A" w:rsidRPr="008E777D">
              <w:rPr>
                <w:rStyle w:val="Hipervnculo"/>
                <w:noProof/>
              </w:rPr>
              <w:t>IV.</w:t>
            </w:r>
            <w:r w:rsidR="009F4C6A">
              <w:rPr>
                <w:rFonts w:asciiTheme="minorHAnsi" w:hAnsiTheme="minorHAnsi"/>
                <w:noProof/>
                <w:szCs w:val="22"/>
              </w:rPr>
              <w:tab/>
            </w:r>
            <w:r w:rsidR="009F4C6A" w:rsidRPr="008E777D">
              <w:rPr>
                <w:rStyle w:val="Hipervnculo"/>
                <w:noProof/>
              </w:rPr>
              <w:t>Conclusiones y Recomendaciones</w:t>
            </w:r>
            <w:r w:rsidR="009F4C6A">
              <w:rPr>
                <w:noProof/>
                <w:webHidden/>
              </w:rPr>
              <w:tab/>
            </w:r>
            <w:r w:rsidR="009F4C6A">
              <w:rPr>
                <w:noProof/>
                <w:webHidden/>
              </w:rPr>
              <w:fldChar w:fldCharType="begin"/>
            </w:r>
            <w:r w:rsidR="009F4C6A">
              <w:rPr>
                <w:noProof/>
                <w:webHidden/>
              </w:rPr>
              <w:instrText xml:space="preserve"> PAGEREF _Toc219463062 \h </w:instrText>
            </w:r>
            <w:r w:rsidR="009F4C6A">
              <w:rPr>
                <w:noProof/>
                <w:webHidden/>
              </w:rPr>
            </w:r>
            <w:r w:rsidR="009F4C6A">
              <w:rPr>
                <w:noProof/>
                <w:webHidden/>
              </w:rPr>
              <w:fldChar w:fldCharType="separate"/>
            </w:r>
            <w:r w:rsidR="009F4C6A">
              <w:rPr>
                <w:noProof/>
                <w:webHidden/>
              </w:rPr>
              <w:t>16</w:t>
            </w:r>
            <w:r w:rsidR="009F4C6A">
              <w:rPr>
                <w:noProof/>
                <w:webHidden/>
              </w:rPr>
              <w:fldChar w:fldCharType="end"/>
            </w:r>
          </w:hyperlink>
        </w:p>
        <w:p w14:paraId="45559779" w14:textId="019CED22" w:rsidR="009F4C6A" w:rsidRDefault="00CE2AF5">
          <w:pPr>
            <w:pStyle w:val="TDC1"/>
            <w:rPr>
              <w:rFonts w:asciiTheme="minorHAnsi" w:hAnsiTheme="minorHAnsi"/>
              <w:noProof/>
              <w:szCs w:val="22"/>
            </w:rPr>
          </w:pPr>
          <w:hyperlink w:anchor="_Toc219463063" w:history="1">
            <w:r w:rsidR="009F4C6A" w:rsidRPr="008E777D">
              <w:rPr>
                <w:rStyle w:val="Hipervnculo"/>
                <w:noProof/>
                <w:lang w:eastAsia="en-US"/>
              </w:rPr>
              <w:t>Anexo I: Criterios de medición de los atributos de la información</w:t>
            </w:r>
            <w:r w:rsidR="009F4C6A">
              <w:rPr>
                <w:noProof/>
                <w:webHidden/>
              </w:rPr>
              <w:tab/>
            </w:r>
            <w:r w:rsidR="009F4C6A">
              <w:rPr>
                <w:noProof/>
                <w:webHidden/>
              </w:rPr>
              <w:fldChar w:fldCharType="begin"/>
            </w:r>
            <w:r w:rsidR="009F4C6A">
              <w:rPr>
                <w:noProof/>
                <w:webHidden/>
              </w:rPr>
              <w:instrText xml:space="preserve"> PAGEREF _Toc219463063 \h </w:instrText>
            </w:r>
            <w:r w:rsidR="009F4C6A">
              <w:rPr>
                <w:noProof/>
                <w:webHidden/>
              </w:rPr>
            </w:r>
            <w:r w:rsidR="009F4C6A">
              <w:rPr>
                <w:noProof/>
                <w:webHidden/>
              </w:rPr>
              <w:fldChar w:fldCharType="separate"/>
            </w:r>
            <w:r w:rsidR="009F4C6A">
              <w:rPr>
                <w:noProof/>
                <w:webHidden/>
              </w:rPr>
              <w:t>21</w:t>
            </w:r>
            <w:r w:rsidR="009F4C6A">
              <w:rPr>
                <w:noProof/>
                <w:webHidden/>
              </w:rPr>
              <w:fldChar w:fldCharType="end"/>
            </w:r>
          </w:hyperlink>
        </w:p>
        <w:p w14:paraId="7FA0D31F" w14:textId="45284A92" w:rsidR="009F4C6A" w:rsidRDefault="00CE2AF5">
          <w:pPr>
            <w:pStyle w:val="TDC1"/>
            <w:rPr>
              <w:rFonts w:asciiTheme="minorHAnsi" w:hAnsiTheme="minorHAnsi"/>
              <w:noProof/>
              <w:szCs w:val="22"/>
            </w:rPr>
          </w:pPr>
          <w:hyperlink w:anchor="_Toc219463064" w:history="1">
            <w:r w:rsidR="009F4C6A" w:rsidRPr="008E777D">
              <w:rPr>
                <w:rStyle w:val="Hipervnculo"/>
                <w:noProof/>
              </w:rPr>
              <w:t>Anexo II: Índices de Cumplimiento de la Información Obligatoria en 2025, evolución y (en su caso) grado de aplicación de las recomendaciones derivadas de la evaluación 2024</w:t>
            </w:r>
            <w:r w:rsidR="009F4C6A">
              <w:rPr>
                <w:noProof/>
                <w:webHidden/>
              </w:rPr>
              <w:tab/>
            </w:r>
            <w:r w:rsidR="009F4C6A">
              <w:rPr>
                <w:noProof/>
                <w:webHidden/>
              </w:rPr>
              <w:fldChar w:fldCharType="begin"/>
            </w:r>
            <w:r w:rsidR="009F4C6A">
              <w:rPr>
                <w:noProof/>
                <w:webHidden/>
              </w:rPr>
              <w:instrText xml:space="preserve"> PAGEREF _Toc219463064 \h </w:instrText>
            </w:r>
            <w:r w:rsidR="009F4C6A">
              <w:rPr>
                <w:noProof/>
                <w:webHidden/>
              </w:rPr>
            </w:r>
            <w:r w:rsidR="009F4C6A">
              <w:rPr>
                <w:noProof/>
                <w:webHidden/>
              </w:rPr>
              <w:fldChar w:fldCharType="separate"/>
            </w:r>
            <w:r w:rsidR="009F4C6A">
              <w:rPr>
                <w:noProof/>
                <w:webHidden/>
              </w:rPr>
              <w:t>22</w:t>
            </w:r>
            <w:r w:rsidR="009F4C6A">
              <w:rPr>
                <w:noProof/>
                <w:webHidden/>
              </w:rPr>
              <w:fldChar w:fldCharType="end"/>
            </w:r>
          </w:hyperlink>
        </w:p>
        <w:p w14:paraId="57D0481E" w14:textId="3029B50A" w:rsidR="009F4C6A" w:rsidRDefault="00CE2AF5">
          <w:pPr>
            <w:pStyle w:val="TDC1"/>
            <w:rPr>
              <w:rFonts w:asciiTheme="minorHAnsi" w:hAnsiTheme="minorHAnsi"/>
              <w:noProof/>
              <w:szCs w:val="22"/>
            </w:rPr>
          </w:pPr>
          <w:hyperlink w:anchor="_Toc219463065" w:history="1">
            <w:r w:rsidR="009F4C6A" w:rsidRPr="008E777D">
              <w:rPr>
                <w:rStyle w:val="Hipervnculo"/>
                <w:noProof/>
                <w:lang w:eastAsia="en-US"/>
              </w:rPr>
              <w:t>Anexo III: Transparencia voluntaria en las entidades evaluadas por primera vez en 2025</w:t>
            </w:r>
            <w:r w:rsidR="009F4C6A">
              <w:rPr>
                <w:noProof/>
                <w:webHidden/>
              </w:rPr>
              <w:tab/>
            </w:r>
            <w:r w:rsidR="009F4C6A">
              <w:rPr>
                <w:noProof/>
                <w:webHidden/>
              </w:rPr>
              <w:fldChar w:fldCharType="begin"/>
            </w:r>
            <w:r w:rsidR="009F4C6A">
              <w:rPr>
                <w:noProof/>
                <w:webHidden/>
              </w:rPr>
              <w:instrText xml:space="preserve"> PAGEREF _Toc219463065 \h </w:instrText>
            </w:r>
            <w:r w:rsidR="009F4C6A">
              <w:rPr>
                <w:noProof/>
                <w:webHidden/>
              </w:rPr>
            </w:r>
            <w:r w:rsidR="009F4C6A">
              <w:rPr>
                <w:noProof/>
                <w:webHidden/>
              </w:rPr>
              <w:fldChar w:fldCharType="separate"/>
            </w:r>
            <w:r w:rsidR="009F4C6A">
              <w:rPr>
                <w:noProof/>
                <w:webHidden/>
              </w:rPr>
              <w:t>25</w:t>
            </w:r>
            <w:r w:rsidR="009F4C6A">
              <w:rPr>
                <w:noProof/>
                <w:webHidden/>
              </w:rPr>
              <w:fldChar w:fldCharType="end"/>
            </w:r>
          </w:hyperlink>
        </w:p>
        <w:p w14:paraId="6C6B8A7A" w14:textId="551C2C10" w:rsidR="009F4C6A" w:rsidRDefault="00CE2AF5">
          <w:pPr>
            <w:pStyle w:val="TDC1"/>
            <w:rPr>
              <w:rFonts w:asciiTheme="minorHAnsi" w:hAnsiTheme="minorHAnsi"/>
              <w:noProof/>
              <w:szCs w:val="22"/>
            </w:rPr>
          </w:pPr>
          <w:hyperlink w:anchor="_Toc219463066" w:history="1">
            <w:r w:rsidR="009F4C6A" w:rsidRPr="008E777D">
              <w:rPr>
                <w:rStyle w:val="Hipervnculo"/>
                <w:noProof/>
                <w:lang w:eastAsia="en-US"/>
              </w:rPr>
              <w:t>Anexo IV: Buenas prácticas en las entidades evaluadas por primera vez en 2025</w:t>
            </w:r>
            <w:r w:rsidR="009F4C6A">
              <w:rPr>
                <w:noProof/>
                <w:webHidden/>
              </w:rPr>
              <w:tab/>
            </w:r>
            <w:r w:rsidR="009F4C6A">
              <w:rPr>
                <w:noProof/>
                <w:webHidden/>
              </w:rPr>
              <w:fldChar w:fldCharType="begin"/>
            </w:r>
            <w:r w:rsidR="009F4C6A">
              <w:rPr>
                <w:noProof/>
                <w:webHidden/>
              </w:rPr>
              <w:instrText xml:space="preserve"> PAGEREF _Toc219463066 \h </w:instrText>
            </w:r>
            <w:r w:rsidR="009F4C6A">
              <w:rPr>
                <w:noProof/>
                <w:webHidden/>
              </w:rPr>
            </w:r>
            <w:r w:rsidR="009F4C6A">
              <w:rPr>
                <w:noProof/>
                <w:webHidden/>
              </w:rPr>
              <w:fldChar w:fldCharType="separate"/>
            </w:r>
            <w:r w:rsidR="009F4C6A">
              <w:rPr>
                <w:noProof/>
                <w:webHidden/>
              </w:rPr>
              <w:t>27</w:t>
            </w:r>
            <w:r w:rsidR="009F4C6A">
              <w:rPr>
                <w:noProof/>
                <w:webHidden/>
              </w:rPr>
              <w:fldChar w:fldCharType="end"/>
            </w:r>
          </w:hyperlink>
        </w:p>
        <w:p w14:paraId="792540F4" w14:textId="74AC5384" w:rsidR="00E924EF" w:rsidRPr="00E719EF" w:rsidRDefault="00E924EF">
          <w:pPr>
            <w:rPr>
              <w:sz w:val="18"/>
              <w:szCs w:val="18"/>
            </w:rPr>
          </w:pPr>
          <w:r w:rsidRPr="00454377">
            <w:rPr>
              <w:b/>
              <w:bCs/>
              <w:sz w:val="18"/>
              <w:szCs w:val="18"/>
            </w:rPr>
            <w:fldChar w:fldCharType="end"/>
          </w:r>
          <w:r w:rsidR="001E40D9">
            <w:rPr>
              <w:sz w:val="18"/>
              <w:szCs w:val="18"/>
            </w:rPr>
            <w:t xml:space="preserve"> </w:t>
          </w:r>
        </w:p>
      </w:sdtContent>
    </w:sdt>
    <w:p w14:paraId="2539D33E" w14:textId="77777777" w:rsidR="00743995" w:rsidRDefault="00E924EF" w:rsidP="00022692">
      <w:pPr>
        <w:pStyle w:val="Ttulo1"/>
        <w:numPr>
          <w:ilvl w:val="0"/>
          <w:numId w:val="9"/>
        </w:numPr>
      </w:pPr>
      <w:r w:rsidRPr="00E719EF">
        <w:rPr>
          <w:sz w:val="18"/>
          <w:szCs w:val="18"/>
        </w:rPr>
        <w:br w:type="page"/>
      </w:r>
      <w:bookmarkStart w:id="0" w:name="_Toc219463050"/>
      <w:r w:rsidR="005F586A" w:rsidRPr="008B6C8E">
        <w:lastRenderedPageBreak/>
        <w:t>Introducción</w:t>
      </w:r>
      <w:bookmarkEnd w:id="0"/>
    </w:p>
    <w:p w14:paraId="3669BC14" w14:textId="77777777" w:rsidR="00743995" w:rsidRDefault="00743995"/>
    <w:p w14:paraId="2EBEE1B4" w14:textId="119DF2F7" w:rsidR="00015DB5" w:rsidRPr="00561A62" w:rsidRDefault="00015DB5" w:rsidP="00015DB5">
      <w:r w:rsidRPr="00561A62">
        <w:t xml:space="preserve">El presente informe recoge los resultados agregados de la evaluación del cumplimiento de las obligaciones de publicidad activa correspondiente a </w:t>
      </w:r>
      <w:r w:rsidR="00815D72">
        <w:t>8</w:t>
      </w:r>
      <w:r w:rsidR="00D7656F">
        <w:t>4</w:t>
      </w:r>
      <w:r w:rsidRPr="00561A62">
        <w:t xml:space="preserve"> entidades que, a lo largo de 202</w:t>
      </w:r>
      <w:r w:rsidR="00815D72">
        <w:t>4</w:t>
      </w:r>
      <w:r w:rsidRPr="00561A62">
        <w:t>, han percibido subvenciones y/o ayudas públicas.</w:t>
      </w:r>
    </w:p>
    <w:p w14:paraId="6BE58D3B" w14:textId="0BC1597D" w:rsidR="00015DB5" w:rsidRPr="00561A62" w:rsidRDefault="00015DB5" w:rsidP="00015DB5">
      <w:r w:rsidRPr="00561A62">
        <w:t>Para la evaluación del cumplimiento de las obligaciones de publicidad activa se ha aplicado la metodología MESTA</w:t>
      </w:r>
      <w:r w:rsidRPr="00D15F0F">
        <w:rPr>
          <w:rStyle w:val="Refdenotaalpie"/>
        </w:rPr>
        <w:footnoteReference w:id="1"/>
      </w:r>
      <w:r w:rsidRPr="00D15F0F">
        <w:t xml:space="preserve">, </w:t>
      </w:r>
      <w:r w:rsidRPr="00561A62">
        <w:t xml:space="preserve">desarrollada conjuntamente por el </w:t>
      </w:r>
      <w:r w:rsidR="00D2076E">
        <w:t>Consejo de Transparencia</w:t>
      </w:r>
      <w:r w:rsidRPr="00561A62">
        <w:t xml:space="preserve"> y la extinguida </w:t>
      </w:r>
      <w:r w:rsidR="00D2076E">
        <w:t>Agencia Estatal de Evaluación de las Políticas Públicas y la Calidad de los Servicios (</w:t>
      </w:r>
      <w:r w:rsidRPr="00561A62">
        <w:t>AEVAL</w:t>
      </w:r>
      <w:r w:rsidR="00D2076E">
        <w:t>)</w:t>
      </w:r>
      <w:r w:rsidRPr="00561A62">
        <w:t xml:space="preserve">. Se ha analizado el grado de publicación de contenidos </w:t>
      </w:r>
      <w:r w:rsidRPr="00D15F0F">
        <w:t xml:space="preserve">obligatorios, </w:t>
      </w:r>
      <w:r w:rsidRPr="00561A62">
        <w:t>así como el cumplimiento de los criterios en cuanto a la forma de publicación y los atributos de calidad aplicables a la información publicada que establece la L</w:t>
      </w:r>
      <w:r>
        <w:t>ey 19/2013</w:t>
      </w:r>
      <w:r w:rsidR="00D2076E">
        <w:t>, de 9 de diciembre,</w:t>
      </w:r>
      <w:r>
        <w:t xml:space="preserve"> de transparencia, acceso a la información pública y buen gobierno (L</w:t>
      </w:r>
      <w:r w:rsidRPr="00561A62">
        <w:t>TAIBG</w:t>
      </w:r>
      <w:r>
        <w:t>)</w:t>
      </w:r>
      <w:r w:rsidRPr="00561A62">
        <w:t>. Para ello, se ha efectuado una revisión en profundidad de los portales de transparencia y/o las webs institucionales de las entidades seleccionadas.</w:t>
      </w:r>
    </w:p>
    <w:p w14:paraId="6067FE47" w14:textId="5A63124A" w:rsidR="00015DB5" w:rsidRPr="00561A62" w:rsidRDefault="00015DB5" w:rsidP="00015DB5">
      <w:r w:rsidRPr="00561A62">
        <w:t xml:space="preserve">En el caso de </w:t>
      </w:r>
      <w:r w:rsidR="00D2076E">
        <w:t>22</w:t>
      </w:r>
      <w:r w:rsidRPr="00561A62">
        <w:t xml:space="preserve"> de las entidades evaluadas, se ha efectuado una revisión del grado de aplicación de las recomendaciones derivadas de la evaluación realizada en 202</w:t>
      </w:r>
      <w:r w:rsidR="00D2076E">
        <w:t>4</w:t>
      </w:r>
      <w:r w:rsidRPr="00561A62">
        <w:t xml:space="preserve">. Otras </w:t>
      </w:r>
      <w:r w:rsidR="00D2076E">
        <w:t>6</w:t>
      </w:r>
      <w:r w:rsidR="00D7656F">
        <w:t>2</w:t>
      </w:r>
      <w:r w:rsidRPr="00561A62">
        <w:t xml:space="preserve"> han sido evaluadas por primera vez en 202</w:t>
      </w:r>
      <w:r w:rsidR="00D2076E">
        <w:t>5</w:t>
      </w:r>
      <w:r w:rsidRPr="00561A62">
        <w:t xml:space="preserve">. La selección de estas últimas entidades se ha efectuado mediante muestreo aleatorio estratificado por tipo de entidad perceptora de subvenciones o ayudas públicas por cuantía superior a 500.000 euros, a partir de la información </w:t>
      </w:r>
      <w:r w:rsidRPr="00146428">
        <w:t>co</w:t>
      </w:r>
      <w:r w:rsidRPr="00B970D0">
        <w:t>ntenida</w:t>
      </w:r>
      <w:r w:rsidRPr="00146428">
        <w:t xml:space="preserve"> en la </w:t>
      </w:r>
      <w:r w:rsidRPr="00561A62">
        <w:t>Base de Datos Nacional de Subvenciones</w:t>
      </w:r>
      <w:r w:rsidR="0063705B">
        <w:t xml:space="preserve"> (BDNS)</w:t>
      </w:r>
      <w:r w:rsidRPr="00561A62">
        <w:t>.</w:t>
      </w:r>
    </w:p>
    <w:p w14:paraId="1092CEB9" w14:textId="0CF9D9B8" w:rsidR="00015DB5" w:rsidRPr="00561A62" w:rsidRDefault="00015DB5" w:rsidP="00015DB5">
      <w:r w:rsidRPr="00561A62">
        <w:t xml:space="preserve">La evaluación del cumplimiento de las obligaciones de publicidad activa se ha realizado con recursos propios del </w:t>
      </w:r>
      <w:r w:rsidR="0063705B">
        <w:t>Consejo</w:t>
      </w:r>
      <w:r w:rsidRPr="00561A62">
        <w:t>.</w:t>
      </w:r>
    </w:p>
    <w:p w14:paraId="6B115C62" w14:textId="1304ECCE" w:rsidR="00015DB5" w:rsidRPr="00561A62" w:rsidRDefault="00015DB5" w:rsidP="00015DB5">
      <w:r w:rsidRPr="00561A62">
        <w:t xml:space="preserve">Los resultados de las evaluaciones se han documentado en </w:t>
      </w:r>
      <w:r w:rsidR="00AB6E2B">
        <w:t>99</w:t>
      </w:r>
      <w:r w:rsidRPr="00561A62">
        <w:t xml:space="preserve"> informes, que están publicados en la página Web del </w:t>
      </w:r>
      <w:r w:rsidR="0063705B">
        <w:t>Consejo</w:t>
      </w:r>
      <w:r w:rsidRPr="00561A62">
        <w:t>, y pueden agruparse de la siguiente manera:</w:t>
      </w:r>
    </w:p>
    <w:p w14:paraId="1411F8E4" w14:textId="16EBA227" w:rsidR="00015DB5" w:rsidRPr="00561A62" w:rsidRDefault="0063705B" w:rsidP="00015DB5">
      <w:pPr>
        <w:pStyle w:val="Prrafodelista"/>
        <w:numPr>
          <w:ilvl w:val="0"/>
          <w:numId w:val="10"/>
        </w:numPr>
      </w:pPr>
      <w:r>
        <w:t>8</w:t>
      </w:r>
      <w:r w:rsidR="00AB6E2B">
        <w:t>4</w:t>
      </w:r>
      <w:r w:rsidR="00015DB5" w:rsidRPr="00561A62">
        <w:t xml:space="preserve"> informes individuales resultantes de la evaluación del cumplimiento de las obligaciones de publicidad activa</w:t>
      </w:r>
      <w:r w:rsidR="00015DB5">
        <w:t>.</w:t>
      </w:r>
    </w:p>
    <w:p w14:paraId="1085FBDA" w14:textId="7EFD0BC4" w:rsidR="00015DB5" w:rsidRPr="00561A62" w:rsidRDefault="0063705B" w:rsidP="00015DB5">
      <w:pPr>
        <w:pStyle w:val="Prrafodelista"/>
        <w:numPr>
          <w:ilvl w:val="0"/>
          <w:numId w:val="10"/>
        </w:numPr>
      </w:pPr>
      <w:r>
        <w:t>15</w:t>
      </w:r>
      <w:r w:rsidR="00015DB5" w:rsidRPr="00561A62">
        <w:t xml:space="preserve"> informes de contestación a las observaciones efectuadas por las entidades que han formulado alegaciones a los informes provisionales de evaluación. </w:t>
      </w:r>
    </w:p>
    <w:p w14:paraId="7F1B966F" w14:textId="77777777" w:rsidR="00015DB5" w:rsidRDefault="00015DB5" w:rsidP="00015DB5"/>
    <w:p w14:paraId="60672206" w14:textId="77777777" w:rsidR="00015DB5" w:rsidRDefault="00015DB5" w:rsidP="00015DB5"/>
    <w:p w14:paraId="6F912A33" w14:textId="77777777" w:rsidR="00015DB5" w:rsidRDefault="00015DB5" w:rsidP="00015DB5"/>
    <w:p w14:paraId="2F0CE78E" w14:textId="77777777" w:rsidR="00015DB5" w:rsidRDefault="00015DB5" w:rsidP="00015DB5"/>
    <w:p w14:paraId="1D1C0456" w14:textId="77777777" w:rsidR="00015DB5" w:rsidRPr="00561A62" w:rsidRDefault="00015DB5" w:rsidP="00015DB5"/>
    <w:p w14:paraId="175E0DE1" w14:textId="77777777" w:rsidR="0047212C" w:rsidRPr="000405C4" w:rsidRDefault="00077CDF" w:rsidP="00077CDF">
      <w:pPr>
        <w:pStyle w:val="Ttulo1"/>
      </w:pPr>
      <w:bookmarkStart w:id="1" w:name="_Toc219463051"/>
      <w:r w:rsidRPr="000405C4">
        <w:lastRenderedPageBreak/>
        <w:t>I</w:t>
      </w:r>
      <w:r w:rsidR="0047212C" w:rsidRPr="000405C4">
        <w:t>I</w:t>
      </w:r>
      <w:r w:rsidRPr="000405C4">
        <w:t>.</w:t>
      </w:r>
      <w:r w:rsidR="0047212C" w:rsidRPr="000405C4">
        <w:t xml:space="preserve"> Alcance de la evaluación.</w:t>
      </w:r>
      <w:bookmarkEnd w:id="1"/>
      <w:r w:rsidR="0047212C" w:rsidRPr="000405C4">
        <w:t xml:space="preserve"> </w:t>
      </w:r>
    </w:p>
    <w:p w14:paraId="0E4741E4" w14:textId="77777777" w:rsidR="00CE43A8" w:rsidRPr="00CE43A8" w:rsidRDefault="00CE43A8" w:rsidP="00CE43A8"/>
    <w:p w14:paraId="5EB77070" w14:textId="0B3A4FFB" w:rsidR="005F586A" w:rsidRDefault="005A1B1B" w:rsidP="00077CDF">
      <w:pPr>
        <w:pStyle w:val="Ttulo2"/>
      </w:pPr>
      <w:bookmarkStart w:id="2" w:name="_Toc219463052"/>
      <w:r w:rsidRPr="005A1B1B">
        <w:t>II.1 Entidades incluidas en este grupo de sujetos obligados</w:t>
      </w:r>
      <w:bookmarkEnd w:id="2"/>
    </w:p>
    <w:p w14:paraId="18711402" w14:textId="66F90C7B" w:rsidR="00015DB5" w:rsidRDefault="00015DB5" w:rsidP="00015DB5"/>
    <w:p w14:paraId="10C220A3" w14:textId="6E1E922C" w:rsidR="00015DB5" w:rsidRDefault="00015DB5" w:rsidP="00015DB5">
      <w:r w:rsidRPr="00561A62">
        <w:t>Las entidades integrantes de este grupo de sujetos obligados</w:t>
      </w:r>
      <w:r>
        <w:t xml:space="preserve"> que han sido objeto de evaluación, tras ser</w:t>
      </w:r>
      <w:r w:rsidRPr="00561A62">
        <w:t xml:space="preserve"> seleccionadas a partir de la Base de Datos Nacional de Subvenciones mediante muestreo aleatorio</w:t>
      </w:r>
      <w:r w:rsidR="00B64350">
        <w:t>,</w:t>
      </w:r>
      <w:r w:rsidRPr="00561A62">
        <w:t xml:space="preserve"> son las siguientes:</w:t>
      </w:r>
    </w:p>
    <w:p w14:paraId="25DAA1F7" w14:textId="77777777" w:rsidR="00A92200" w:rsidRDefault="00A92200" w:rsidP="00015DB5"/>
    <w:tbl>
      <w:tblPr>
        <w:tblW w:w="8921" w:type="dxa"/>
        <w:tblCellMar>
          <w:left w:w="70" w:type="dxa"/>
          <w:right w:w="70" w:type="dxa"/>
        </w:tblCellMar>
        <w:tblLook w:val="04A0" w:firstRow="1" w:lastRow="0" w:firstColumn="1" w:lastColumn="0" w:noHBand="0" w:noVBand="1"/>
      </w:tblPr>
      <w:tblGrid>
        <w:gridCol w:w="8921"/>
      </w:tblGrid>
      <w:tr w:rsidR="00A92200" w:rsidRPr="00D15F0F" w14:paraId="6F2B439E" w14:textId="77777777" w:rsidTr="000E56EC">
        <w:trPr>
          <w:trHeight w:val="300"/>
        </w:trPr>
        <w:tc>
          <w:tcPr>
            <w:tcW w:w="8921" w:type="dxa"/>
            <w:tcBorders>
              <w:top w:val="single" w:sz="8" w:space="0" w:color="438086"/>
              <w:left w:val="single" w:sz="8" w:space="0" w:color="438086"/>
              <w:bottom w:val="single" w:sz="8" w:space="0" w:color="438086"/>
              <w:right w:val="single" w:sz="8" w:space="0" w:color="438086"/>
            </w:tcBorders>
            <w:shd w:val="clear" w:color="000000" w:fill="438086"/>
            <w:noWrap/>
            <w:vAlign w:val="center"/>
            <w:hideMark/>
          </w:tcPr>
          <w:p w14:paraId="6E813DC3" w14:textId="705F6159" w:rsidR="00A92200" w:rsidRPr="00D15F0F" w:rsidRDefault="00A92200" w:rsidP="000E56EC">
            <w:pPr>
              <w:spacing w:after="0" w:line="240" w:lineRule="auto"/>
              <w:jc w:val="center"/>
              <w:rPr>
                <w:rFonts w:eastAsia="Times New Roman" w:cs="Calibri"/>
                <w:b/>
                <w:bCs/>
                <w:color w:val="FFFFFF"/>
                <w:sz w:val="20"/>
              </w:rPr>
            </w:pPr>
            <w:r w:rsidRPr="00A92200">
              <w:rPr>
                <w:rFonts w:eastAsia="Times New Roman" w:cs="Calibri"/>
                <w:b/>
                <w:bCs/>
                <w:color w:val="FFFFFF"/>
                <w:sz w:val="20"/>
              </w:rPr>
              <w:t>Revisión de la aplicación de recomendaciones 2024 y reevaluación</w:t>
            </w:r>
          </w:p>
        </w:tc>
      </w:tr>
      <w:tr w:rsidR="00A92200" w:rsidRPr="00D15F0F" w14:paraId="7912306F"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tcPr>
          <w:p w14:paraId="61C5B734" w14:textId="26EFAF58" w:rsidR="00A92200" w:rsidRPr="00C3034E" w:rsidRDefault="00A92200" w:rsidP="000E56EC">
            <w:pPr>
              <w:spacing w:after="0" w:line="240" w:lineRule="auto"/>
              <w:jc w:val="left"/>
              <w:rPr>
                <w:rFonts w:eastAsia="Times New Roman" w:cs="Calibri"/>
                <w:color w:val="000000"/>
                <w:sz w:val="20"/>
              </w:rPr>
            </w:pPr>
            <w:bookmarkStart w:id="3" w:name="_Hlk217911422"/>
            <w:r w:rsidRPr="00C3034E">
              <w:rPr>
                <w:rFonts w:eastAsia="Times New Roman" w:cs="Calibri"/>
                <w:color w:val="000000"/>
                <w:sz w:val="20"/>
              </w:rPr>
              <w:t>COORDINADORA DE ONG PARA EL DESARROLLO</w:t>
            </w:r>
          </w:p>
        </w:tc>
      </w:tr>
      <w:tr w:rsidR="00A92200" w:rsidRPr="00D15F0F" w14:paraId="763B4B51"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tcPr>
          <w:p w14:paraId="62EB4177" w14:textId="67027F1F" w:rsidR="00A92200" w:rsidRPr="00C3034E" w:rsidRDefault="00A92200" w:rsidP="000E56EC">
            <w:pPr>
              <w:spacing w:after="0" w:line="240" w:lineRule="auto"/>
              <w:jc w:val="left"/>
              <w:rPr>
                <w:rFonts w:eastAsia="Times New Roman" w:cs="Calibri"/>
                <w:color w:val="000000"/>
                <w:sz w:val="20"/>
              </w:rPr>
            </w:pPr>
            <w:r w:rsidRPr="00C3034E">
              <w:rPr>
                <w:rFonts w:eastAsia="Times New Roman" w:cs="Calibri"/>
                <w:color w:val="000000"/>
                <w:sz w:val="20"/>
              </w:rPr>
              <w:t>MÉDICOS DEL MUNDO</w:t>
            </w:r>
          </w:p>
        </w:tc>
      </w:tr>
      <w:bookmarkEnd w:id="3"/>
      <w:tr w:rsidR="00A92200" w:rsidRPr="00D15F0F" w14:paraId="3E3A6E1A"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tcPr>
          <w:p w14:paraId="5BC56181" w14:textId="28E200A7" w:rsidR="00A92200" w:rsidRPr="00C3034E" w:rsidRDefault="00A92200" w:rsidP="000E56EC">
            <w:pPr>
              <w:spacing w:after="0" w:line="240" w:lineRule="auto"/>
              <w:jc w:val="left"/>
              <w:rPr>
                <w:rFonts w:eastAsia="Times New Roman" w:cs="Calibri"/>
                <w:color w:val="000000"/>
                <w:sz w:val="20"/>
              </w:rPr>
            </w:pPr>
            <w:r w:rsidRPr="00C3034E">
              <w:rPr>
                <w:rFonts w:eastAsia="Times New Roman" w:cs="Calibri"/>
                <w:color w:val="000000"/>
                <w:sz w:val="20"/>
              </w:rPr>
              <w:t>ASOCIACION ESPAÑOLA CONTRA EL CÁNCER</w:t>
            </w:r>
          </w:p>
        </w:tc>
      </w:tr>
      <w:tr w:rsidR="00A92200" w:rsidRPr="00D15F0F" w14:paraId="7B503DB3"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tcPr>
          <w:p w14:paraId="629EA5EC" w14:textId="7981AB0A" w:rsidR="00A92200" w:rsidRPr="00C3034E" w:rsidRDefault="00A92200" w:rsidP="000E56EC">
            <w:pPr>
              <w:spacing w:after="0" w:line="240" w:lineRule="auto"/>
              <w:jc w:val="left"/>
              <w:rPr>
                <w:rFonts w:eastAsia="Times New Roman" w:cs="Calibri"/>
                <w:color w:val="000000"/>
                <w:sz w:val="20"/>
              </w:rPr>
            </w:pPr>
            <w:r w:rsidRPr="00C3034E">
              <w:rPr>
                <w:rFonts w:eastAsia="Times New Roman" w:cs="Calibri"/>
                <w:color w:val="000000"/>
                <w:sz w:val="20"/>
              </w:rPr>
              <w:t>REAL FEDERACIÓN ESPAÑOLA DE GIMNASIA</w:t>
            </w:r>
          </w:p>
        </w:tc>
      </w:tr>
      <w:tr w:rsidR="00A92200" w:rsidRPr="00D15F0F" w14:paraId="73F69475"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tcPr>
          <w:p w14:paraId="505BFC9B" w14:textId="39B994D6" w:rsidR="00A92200" w:rsidRPr="00C3034E" w:rsidRDefault="00A92200" w:rsidP="000E56EC">
            <w:pPr>
              <w:spacing w:after="0" w:line="240" w:lineRule="auto"/>
              <w:jc w:val="left"/>
              <w:rPr>
                <w:rFonts w:eastAsia="Times New Roman" w:cs="Calibri"/>
                <w:color w:val="000000"/>
                <w:sz w:val="20"/>
              </w:rPr>
            </w:pPr>
            <w:r w:rsidRPr="00C3034E">
              <w:rPr>
                <w:rFonts w:eastAsia="Times New Roman" w:cs="Calibri"/>
                <w:color w:val="000000"/>
                <w:sz w:val="20"/>
              </w:rPr>
              <w:t>INTERMON OXFAM</w:t>
            </w:r>
          </w:p>
        </w:tc>
      </w:tr>
      <w:tr w:rsidR="00A92200" w:rsidRPr="00D15F0F" w14:paraId="7E25D1EA"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tcPr>
          <w:p w14:paraId="55AA37A6" w14:textId="667631E0" w:rsidR="00A92200" w:rsidRPr="00C3034E" w:rsidRDefault="00A92200" w:rsidP="000E56EC">
            <w:pPr>
              <w:spacing w:after="0" w:line="240" w:lineRule="auto"/>
              <w:jc w:val="left"/>
              <w:rPr>
                <w:rFonts w:eastAsia="Times New Roman" w:cs="Calibri"/>
                <w:color w:val="000000"/>
                <w:sz w:val="20"/>
              </w:rPr>
            </w:pPr>
            <w:r w:rsidRPr="00C3034E">
              <w:rPr>
                <w:rFonts w:eastAsia="Times New Roman" w:cs="Calibri"/>
                <w:color w:val="000000"/>
                <w:sz w:val="20"/>
              </w:rPr>
              <w:t>PLATAFORMA DE ORGANIZACIONES DE INFANCIA</w:t>
            </w:r>
          </w:p>
        </w:tc>
      </w:tr>
      <w:tr w:rsidR="00A92200" w:rsidRPr="00D15F0F" w14:paraId="0165EE18"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tcPr>
          <w:p w14:paraId="0BF2EC75" w14:textId="1AE36578" w:rsidR="00A92200" w:rsidRPr="00C3034E" w:rsidRDefault="00A92200" w:rsidP="000E56EC">
            <w:pPr>
              <w:spacing w:after="0" w:line="240" w:lineRule="auto"/>
              <w:jc w:val="left"/>
              <w:rPr>
                <w:rFonts w:eastAsia="Times New Roman" w:cs="Calibri"/>
                <w:color w:val="000000"/>
                <w:sz w:val="20"/>
              </w:rPr>
            </w:pPr>
            <w:r w:rsidRPr="00C3034E">
              <w:rPr>
                <w:rFonts w:eastAsia="Times New Roman" w:cs="Calibri"/>
                <w:color w:val="000000"/>
                <w:sz w:val="20"/>
              </w:rPr>
              <w:t>REAL FEDERACIÓN ESPAÑOLA DE TENIS</w:t>
            </w:r>
          </w:p>
        </w:tc>
      </w:tr>
      <w:tr w:rsidR="00A92200" w:rsidRPr="00D15F0F" w14:paraId="1FD296D9"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hideMark/>
          </w:tcPr>
          <w:p w14:paraId="69CE063F" w14:textId="02DB7280" w:rsidR="00A92200" w:rsidRPr="00C3034E" w:rsidRDefault="00A92200" w:rsidP="000E56EC">
            <w:pPr>
              <w:spacing w:after="0" w:line="240" w:lineRule="auto"/>
              <w:jc w:val="left"/>
              <w:rPr>
                <w:rFonts w:eastAsia="Times New Roman" w:cs="Calibri"/>
                <w:color w:val="000000"/>
                <w:sz w:val="20"/>
              </w:rPr>
            </w:pPr>
            <w:r w:rsidRPr="00C3034E">
              <w:rPr>
                <w:rFonts w:eastAsia="Times New Roman" w:cs="Calibri"/>
                <w:color w:val="000000"/>
                <w:sz w:val="20"/>
              </w:rPr>
              <w:t>ASAMBLEA DE COOPERACIÓN POR LA PAZ</w:t>
            </w:r>
          </w:p>
        </w:tc>
      </w:tr>
      <w:tr w:rsidR="00A92200" w:rsidRPr="00D15F0F" w14:paraId="148EF0F6"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hideMark/>
          </w:tcPr>
          <w:p w14:paraId="6CF1D540" w14:textId="3CA0C97F" w:rsidR="00A92200" w:rsidRPr="00C3034E" w:rsidRDefault="00A92200" w:rsidP="000E56EC">
            <w:pPr>
              <w:spacing w:after="0" w:line="240" w:lineRule="auto"/>
              <w:jc w:val="left"/>
              <w:rPr>
                <w:rFonts w:eastAsia="Times New Roman" w:cs="Calibri"/>
                <w:color w:val="000000"/>
                <w:sz w:val="20"/>
              </w:rPr>
            </w:pPr>
            <w:r w:rsidRPr="00C3034E">
              <w:rPr>
                <w:rFonts w:eastAsia="Times New Roman" w:cs="Calibri"/>
                <w:color w:val="000000"/>
                <w:sz w:val="20"/>
              </w:rPr>
              <w:t>FUNDACIÓN RONALD MCDONALD</w:t>
            </w:r>
          </w:p>
        </w:tc>
      </w:tr>
      <w:tr w:rsidR="00A92200" w:rsidRPr="00D15F0F" w14:paraId="1690C6C2" w14:textId="77777777" w:rsidTr="00A92200">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tcPr>
          <w:p w14:paraId="4ABED8D2" w14:textId="2D3202F5" w:rsidR="00A92200" w:rsidRPr="00C3034E" w:rsidRDefault="00A92200" w:rsidP="000E56EC">
            <w:pPr>
              <w:spacing w:after="0" w:line="240" w:lineRule="auto"/>
              <w:jc w:val="left"/>
              <w:rPr>
                <w:rFonts w:eastAsia="Times New Roman" w:cs="Calibri"/>
                <w:color w:val="000000"/>
                <w:sz w:val="20"/>
              </w:rPr>
            </w:pPr>
            <w:r w:rsidRPr="00C3034E">
              <w:rPr>
                <w:rFonts w:eastAsia="Times New Roman" w:cs="Calibri"/>
                <w:color w:val="000000"/>
                <w:sz w:val="20"/>
              </w:rPr>
              <w:t>FUNDACIÓN TOMILLO</w:t>
            </w:r>
          </w:p>
        </w:tc>
      </w:tr>
      <w:tr w:rsidR="00A92200" w:rsidRPr="00D15F0F" w14:paraId="03FC00B5"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hideMark/>
          </w:tcPr>
          <w:p w14:paraId="4B25CB7B" w14:textId="69B1C1B4" w:rsidR="00A92200" w:rsidRPr="00C3034E" w:rsidRDefault="001929B5" w:rsidP="000E56EC">
            <w:pPr>
              <w:spacing w:after="0" w:line="240" w:lineRule="auto"/>
              <w:jc w:val="left"/>
              <w:rPr>
                <w:rFonts w:eastAsia="Times New Roman" w:cs="Calibri"/>
                <w:color w:val="000000"/>
                <w:sz w:val="20"/>
              </w:rPr>
            </w:pPr>
            <w:r w:rsidRPr="00C3034E">
              <w:rPr>
                <w:rFonts w:eastAsia="Times New Roman" w:cs="Calibri"/>
                <w:color w:val="000000"/>
                <w:sz w:val="20"/>
              </w:rPr>
              <w:t>BUREAU VERITAS INSPECCION Y TESTING, S.L. UNIPERSONAL</w:t>
            </w:r>
          </w:p>
        </w:tc>
      </w:tr>
      <w:tr w:rsidR="00A92200" w:rsidRPr="00D15F0F" w14:paraId="1036BF0A"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hideMark/>
          </w:tcPr>
          <w:p w14:paraId="75B3DD1E" w14:textId="47F875F2" w:rsidR="00A92200" w:rsidRPr="00C3034E" w:rsidRDefault="001929B5" w:rsidP="000E56EC">
            <w:pPr>
              <w:spacing w:after="0" w:line="240" w:lineRule="auto"/>
              <w:jc w:val="left"/>
              <w:rPr>
                <w:rFonts w:eastAsia="Times New Roman" w:cs="Calibri"/>
                <w:color w:val="000000"/>
                <w:sz w:val="20"/>
              </w:rPr>
            </w:pPr>
            <w:r w:rsidRPr="00C3034E">
              <w:rPr>
                <w:rFonts w:eastAsia="Times New Roman" w:cs="Calibri"/>
                <w:color w:val="000000"/>
                <w:sz w:val="20"/>
              </w:rPr>
              <w:t>MOVIMIENTO SCOUT CATOLICO</w:t>
            </w:r>
          </w:p>
        </w:tc>
      </w:tr>
      <w:tr w:rsidR="00A92200" w:rsidRPr="00D15F0F" w14:paraId="30B68E43"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hideMark/>
          </w:tcPr>
          <w:p w14:paraId="1F4B8EEB" w14:textId="4F5B1BCC" w:rsidR="00A92200" w:rsidRPr="00C3034E" w:rsidRDefault="001929B5" w:rsidP="000E56EC">
            <w:pPr>
              <w:spacing w:after="0" w:line="240" w:lineRule="auto"/>
              <w:jc w:val="left"/>
              <w:rPr>
                <w:rFonts w:eastAsia="Times New Roman" w:cs="Calibri"/>
                <w:color w:val="000000"/>
                <w:sz w:val="20"/>
              </w:rPr>
            </w:pPr>
            <w:r w:rsidRPr="00C3034E">
              <w:rPr>
                <w:rFonts w:eastAsia="Times New Roman" w:cs="Calibri"/>
                <w:color w:val="000000"/>
                <w:sz w:val="20"/>
              </w:rPr>
              <w:t>ILUNION LAVANDERIAS SA</w:t>
            </w:r>
          </w:p>
        </w:tc>
      </w:tr>
      <w:tr w:rsidR="00A92200" w:rsidRPr="00D15F0F" w14:paraId="4C62F6AE"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hideMark/>
          </w:tcPr>
          <w:p w14:paraId="667C5F5A" w14:textId="285022E5" w:rsidR="00A92200" w:rsidRPr="00C3034E" w:rsidRDefault="00C3034E" w:rsidP="000E56EC">
            <w:pPr>
              <w:spacing w:after="0" w:line="240" w:lineRule="auto"/>
              <w:jc w:val="left"/>
              <w:rPr>
                <w:rFonts w:eastAsia="Times New Roman" w:cs="Calibri"/>
                <w:color w:val="000000"/>
                <w:sz w:val="20"/>
              </w:rPr>
            </w:pPr>
            <w:r w:rsidRPr="00C3034E">
              <w:rPr>
                <w:rFonts w:eastAsia="Times New Roman" w:cs="Calibri"/>
                <w:color w:val="000000"/>
                <w:sz w:val="20"/>
              </w:rPr>
              <w:t>FUNDACIÓN DEL TORO DE LIDIA</w:t>
            </w:r>
          </w:p>
        </w:tc>
      </w:tr>
      <w:tr w:rsidR="00A92200" w:rsidRPr="00D15F0F" w14:paraId="554165E8" w14:textId="77777777" w:rsidTr="00C3034E">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tcPr>
          <w:p w14:paraId="0B9E5C23" w14:textId="0BFDA96E" w:rsidR="00A92200" w:rsidRPr="00C3034E" w:rsidRDefault="00C3034E" w:rsidP="000E56EC">
            <w:pPr>
              <w:spacing w:after="0" w:line="240" w:lineRule="auto"/>
              <w:jc w:val="left"/>
              <w:rPr>
                <w:rFonts w:eastAsia="Times New Roman" w:cs="Calibri"/>
                <w:color w:val="000000"/>
                <w:sz w:val="20"/>
              </w:rPr>
            </w:pPr>
            <w:r w:rsidRPr="00C3034E">
              <w:rPr>
                <w:rFonts w:eastAsia="Times New Roman" w:cs="Calibri"/>
                <w:color w:val="000000"/>
                <w:sz w:val="20"/>
              </w:rPr>
              <w:t>CONFEDERACIÓN EMPRESARIAL DE HOSTELERÍA DE ESPAÑA</w:t>
            </w:r>
          </w:p>
        </w:tc>
      </w:tr>
      <w:tr w:rsidR="00A92200" w:rsidRPr="00D15F0F" w14:paraId="22954916" w14:textId="77777777" w:rsidTr="00C3034E">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tcPr>
          <w:p w14:paraId="48EF6227" w14:textId="4769B43C" w:rsidR="00A92200" w:rsidRPr="00C3034E" w:rsidRDefault="00C3034E" w:rsidP="000E56EC">
            <w:pPr>
              <w:spacing w:after="0" w:line="240" w:lineRule="auto"/>
              <w:jc w:val="left"/>
              <w:rPr>
                <w:rFonts w:eastAsia="Times New Roman" w:cs="Calibri"/>
                <w:color w:val="000000"/>
                <w:sz w:val="20"/>
              </w:rPr>
            </w:pPr>
            <w:r w:rsidRPr="00C3034E">
              <w:rPr>
                <w:rFonts w:eastAsia="Times New Roman" w:cs="Calibri"/>
                <w:color w:val="000000"/>
                <w:sz w:val="20"/>
              </w:rPr>
              <w:t>UNION DE PROFESIONALES Y TRABAJADORES AUTONOMOS DE ESPAÑA (UPTA)</w:t>
            </w:r>
          </w:p>
        </w:tc>
      </w:tr>
      <w:tr w:rsidR="00A92200" w:rsidRPr="00D15F0F" w14:paraId="28EE92B6" w14:textId="77777777" w:rsidTr="00C3034E">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tcPr>
          <w:p w14:paraId="54219F71" w14:textId="178D844E" w:rsidR="00A92200" w:rsidRPr="00C3034E" w:rsidRDefault="00C3034E" w:rsidP="000E56EC">
            <w:pPr>
              <w:spacing w:after="0" w:line="240" w:lineRule="auto"/>
              <w:jc w:val="left"/>
              <w:rPr>
                <w:rFonts w:eastAsia="Times New Roman" w:cs="Calibri"/>
                <w:color w:val="000000"/>
                <w:sz w:val="20"/>
              </w:rPr>
            </w:pPr>
            <w:r w:rsidRPr="00C3034E">
              <w:rPr>
                <w:rFonts w:eastAsia="Times New Roman" w:cs="Calibri"/>
                <w:color w:val="000000"/>
                <w:sz w:val="20"/>
              </w:rPr>
              <w:t>CONFEDERACION ESPAÑOLA DE ASOCIACIONES DE JOVENES EMPRESARIOS</w:t>
            </w:r>
          </w:p>
        </w:tc>
      </w:tr>
      <w:tr w:rsidR="00A92200" w:rsidRPr="00D15F0F" w14:paraId="1C8B5AF1" w14:textId="77777777" w:rsidTr="00C3034E">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tcPr>
          <w:p w14:paraId="637F0FBB" w14:textId="78A665BC" w:rsidR="00A92200" w:rsidRPr="00C3034E" w:rsidRDefault="00C3034E" w:rsidP="000E56EC">
            <w:pPr>
              <w:spacing w:after="0" w:line="240" w:lineRule="auto"/>
              <w:jc w:val="left"/>
              <w:rPr>
                <w:rFonts w:eastAsia="Times New Roman" w:cs="Calibri"/>
                <w:color w:val="000000"/>
                <w:sz w:val="20"/>
              </w:rPr>
            </w:pPr>
            <w:r w:rsidRPr="00C3034E">
              <w:rPr>
                <w:rFonts w:eastAsia="Times New Roman" w:cs="Calibri"/>
                <w:color w:val="000000"/>
                <w:sz w:val="20"/>
              </w:rPr>
              <w:t>FUNDACIÓN PARA LAS TECNOLOGIAS AUXILIARES DE LA AGRICULTURA</w:t>
            </w:r>
          </w:p>
        </w:tc>
      </w:tr>
      <w:tr w:rsidR="00C3034E" w:rsidRPr="00D15F0F" w14:paraId="2F09CE6B"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hideMark/>
          </w:tcPr>
          <w:p w14:paraId="292C9982" w14:textId="0A1F21FE" w:rsidR="00C3034E" w:rsidRPr="00C3034E" w:rsidRDefault="00C3034E" w:rsidP="00C3034E">
            <w:pPr>
              <w:spacing w:after="0" w:line="240" w:lineRule="auto"/>
              <w:jc w:val="left"/>
              <w:rPr>
                <w:rFonts w:eastAsia="Times New Roman" w:cs="Calibri"/>
                <w:color w:val="000000"/>
                <w:sz w:val="20"/>
              </w:rPr>
            </w:pPr>
            <w:r w:rsidRPr="00C3034E">
              <w:rPr>
                <w:rFonts w:eastAsia="Times New Roman" w:cs="Calibri"/>
                <w:color w:val="000000"/>
                <w:sz w:val="20"/>
              </w:rPr>
              <w:t xml:space="preserve">TORRASPAPEL, </w:t>
            </w:r>
            <w:proofErr w:type="gramStart"/>
            <w:r w:rsidRPr="00C3034E">
              <w:rPr>
                <w:rFonts w:eastAsia="Times New Roman" w:cs="Calibri"/>
                <w:color w:val="000000"/>
                <w:sz w:val="20"/>
              </w:rPr>
              <w:t>S.A</w:t>
            </w:r>
            <w:proofErr w:type="gramEnd"/>
          </w:p>
        </w:tc>
      </w:tr>
      <w:tr w:rsidR="00C3034E" w:rsidRPr="00D15F0F" w14:paraId="1A9C3F92"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hideMark/>
          </w:tcPr>
          <w:p w14:paraId="2640AF92" w14:textId="6767CFE2" w:rsidR="00C3034E" w:rsidRPr="00C3034E" w:rsidRDefault="00C3034E" w:rsidP="00C3034E">
            <w:pPr>
              <w:spacing w:after="0" w:line="240" w:lineRule="auto"/>
              <w:jc w:val="left"/>
              <w:rPr>
                <w:rFonts w:eastAsia="Times New Roman" w:cs="Calibri"/>
                <w:color w:val="000000"/>
                <w:sz w:val="20"/>
              </w:rPr>
            </w:pPr>
            <w:r w:rsidRPr="00C3034E">
              <w:rPr>
                <w:rFonts w:eastAsia="Times New Roman" w:cs="Calibri"/>
                <w:color w:val="000000"/>
                <w:sz w:val="20"/>
              </w:rPr>
              <w:t>SOLIDARIDAD Y TRAB.VIRGEN CAMINO S.L.</w:t>
            </w:r>
          </w:p>
        </w:tc>
      </w:tr>
      <w:tr w:rsidR="00C3034E" w:rsidRPr="00D15F0F" w14:paraId="5962CE6B"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hideMark/>
          </w:tcPr>
          <w:p w14:paraId="773F7B1C" w14:textId="149EFD4D" w:rsidR="00C3034E" w:rsidRPr="00C3034E" w:rsidRDefault="00C3034E" w:rsidP="00C3034E">
            <w:pPr>
              <w:spacing w:after="0" w:line="240" w:lineRule="auto"/>
              <w:jc w:val="left"/>
              <w:rPr>
                <w:rFonts w:eastAsia="Times New Roman" w:cs="Calibri"/>
                <w:color w:val="000000"/>
                <w:sz w:val="20"/>
              </w:rPr>
            </w:pPr>
            <w:r w:rsidRPr="00C3034E">
              <w:rPr>
                <w:rFonts w:eastAsia="Times New Roman" w:cs="Calibri"/>
                <w:color w:val="000000"/>
                <w:sz w:val="20"/>
              </w:rPr>
              <w:t>RIBERCAMP, COOP. V</w:t>
            </w:r>
          </w:p>
        </w:tc>
      </w:tr>
      <w:tr w:rsidR="00C3034E" w:rsidRPr="00D15F0F" w14:paraId="0FEA7AA8" w14:textId="77777777" w:rsidTr="000E56EC">
        <w:trPr>
          <w:trHeight w:val="300"/>
        </w:trPr>
        <w:tc>
          <w:tcPr>
            <w:tcW w:w="8921" w:type="dxa"/>
            <w:tcBorders>
              <w:top w:val="nil"/>
              <w:left w:val="single" w:sz="8" w:space="0" w:color="438086"/>
              <w:bottom w:val="single" w:sz="8" w:space="0" w:color="438086"/>
              <w:right w:val="single" w:sz="8" w:space="0" w:color="438086"/>
            </w:tcBorders>
            <w:shd w:val="clear" w:color="auto" w:fill="auto"/>
            <w:noWrap/>
            <w:vAlign w:val="center"/>
            <w:hideMark/>
          </w:tcPr>
          <w:p w14:paraId="3E95B26B" w14:textId="3268318A" w:rsidR="00C3034E" w:rsidRPr="00C3034E" w:rsidRDefault="00C3034E" w:rsidP="00C3034E">
            <w:pPr>
              <w:spacing w:after="0" w:line="240" w:lineRule="auto"/>
              <w:jc w:val="left"/>
              <w:rPr>
                <w:rFonts w:eastAsia="Times New Roman" w:cs="Calibri"/>
                <w:color w:val="000000"/>
                <w:sz w:val="20"/>
              </w:rPr>
            </w:pPr>
            <w:r w:rsidRPr="00C3034E">
              <w:rPr>
                <w:rFonts w:eastAsia="Times New Roman" w:cs="Calibri"/>
                <w:color w:val="000000"/>
                <w:sz w:val="20"/>
              </w:rPr>
              <w:t>AVATELTELECOM, S.A.</w:t>
            </w:r>
          </w:p>
        </w:tc>
      </w:tr>
    </w:tbl>
    <w:p w14:paraId="46956CD4" w14:textId="6D7CD35C" w:rsidR="00A92200" w:rsidRDefault="00A92200" w:rsidP="00015DB5"/>
    <w:tbl>
      <w:tblPr>
        <w:tblW w:w="8920" w:type="dxa"/>
        <w:tblCellMar>
          <w:left w:w="70" w:type="dxa"/>
          <w:right w:w="70" w:type="dxa"/>
        </w:tblCellMar>
        <w:tblLook w:val="04A0" w:firstRow="1" w:lastRow="0" w:firstColumn="1" w:lastColumn="0" w:noHBand="0" w:noVBand="1"/>
      </w:tblPr>
      <w:tblGrid>
        <w:gridCol w:w="8920"/>
      </w:tblGrid>
      <w:tr w:rsidR="00D15F0F" w:rsidRPr="00D15F0F" w14:paraId="0FE6A324" w14:textId="77777777" w:rsidTr="00454377">
        <w:trPr>
          <w:trHeight w:val="300"/>
          <w:tblHeader/>
        </w:trPr>
        <w:tc>
          <w:tcPr>
            <w:tcW w:w="8920" w:type="dxa"/>
            <w:tcBorders>
              <w:top w:val="single" w:sz="8" w:space="0" w:color="4F81BD"/>
              <w:left w:val="single" w:sz="8" w:space="0" w:color="438086"/>
              <w:bottom w:val="single" w:sz="8" w:space="0" w:color="438086"/>
              <w:right w:val="single" w:sz="8" w:space="0" w:color="438086"/>
            </w:tcBorders>
            <w:shd w:val="clear" w:color="000000" w:fill="438086"/>
            <w:noWrap/>
            <w:vAlign w:val="center"/>
            <w:hideMark/>
          </w:tcPr>
          <w:p w14:paraId="7D53B8D4" w14:textId="036F2CBD" w:rsidR="00D15F0F" w:rsidRPr="00D15F0F" w:rsidRDefault="004E5A5D" w:rsidP="00D15F0F">
            <w:pPr>
              <w:spacing w:after="0" w:line="240" w:lineRule="auto"/>
              <w:jc w:val="center"/>
              <w:rPr>
                <w:rFonts w:eastAsia="Times New Roman" w:cs="Calibri"/>
                <w:b/>
                <w:bCs/>
                <w:color w:val="FFFFFF"/>
                <w:sz w:val="20"/>
              </w:rPr>
            </w:pPr>
            <w:r>
              <w:rPr>
                <w:rFonts w:eastAsia="Times New Roman" w:cs="Calibri"/>
                <w:b/>
                <w:bCs/>
                <w:color w:val="FFFFFF"/>
                <w:sz w:val="20"/>
              </w:rPr>
              <w:t>Primera evaluación</w:t>
            </w:r>
            <w:r w:rsidR="00D15F0F" w:rsidRPr="00D15F0F">
              <w:rPr>
                <w:rFonts w:eastAsia="Times New Roman" w:cs="Calibri"/>
                <w:b/>
                <w:bCs/>
                <w:color w:val="FFFFFF"/>
                <w:sz w:val="20"/>
              </w:rPr>
              <w:t xml:space="preserve"> 202</w:t>
            </w:r>
            <w:r>
              <w:rPr>
                <w:rFonts w:eastAsia="Times New Roman" w:cs="Calibri"/>
                <w:b/>
                <w:bCs/>
                <w:color w:val="FFFFFF"/>
                <w:sz w:val="20"/>
              </w:rPr>
              <w:t>5</w:t>
            </w:r>
          </w:p>
        </w:tc>
      </w:tr>
      <w:tr w:rsidR="00C3034E" w:rsidRPr="00D15F0F" w14:paraId="0080C2F3"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1E0D54F3" w14:textId="763BD633" w:rsidR="00C3034E" w:rsidRPr="00C3034E" w:rsidRDefault="00C3034E" w:rsidP="00C3034E">
            <w:pPr>
              <w:spacing w:after="0" w:line="240" w:lineRule="auto"/>
              <w:jc w:val="left"/>
              <w:rPr>
                <w:rFonts w:eastAsia="Times New Roman" w:cs="Calibri"/>
                <w:color w:val="000000"/>
                <w:sz w:val="20"/>
              </w:rPr>
            </w:pPr>
            <w:r w:rsidRPr="00C3034E">
              <w:rPr>
                <w:sz w:val="20"/>
              </w:rPr>
              <w:t xml:space="preserve">FUNDACIÓN SECRETARIADO GITANO  </w:t>
            </w:r>
          </w:p>
        </w:tc>
      </w:tr>
      <w:tr w:rsidR="00C3034E" w:rsidRPr="00D15F0F" w14:paraId="7A1747F9"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66C3A17E" w14:textId="70954B33" w:rsidR="00C3034E" w:rsidRPr="00C3034E" w:rsidRDefault="00C3034E" w:rsidP="00C3034E">
            <w:pPr>
              <w:spacing w:after="0" w:line="240" w:lineRule="auto"/>
              <w:jc w:val="left"/>
              <w:rPr>
                <w:rFonts w:eastAsia="Times New Roman" w:cs="Calibri"/>
                <w:color w:val="000000"/>
                <w:sz w:val="20"/>
              </w:rPr>
            </w:pPr>
            <w:r w:rsidRPr="00C3034E">
              <w:rPr>
                <w:sz w:val="20"/>
              </w:rPr>
              <w:t>FUNDACION AMIGO</w:t>
            </w:r>
          </w:p>
        </w:tc>
      </w:tr>
      <w:tr w:rsidR="00C3034E" w:rsidRPr="00D15F0F" w14:paraId="751980F1"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6A3101A8" w14:textId="2A72DA4A" w:rsidR="00C3034E" w:rsidRPr="00C3034E" w:rsidRDefault="00C3034E" w:rsidP="00C3034E">
            <w:pPr>
              <w:spacing w:after="0" w:line="240" w:lineRule="auto"/>
              <w:jc w:val="left"/>
              <w:rPr>
                <w:rFonts w:eastAsia="Times New Roman" w:cs="Calibri"/>
                <w:color w:val="000000"/>
                <w:sz w:val="20"/>
              </w:rPr>
            </w:pPr>
            <w:r w:rsidRPr="00C3034E">
              <w:rPr>
                <w:sz w:val="20"/>
              </w:rPr>
              <w:t xml:space="preserve">ASOCIACIÓN INSERTA INNOVACIÓN  </w:t>
            </w:r>
          </w:p>
        </w:tc>
      </w:tr>
      <w:tr w:rsidR="00C3034E" w:rsidRPr="00D15F0F" w14:paraId="069917B2"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6E748181" w14:textId="132D1EFA" w:rsidR="00C3034E" w:rsidRPr="00C3034E" w:rsidRDefault="00C3034E" w:rsidP="00C3034E">
            <w:pPr>
              <w:spacing w:after="0" w:line="240" w:lineRule="auto"/>
              <w:jc w:val="left"/>
              <w:rPr>
                <w:rFonts w:eastAsia="Times New Roman" w:cs="Calibri"/>
                <w:color w:val="000000"/>
                <w:sz w:val="20"/>
              </w:rPr>
            </w:pPr>
            <w:r w:rsidRPr="00C3034E">
              <w:rPr>
                <w:sz w:val="20"/>
              </w:rPr>
              <w:t>FUNDACION CIDAUT</w:t>
            </w:r>
          </w:p>
        </w:tc>
      </w:tr>
      <w:tr w:rsidR="00C3034E" w:rsidRPr="00D15F0F" w14:paraId="2CF3AF95"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3A2EB572" w14:textId="450A2B58" w:rsidR="00C3034E" w:rsidRPr="00C3034E" w:rsidRDefault="00C3034E" w:rsidP="00C3034E">
            <w:pPr>
              <w:spacing w:after="0" w:line="240" w:lineRule="auto"/>
              <w:jc w:val="left"/>
              <w:rPr>
                <w:rFonts w:eastAsia="Times New Roman" w:cs="Calibri"/>
                <w:color w:val="000000"/>
                <w:sz w:val="20"/>
              </w:rPr>
            </w:pPr>
            <w:r w:rsidRPr="00C3034E">
              <w:rPr>
                <w:sz w:val="20"/>
              </w:rPr>
              <w:t>FUNDACIÓN ECOLOGÍA Y DESARROLLO</w:t>
            </w:r>
          </w:p>
        </w:tc>
      </w:tr>
      <w:tr w:rsidR="00C3034E" w:rsidRPr="00D15F0F" w14:paraId="6F4F33E4"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1BA3A074" w14:textId="322DB699" w:rsidR="00C3034E" w:rsidRPr="00C3034E" w:rsidRDefault="00C3034E" w:rsidP="00C3034E">
            <w:pPr>
              <w:spacing w:after="0" w:line="240" w:lineRule="auto"/>
              <w:jc w:val="left"/>
              <w:rPr>
                <w:rFonts w:eastAsia="Times New Roman" w:cs="Calibri"/>
                <w:color w:val="000000"/>
                <w:sz w:val="20"/>
              </w:rPr>
            </w:pPr>
            <w:r w:rsidRPr="00C3034E">
              <w:rPr>
                <w:sz w:val="20"/>
              </w:rPr>
              <w:t>FUNDACION SAN ROSENDO</w:t>
            </w:r>
          </w:p>
        </w:tc>
      </w:tr>
      <w:tr w:rsidR="00C3034E" w:rsidRPr="00D15F0F" w14:paraId="6429C884"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4C86A30B" w14:textId="1EC2C714" w:rsidR="00C3034E" w:rsidRPr="00C3034E" w:rsidRDefault="00C3034E" w:rsidP="00C3034E">
            <w:pPr>
              <w:spacing w:after="0" w:line="240" w:lineRule="auto"/>
              <w:jc w:val="left"/>
              <w:rPr>
                <w:rFonts w:eastAsia="Times New Roman" w:cs="Calibri"/>
                <w:color w:val="000000"/>
                <w:sz w:val="20"/>
              </w:rPr>
            </w:pPr>
            <w:r w:rsidRPr="00C3034E">
              <w:rPr>
                <w:sz w:val="20"/>
              </w:rPr>
              <w:lastRenderedPageBreak/>
              <w:t>FUNDACION UNIVERSITARIA SAN PABLO CEU</w:t>
            </w:r>
          </w:p>
        </w:tc>
      </w:tr>
      <w:tr w:rsidR="00C3034E" w:rsidRPr="00D15F0F" w14:paraId="0724B719"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31FE62E5" w14:textId="315C0649" w:rsidR="00C3034E" w:rsidRPr="00C3034E" w:rsidRDefault="00C3034E" w:rsidP="00C3034E">
            <w:pPr>
              <w:spacing w:after="0" w:line="240" w:lineRule="auto"/>
              <w:jc w:val="left"/>
              <w:rPr>
                <w:rFonts w:eastAsia="Times New Roman" w:cs="Calibri"/>
                <w:color w:val="000000"/>
                <w:sz w:val="20"/>
              </w:rPr>
            </w:pPr>
            <w:r w:rsidRPr="00C3034E">
              <w:rPr>
                <w:sz w:val="20"/>
              </w:rPr>
              <w:t>FUNDACIÓN SOLIDARIDAD AMARANTA</w:t>
            </w:r>
          </w:p>
        </w:tc>
      </w:tr>
      <w:tr w:rsidR="00C3034E" w:rsidRPr="00D15F0F" w14:paraId="20F9387E"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2690EDA2" w14:textId="3269E4F4" w:rsidR="00C3034E" w:rsidRPr="00C3034E" w:rsidRDefault="00C3034E" w:rsidP="00C3034E">
            <w:pPr>
              <w:spacing w:after="0" w:line="240" w:lineRule="auto"/>
              <w:jc w:val="left"/>
              <w:rPr>
                <w:rFonts w:eastAsia="Times New Roman" w:cs="Calibri"/>
                <w:color w:val="000000"/>
                <w:sz w:val="20"/>
              </w:rPr>
            </w:pPr>
            <w:r w:rsidRPr="00C3034E">
              <w:rPr>
                <w:sz w:val="20"/>
              </w:rPr>
              <w:t>FUNDACIÓN UNIVERSIDAD LOYOLA ANDALUCIA</w:t>
            </w:r>
          </w:p>
        </w:tc>
      </w:tr>
      <w:tr w:rsidR="00C3034E" w:rsidRPr="00D15F0F" w14:paraId="54C2E798"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13F90F0B" w14:textId="23813497" w:rsidR="00C3034E" w:rsidRPr="00C3034E" w:rsidRDefault="00C3034E" w:rsidP="00C3034E">
            <w:pPr>
              <w:spacing w:after="0" w:line="240" w:lineRule="auto"/>
              <w:jc w:val="left"/>
              <w:rPr>
                <w:rFonts w:eastAsia="Times New Roman" w:cs="Calibri"/>
                <w:color w:val="000000"/>
                <w:sz w:val="20"/>
              </w:rPr>
            </w:pPr>
            <w:r w:rsidRPr="00C3034E">
              <w:rPr>
                <w:sz w:val="20"/>
              </w:rPr>
              <w:t>FUNDACIÓN ARCHIVO MANUEL DE FALLA</w:t>
            </w:r>
          </w:p>
        </w:tc>
      </w:tr>
      <w:tr w:rsidR="00C3034E" w:rsidRPr="00D15F0F" w14:paraId="0E95294D"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543BA0D0" w14:textId="2ECB576E" w:rsidR="00C3034E" w:rsidRPr="00C3034E" w:rsidRDefault="00C3034E" w:rsidP="00C3034E">
            <w:pPr>
              <w:spacing w:after="0" w:line="240" w:lineRule="auto"/>
              <w:jc w:val="left"/>
              <w:rPr>
                <w:rFonts w:eastAsia="Times New Roman" w:cs="Calibri"/>
                <w:color w:val="000000"/>
                <w:sz w:val="20"/>
              </w:rPr>
            </w:pPr>
            <w:r w:rsidRPr="00C3034E">
              <w:rPr>
                <w:sz w:val="20"/>
              </w:rPr>
              <w:t xml:space="preserve">FUNDACIÓN CARMEN PARDO VALCARCE  </w:t>
            </w:r>
          </w:p>
        </w:tc>
      </w:tr>
      <w:tr w:rsidR="00C3034E" w:rsidRPr="00C3034E" w14:paraId="36B2780F"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0B5E2B5E" w14:textId="49E5D0E1" w:rsidR="00C3034E" w:rsidRPr="00C3034E" w:rsidRDefault="00C3034E" w:rsidP="00C3034E">
            <w:pPr>
              <w:spacing w:after="0" w:line="240" w:lineRule="auto"/>
              <w:jc w:val="left"/>
              <w:rPr>
                <w:rFonts w:eastAsia="Times New Roman" w:cs="Calibri"/>
                <w:color w:val="000000"/>
                <w:sz w:val="20"/>
              </w:rPr>
            </w:pPr>
            <w:r w:rsidRPr="00C3034E">
              <w:rPr>
                <w:sz w:val="20"/>
              </w:rPr>
              <w:t>ASOCIACIÓN INTERPROFESIONAL DEL CERDO IBÉRICO (ASICI)</w:t>
            </w:r>
          </w:p>
        </w:tc>
      </w:tr>
      <w:tr w:rsidR="00C3034E" w:rsidRPr="00D15F0F" w14:paraId="6B3007F9"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77B4B927" w14:textId="108B313E" w:rsidR="00C3034E" w:rsidRPr="00C3034E" w:rsidRDefault="00C3034E" w:rsidP="00C3034E">
            <w:pPr>
              <w:spacing w:after="0" w:line="240" w:lineRule="auto"/>
              <w:jc w:val="left"/>
              <w:rPr>
                <w:rFonts w:eastAsia="Times New Roman" w:cs="Calibri"/>
                <w:color w:val="000000"/>
                <w:sz w:val="20"/>
              </w:rPr>
            </w:pPr>
            <w:r w:rsidRPr="00C3034E">
              <w:rPr>
                <w:sz w:val="20"/>
              </w:rPr>
              <w:t>ASOCIACION ESPAÑOLA PARA LA PROMOCION DEL EMPLEO JOVEN</w:t>
            </w:r>
          </w:p>
        </w:tc>
      </w:tr>
      <w:tr w:rsidR="00C3034E" w:rsidRPr="009E5F7C" w14:paraId="49844748"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2CAED092" w14:textId="46ECC169" w:rsidR="00C3034E" w:rsidRPr="00C3034E" w:rsidRDefault="00C3034E" w:rsidP="00C3034E">
            <w:pPr>
              <w:spacing w:after="0" w:line="240" w:lineRule="auto"/>
              <w:jc w:val="left"/>
              <w:rPr>
                <w:rFonts w:eastAsia="Times New Roman" w:cs="Calibri"/>
                <w:color w:val="000000"/>
                <w:sz w:val="20"/>
                <w:lang w:val="en-GB"/>
              </w:rPr>
            </w:pPr>
            <w:r w:rsidRPr="00C3034E">
              <w:rPr>
                <w:sz w:val="20"/>
                <w:lang w:val="en-GB"/>
              </w:rPr>
              <w:t>ENVISION AESC SPAIN, S.L.U.</w:t>
            </w:r>
          </w:p>
        </w:tc>
      </w:tr>
      <w:tr w:rsidR="00C3034E" w:rsidRPr="00D15F0F" w14:paraId="4FA699C8"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72AF719D" w14:textId="03C4A13B" w:rsidR="00C3034E" w:rsidRPr="00C3034E" w:rsidRDefault="00C3034E" w:rsidP="00C3034E">
            <w:pPr>
              <w:spacing w:after="0" w:line="240" w:lineRule="auto"/>
              <w:jc w:val="left"/>
              <w:rPr>
                <w:rFonts w:eastAsia="Times New Roman" w:cs="Calibri"/>
                <w:color w:val="000000"/>
                <w:sz w:val="20"/>
              </w:rPr>
            </w:pPr>
            <w:r w:rsidRPr="00C3034E">
              <w:rPr>
                <w:sz w:val="20"/>
              </w:rPr>
              <w:t>STELLANTIS ESPAÑA SL</w:t>
            </w:r>
          </w:p>
        </w:tc>
      </w:tr>
      <w:tr w:rsidR="00C3034E" w:rsidRPr="00D15F0F" w14:paraId="05F0758D"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45667056" w14:textId="2969FDDF" w:rsidR="00C3034E" w:rsidRPr="00C3034E" w:rsidRDefault="00C3034E" w:rsidP="00C3034E">
            <w:pPr>
              <w:spacing w:after="0" w:line="240" w:lineRule="auto"/>
              <w:jc w:val="left"/>
              <w:rPr>
                <w:rFonts w:eastAsia="Times New Roman" w:cs="Calibri"/>
                <w:color w:val="000000"/>
                <w:sz w:val="20"/>
              </w:rPr>
            </w:pPr>
            <w:r w:rsidRPr="00C3034E">
              <w:rPr>
                <w:sz w:val="20"/>
              </w:rPr>
              <w:t>SEAT, S.A.</w:t>
            </w:r>
          </w:p>
        </w:tc>
      </w:tr>
      <w:tr w:rsidR="00C3034E" w:rsidRPr="00D15F0F" w14:paraId="78E27101"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74DA61AF" w14:textId="623D18A5" w:rsidR="00C3034E" w:rsidRPr="00C3034E" w:rsidRDefault="00C3034E" w:rsidP="00C3034E">
            <w:pPr>
              <w:spacing w:after="0" w:line="240" w:lineRule="auto"/>
              <w:jc w:val="left"/>
              <w:rPr>
                <w:rFonts w:eastAsia="Times New Roman" w:cs="Calibri"/>
                <w:color w:val="000000"/>
                <w:sz w:val="20"/>
              </w:rPr>
            </w:pPr>
            <w:r w:rsidRPr="00C3034E">
              <w:rPr>
                <w:sz w:val="20"/>
              </w:rPr>
              <w:t>IBERDROLA GENERACIÓN, S.A.U.</w:t>
            </w:r>
          </w:p>
        </w:tc>
      </w:tr>
      <w:tr w:rsidR="00C3034E" w:rsidRPr="009E5F7C" w14:paraId="47A5A05B"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22162C13" w14:textId="5CE75A77" w:rsidR="00C3034E" w:rsidRPr="00B72CBE" w:rsidRDefault="00C3034E" w:rsidP="00C3034E">
            <w:pPr>
              <w:spacing w:after="0" w:line="240" w:lineRule="auto"/>
              <w:jc w:val="left"/>
              <w:rPr>
                <w:rFonts w:eastAsia="Times New Roman" w:cs="Calibri"/>
                <w:color w:val="000000"/>
                <w:sz w:val="20"/>
                <w:lang w:val="en-GB"/>
              </w:rPr>
            </w:pPr>
            <w:r w:rsidRPr="00B72CBE">
              <w:rPr>
                <w:sz w:val="20"/>
                <w:lang w:val="en-GB"/>
              </w:rPr>
              <w:t>SEMIDYNAMICS TECHNOLOGY SERVICES, S.L.</w:t>
            </w:r>
          </w:p>
        </w:tc>
      </w:tr>
      <w:tr w:rsidR="00C3034E" w:rsidRPr="00D15F0F" w14:paraId="49DF9B0C"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38059987" w14:textId="32866FFB" w:rsidR="00C3034E" w:rsidRPr="00B72CBE" w:rsidRDefault="00C3034E" w:rsidP="00C3034E">
            <w:pPr>
              <w:spacing w:after="0" w:line="240" w:lineRule="auto"/>
              <w:jc w:val="left"/>
              <w:rPr>
                <w:rFonts w:eastAsia="Times New Roman" w:cs="Calibri"/>
                <w:color w:val="000000"/>
                <w:sz w:val="20"/>
              </w:rPr>
            </w:pPr>
            <w:r w:rsidRPr="00B72CBE">
              <w:rPr>
                <w:sz w:val="20"/>
              </w:rPr>
              <w:t>FORD ESPAÑA, S.L.</w:t>
            </w:r>
          </w:p>
        </w:tc>
      </w:tr>
      <w:tr w:rsidR="00C3034E" w:rsidRPr="00D15F0F" w14:paraId="5604E2F8"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224BEE62" w14:textId="6A82C779" w:rsidR="00C3034E" w:rsidRPr="00B72CBE" w:rsidRDefault="00C3034E" w:rsidP="00C3034E">
            <w:pPr>
              <w:spacing w:after="0" w:line="240" w:lineRule="auto"/>
              <w:jc w:val="left"/>
              <w:rPr>
                <w:rFonts w:eastAsia="Times New Roman" w:cs="Calibri"/>
                <w:color w:val="000000"/>
                <w:sz w:val="20"/>
              </w:rPr>
            </w:pPr>
            <w:proofErr w:type="gramStart"/>
            <w:r w:rsidRPr="00B72CBE">
              <w:rPr>
                <w:sz w:val="20"/>
              </w:rPr>
              <w:t>EROSKI ,</w:t>
            </w:r>
            <w:proofErr w:type="gramEnd"/>
            <w:r w:rsidRPr="00B72CBE">
              <w:rPr>
                <w:sz w:val="20"/>
              </w:rPr>
              <w:t xml:space="preserve"> SOCIEDAD COOPERATIVA</w:t>
            </w:r>
          </w:p>
        </w:tc>
      </w:tr>
      <w:tr w:rsidR="00C3034E" w:rsidRPr="00D15F0F" w14:paraId="2A215B25"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148414DF" w14:textId="735F36D2" w:rsidR="00C3034E" w:rsidRPr="00B72CBE" w:rsidRDefault="00C3034E" w:rsidP="00C3034E">
            <w:pPr>
              <w:spacing w:after="0" w:line="240" w:lineRule="auto"/>
              <w:jc w:val="left"/>
              <w:rPr>
                <w:rFonts w:eastAsia="Times New Roman" w:cs="Calibri"/>
                <w:color w:val="000000"/>
                <w:sz w:val="20"/>
              </w:rPr>
            </w:pPr>
            <w:r w:rsidRPr="00B72CBE">
              <w:rPr>
                <w:sz w:val="20"/>
              </w:rPr>
              <w:t>COSENTINO, S.A.</w:t>
            </w:r>
          </w:p>
        </w:tc>
      </w:tr>
      <w:tr w:rsidR="00C3034E" w:rsidRPr="00D15F0F" w14:paraId="450FA0BC"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5CB273C1" w14:textId="26C70D0D" w:rsidR="00C3034E" w:rsidRPr="00B72CBE" w:rsidRDefault="00C3034E" w:rsidP="00C3034E">
            <w:pPr>
              <w:spacing w:after="0" w:line="240" w:lineRule="auto"/>
              <w:jc w:val="left"/>
              <w:rPr>
                <w:rFonts w:eastAsia="Times New Roman" w:cs="Calibri"/>
                <w:color w:val="000000"/>
                <w:sz w:val="20"/>
              </w:rPr>
            </w:pPr>
            <w:r w:rsidRPr="00B72CBE">
              <w:rPr>
                <w:sz w:val="20"/>
              </w:rPr>
              <w:t>ASTURIANA DE ZINC, S.A.</w:t>
            </w:r>
          </w:p>
        </w:tc>
      </w:tr>
      <w:tr w:rsidR="00C3034E" w:rsidRPr="00D15F0F" w14:paraId="30C38F97" w14:textId="77777777" w:rsidTr="009D6EC2">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03961C2D" w14:textId="793210BC" w:rsidR="00C3034E" w:rsidRPr="00B72CBE" w:rsidRDefault="00C3034E" w:rsidP="00C3034E">
            <w:pPr>
              <w:spacing w:after="0" w:line="240" w:lineRule="auto"/>
              <w:jc w:val="left"/>
              <w:rPr>
                <w:rFonts w:eastAsia="Times New Roman" w:cs="Calibri"/>
                <w:color w:val="000000"/>
                <w:sz w:val="20"/>
              </w:rPr>
            </w:pPr>
            <w:r w:rsidRPr="00B72CBE">
              <w:rPr>
                <w:sz w:val="20"/>
              </w:rPr>
              <w:t>ARCE</w:t>
            </w:r>
            <w:r w:rsidR="009879FC">
              <w:rPr>
                <w:sz w:val="20"/>
              </w:rPr>
              <w:t>R</w:t>
            </w:r>
            <w:r w:rsidRPr="00B72CBE">
              <w:rPr>
                <w:sz w:val="20"/>
              </w:rPr>
              <w:t>LORMITTAL ESPAÑA, S.A.</w:t>
            </w:r>
          </w:p>
        </w:tc>
      </w:tr>
      <w:tr w:rsidR="00B72CBE" w:rsidRPr="00D15F0F" w14:paraId="121AA752" w14:textId="77777777" w:rsidTr="00B72CBE">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596851E5" w14:textId="3B1A8137" w:rsidR="00B72CBE" w:rsidRPr="00B72CBE" w:rsidRDefault="00B72CBE" w:rsidP="00B72CBE">
            <w:pPr>
              <w:spacing w:after="0" w:line="240" w:lineRule="auto"/>
              <w:jc w:val="left"/>
              <w:rPr>
                <w:rFonts w:eastAsia="Times New Roman" w:cs="Calibri"/>
                <w:color w:val="000000"/>
                <w:sz w:val="20"/>
              </w:rPr>
            </w:pPr>
            <w:r w:rsidRPr="00B72CBE">
              <w:rPr>
                <w:sz w:val="20"/>
              </w:rPr>
              <w:t>ALÚMINA ESPAÑOLA S.A.</w:t>
            </w:r>
          </w:p>
        </w:tc>
      </w:tr>
      <w:tr w:rsidR="00B72CBE" w:rsidRPr="00D15F0F" w14:paraId="250834DA" w14:textId="77777777" w:rsidTr="00823CF1">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2391A233" w14:textId="02DBEEAE" w:rsidR="00B72CBE" w:rsidRPr="00B72CBE" w:rsidRDefault="00B72CBE" w:rsidP="00B72CBE">
            <w:pPr>
              <w:spacing w:after="0" w:line="240" w:lineRule="auto"/>
              <w:jc w:val="left"/>
              <w:rPr>
                <w:rFonts w:eastAsia="Times New Roman" w:cs="Calibri"/>
                <w:color w:val="000000"/>
                <w:sz w:val="20"/>
              </w:rPr>
            </w:pPr>
            <w:r w:rsidRPr="00B72CBE">
              <w:rPr>
                <w:sz w:val="20"/>
              </w:rPr>
              <w:t>I-DE REDES ELECTRICAS INTELIGENTES SOCIEDAD ANONIMA.</w:t>
            </w:r>
          </w:p>
        </w:tc>
      </w:tr>
      <w:tr w:rsidR="00B72CBE" w:rsidRPr="00815D72" w14:paraId="28614482" w14:textId="77777777" w:rsidTr="00823CF1">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46E05D1F" w14:textId="4A603891" w:rsidR="00B72CBE" w:rsidRPr="00B72CBE" w:rsidRDefault="00B72CBE" w:rsidP="00B72CBE">
            <w:pPr>
              <w:spacing w:after="0" w:line="240" w:lineRule="auto"/>
              <w:jc w:val="left"/>
              <w:rPr>
                <w:rFonts w:eastAsia="Times New Roman" w:cs="Calibri"/>
                <w:color w:val="000000"/>
                <w:sz w:val="20"/>
                <w:lang w:val="en-GB"/>
              </w:rPr>
            </w:pPr>
            <w:r w:rsidRPr="00B72CBE">
              <w:rPr>
                <w:sz w:val="20"/>
              </w:rPr>
              <w:t>ORANGE ESPAGNE S.A.</w:t>
            </w:r>
          </w:p>
        </w:tc>
      </w:tr>
      <w:tr w:rsidR="00B72CBE" w:rsidRPr="00D15F0F" w14:paraId="0477B72D" w14:textId="77777777" w:rsidTr="00823CF1">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52EA6028" w14:textId="6866E4B9" w:rsidR="00B72CBE" w:rsidRPr="00B72CBE" w:rsidRDefault="00B72CBE" w:rsidP="00B72CBE">
            <w:pPr>
              <w:spacing w:after="0" w:line="240" w:lineRule="auto"/>
              <w:jc w:val="left"/>
              <w:rPr>
                <w:rFonts w:eastAsia="Times New Roman" w:cs="Calibri"/>
                <w:color w:val="000000"/>
                <w:sz w:val="20"/>
              </w:rPr>
            </w:pPr>
            <w:r w:rsidRPr="00B72CBE">
              <w:rPr>
                <w:sz w:val="20"/>
              </w:rPr>
              <w:t>PETROLEOS DEL NORTE, S.A.</w:t>
            </w:r>
          </w:p>
        </w:tc>
      </w:tr>
      <w:tr w:rsidR="00B72CBE" w:rsidRPr="00D15F0F" w14:paraId="406CD437" w14:textId="77777777" w:rsidTr="00823CF1">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7FBAE840" w14:textId="4E617A14" w:rsidR="00B72CBE" w:rsidRPr="00B72CBE" w:rsidRDefault="00B72CBE" w:rsidP="00B72CBE">
            <w:pPr>
              <w:spacing w:after="0" w:line="240" w:lineRule="auto"/>
              <w:jc w:val="left"/>
              <w:rPr>
                <w:rFonts w:eastAsia="Times New Roman" w:cs="Calibri"/>
                <w:color w:val="000000"/>
                <w:sz w:val="20"/>
              </w:rPr>
            </w:pPr>
            <w:r w:rsidRPr="00B72CBE">
              <w:rPr>
                <w:sz w:val="20"/>
              </w:rPr>
              <w:t>COLOROBBIA ESPAÑA, S.A.</w:t>
            </w:r>
          </w:p>
        </w:tc>
      </w:tr>
      <w:tr w:rsidR="00B72CBE" w:rsidRPr="00D15F0F" w14:paraId="2A95773A" w14:textId="77777777" w:rsidTr="00823CF1">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2A160A4A" w14:textId="0C952830" w:rsidR="00B72CBE" w:rsidRPr="00B72CBE" w:rsidRDefault="00B72CBE" w:rsidP="00B72CBE">
            <w:pPr>
              <w:spacing w:after="0" w:line="240" w:lineRule="auto"/>
              <w:jc w:val="left"/>
              <w:rPr>
                <w:rFonts w:eastAsia="Times New Roman" w:cs="Calibri"/>
                <w:color w:val="000000"/>
                <w:sz w:val="20"/>
              </w:rPr>
            </w:pPr>
            <w:r w:rsidRPr="00B72CBE">
              <w:rPr>
                <w:sz w:val="20"/>
              </w:rPr>
              <w:t>NATURGY RENOVABLES, S.L.U.</w:t>
            </w:r>
          </w:p>
        </w:tc>
      </w:tr>
      <w:tr w:rsidR="00B72CBE" w:rsidRPr="00D15F0F" w14:paraId="30AC8741" w14:textId="77777777" w:rsidTr="00823CF1">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430BA457" w14:textId="51336186" w:rsidR="00B72CBE" w:rsidRPr="00B72CBE" w:rsidRDefault="00B72CBE" w:rsidP="00B72CBE">
            <w:pPr>
              <w:spacing w:after="0" w:line="240" w:lineRule="auto"/>
              <w:jc w:val="left"/>
              <w:rPr>
                <w:rFonts w:eastAsia="Times New Roman" w:cs="Calibri"/>
                <w:color w:val="000000"/>
                <w:sz w:val="20"/>
              </w:rPr>
            </w:pPr>
            <w:r w:rsidRPr="00B72CBE">
              <w:rPr>
                <w:sz w:val="20"/>
              </w:rPr>
              <w:t>CEMEX ESPAÑA OPERACIONES, S.L.U.</w:t>
            </w:r>
          </w:p>
        </w:tc>
      </w:tr>
      <w:tr w:rsidR="00B72CBE" w:rsidRPr="00D15F0F" w14:paraId="1D84C650" w14:textId="77777777" w:rsidTr="00823CF1">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65CDA6CC" w14:textId="3B313256" w:rsidR="00B72CBE" w:rsidRPr="00B72CBE" w:rsidRDefault="00B72CBE" w:rsidP="00B72CBE">
            <w:pPr>
              <w:spacing w:after="0" w:line="240" w:lineRule="auto"/>
              <w:jc w:val="left"/>
              <w:rPr>
                <w:rFonts w:eastAsia="Times New Roman" w:cs="Calibri"/>
                <w:color w:val="000000"/>
                <w:sz w:val="20"/>
              </w:rPr>
            </w:pPr>
            <w:r w:rsidRPr="00B72CBE">
              <w:rPr>
                <w:sz w:val="20"/>
              </w:rPr>
              <w:t>FCC AQUALIA, S.A.</w:t>
            </w:r>
          </w:p>
        </w:tc>
      </w:tr>
      <w:tr w:rsidR="00B72CBE" w:rsidRPr="00D15F0F" w14:paraId="0F0233A1" w14:textId="77777777" w:rsidTr="00823CF1">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09B8BB9D" w14:textId="6964F338" w:rsidR="00B72CBE" w:rsidRPr="00B72CBE" w:rsidRDefault="00B72CBE" w:rsidP="00B72CBE">
            <w:pPr>
              <w:spacing w:after="0" w:line="240" w:lineRule="auto"/>
              <w:jc w:val="left"/>
              <w:rPr>
                <w:rFonts w:eastAsia="Times New Roman" w:cs="Calibri"/>
                <w:color w:val="000000"/>
                <w:sz w:val="20"/>
              </w:rPr>
            </w:pPr>
            <w:r w:rsidRPr="00B72CBE">
              <w:rPr>
                <w:sz w:val="20"/>
              </w:rPr>
              <w:t>ESC.EST.SUP. ESIC SACERDOTES CORAZON JESUS PADRES REPARADORES</w:t>
            </w:r>
          </w:p>
        </w:tc>
      </w:tr>
      <w:tr w:rsidR="00B72CBE" w:rsidRPr="00D15F0F" w14:paraId="660BB2F8" w14:textId="77777777" w:rsidTr="00823CF1">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628366CD" w14:textId="60D38D59" w:rsidR="00B72CBE" w:rsidRPr="00B72CBE" w:rsidRDefault="00B72CBE" w:rsidP="00B72CBE">
            <w:pPr>
              <w:spacing w:after="0" w:line="240" w:lineRule="auto"/>
              <w:jc w:val="left"/>
              <w:rPr>
                <w:rFonts w:eastAsia="Times New Roman" w:cs="Calibri"/>
                <w:color w:val="000000"/>
                <w:sz w:val="20"/>
              </w:rPr>
            </w:pPr>
            <w:r w:rsidRPr="00B72CBE">
              <w:rPr>
                <w:sz w:val="20"/>
              </w:rPr>
              <w:t>PREZERO ESPAÑA, S.A.</w:t>
            </w:r>
          </w:p>
        </w:tc>
      </w:tr>
      <w:tr w:rsidR="00B72CBE" w:rsidRPr="00D15F0F" w14:paraId="787D7A75" w14:textId="77777777" w:rsidTr="00823CF1">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69DDAE88" w14:textId="2EE27FA7" w:rsidR="00B72CBE" w:rsidRPr="00B72CBE" w:rsidRDefault="00B72CBE" w:rsidP="00B72CBE">
            <w:pPr>
              <w:spacing w:after="0" w:line="240" w:lineRule="auto"/>
              <w:jc w:val="left"/>
              <w:rPr>
                <w:rFonts w:eastAsia="Times New Roman" w:cs="Calibri"/>
                <w:color w:val="000000"/>
                <w:sz w:val="20"/>
              </w:rPr>
            </w:pPr>
            <w:r w:rsidRPr="00B72CBE">
              <w:rPr>
                <w:sz w:val="20"/>
              </w:rPr>
              <w:t>FUNDACIÓN SAN VALERO</w:t>
            </w:r>
          </w:p>
        </w:tc>
      </w:tr>
      <w:tr w:rsidR="00B72CBE" w:rsidRPr="00D15F0F" w14:paraId="41C3DAF7" w14:textId="77777777" w:rsidTr="00823CF1">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00CFDFA8" w14:textId="4CF75767" w:rsidR="00B72CBE" w:rsidRPr="00B72CBE" w:rsidRDefault="00B72CBE" w:rsidP="00B72CBE">
            <w:pPr>
              <w:spacing w:after="0" w:line="240" w:lineRule="auto"/>
              <w:jc w:val="left"/>
              <w:rPr>
                <w:rFonts w:eastAsia="Times New Roman" w:cs="Calibri"/>
                <w:color w:val="000000"/>
                <w:sz w:val="20"/>
              </w:rPr>
            </w:pPr>
            <w:r w:rsidRPr="00B72CBE">
              <w:rPr>
                <w:sz w:val="20"/>
              </w:rPr>
              <w:t>EUROARCE MINERÍA S.A.</w:t>
            </w:r>
          </w:p>
        </w:tc>
      </w:tr>
      <w:tr w:rsidR="00B72CBE" w:rsidRPr="00D15F0F" w14:paraId="7CA38088" w14:textId="77777777" w:rsidTr="00823CF1">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368DE553" w14:textId="0BE5E9A5" w:rsidR="00B72CBE" w:rsidRPr="00B72CBE" w:rsidRDefault="00B72CBE" w:rsidP="00B72CBE">
            <w:pPr>
              <w:spacing w:after="0" w:line="240" w:lineRule="auto"/>
              <w:jc w:val="left"/>
              <w:rPr>
                <w:rFonts w:eastAsia="Times New Roman" w:cs="Calibri"/>
                <w:color w:val="000000"/>
                <w:sz w:val="20"/>
              </w:rPr>
            </w:pPr>
            <w:r w:rsidRPr="00B72CBE">
              <w:rPr>
                <w:sz w:val="20"/>
              </w:rPr>
              <w:t>REAL FEDERACION ESPAÑOLA DE PIRAGUISMO</w:t>
            </w:r>
          </w:p>
        </w:tc>
      </w:tr>
      <w:tr w:rsidR="00B72CBE" w:rsidRPr="00D15F0F" w14:paraId="7DDA4036" w14:textId="77777777" w:rsidTr="00823CF1">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2786EA61" w14:textId="6D73BB50" w:rsidR="00B72CBE" w:rsidRPr="00B72CBE" w:rsidRDefault="00B72CBE" w:rsidP="00B72CBE">
            <w:pPr>
              <w:spacing w:after="0" w:line="240" w:lineRule="auto"/>
              <w:jc w:val="left"/>
              <w:rPr>
                <w:rFonts w:eastAsia="Times New Roman" w:cs="Calibri"/>
                <w:color w:val="000000"/>
                <w:sz w:val="20"/>
              </w:rPr>
            </w:pPr>
            <w:r w:rsidRPr="00B72CBE">
              <w:rPr>
                <w:sz w:val="20"/>
              </w:rPr>
              <w:t xml:space="preserve">REAL FEDERACION ESPAÑOLA DE ATLETISMO </w:t>
            </w:r>
          </w:p>
        </w:tc>
      </w:tr>
      <w:tr w:rsidR="00B72CBE" w:rsidRPr="00D15F0F" w14:paraId="41862B85" w14:textId="77777777" w:rsidTr="001C628E">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38DE4191" w14:textId="2F027F5F" w:rsidR="00B72CBE" w:rsidRPr="00B72CBE" w:rsidRDefault="00B72CBE" w:rsidP="00B72CBE">
            <w:pPr>
              <w:spacing w:after="0" w:line="240" w:lineRule="auto"/>
              <w:jc w:val="left"/>
              <w:rPr>
                <w:rFonts w:eastAsia="Times New Roman" w:cs="Calibri"/>
                <w:color w:val="000000"/>
                <w:sz w:val="20"/>
              </w:rPr>
            </w:pPr>
            <w:r w:rsidRPr="00B72CBE">
              <w:rPr>
                <w:sz w:val="20"/>
              </w:rPr>
              <w:t>FUNDACION PRODE</w:t>
            </w:r>
          </w:p>
        </w:tc>
      </w:tr>
      <w:tr w:rsidR="00B72CBE" w:rsidRPr="00B72CBE" w14:paraId="6A3ACA42" w14:textId="77777777" w:rsidTr="001C628E">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534070F8" w14:textId="73E4C817" w:rsidR="00B72CBE" w:rsidRPr="00B72CBE" w:rsidRDefault="00B72CBE" w:rsidP="00B72CBE">
            <w:pPr>
              <w:spacing w:after="0" w:line="240" w:lineRule="auto"/>
              <w:jc w:val="left"/>
              <w:rPr>
                <w:rFonts w:eastAsia="Times New Roman" w:cs="Calibri"/>
                <w:color w:val="000000"/>
                <w:sz w:val="20"/>
              </w:rPr>
            </w:pPr>
            <w:r w:rsidRPr="00B72CBE">
              <w:rPr>
                <w:sz w:val="20"/>
              </w:rPr>
              <w:t>FEDERACION DE MUJERES PROGRESISTAS</w:t>
            </w:r>
          </w:p>
        </w:tc>
      </w:tr>
      <w:tr w:rsidR="00B72CBE" w:rsidRPr="00D15F0F" w14:paraId="5D0B89F1" w14:textId="77777777" w:rsidTr="001C628E">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6C6E42F4" w14:textId="7B9C1C5F" w:rsidR="00B72CBE" w:rsidRPr="00B72CBE" w:rsidRDefault="00B72CBE" w:rsidP="00B72CBE">
            <w:pPr>
              <w:spacing w:after="0" w:line="240" w:lineRule="auto"/>
              <w:jc w:val="left"/>
              <w:rPr>
                <w:rFonts w:eastAsia="Times New Roman" w:cs="Calibri"/>
                <w:color w:val="000000"/>
                <w:sz w:val="20"/>
              </w:rPr>
            </w:pPr>
            <w:r w:rsidRPr="00B72CBE">
              <w:rPr>
                <w:sz w:val="20"/>
              </w:rPr>
              <w:t>CONSEJO DE LA JUVENTUD DE ESPAÑA</w:t>
            </w:r>
          </w:p>
        </w:tc>
      </w:tr>
      <w:tr w:rsidR="00B72CBE" w:rsidRPr="00D15F0F" w14:paraId="0D43F1A7" w14:textId="77777777" w:rsidTr="001C628E">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1EB7D3C5" w14:textId="4B2A4863" w:rsidR="00B72CBE" w:rsidRPr="00B72CBE" w:rsidRDefault="00B72CBE" w:rsidP="00B72CBE">
            <w:pPr>
              <w:spacing w:after="0" w:line="240" w:lineRule="auto"/>
              <w:jc w:val="left"/>
              <w:rPr>
                <w:rFonts w:eastAsia="Times New Roman" w:cs="Calibri"/>
                <w:color w:val="000000"/>
                <w:sz w:val="20"/>
              </w:rPr>
            </w:pPr>
            <w:r w:rsidRPr="00B72CBE">
              <w:rPr>
                <w:sz w:val="20"/>
              </w:rPr>
              <w:t>ASOCIACION EMPRESARIAL DE INVESTIGACION CENTRO TECNOLOGICO NACIONAL DE LA CONSERVA</w:t>
            </w:r>
            <w:r w:rsidR="000864E4">
              <w:rPr>
                <w:sz w:val="20"/>
              </w:rPr>
              <w:t xml:space="preserve"> (CTNC)</w:t>
            </w:r>
          </w:p>
        </w:tc>
      </w:tr>
      <w:tr w:rsidR="00B72CBE" w:rsidRPr="00D15F0F" w14:paraId="765FC8D0" w14:textId="77777777" w:rsidTr="001C628E">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029A5948" w14:textId="1501AD78" w:rsidR="00B72CBE" w:rsidRPr="00810757" w:rsidRDefault="00B72CBE" w:rsidP="00B72CBE">
            <w:pPr>
              <w:spacing w:after="0" w:line="240" w:lineRule="auto"/>
              <w:jc w:val="left"/>
              <w:rPr>
                <w:rFonts w:eastAsia="Times New Roman" w:cs="Calibri"/>
                <w:color w:val="000000"/>
                <w:sz w:val="20"/>
              </w:rPr>
            </w:pPr>
            <w:r w:rsidRPr="00810757">
              <w:rPr>
                <w:sz w:val="20"/>
              </w:rPr>
              <w:t>FEDERACION ESPAÑOLA DE BALONCESTO</w:t>
            </w:r>
          </w:p>
        </w:tc>
      </w:tr>
      <w:tr w:rsidR="00D15F0F" w:rsidRPr="00D15F0F" w14:paraId="68686F65" w14:textId="77777777" w:rsidTr="00D15F0F">
        <w:trPr>
          <w:trHeight w:val="300"/>
        </w:trPr>
        <w:tc>
          <w:tcPr>
            <w:tcW w:w="8920" w:type="dxa"/>
            <w:tcBorders>
              <w:top w:val="nil"/>
              <w:left w:val="single" w:sz="8" w:space="0" w:color="438086"/>
              <w:bottom w:val="single" w:sz="8" w:space="0" w:color="438086"/>
              <w:right w:val="single" w:sz="8" w:space="0" w:color="438086"/>
            </w:tcBorders>
            <w:shd w:val="clear" w:color="auto" w:fill="auto"/>
            <w:noWrap/>
            <w:vAlign w:val="center"/>
            <w:hideMark/>
          </w:tcPr>
          <w:p w14:paraId="53A7D377" w14:textId="16BFBDFC" w:rsidR="00D15F0F" w:rsidRPr="00810757" w:rsidRDefault="00B72CBE" w:rsidP="00D15F0F">
            <w:pPr>
              <w:spacing w:after="0" w:line="240" w:lineRule="auto"/>
              <w:jc w:val="left"/>
              <w:rPr>
                <w:rFonts w:eastAsia="Times New Roman" w:cs="Calibri"/>
                <w:color w:val="000000"/>
                <w:sz w:val="20"/>
              </w:rPr>
            </w:pPr>
            <w:r w:rsidRPr="00810757">
              <w:rPr>
                <w:rFonts w:eastAsia="Times New Roman" w:cs="Calibri"/>
                <w:color w:val="000000"/>
                <w:sz w:val="20"/>
              </w:rPr>
              <w:t>REAL FEDERACION ESPAÑOLA DE HOCKEY</w:t>
            </w:r>
          </w:p>
        </w:tc>
      </w:tr>
      <w:tr w:rsidR="00B72CBE" w:rsidRPr="00B72CBE" w14:paraId="01B13A0E"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09865681" w14:textId="45584978" w:rsidR="00B72CBE" w:rsidRPr="00810757" w:rsidRDefault="00B72CBE" w:rsidP="00B72CBE">
            <w:pPr>
              <w:spacing w:after="0" w:line="240" w:lineRule="auto"/>
              <w:jc w:val="left"/>
              <w:rPr>
                <w:rFonts w:eastAsia="Times New Roman" w:cs="Calibri"/>
                <w:color w:val="000000"/>
                <w:sz w:val="20"/>
              </w:rPr>
            </w:pPr>
            <w:r w:rsidRPr="00810757">
              <w:rPr>
                <w:sz w:val="20"/>
              </w:rPr>
              <w:t>ASOCIACIÓN MUJERES EN ZONA DE CONFLICTO</w:t>
            </w:r>
          </w:p>
        </w:tc>
      </w:tr>
      <w:tr w:rsidR="00B72CBE" w:rsidRPr="00D15F0F" w14:paraId="13C02C1E"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070CDE7E" w14:textId="088C4229" w:rsidR="00B72CBE" w:rsidRPr="00810757" w:rsidRDefault="00B72CBE" w:rsidP="00B72CBE">
            <w:pPr>
              <w:spacing w:after="0" w:line="240" w:lineRule="auto"/>
              <w:jc w:val="left"/>
              <w:rPr>
                <w:rFonts w:eastAsia="Times New Roman" w:cs="Calibri"/>
                <w:color w:val="000000"/>
                <w:sz w:val="20"/>
              </w:rPr>
            </w:pPr>
            <w:r w:rsidRPr="00810757">
              <w:rPr>
                <w:sz w:val="20"/>
              </w:rPr>
              <w:t xml:space="preserve">ASOCIACIÓN COLUMBARES </w:t>
            </w:r>
          </w:p>
        </w:tc>
      </w:tr>
      <w:tr w:rsidR="00B72CBE" w:rsidRPr="00D15F0F" w14:paraId="3823E088"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4E69490A" w14:textId="07D2DAD7" w:rsidR="00B72CBE" w:rsidRPr="00810757" w:rsidRDefault="00B72CBE" w:rsidP="00B72CBE">
            <w:pPr>
              <w:spacing w:after="0" w:line="240" w:lineRule="auto"/>
              <w:jc w:val="left"/>
              <w:rPr>
                <w:rFonts w:eastAsia="Times New Roman" w:cs="Calibri"/>
                <w:color w:val="000000"/>
                <w:sz w:val="20"/>
              </w:rPr>
            </w:pPr>
            <w:r w:rsidRPr="00810757">
              <w:rPr>
                <w:sz w:val="20"/>
              </w:rPr>
              <w:t xml:space="preserve">ASOCIACION NACIONAL EMPRENDEDORES MEDIO RURAL (ANEMUR)  </w:t>
            </w:r>
          </w:p>
        </w:tc>
      </w:tr>
      <w:tr w:rsidR="00B72CBE" w:rsidRPr="00D15F0F" w14:paraId="17165ECF"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5369A61C" w14:textId="3F222992" w:rsidR="00B72CBE" w:rsidRPr="00810757" w:rsidRDefault="00B72CBE" w:rsidP="00B72CBE">
            <w:pPr>
              <w:spacing w:after="0" w:line="240" w:lineRule="auto"/>
              <w:jc w:val="left"/>
              <w:rPr>
                <w:rFonts w:eastAsia="Times New Roman" w:cs="Calibri"/>
                <w:color w:val="000000"/>
                <w:sz w:val="20"/>
              </w:rPr>
            </w:pPr>
            <w:r w:rsidRPr="00810757">
              <w:rPr>
                <w:sz w:val="20"/>
              </w:rPr>
              <w:t>CONFEDERACION ESPAÑOLA DE TRANSPORTE DE AUTOBUS - CONFEBUS</w:t>
            </w:r>
          </w:p>
        </w:tc>
      </w:tr>
      <w:tr w:rsidR="00B72CBE" w:rsidRPr="00D15F0F" w14:paraId="3FACE93B"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503FEE7C" w14:textId="1CA19A1C" w:rsidR="00B72CBE" w:rsidRPr="00810757" w:rsidRDefault="00B72CBE" w:rsidP="00B72CBE">
            <w:pPr>
              <w:spacing w:after="0" w:line="240" w:lineRule="auto"/>
              <w:jc w:val="left"/>
              <w:rPr>
                <w:rFonts w:eastAsia="Times New Roman" w:cs="Calibri"/>
                <w:color w:val="000000"/>
                <w:sz w:val="20"/>
              </w:rPr>
            </w:pPr>
            <w:r w:rsidRPr="00810757">
              <w:rPr>
                <w:sz w:val="20"/>
              </w:rPr>
              <w:lastRenderedPageBreak/>
              <w:t>SOCIEDAD ESPAÑOLA DE AGRICULTURA ECOLÓGICA Y AGROECOLOGÍA</w:t>
            </w:r>
          </w:p>
        </w:tc>
      </w:tr>
      <w:tr w:rsidR="00B72CBE" w:rsidRPr="00D15F0F" w14:paraId="29E0D7C4"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677C62A2" w14:textId="7EA1F65D" w:rsidR="00B72CBE" w:rsidRPr="00810757" w:rsidRDefault="00B72CBE" w:rsidP="00B72CBE">
            <w:pPr>
              <w:spacing w:after="0" w:line="240" w:lineRule="auto"/>
              <w:jc w:val="left"/>
              <w:rPr>
                <w:rFonts w:eastAsia="Times New Roman" w:cs="Calibri"/>
                <w:color w:val="000000"/>
                <w:sz w:val="20"/>
              </w:rPr>
            </w:pPr>
            <w:r w:rsidRPr="00810757">
              <w:rPr>
                <w:sz w:val="20"/>
              </w:rPr>
              <w:t>NUEVO HOGAR BETANIA</w:t>
            </w:r>
          </w:p>
        </w:tc>
      </w:tr>
      <w:tr w:rsidR="00B72CBE" w:rsidRPr="00D15F0F" w14:paraId="02E34C6E"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31C237CC" w14:textId="00589169" w:rsidR="00B72CBE" w:rsidRPr="00810757" w:rsidRDefault="00810757" w:rsidP="00B72CBE">
            <w:pPr>
              <w:spacing w:after="0" w:line="240" w:lineRule="auto"/>
              <w:jc w:val="left"/>
              <w:rPr>
                <w:rFonts w:eastAsia="Times New Roman" w:cs="Calibri"/>
                <w:color w:val="000000"/>
                <w:sz w:val="20"/>
              </w:rPr>
            </w:pPr>
            <w:r>
              <w:rPr>
                <w:sz w:val="20"/>
              </w:rPr>
              <w:t xml:space="preserve">FUNDACIÓN </w:t>
            </w:r>
            <w:r w:rsidR="00B72CBE" w:rsidRPr="00810757">
              <w:rPr>
                <w:sz w:val="20"/>
              </w:rPr>
              <w:t>OXIGENO</w:t>
            </w:r>
          </w:p>
        </w:tc>
      </w:tr>
      <w:tr w:rsidR="00B72CBE" w:rsidRPr="00D15F0F" w14:paraId="0E505B61"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64F7B7BB" w14:textId="4A895119" w:rsidR="00B72CBE" w:rsidRPr="00810757" w:rsidRDefault="008D3144" w:rsidP="00B72CBE">
            <w:pPr>
              <w:spacing w:after="0" w:line="240" w:lineRule="auto"/>
              <w:jc w:val="left"/>
              <w:rPr>
                <w:rFonts w:eastAsia="Times New Roman" w:cs="Calibri"/>
                <w:color w:val="000000"/>
                <w:sz w:val="20"/>
              </w:rPr>
            </w:pPr>
            <w:r>
              <w:rPr>
                <w:sz w:val="20"/>
              </w:rPr>
              <w:t xml:space="preserve">REAL </w:t>
            </w:r>
            <w:r w:rsidR="00B72CBE" w:rsidRPr="00810757">
              <w:rPr>
                <w:sz w:val="20"/>
              </w:rPr>
              <w:t xml:space="preserve">FEDERACION ESPAÑOLA DE BALONMANO </w:t>
            </w:r>
          </w:p>
        </w:tc>
      </w:tr>
      <w:tr w:rsidR="00B72CBE" w:rsidRPr="00D15F0F" w14:paraId="734FC7C1"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3BCE4592" w14:textId="0DDA94FB" w:rsidR="00B72CBE" w:rsidRPr="00810757" w:rsidRDefault="00B72CBE" w:rsidP="00B72CBE">
            <w:pPr>
              <w:spacing w:after="0" w:line="240" w:lineRule="auto"/>
              <w:jc w:val="left"/>
              <w:rPr>
                <w:rFonts w:eastAsia="Times New Roman" w:cs="Calibri"/>
                <w:color w:val="000000"/>
                <w:sz w:val="20"/>
              </w:rPr>
            </w:pPr>
            <w:r w:rsidRPr="00810757">
              <w:rPr>
                <w:sz w:val="20"/>
              </w:rPr>
              <w:t>ASOCIACION INSTITUTO TECNOLOGICO DE INFORMATICA</w:t>
            </w:r>
          </w:p>
        </w:tc>
      </w:tr>
      <w:tr w:rsidR="00B72CBE" w:rsidRPr="00D15F0F" w14:paraId="19BEFDA0"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56AF2F86" w14:textId="159214AA" w:rsidR="00B72CBE" w:rsidRPr="00810757" w:rsidRDefault="00B72CBE" w:rsidP="00B72CBE">
            <w:pPr>
              <w:spacing w:after="0" w:line="240" w:lineRule="auto"/>
              <w:jc w:val="left"/>
              <w:rPr>
                <w:rFonts w:eastAsia="Times New Roman" w:cs="Calibri"/>
                <w:color w:val="000000"/>
                <w:sz w:val="20"/>
              </w:rPr>
            </w:pPr>
            <w:r w:rsidRPr="00810757">
              <w:rPr>
                <w:sz w:val="20"/>
              </w:rPr>
              <w:t xml:space="preserve">IN </w:t>
            </w:r>
            <w:proofErr w:type="gramStart"/>
            <w:r w:rsidRPr="00810757">
              <w:rPr>
                <w:sz w:val="20"/>
              </w:rPr>
              <w:t>GÉNERO(</w:t>
            </w:r>
            <w:proofErr w:type="gramEnd"/>
            <w:r w:rsidRPr="00810757">
              <w:rPr>
                <w:sz w:val="20"/>
              </w:rPr>
              <w:t>INTERCULTURALIDAD Y GÉNERO)</w:t>
            </w:r>
          </w:p>
        </w:tc>
      </w:tr>
      <w:tr w:rsidR="00B72CBE" w:rsidRPr="00D15F0F" w14:paraId="65D96CFC"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4F14A3B6" w14:textId="2535A6BC" w:rsidR="00B72CBE" w:rsidRPr="00810757" w:rsidRDefault="00810757" w:rsidP="00B72CBE">
            <w:pPr>
              <w:spacing w:after="0" w:line="240" w:lineRule="auto"/>
              <w:jc w:val="left"/>
              <w:rPr>
                <w:rFonts w:eastAsia="Times New Roman" w:cs="Calibri"/>
                <w:color w:val="000000"/>
                <w:sz w:val="20"/>
              </w:rPr>
            </w:pPr>
            <w:r w:rsidRPr="00810757">
              <w:rPr>
                <w:sz w:val="20"/>
              </w:rPr>
              <w:t xml:space="preserve">FEDERACIÓN ESPAÑOLA DE </w:t>
            </w:r>
            <w:r w:rsidR="00B72CBE" w:rsidRPr="00810757">
              <w:rPr>
                <w:sz w:val="20"/>
              </w:rPr>
              <w:t>REMO</w:t>
            </w:r>
          </w:p>
        </w:tc>
      </w:tr>
      <w:tr w:rsidR="00B72CBE" w:rsidRPr="00D15F0F" w14:paraId="11555018"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6136E0A7" w14:textId="73B6BEF5" w:rsidR="00B72CBE" w:rsidRPr="00810757" w:rsidRDefault="008D3144" w:rsidP="00B72CBE">
            <w:pPr>
              <w:spacing w:after="0" w:line="240" w:lineRule="auto"/>
              <w:jc w:val="left"/>
              <w:rPr>
                <w:rFonts w:eastAsia="Times New Roman" w:cs="Calibri"/>
                <w:color w:val="000000"/>
                <w:sz w:val="20"/>
              </w:rPr>
            </w:pPr>
            <w:r>
              <w:rPr>
                <w:sz w:val="20"/>
              </w:rPr>
              <w:t xml:space="preserve">REAL </w:t>
            </w:r>
            <w:r w:rsidR="00B72CBE" w:rsidRPr="00810757">
              <w:rPr>
                <w:sz w:val="20"/>
              </w:rPr>
              <w:t>FEDERACIÓN ESPAÑOLA DE BOXEO</w:t>
            </w:r>
          </w:p>
        </w:tc>
      </w:tr>
      <w:tr w:rsidR="00B72CBE" w:rsidRPr="00D15F0F" w14:paraId="26983634"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10EE7200" w14:textId="0625D8CA" w:rsidR="00B72CBE" w:rsidRPr="00810757" w:rsidRDefault="00B72CBE" w:rsidP="00B72CBE">
            <w:pPr>
              <w:spacing w:after="0" w:line="240" w:lineRule="auto"/>
              <w:jc w:val="left"/>
              <w:rPr>
                <w:rFonts w:eastAsia="Times New Roman" w:cs="Calibri"/>
                <w:color w:val="000000"/>
                <w:sz w:val="20"/>
              </w:rPr>
            </w:pPr>
            <w:r w:rsidRPr="00810757">
              <w:rPr>
                <w:sz w:val="20"/>
              </w:rPr>
              <w:t>UNIÓN DE PEQUEÑOS AGRICULTORES Y GANADEROS</w:t>
            </w:r>
          </w:p>
        </w:tc>
      </w:tr>
      <w:tr w:rsidR="00B72CBE" w:rsidRPr="00D15F0F" w14:paraId="77D14394"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38643851" w14:textId="3761B374" w:rsidR="00B72CBE" w:rsidRPr="00810757" w:rsidRDefault="008D3144" w:rsidP="00B72CBE">
            <w:pPr>
              <w:spacing w:after="0" w:line="240" w:lineRule="auto"/>
              <w:jc w:val="left"/>
              <w:rPr>
                <w:rFonts w:eastAsia="Times New Roman" w:cs="Calibri"/>
                <w:color w:val="000000"/>
                <w:sz w:val="20"/>
              </w:rPr>
            </w:pPr>
            <w:r>
              <w:rPr>
                <w:sz w:val="20"/>
              </w:rPr>
              <w:t xml:space="preserve">REAL </w:t>
            </w:r>
            <w:r w:rsidR="00B72CBE" w:rsidRPr="00810757">
              <w:rPr>
                <w:sz w:val="20"/>
              </w:rPr>
              <w:t xml:space="preserve">FEDERACIÓN ESPAÑOLA DE ESGRIMA </w:t>
            </w:r>
          </w:p>
        </w:tc>
      </w:tr>
      <w:tr w:rsidR="00B72CBE" w:rsidRPr="00D15F0F" w14:paraId="3DF61538"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321A81E6" w14:textId="467D85C6" w:rsidR="00B72CBE" w:rsidRPr="00810757" w:rsidRDefault="00B72CBE" w:rsidP="00B72CBE">
            <w:pPr>
              <w:spacing w:after="0" w:line="240" w:lineRule="auto"/>
              <w:jc w:val="left"/>
              <w:rPr>
                <w:rFonts w:eastAsia="Times New Roman" w:cs="Calibri"/>
                <w:color w:val="000000"/>
                <w:sz w:val="20"/>
              </w:rPr>
            </w:pPr>
            <w:r w:rsidRPr="00810757">
              <w:rPr>
                <w:sz w:val="20"/>
              </w:rPr>
              <w:t>ASOC</w:t>
            </w:r>
            <w:r w:rsidR="00810757" w:rsidRPr="00810757">
              <w:rPr>
                <w:sz w:val="20"/>
              </w:rPr>
              <w:t>IACIÓN</w:t>
            </w:r>
            <w:r w:rsidRPr="00810757">
              <w:rPr>
                <w:sz w:val="20"/>
              </w:rPr>
              <w:t xml:space="preserve"> AMAR-DRAGOSTE</w:t>
            </w:r>
          </w:p>
        </w:tc>
      </w:tr>
      <w:tr w:rsidR="00B72CBE" w:rsidRPr="00D15F0F" w14:paraId="164F8FEA"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2498D5D2" w14:textId="1D700A14" w:rsidR="00B72CBE" w:rsidRPr="00810757" w:rsidRDefault="00B72CBE" w:rsidP="00B72CBE">
            <w:pPr>
              <w:spacing w:after="0" w:line="240" w:lineRule="auto"/>
              <w:jc w:val="left"/>
              <w:rPr>
                <w:rFonts w:eastAsia="Times New Roman" w:cs="Calibri"/>
                <w:color w:val="000000"/>
                <w:sz w:val="20"/>
              </w:rPr>
            </w:pPr>
            <w:r w:rsidRPr="00810757">
              <w:rPr>
                <w:sz w:val="20"/>
              </w:rPr>
              <w:t xml:space="preserve">UNION DE ASOCIACIONES FAMILIARES </w:t>
            </w:r>
          </w:p>
        </w:tc>
      </w:tr>
      <w:tr w:rsidR="00B72CBE" w:rsidRPr="00D15F0F" w14:paraId="0700262D"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0550C772" w14:textId="001E855A" w:rsidR="00B72CBE" w:rsidRPr="00810757" w:rsidRDefault="00B72CBE" w:rsidP="00B72CBE">
            <w:pPr>
              <w:spacing w:after="0" w:line="240" w:lineRule="auto"/>
              <w:jc w:val="left"/>
              <w:rPr>
                <w:rFonts w:eastAsia="Times New Roman" w:cs="Calibri"/>
                <w:color w:val="000000"/>
                <w:sz w:val="20"/>
              </w:rPr>
            </w:pPr>
            <w:r w:rsidRPr="00810757">
              <w:rPr>
                <w:sz w:val="20"/>
              </w:rPr>
              <w:t>ASOC</w:t>
            </w:r>
            <w:r w:rsidR="008D3144">
              <w:rPr>
                <w:sz w:val="20"/>
              </w:rPr>
              <w:t>IACIÓN</w:t>
            </w:r>
            <w:r w:rsidRPr="00810757">
              <w:rPr>
                <w:sz w:val="20"/>
              </w:rPr>
              <w:t xml:space="preserve"> DE USUARIOS FINANCIEROS - ASUFIN</w:t>
            </w:r>
          </w:p>
        </w:tc>
      </w:tr>
      <w:tr w:rsidR="00B72CBE" w:rsidRPr="00D15F0F" w14:paraId="49CC6C36" w14:textId="77777777" w:rsidTr="009E1E57">
        <w:trPr>
          <w:trHeight w:val="300"/>
        </w:trPr>
        <w:tc>
          <w:tcPr>
            <w:tcW w:w="8920" w:type="dxa"/>
            <w:tcBorders>
              <w:top w:val="nil"/>
              <w:left w:val="single" w:sz="8" w:space="0" w:color="438086"/>
              <w:bottom w:val="single" w:sz="8" w:space="0" w:color="438086"/>
              <w:right w:val="single" w:sz="8" w:space="0" w:color="438086"/>
            </w:tcBorders>
            <w:shd w:val="clear" w:color="auto" w:fill="auto"/>
            <w:noWrap/>
            <w:hideMark/>
          </w:tcPr>
          <w:p w14:paraId="2BC543F2" w14:textId="13573883" w:rsidR="00B72CBE" w:rsidRPr="00810757" w:rsidRDefault="00B72CBE" w:rsidP="00B72CBE">
            <w:pPr>
              <w:spacing w:after="0" w:line="240" w:lineRule="auto"/>
              <w:jc w:val="left"/>
              <w:rPr>
                <w:rFonts w:eastAsia="Times New Roman" w:cs="Calibri"/>
                <w:color w:val="000000"/>
                <w:sz w:val="20"/>
              </w:rPr>
            </w:pPr>
            <w:r w:rsidRPr="00810757">
              <w:rPr>
                <w:sz w:val="20"/>
              </w:rPr>
              <w:t>ORGANIZACION DE CONSUMIDORES Y USUARIOS</w:t>
            </w:r>
          </w:p>
        </w:tc>
      </w:tr>
      <w:tr w:rsidR="00B72CBE" w:rsidRPr="00D15F0F" w14:paraId="7F328DDF" w14:textId="77777777" w:rsidTr="00810757">
        <w:trPr>
          <w:trHeight w:val="300"/>
        </w:trPr>
        <w:tc>
          <w:tcPr>
            <w:tcW w:w="8920" w:type="dxa"/>
            <w:tcBorders>
              <w:top w:val="nil"/>
              <w:left w:val="single" w:sz="8" w:space="0" w:color="438086"/>
              <w:bottom w:val="single" w:sz="8" w:space="0" w:color="438086"/>
              <w:right w:val="single" w:sz="8" w:space="0" w:color="438086"/>
            </w:tcBorders>
            <w:shd w:val="clear" w:color="auto" w:fill="auto"/>
            <w:noWrap/>
          </w:tcPr>
          <w:p w14:paraId="42603087" w14:textId="19E7194F" w:rsidR="00B72CBE" w:rsidRPr="00810757" w:rsidRDefault="00810757" w:rsidP="00B72CBE">
            <w:pPr>
              <w:spacing w:after="0" w:line="240" w:lineRule="auto"/>
              <w:jc w:val="left"/>
              <w:rPr>
                <w:rFonts w:eastAsia="Times New Roman" w:cs="Calibri"/>
                <w:color w:val="000000"/>
                <w:sz w:val="20"/>
              </w:rPr>
            </w:pPr>
            <w:r w:rsidRPr="00810757">
              <w:rPr>
                <w:rFonts w:eastAsia="Times New Roman" w:cs="Calibri"/>
                <w:color w:val="000000"/>
                <w:sz w:val="20"/>
              </w:rPr>
              <w:t>COORDINADORA ESTATAL DE PLATAFORMAS SOCIALES SALESIANAS</w:t>
            </w:r>
          </w:p>
        </w:tc>
      </w:tr>
    </w:tbl>
    <w:p w14:paraId="414C7EA0" w14:textId="5BC0B438" w:rsidR="00D15F0F" w:rsidRDefault="00D15F0F" w:rsidP="00015DB5"/>
    <w:p w14:paraId="14230A7C" w14:textId="32F036EB" w:rsidR="00043C70" w:rsidRDefault="00043C70" w:rsidP="00015DB5"/>
    <w:p w14:paraId="0DC80AED" w14:textId="5CDFE362" w:rsidR="00043C70" w:rsidRDefault="00043C70" w:rsidP="00015DB5">
      <w:r>
        <w:t>Respecto a las previsiones contempladas en el Plan de Evaluación 2025 para este grupo de sujetos obligados, se ha efectuado una evaluación menos, al haberse constatado que dos de las entidades seleccionadas e incluidas en dicho plan, Fundación Investigación y Desarrollo en Automoción y Fundación CIDAUT, son en realidad la misma fundación.</w:t>
      </w:r>
    </w:p>
    <w:p w14:paraId="51A6A734" w14:textId="34FBD8DF" w:rsidR="00B64350" w:rsidRDefault="00B64350" w:rsidP="00015DB5"/>
    <w:p w14:paraId="3CBBA972" w14:textId="06604A5E" w:rsidR="00164758" w:rsidRDefault="00164758" w:rsidP="00015DB5"/>
    <w:p w14:paraId="3711A45B" w14:textId="6C90320E" w:rsidR="00164758" w:rsidRDefault="00164758" w:rsidP="00015DB5"/>
    <w:p w14:paraId="72DD3188" w14:textId="7E23622E" w:rsidR="00164758" w:rsidRDefault="00164758" w:rsidP="00015DB5"/>
    <w:p w14:paraId="2E7A8A01" w14:textId="5AFB4E12" w:rsidR="00164758" w:rsidRDefault="00164758" w:rsidP="00015DB5"/>
    <w:p w14:paraId="75EEE48C" w14:textId="464E653F" w:rsidR="00164758" w:rsidRDefault="00164758" w:rsidP="00015DB5"/>
    <w:p w14:paraId="488EF67B" w14:textId="184667CF" w:rsidR="00164758" w:rsidRDefault="00164758" w:rsidP="00015DB5"/>
    <w:p w14:paraId="60092D44" w14:textId="5B1A64F7" w:rsidR="009F4C6A" w:rsidRDefault="009F4C6A" w:rsidP="00015DB5"/>
    <w:p w14:paraId="1EA03AB7" w14:textId="03F92FF0" w:rsidR="009F4C6A" w:rsidRDefault="009F4C6A" w:rsidP="00015DB5"/>
    <w:p w14:paraId="09B0B92C" w14:textId="77777777" w:rsidR="009F4C6A" w:rsidRDefault="009F4C6A" w:rsidP="00015DB5"/>
    <w:p w14:paraId="589CC3B8" w14:textId="0E0FF10D" w:rsidR="00164758" w:rsidRDefault="00164758" w:rsidP="00015DB5"/>
    <w:p w14:paraId="149F2E8E" w14:textId="77777777" w:rsidR="00164758" w:rsidRDefault="00164758" w:rsidP="00015DB5"/>
    <w:p w14:paraId="3E06C3CA" w14:textId="345DBD77" w:rsidR="00CE43A8" w:rsidRPr="00CE43A8" w:rsidRDefault="00CE43A8" w:rsidP="00077CDF">
      <w:pPr>
        <w:pStyle w:val="Ttulo2"/>
      </w:pPr>
      <w:bookmarkStart w:id="4" w:name="_Toc219463053"/>
      <w:r w:rsidRPr="00CE43A8">
        <w:lastRenderedPageBreak/>
        <w:t>II.2 Delimitación de las obligaciones de publicidad activa aplicables</w:t>
      </w:r>
      <w:bookmarkEnd w:id="4"/>
    </w:p>
    <w:p w14:paraId="2491E1C5" w14:textId="77777777" w:rsidR="00077CDF" w:rsidRDefault="00077CDF" w:rsidP="00CE43A8"/>
    <w:p w14:paraId="127423DF" w14:textId="2EE8C8D4" w:rsidR="00015DB5" w:rsidRDefault="00015DB5" w:rsidP="00015DB5">
      <w:r w:rsidRPr="00561A62">
        <w:t xml:space="preserve">El alcance de la evaluación se ha definido en función de las obligaciones de publicidad activa que son aplicables </w:t>
      </w:r>
      <w:r>
        <w:t xml:space="preserve">según la LTAIBG </w:t>
      </w:r>
      <w:r w:rsidRPr="00561A62">
        <w:t>a este grupo de sujetos obligados. Estas obligaciones son las que se recogen en el siguiente cuadro.</w:t>
      </w:r>
    </w:p>
    <w:p w14:paraId="0E307425" w14:textId="77777777" w:rsidR="008D3144" w:rsidRPr="00561A62" w:rsidRDefault="008D3144" w:rsidP="00015DB5"/>
    <w:p w14:paraId="0C90EDD8" w14:textId="326C183E" w:rsidR="00015DB5" w:rsidRPr="003005AA" w:rsidRDefault="00015DB5" w:rsidP="00015DB5">
      <w:pPr>
        <w:pStyle w:val="Descripcin"/>
        <w:keepNext/>
        <w:rPr>
          <w:color w:val="auto"/>
          <w:sz w:val="22"/>
          <w:szCs w:val="22"/>
        </w:rPr>
      </w:pPr>
      <w:r w:rsidRPr="003005AA">
        <w:rPr>
          <w:color w:val="auto"/>
          <w:sz w:val="22"/>
          <w:szCs w:val="22"/>
        </w:rPr>
        <w:t xml:space="preserve">Cuadro </w:t>
      </w:r>
      <w:r w:rsidRPr="003005AA">
        <w:rPr>
          <w:color w:val="auto"/>
          <w:sz w:val="22"/>
          <w:szCs w:val="22"/>
        </w:rPr>
        <w:fldChar w:fldCharType="begin"/>
      </w:r>
      <w:r w:rsidRPr="003005AA">
        <w:rPr>
          <w:color w:val="auto"/>
          <w:sz w:val="22"/>
          <w:szCs w:val="22"/>
        </w:rPr>
        <w:instrText xml:space="preserve"> SEQ Cuadro \* ARABIC </w:instrText>
      </w:r>
      <w:r w:rsidRPr="003005AA">
        <w:rPr>
          <w:color w:val="auto"/>
          <w:sz w:val="22"/>
          <w:szCs w:val="22"/>
        </w:rPr>
        <w:fldChar w:fldCharType="separate"/>
      </w:r>
      <w:r w:rsidR="009F4C6A">
        <w:rPr>
          <w:noProof/>
          <w:color w:val="auto"/>
          <w:sz w:val="22"/>
          <w:szCs w:val="22"/>
        </w:rPr>
        <w:t>1</w:t>
      </w:r>
      <w:r w:rsidRPr="003005AA">
        <w:rPr>
          <w:color w:val="auto"/>
          <w:sz w:val="22"/>
          <w:szCs w:val="22"/>
        </w:rPr>
        <w:fldChar w:fldCharType="end"/>
      </w:r>
      <w:r w:rsidRPr="003005AA">
        <w:rPr>
          <w:color w:val="auto"/>
          <w:sz w:val="22"/>
          <w:szCs w:val="22"/>
        </w:rPr>
        <w:t xml:space="preserve">: Obligaciones aplicables a las entidades perceptoras de subvenciones y ayudas públicas </w:t>
      </w:r>
    </w:p>
    <w:tbl>
      <w:tblPr>
        <w:tblStyle w:val="Tablaconcuadrcula2"/>
        <w:tblW w:w="0" w:type="auto"/>
        <w:tblBorders>
          <w:top w:val="single" w:sz="4" w:space="0" w:color="438086" w:themeColor="accent2"/>
          <w:left w:val="single" w:sz="4" w:space="0" w:color="438086" w:themeColor="accent2"/>
          <w:bottom w:val="single" w:sz="4" w:space="0" w:color="438086" w:themeColor="accent2"/>
          <w:right w:val="single" w:sz="4" w:space="0" w:color="438086" w:themeColor="accent2"/>
          <w:insideH w:val="single" w:sz="4" w:space="0" w:color="438086" w:themeColor="accent2"/>
          <w:insideV w:val="none" w:sz="0" w:space="0" w:color="auto"/>
        </w:tblBorders>
        <w:tblLook w:val="04A0" w:firstRow="1" w:lastRow="0" w:firstColumn="1" w:lastColumn="0" w:noHBand="0" w:noVBand="1"/>
      </w:tblPr>
      <w:tblGrid>
        <w:gridCol w:w="1535"/>
        <w:gridCol w:w="7078"/>
      </w:tblGrid>
      <w:tr w:rsidR="00015DB5" w:rsidRPr="00561A62" w14:paraId="3DB3E0F1" w14:textId="77777777" w:rsidTr="00585D44">
        <w:tc>
          <w:tcPr>
            <w:tcW w:w="1535" w:type="dxa"/>
            <w:shd w:val="clear" w:color="auto" w:fill="438086" w:themeFill="accent2"/>
          </w:tcPr>
          <w:p w14:paraId="2F01240D" w14:textId="77777777" w:rsidR="00015DB5" w:rsidRPr="00561A62" w:rsidRDefault="00015DB5" w:rsidP="00585D44">
            <w:pPr>
              <w:jc w:val="left"/>
              <w:rPr>
                <w:rFonts w:cs="Times New Roman"/>
                <w:b/>
                <w:color w:val="FFFFFF"/>
                <w:sz w:val="18"/>
                <w:szCs w:val="18"/>
              </w:rPr>
            </w:pPr>
            <w:r w:rsidRPr="00561A62">
              <w:rPr>
                <w:rFonts w:cs="Times New Roman"/>
                <w:b/>
                <w:color w:val="FFFFFF"/>
                <w:sz w:val="18"/>
                <w:szCs w:val="18"/>
              </w:rPr>
              <w:t>Bloque de obligaciones</w:t>
            </w:r>
          </w:p>
        </w:tc>
        <w:tc>
          <w:tcPr>
            <w:tcW w:w="7078" w:type="dxa"/>
            <w:tcBorders>
              <w:bottom w:val="single" w:sz="4" w:space="0" w:color="438086" w:themeColor="accent2"/>
            </w:tcBorders>
            <w:shd w:val="clear" w:color="auto" w:fill="438086" w:themeFill="accent2"/>
          </w:tcPr>
          <w:p w14:paraId="59D0E37C" w14:textId="77777777" w:rsidR="00015DB5" w:rsidRPr="00561A62" w:rsidRDefault="00015DB5" w:rsidP="00585D44">
            <w:pPr>
              <w:jc w:val="center"/>
              <w:rPr>
                <w:rFonts w:cs="Times New Roman"/>
                <w:b/>
                <w:color w:val="FFFFFF"/>
                <w:sz w:val="18"/>
                <w:szCs w:val="18"/>
              </w:rPr>
            </w:pPr>
            <w:r w:rsidRPr="00561A62">
              <w:rPr>
                <w:rFonts w:cs="Times New Roman"/>
                <w:b/>
                <w:color w:val="FFFFFF"/>
                <w:sz w:val="18"/>
                <w:szCs w:val="18"/>
              </w:rPr>
              <w:t>Obligaciones</w:t>
            </w:r>
          </w:p>
        </w:tc>
      </w:tr>
      <w:tr w:rsidR="00015DB5" w:rsidRPr="00561A62" w14:paraId="2219CBAC" w14:textId="77777777" w:rsidTr="00585D44">
        <w:tc>
          <w:tcPr>
            <w:tcW w:w="1535" w:type="dxa"/>
            <w:vMerge w:val="restart"/>
            <w:shd w:val="clear" w:color="auto" w:fill="438086" w:themeFill="accent2"/>
            <w:textDirection w:val="btLr"/>
          </w:tcPr>
          <w:p w14:paraId="38C94FAC" w14:textId="77777777" w:rsidR="00015DB5" w:rsidRPr="00561A62" w:rsidRDefault="00015DB5" w:rsidP="00585D44">
            <w:pPr>
              <w:ind w:left="113" w:right="113"/>
              <w:jc w:val="center"/>
              <w:rPr>
                <w:rFonts w:cs="Times New Roman"/>
                <w:b/>
                <w:color w:val="FFFFFF"/>
                <w:sz w:val="18"/>
                <w:szCs w:val="18"/>
              </w:rPr>
            </w:pPr>
            <w:r w:rsidRPr="00561A62">
              <w:rPr>
                <w:rFonts w:cs="Times New Roman"/>
                <w:b/>
                <w:color w:val="FFFFFF"/>
                <w:sz w:val="18"/>
                <w:szCs w:val="18"/>
              </w:rPr>
              <w:t>Institucional, Organizativa</w:t>
            </w:r>
          </w:p>
          <w:p w14:paraId="1E025653" w14:textId="77777777" w:rsidR="00015DB5" w:rsidRPr="00561A62" w:rsidRDefault="00015DB5" w:rsidP="00585D44">
            <w:pPr>
              <w:ind w:left="113" w:right="113"/>
              <w:jc w:val="center"/>
              <w:rPr>
                <w:rFonts w:cs="Times New Roman"/>
                <w:b/>
                <w:color w:val="FFFFFF"/>
                <w:sz w:val="18"/>
                <w:szCs w:val="18"/>
              </w:rPr>
            </w:pPr>
            <w:r w:rsidRPr="00561A62">
              <w:rPr>
                <w:rFonts w:cs="Times New Roman"/>
                <w:b/>
                <w:color w:val="FFFFFF"/>
                <w:sz w:val="18"/>
                <w:szCs w:val="18"/>
              </w:rPr>
              <w:t>y de Planificación</w:t>
            </w:r>
          </w:p>
        </w:tc>
        <w:tc>
          <w:tcPr>
            <w:tcW w:w="7078" w:type="dxa"/>
            <w:tcBorders>
              <w:bottom w:val="nil"/>
            </w:tcBorders>
          </w:tcPr>
          <w:p w14:paraId="5AB663A6" w14:textId="77777777" w:rsidR="00015DB5" w:rsidRPr="00561A62" w:rsidRDefault="00015DB5" w:rsidP="00585D44">
            <w:pPr>
              <w:jc w:val="left"/>
              <w:rPr>
                <w:rFonts w:cs="Times New Roman"/>
                <w:sz w:val="18"/>
                <w:szCs w:val="18"/>
              </w:rPr>
            </w:pPr>
            <w:r w:rsidRPr="00561A62">
              <w:rPr>
                <w:rFonts w:cs="Times New Roman"/>
                <w:sz w:val="18"/>
                <w:szCs w:val="18"/>
              </w:rPr>
              <w:t>Normativa aplicable</w:t>
            </w:r>
          </w:p>
        </w:tc>
      </w:tr>
      <w:tr w:rsidR="00015DB5" w:rsidRPr="00561A62" w14:paraId="6018811A" w14:textId="77777777" w:rsidTr="00585D44">
        <w:tc>
          <w:tcPr>
            <w:tcW w:w="1535" w:type="dxa"/>
            <w:vMerge/>
            <w:shd w:val="clear" w:color="auto" w:fill="438086" w:themeFill="accent2"/>
          </w:tcPr>
          <w:p w14:paraId="52A73C55" w14:textId="77777777" w:rsidR="00015DB5" w:rsidRPr="00561A62" w:rsidRDefault="00015DB5" w:rsidP="00585D44">
            <w:pPr>
              <w:jc w:val="center"/>
              <w:rPr>
                <w:rFonts w:cs="Times New Roman"/>
                <w:b/>
                <w:color w:val="FFFFFF"/>
                <w:sz w:val="18"/>
                <w:szCs w:val="18"/>
              </w:rPr>
            </w:pPr>
          </w:p>
        </w:tc>
        <w:tc>
          <w:tcPr>
            <w:tcW w:w="7078" w:type="dxa"/>
            <w:tcBorders>
              <w:top w:val="nil"/>
              <w:bottom w:val="nil"/>
            </w:tcBorders>
          </w:tcPr>
          <w:p w14:paraId="74C26137" w14:textId="77777777" w:rsidR="00015DB5" w:rsidRPr="00561A62" w:rsidRDefault="00015DB5" w:rsidP="00585D44">
            <w:pPr>
              <w:jc w:val="left"/>
              <w:rPr>
                <w:rFonts w:cs="Times New Roman"/>
                <w:sz w:val="18"/>
                <w:szCs w:val="18"/>
              </w:rPr>
            </w:pPr>
            <w:r w:rsidRPr="00561A62">
              <w:rPr>
                <w:rFonts w:cs="Times New Roman"/>
                <w:sz w:val="18"/>
                <w:szCs w:val="18"/>
              </w:rPr>
              <w:t>Funciones</w:t>
            </w:r>
          </w:p>
        </w:tc>
      </w:tr>
      <w:tr w:rsidR="00015DB5" w:rsidRPr="00561A62" w14:paraId="71EC11D9" w14:textId="77777777" w:rsidTr="00585D44">
        <w:trPr>
          <w:trHeight w:val="1084"/>
        </w:trPr>
        <w:tc>
          <w:tcPr>
            <w:tcW w:w="1535" w:type="dxa"/>
            <w:vMerge/>
            <w:shd w:val="clear" w:color="auto" w:fill="438086" w:themeFill="accent2"/>
          </w:tcPr>
          <w:p w14:paraId="271DA1AE" w14:textId="77777777" w:rsidR="00015DB5" w:rsidRPr="00561A62" w:rsidRDefault="00015DB5" w:rsidP="00585D44">
            <w:pPr>
              <w:jc w:val="center"/>
              <w:rPr>
                <w:rFonts w:cs="Times New Roman"/>
                <w:b/>
                <w:color w:val="FFFFFF"/>
                <w:sz w:val="18"/>
                <w:szCs w:val="18"/>
              </w:rPr>
            </w:pPr>
          </w:p>
        </w:tc>
        <w:tc>
          <w:tcPr>
            <w:tcW w:w="7078" w:type="dxa"/>
            <w:tcBorders>
              <w:top w:val="nil"/>
            </w:tcBorders>
          </w:tcPr>
          <w:p w14:paraId="36D064E1" w14:textId="77777777" w:rsidR="00015DB5" w:rsidRPr="00561A62" w:rsidRDefault="00015DB5" w:rsidP="00585D44">
            <w:pPr>
              <w:jc w:val="left"/>
              <w:rPr>
                <w:rFonts w:cs="Times New Roman"/>
                <w:sz w:val="18"/>
                <w:szCs w:val="18"/>
              </w:rPr>
            </w:pPr>
            <w:r w:rsidRPr="00561A62">
              <w:rPr>
                <w:rFonts w:cs="Times New Roman"/>
                <w:sz w:val="18"/>
                <w:szCs w:val="18"/>
              </w:rPr>
              <w:t>Descripción estructura organizativa</w:t>
            </w:r>
          </w:p>
          <w:p w14:paraId="73BAEF51" w14:textId="77777777" w:rsidR="00015DB5" w:rsidRPr="00561A62" w:rsidRDefault="00015DB5" w:rsidP="00585D44">
            <w:pPr>
              <w:jc w:val="left"/>
              <w:rPr>
                <w:rFonts w:cs="Times New Roman"/>
                <w:sz w:val="18"/>
                <w:szCs w:val="18"/>
              </w:rPr>
            </w:pPr>
            <w:r w:rsidRPr="00561A62">
              <w:rPr>
                <w:rFonts w:cs="Times New Roman"/>
                <w:sz w:val="18"/>
                <w:szCs w:val="18"/>
              </w:rPr>
              <w:t>Organigrama</w:t>
            </w:r>
          </w:p>
          <w:p w14:paraId="657BDFA0" w14:textId="77777777" w:rsidR="00015DB5" w:rsidRPr="00561A62" w:rsidRDefault="00015DB5" w:rsidP="00585D44">
            <w:pPr>
              <w:jc w:val="left"/>
              <w:rPr>
                <w:rFonts w:cs="Times New Roman"/>
                <w:sz w:val="18"/>
                <w:szCs w:val="18"/>
              </w:rPr>
            </w:pPr>
            <w:r w:rsidRPr="00561A62">
              <w:rPr>
                <w:rFonts w:cs="Times New Roman"/>
                <w:sz w:val="18"/>
                <w:szCs w:val="18"/>
              </w:rPr>
              <w:t>Identificación Responsables</w:t>
            </w:r>
          </w:p>
          <w:p w14:paraId="5C3ED7DD" w14:textId="77777777" w:rsidR="00015DB5" w:rsidRPr="00561A62" w:rsidRDefault="00015DB5" w:rsidP="00585D44">
            <w:pPr>
              <w:jc w:val="left"/>
              <w:rPr>
                <w:rFonts w:cs="Times New Roman"/>
                <w:sz w:val="18"/>
                <w:szCs w:val="18"/>
              </w:rPr>
            </w:pPr>
            <w:r w:rsidRPr="00561A62">
              <w:rPr>
                <w:rFonts w:cs="Times New Roman"/>
                <w:sz w:val="18"/>
                <w:szCs w:val="18"/>
              </w:rPr>
              <w:t>Perfil y trayectoria profesional responsables</w:t>
            </w:r>
          </w:p>
        </w:tc>
      </w:tr>
      <w:tr w:rsidR="00015DB5" w:rsidRPr="00561A62" w14:paraId="40381D0F" w14:textId="77777777" w:rsidTr="00585D44">
        <w:trPr>
          <w:trHeight w:val="1776"/>
        </w:trPr>
        <w:tc>
          <w:tcPr>
            <w:tcW w:w="1535" w:type="dxa"/>
            <w:shd w:val="clear" w:color="auto" w:fill="438086" w:themeFill="accent2"/>
            <w:textDirection w:val="btLr"/>
          </w:tcPr>
          <w:p w14:paraId="0875A680" w14:textId="77777777" w:rsidR="00015DB5" w:rsidRPr="00561A62" w:rsidRDefault="00015DB5" w:rsidP="00585D44">
            <w:pPr>
              <w:ind w:left="113" w:right="113"/>
              <w:jc w:val="center"/>
              <w:rPr>
                <w:rFonts w:cs="Times New Roman"/>
                <w:b/>
                <w:color w:val="FFFFFF"/>
                <w:sz w:val="18"/>
                <w:szCs w:val="18"/>
              </w:rPr>
            </w:pPr>
            <w:r w:rsidRPr="00561A62">
              <w:rPr>
                <w:rFonts w:cs="Times New Roman"/>
                <w:b/>
                <w:color w:val="FFFFFF"/>
                <w:sz w:val="18"/>
                <w:szCs w:val="18"/>
              </w:rPr>
              <w:t>Económica, Presupuestaria</w:t>
            </w:r>
          </w:p>
          <w:p w14:paraId="248128EF" w14:textId="77777777" w:rsidR="00015DB5" w:rsidRPr="00561A62" w:rsidRDefault="00015DB5" w:rsidP="00585D44">
            <w:pPr>
              <w:ind w:left="113" w:right="113"/>
              <w:jc w:val="center"/>
              <w:rPr>
                <w:rFonts w:cs="Times New Roman"/>
                <w:b/>
                <w:color w:val="FFFFFF"/>
                <w:sz w:val="18"/>
                <w:szCs w:val="18"/>
              </w:rPr>
            </w:pPr>
            <w:r w:rsidRPr="00561A62">
              <w:rPr>
                <w:rFonts w:cs="Times New Roman"/>
                <w:b/>
                <w:color w:val="FFFFFF"/>
                <w:sz w:val="18"/>
                <w:szCs w:val="18"/>
              </w:rPr>
              <w:t>y Estadística</w:t>
            </w:r>
          </w:p>
        </w:tc>
        <w:tc>
          <w:tcPr>
            <w:tcW w:w="7078" w:type="dxa"/>
          </w:tcPr>
          <w:p w14:paraId="0A0C27A7" w14:textId="77777777" w:rsidR="00015DB5" w:rsidRPr="00561A62" w:rsidRDefault="00015DB5" w:rsidP="00585D44">
            <w:pPr>
              <w:jc w:val="left"/>
              <w:rPr>
                <w:rFonts w:cs="Times New Roman"/>
                <w:sz w:val="18"/>
                <w:szCs w:val="18"/>
              </w:rPr>
            </w:pPr>
            <w:r w:rsidRPr="00561A62">
              <w:rPr>
                <w:rFonts w:cs="Times New Roman"/>
                <w:sz w:val="18"/>
                <w:szCs w:val="18"/>
              </w:rPr>
              <w:t>Contratos adjudicados por administraciones públicas</w:t>
            </w:r>
          </w:p>
          <w:p w14:paraId="0F59E872" w14:textId="77777777" w:rsidR="00015DB5" w:rsidRPr="00561A62" w:rsidRDefault="00015DB5" w:rsidP="00585D44">
            <w:pPr>
              <w:jc w:val="left"/>
              <w:rPr>
                <w:rFonts w:cs="Times New Roman"/>
                <w:sz w:val="18"/>
                <w:szCs w:val="18"/>
              </w:rPr>
            </w:pPr>
            <w:r w:rsidRPr="00561A62">
              <w:rPr>
                <w:rFonts w:cs="Times New Roman"/>
                <w:sz w:val="18"/>
                <w:szCs w:val="18"/>
              </w:rPr>
              <w:t>Contratos menores adjudicados por administraciones públicas</w:t>
            </w:r>
          </w:p>
          <w:p w14:paraId="0737086D" w14:textId="77777777" w:rsidR="00015DB5" w:rsidRPr="00561A62" w:rsidRDefault="00015DB5" w:rsidP="00585D44">
            <w:pPr>
              <w:jc w:val="left"/>
              <w:rPr>
                <w:rFonts w:cs="Times New Roman"/>
                <w:sz w:val="18"/>
                <w:szCs w:val="18"/>
              </w:rPr>
            </w:pPr>
            <w:r w:rsidRPr="00561A62">
              <w:rPr>
                <w:rFonts w:cs="Times New Roman"/>
                <w:sz w:val="18"/>
                <w:szCs w:val="18"/>
              </w:rPr>
              <w:t>Relación de los convenios suscritos con administraciones públicas</w:t>
            </w:r>
          </w:p>
          <w:p w14:paraId="654AFB1D" w14:textId="77777777" w:rsidR="00015DB5" w:rsidRPr="00561A62" w:rsidRDefault="00015DB5" w:rsidP="00585D44">
            <w:pPr>
              <w:jc w:val="left"/>
              <w:rPr>
                <w:rFonts w:cs="Times New Roman"/>
                <w:sz w:val="18"/>
                <w:szCs w:val="18"/>
              </w:rPr>
            </w:pPr>
            <w:r w:rsidRPr="00561A62">
              <w:rPr>
                <w:rFonts w:cs="Times New Roman"/>
                <w:sz w:val="18"/>
                <w:szCs w:val="18"/>
              </w:rPr>
              <w:t>Subvenciones y ayudas públicas concedidas por administraciones públicas</w:t>
            </w:r>
          </w:p>
          <w:p w14:paraId="08906640" w14:textId="77777777" w:rsidR="00015DB5" w:rsidRPr="00561A62" w:rsidRDefault="00015DB5" w:rsidP="00585D44">
            <w:pPr>
              <w:jc w:val="left"/>
              <w:rPr>
                <w:rFonts w:cs="Times New Roman"/>
                <w:sz w:val="18"/>
                <w:szCs w:val="18"/>
              </w:rPr>
            </w:pPr>
            <w:r w:rsidRPr="00561A62">
              <w:rPr>
                <w:rFonts w:cs="Times New Roman"/>
                <w:sz w:val="18"/>
                <w:szCs w:val="18"/>
              </w:rPr>
              <w:t>Presupuestos</w:t>
            </w:r>
          </w:p>
          <w:p w14:paraId="26AF4924" w14:textId="77777777" w:rsidR="00015DB5" w:rsidRPr="00561A62" w:rsidRDefault="00015DB5" w:rsidP="00585D44">
            <w:pPr>
              <w:jc w:val="left"/>
              <w:rPr>
                <w:rFonts w:cs="Times New Roman"/>
                <w:sz w:val="18"/>
                <w:szCs w:val="18"/>
              </w:rPr>
            </w:pPr>
            <w:r w:rsidRPr="00561A62">
              <w:rPr>
                <w:rFonts w:cs="Times New Roman"/>
                <w:sz w:val="18"/>
                <w:szCs w:val="18"/>
              </w:rPr>
              <w:t>Cuentas anuales</w:t>
            </w:r>
          </w:p>
          <w:p w14:paraId="2D95C425" w14:textId="77777777" w:rsidR="00015DB5" w:rsidRPr="00561A62" w:rsidRDefault="00015DB5" w:rsidP="00585D44">
            <w:pPr>
              <w:jc w:val="left"/>
              <w:rPr>
                <w:rFonts w:cs="Times New Roman"/>
                <w:sz w:val="18"/>
                <w:szCs w:val="18"/>
              </w:rPr>
            </w:pPr>
            <w:r w:rsidRPr="00561A62">
              <w:rPr>
                <w:rFonts w:cs="Times New Roman"/>
                <w:sz w:val="18"/>
                <w:szCs w:val="18"/>
              </w:rPr>
              <w:t xml:space="preserve">Informes de auditoría de cuentas </w:t>
            </w:r>
          </w:p>
          <w:p w14:paraId="65927FA7" w14:textId="77777777" w:rsidR="00015DB5" w:rsidRPr="00561A62" w:rsidRDefault="00015DB5" w:rsidP="00585D44">
            <w:pPr>
              <w:jc w:val="left"/>
              <w:rPr>
                <w:rFonts w:cs="Times New Roman"/>
                <w:sz w:val="18"/>
                <w:szCs w:val="18"/>
              </w:rPr>
            </w:pPr>
            <w:r w:rsidRPr="00561A62">
              <w:rPr>
                <w:rFonts w:cs="Times New Roman"/>
                <w:sz w:val="18"/>
                <w:szCs w:val="18"/>
              </w:rPr>
              <w:t>Retribuciones anuales de los máximos responsables</w:t>
            </w:r>
          </w:p>
        </w:tc>
      </w:tr>
    </w:tbl>
    <w:p w14:paraId="43BF97CC" w14:textId="77777777" w:rsidR="00015DB5" w:rsidRPr="00561A62" w:rsidRDefault="00015DB5" w:rsidP="00015DB5"/>
    <w:p w14:paraId="282F54A9" w14:textId="01DB6FFD" w:rsidR="00015DB5" w:rsidRDefault="00607FDA" w:rsidP="00015DB5">
      <w:r>
        <w:t>H</w:t>
      </w:r>
      <w:r w:rsidR="00015DB5" w:rsidRPr="000C5421">
        <w:t>ay que tener en cuenta que</w:t>
      </w:r>
      <w:r w:rsidR="00015DB5" w:rsidRPr="00F54A2D">
        <w:t xml:space="preserve"> </w:t>
      </w:r>
      <w:r w:rsidR="00015DB5" w:rsidRPr="00561A62">
        <w:t xml:space="preserve">pueden existir ámbitos en los que una entidad concreta carezca de competencias para desarrollar las actividades a las que se refiere una determinada obligación de publicidad activa o </w:t>
      </w:r>
      <w:r>
        <w:t xml:space="preserve">puede </w:t>
      </w:r>
      <w:r w:rsidR="00015DB5" w:rsidRPr="00561A62">
        <w:t>suceder que, en un ámbito concreto, no haya existido actividad –por ejemplo, que no se haya suscrito ningún convenio con administraciones públicas–.</w:t>
      </w:r>
    </w:p>
    <w:p w14:paraId="4BEF720F" w14:textId="669D357A" w:rsidR="005F586A" w:rsidRPr="006A6F5D" w:rsidRDefault="000B5A54" w:rsidP="00E719EF">
      <w:pPr>
        <w:pStyle w:val="Ttulo1"/>
      </w:pPr>
      <w:bookmarkStart w:id="5" w:name="_Toc219463054"/>
      <w:r w:rsidRPr="006A6F5D">
        <w:rPr>
          <w:rStyle w:val="Ttulo1Car"/>
        </w:rPr>
        <w:t xml:space="preserve">III. </w:t>
      </w:r>
      <w:r w:rsidR="005F586A" w:rsidRPr="006A6F5D">
        <w:rPr>
          <w:rStyle w:val="Ttulo1Car"/>
        </w:rPr>
        <w:t>Evaluación del cumplimiento de las obligaciones de publicidad activa</w:t>
      </w:r>
      <w:r w:rsidR="00090A3E" w:rsidRPr="006A6F5D">
        <w:rPr>
          <w:rStyle w:val="Ttulo1Car"/>
        </w:rPr>
        <w:t xml:space="preserve"> </w:t>
      </w:r>
      <w:r w:rsidR="00015DB5" w:rsidRPr="00015DB5">
        <w:rPr>
          <w:rStyle w:val="Ttulo1Car"/>
        </w:rPr>
        <w:t>por parte de las entidades perceptoras de subvenciones y ayudas públicas</w:t>
      </w:r>
      <w:bookmarkEnd w:id="5"/>
    </w:p>
    <w:p w14:paraId="3BF798B8" w14:textId="77777777" w:rsidR="009505E3" w:rsidRDefault="009505E3" w:rsidP="00077CDF">
      <w:pPr>
        <w:pStyle w:val="Ttulo2"/>
      </w:pPr>
    </w:p>
    <w:p w14:paraId="24AA9A92" w14:textId="77777777" w:rsidR="005F586A" w:rsidRPr="006A6F5D" w:rsidRDefault="000B5A54" w:rsidP="009F4C6A">
      <w:pPr>
        <w:pStyle w:val="Ttulo2"/>
        <w:spacing w:after="240"/>
      </w:pPr>
      <w:bookmarkStart w:id="6" w:name="_Toc219463055"/>
      <w:r w:rsidRPr="006A6F5D">
        <w:t>III.</w:t>
      </w:r>
      <w:r w:rsidR="009505E3" w:rsidRPr="006A6F5D">
        <w:t>1</w:t>
      </w:r>
      <w:r w:rsidRPr="006A6F5D">
        <w:t xml:space="preserve"> </w:t>
      </w:r>
      <w:r w:rsidR="00513EC7" w:rsidRPr="006A6F5D">
        <w:t>Localización y estructuración de la información</w:t>
      </w:r>
      <w:bookmarkEnd w:id="6"/>
    </w:p>
    <w:p w14:paraId="0EFE9391" w14:textId="1FAD0DD6" w:rsidR="00015DB5" w:rsidRPr="00561A62" w:rsidRDefault="00015DB5" w:rsidP="00015DB5">
      <w:bookmarkStart w:id="7" w:name="_Hlk219365438"/>
      <w:r w:rsidRPr="00561A62">
        <w:t xml:space="preserve">La proporción de entidades evaluadas que dispone de un </w:t>
      </w:r>
      <w:r w:rsidR="00F54A2D">
        <w:t>p</w:t>
      </w:r>
      <w:r w:rsidRPr="00561A62">
        <w:t xml:space="preserve">ortal de </w:t>
      </w:r>
      <w:r w:rsidR="00F54A2D">
        <w:t>t</w:t>
      </w:r>
      <w:r w:rsidRPr="00561A62">
        <w:t xml:space="preserve">ransparencia en su web institucional se sitúa en el </w:t>
      </w:r>
      <w:r w:rsidR="00AB6E2B">
        <w:t xml:space="preserve">58,3%, </w:t>
      </w:r>
      <w:bookmarkEnd w:id="7"/>
      <w:r w:rsidR="00AB6E2B">
        <w:t xml:space="preserve">9,6 </w:t>
      </w:r>
      <w:r w:rsidR="00AB6E2B" w:rsidRPr="00561A62">
        <w:t>puntos porcentuales (en adelante, p.p.) más elevada que en 202</w:t>
      </w:r>
      <w:r w:rsidR="00AB6E2B">
        <w:t>4 y 14,9 p.p. más que en 2023</w:t>
      </w:r>
      <w:r w:rsidRPr="00561A62">
        <w:t xml:space="preserve">. De ellas, </w:t>
      </w:r>
      <w:r w:rsidR="00C92FE8">
        <w:t>el 53</w:t>
      </w:r>
      <w:r w:rsidRPr="00561A62">
        <w:t xml:space="preserve">% da acceso a este Portal mediante un banner ubicado en un lugar visible de la página principal, mientras que el 47% </w:t>
      </w:r>
      <w:r w:rsidRPr="00561A62">
        <w:lastRenderedPageBreak/>
        <w:t xml:space="preserve">restante enlaza a su </w:t>
      </w:r>
      <w:r w:rsidR="00F54A2D">
        <w:t>p</w:t>
      </w:r>
      <w:r w:rsidRPr="00561A62">
        <w:t xml:space="preserve">ortal </w:t>
      </w:r>
      <w:r>
        <w:t xml:space="preserve">de transparencia </w:t>
      </w:r>
      <w:r w:rsidRPr="00561A62">
        <w:t xml:space="preserve">a través de un link dependiente de alguno de los accesos principales de la página de inicio. </w:t>
      </w:r>
    </w:p>
    <w:p w14:paraId="79231E19" w14:textId="12274CD5" w:rsidR="00AF2115" w:rsidRDefault="00015DB5" w:rsidP="00015DB5">
      <w:r w:rsidRPr="00561A62">
        <w:t xml:space="preserve">La información se estructura conforme a los bloques de obligaciones en materia de publicidad activa que establece la LTAIBG en el </w:t>
      </w:r>
      <w:r w:rsidR="003258B3">
        <w:t>12,2</w:t>
      </w:r>
      <w:r w:rsidRPr="00561A62">
        <w:t xml:space="preserve">% de los portales de transparencia. Un </w:t>
      </w:r>
      <w:r w:rsidR="00AF2115">
        <w:t>79,6</w:t>
      </w:r>
      <w:r w:rsidRPr="00561A62">
        <w:t>% adicional presenta la información obligatoria organizada, pero siguiendo un patrón diferente del establecido por la LTAIBG. E</w:t>
      </w:r>
      <w:r w:rsidR="00AF2115">
        <w:t>l 8,2% de las entidades</w:t>
      </w:r>
      <w:r w:rsidR="00AF2115" w:rsidRPr="00561A62">
        <w:t xml:space="preserve"> </w:t>
      </w:r>
      <w:r w:rsidR="00AF2115">
        <w:t>publica información sin una organización definida y, de todas las que disponen de un portal de transparencia, el 75,5% publica obligaciones de public</w:t>
      </w:r>
      <w:r w:rsidR="00600127">
        <w:t>idad</w:t>
      </w:r>
      <w:r w:rsidR="00AF2115">
        <w:t xml:space="preserve"> activa fuera de él.</w:t>
      </w:r>
    </w:p>
    <w:p w14:paraId="0823E10E" w14:textId="090EF8C8" w:rsidR="00AF2115" w:rsidRPr="00561A62" w:rsidRDefault="00AF2115" w:rsidP="00AF2115">
      <w:bookmarkStart w:id="8" w:name="_Hlk219367379"/>
      <w:r>
        <w:t xml:space="preserve">35 de 84 entidades no disponen de un portal de transparencia, un 41,7% del total. Llama la atención que </w:t>
      </w:r>
      <w:r w:rsidR="008568F0">
        <w:t>6</w:t>
      </w:r>
      <w:r>
        <w:t xml:space="preserve"> de las 22 entidades que ya fueron evaluadas en 2024, un 27,3%, siguen sin haber habilitado un portal de transparencia en su página web pese a haber sido recomendado por este Consejo. </w:t>
      </w:r>
      <w:bookmarkEnd w:id="8"/>
      <w:r w:rsidR="000E4EEE">
        <w:t xml:space="preserve">Por su naturaleza jurídica, de esas 35 entidades que no disponen de un portal de transparencia, 25, un 71,4%, son empresas; 4, un 11,4%, son asociaciones; y 6, un 17,1%, son fundaciones. </w:t>
      </w:r>
    </w:p>
    <w:p w14:paraId="7BE821A1" w14:textId="55D7F476" w:rsidR="00F4617C" w:rsidRDefault="00F4617C" w:rsidP="00F4617C">
      <w:r>
        <w:t>El 53,2% de l</w:t>
      </w:r>
      <w:r w:rsidRPr="00561A62">
        <w:t>as entidades evaluadas por primera vez en 202</w:t>
      </w:r>
      <w:r>
        <w:t>5</w:t>
      </w:r>
      <w:r w:rsidRPr="00561A62">
        <w:t xml:space="preserve"> disponen de Portal de Transparencia</w:t>
      </w:r>
      <w:r>
        <w:t xml:space="preserve">. </w:t>
      </w:r>
    </w:p>
    <w:p w14:paraId="1A3DEBB2" w14:textId="77777777" w:rsidR="00D15F0F" w:rsidRDefault="00D15F0F" w:rsidP="00015DB5"/>
    <w:p w14:paraId="6C8FA376" w14:textId="77777777" w:rsidR="00D15F0F" w:rsidRPr="00561A62" w:rsidRDefault="00D15F0F" w:rsidP="00D15F0F">
      <w:pPr>
        <w:pStyle w:val="Ttulo2"/>
      </w:pPr>
      <w:bookmarkStart w:id="9" w:name="_Toc149119220"/>
      <w:bookmarkStart w:id="10" w:name="_Toc219463056"/>
      <w:r w:rsidRPr="00561A62">
        <w:t>III.2. Cumplimiento de las obligaciones de publicidad activa</w:t>
      </w:r>
      <w:bookmarkEnd w:id="9"/>
      <w:bookmarkEnd w:id="10"/>
    </w:p>
    <w:p w14:paraId="5D7ECD45" w14:textId="77777777" w:rsidR="00D15F0F" w:rsidRPr="00561A62" w:rsidRDefault="00D15F0F" w:rsidP="00D15F0F"/>
    <w:p w14:paraId="6495A88E" w14:textId="11828B68" w:rsidR="00D15F0F" w:rsidRPr="00561A62" w:rsidRDefault="00D15F0F" w:rsidP="00D15F0F">
      <w:pPr>
        <w:pStyle w:val="Ttulo3"/>
      </w:pPr>
      <w:bookmarkStart w:id="11" w:name="_Toc149119221"/>
      <w:bookmarkStart w:id="12" w:name="_Toc219463057"/>
      <w:r w:rsidRPr="00561A62">
        <w:t>III.2.1.  Aplicación de las recomendaciones derivadas de la evaluación 202</w:t>
      </w:r>
      <w:r w:rsidR="006A1047">
        <w:t>4</w:t>
      </w:r>
      <w:r w:rsidRPr="00561A62">
        <w:t>.</w:t>
      </w:r>
      <w:bookmarkEnd w:id="11"/>
      <w:bookmarkEnd w:id="12"/>
      <w:r w:rsidRPr="00561A62">
        <w:t xml:space="preserve"> </w:t>
      </w:r>
    </w:p>
    <w:p w14:paraId="0262A159" w14:textId="79D6861A" w:rsidR="00D15F0F" w:rsidRDefault="00D15F0F" w:rsidP="00015DB5"/>
    <w:p w14:paraId="0BCDC59C" w14:textId="2D2A1E50" w:rsidR="000B0ADB" w:rsidRDefault="00D15F0F" w:rsidP="000B0ADB">
      <w:bookmarkStart w:id="13" w:name="_Hlk219367487"/>
      <w:r>
        <w:t>Con el objetivo de que las entidades mejorasen sus índices de cumplimiento, e</w:t>
      </w:r>
      <w:r w:rsidRPr="00561A62">
        <w:t>n 202</w:t>
      </w:r>
      <w:r w:rsidR="00752870">
        <w:t>4</w:t>
      </w:r>
      <w:r w:rsidRPr="00561A62">
        <w:t xml:space="preserve"> </w:t>
      </w:r>
      <w:r>
        <w:t xml:space="preserve">el Consejo de Transparencia efectuó </w:t>
      </w:r>
      <w:r w:rsidR="000B0ADB">
        <w:t>253</w:t>
      </w:r>
      <w:r w:rsidRPr="00561A62">
        <w:t xml:space="preserve"> recomendaciones a las </w:t>
      </w:r>
      <w:r w:rsidR="000B0ADB">
        <w:t>22</w:t>
      </w:r>
      <w:r w:rsidRPr="00561A62">
        <w:t xml:space="preserve"> entidades evaluadas ese año</w:t>
      </w:r>
      <w:r w:rsidR="000B0ADB">
        <w:t xml:space="preserve"> y que se han evaluado nuevamente en 2025</w:t>
      </w:r>
      <w:r w:rsidRPr="00561A62">
        <w:t>. En promedio se realizaron 11</w:t>
      </w:r>
      <w:r w:rsidR="000B0ADB">
        <w:t>,5</w:t>
      </w:r>
      <w:r w:rsidRPr="00561A62">
        <w:t xml:space="preserve"> recomendaciones por entidad. </w:t>
      </w:r>
      <w:r w:rsidR="000B0ADB">
        <w:t xml:space="preserve">En la evaluación realizada en 2025 se ha constatado que se </w:t>
      </w:r>
      <w:r w:rsidR="000B0ADB" w:rsidRPr="00561A62">
        <w:t xml:space="preserve">han aplicado un total de </w:t>
      </w:r>
      <w:r w:rsidR="001B7097">
        <w:t>52</w:t>
      </w:r>
      <w:r w:rsidR="000B0ADB">
        <w:t xml:space="preserve"> recomendaciones</w:t>
      </w:r>
      <w:r w:rsidR="000B0ADB" w:rsidRPr="00561A62">
        <w:t xml:space="preserve">, lo que supone el </w:t>
      </w:r>
      <w:r w:rsidR="001B7097">
        <w:t>20,6</w:t>
      </w:r>
      <w:r w:rsidR="000B0ADB" w:rsidRPr="00561A62">
        <w:t>% del total. Respecto de 202</w:t>
      </w:r>
      <w:r w:rsidR="000B0ADB">
        <w:t>4</w:t>
      </w:r>
      <w:r w:rsidR="000B0ADB" w:rsidRPr="00561A62">
        <w:t xml:space="preserve"> esta proporción ha </w:t>
      </w:r>
      <w:r w:rsidR="000B0ADB">
        <w:t>aumentado</w:t>
      </w:r>
      <w:r w:rsidR="000B0ADB" w:rsidRPr="00561A62">
        <w:t xml:space="preserve"> en </w:t>
      </w:r>
      <w:r w:rsidR="001B7097">
        <w:t>6</w:t>
      </w:r>
      <w:r w:rsidR="000B0ADB" w:rsidRPr="00561A62">
        <w:t>,</w:t>
      </w:r>
      <w:r w:rsidR="001B7097">
        <w:t xml:space="preserve">6 </w:t>
      </w:r>
      <w:r w:rsidR="000B0ADB" w:rsidRPr="00561A62">
        <w:t xml:space="preserve">p.p. </w:t>
      </w:r>
      <w:bookmarkEnd w:id="13"/>
      <w:r w:rsidR="000B0ADB" w:rsidRPr="00561A62">
        <w:t xml:space="preserve">El </w:t>
      </w:r>
      <w:r w:rsidR="000B0ADB">
        <w:t>36,4</w:t>
      </w:r>
      <w:r w:rsidR="000B0ADB" w:rsidRPr="00561A62">
        <w:t xml:space="preserve">% de las entidades evaluadas no aplicó ninguna de las recomendaciones efectuadas, lo que supone un </w:t>
      </w:r>
      <w:r w:rsidR="000B0ADB">
        <w:t>importante descenso con respecto a 2024, en el que el porcentaje fue del 68% de las entidades evaluadas por segunda vez.</w:t>
      </w:r>
    </w:p>
    <w:p w14:paraId="43D9AEAA" w14:textId="7736DE83" w:rsidR="006A1047" w:rsidRDefault="006A1047" w:rsidP="000B0ADB"/>
    <w:p w14:paraId="0F034B64" w14:textId="6E3AAE30" w:rsidR="009F4C6A" w:rsidRDefault="009F4C6A" w:rsidP="000B0ADB"/>
    <w:p w14:paraId="5C394A57" w14:textId="1CE5E2D2" w:rsidR="009F4C6A" w:rsidRDefault="009F4C6A" w:rsidP="000B0ADB"/>
    <w:p w14:paraId="3A3B4564" w14:textId="0EE1E286" w:rsidR="009F4C6A" w:rsidRDefault="009F4C6A" w:rsidP="000B0ADB"/>
    <w:p w14:paraId="0ABBF651" w14:textId="77777777" w:rsidR="009F4C6A" w:rsidRDefault="009F4C6A" w:rsidP="000B0ADB"/>
    <w:p w14:paraId="5C78AFDE" w14:textId="2BF121C0" w:rsidR="00D15F0F" w:rsidRDefault="00D15F0F" w:rsidP="00D15F0F">
      <w:pPr>
        <w:rPr>
          <w:b/>
          <w:szCs w:val="22"/>
        </w:rPr>
      </w:pPr>
      <w:r w:rsidRPr="003005AA">
        <w:rPr>
          <w:b/>
          <w:szCs w:val="22"/>
        </w:rPr>
        <w:lastRenderedPageBreak/>
        <w:t xml:space="preserve">Gráfico </w:t>
      </w:r>
      <w:r w:rsidRPr="003005AA">
        <w:rPr>
          <w:b/>
          <w:szCs w:val="22"/>
        </w:rPr>
        <w:fldChar w:fldCharType="begin"/>
      </w:r>
      <w:r w:rsidRPr="003005AA">
        <w:rPr>
          <w:b/>
          <w:szCs w:val="22"/>
        </w:rPr>
        <w:instrText xml:space="preserve"> SEQ Gráfico \* ARABIC </w:instrText>
      </w:r>
      <w:r w:rsidRPr="003005AA">
        <w:rPr>
          <w:b/>
          <w:szCs w:val="22"/>
        </w:rPr>
        <w:fldChar w:fldCharType="separate"/>
      </w:r>
      <w:r w:rsidR="009F4C6A">
        <w:rPr>
          <w:b/>
          <w:noProof/>
          <w:szCs w:val="22"/>
        </w:rPr>
        <w:t>1</w:t>
      </w:r>
      <w:r w:rsidRPr="003005AA">
        <w:rPr>
          <w:b/>
          <w:szCs w:val="22"/>
        </w:rPr>
        <w:fldChar w:fldCharType="end"/>
      </w:r>
      <w:r w:rsidRPr="003005AA">
        <w:rPr>
          <w:b/>
          <w:szCs w:val="22"/>
        </w:rPr>
        <w:t>: Grado de aplicación de las recomendaciones derivadas de la evaluación 202</w:t>
      </w:r>
      <w:r w:rsidR="000B0ADB">
        <w:rPr>
          <w:b/>
          <w:szCs w:val="22"/>
        </w:rPr>
        <w:t>4</w:t>
      </w:r>
      <w:r w:rsidRPr="003005AA">
        <w:rPr>
          <w:b/>
          <w:szCs w:val="22"/>
        </w:rPr>
        <w:t>.</w:t>
      </w:r>
    </w:p>
    <w:p w14:paraId="78290E00" w14:textId="50B807C0" w:rsidR="00D15F0F" w:rsidRDefault="00D15F0F" w:rsidP="00D15F0F">
      <w:pPr>
        <w:pStyle w:val="Ttulo3"/>
      </w:pPr>
    </w:p>
    <w:p w14:paraId="3F0E33A8" w14:textId="305B73D8" w:rsidR="00252F68" w:rsidRPr="00252F68" w:rsidRDefault="00252F68" w:rsidP="00252F68">
      <w:r w:rsidRPr="00252F68">
        <w:rPr>
          <w:noProof/>
          <w:highlight w:val="darkCyan"/>
        </w:rPr>
        <w:drawing>
          <wp:inline distT="0" distB="0" distL="0" distR="0" wp14:anchorId="3F77ED40" wp14:editId="1B0C68D4">
            <wp:extent cx="5952490" cy="2436125"/>
            <wp:effectExtent l="0" t="0" r="10160" b="2540"/>
            <wp:docPr id="2" name="Gráfico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0B123B" w14:textId="2C542B3D" w:rsidR="00D15F0F" w:rsidRPr="00561A62" w:rsidRDefault="00D15F0F" w:rsidP="00D15F0F">
      <w:bookmarkStart w:id="14" w:name="_Toc149119223"/>
      <w:r w:rsidRPr="00561A62">
        <w:t xml:space="preserve">El </w:t>
      </w:r>
      <w:r w:rsidR="00252F68">
        <w:t>18</w:t>
      </w:r>
      <w:r w:rsidRPr="00561A62">
        <w:t xml:space="preserve">,2% de las entidades </w:t>
      </w:r>
      <w:r>
        <w:t>que habían sido evaluadas</w:t>
      </w:r>
      <w:r w:rsidRPr="00561A62">
        <w:t xml:space="preserve"> por primera vez en 202</w:t>
      </w:r>
      <w:r w:rsidR="00252F68">
        <w:t>4</w:t>
      </w:r>
      <w:r w:rsidRPr="00561A62">
        <w:t xml:space="preserve"> ha aplicado el </w:t>
      </w:r>
      <w:r w:rsidR="00252F68">
        <w:t>6</w:t>
      </w:r>
      <w:r w:rsidRPr="00561A62">
        <w:t xml:space="preserve">0% o más de las recomendaciones efectuadas. En estas entidades, el incremento medio del Índice de Cumplimiento de la Información Obligatoria supera los </w:t>
      </w:r>
      <w:r w:rsidR="00A71EA9">
        <w:t>30,5</w:t>
      </w:r>
      <w:r w:rsidRPr="00561A62">
        <w:t xml:space="preserve"> p.p., con un rango de variación que oscila entre </w:t>
      </w:r>
      <w:r w:rsidR="00A71EA9">
        <w:t>27,1</w:t>
      </w:r>
      <w:r w:rsidRPr="00561A62">
        <w:t xml:space="preserve"> y </w:t>
      </w:r>
      <w:r w:rsidR="00A71EA9">
        <w:t>36,6</w:t>
      </w:r>
      <w:r w:rsidRPr="00561A62">
        <w:t xml:space="preserve"> p.p. Respecto de 202</w:t>
      </w:r>
      <w:r w:rsidR="00286259">
        <w:t>4</w:t>
      </w:r>
      <w:r w:rsidRPr="00561A62">
        <w:t xml:space="preserve">, la proporción de entidades que aplicaron el </w:t>
      </w:r>
      <w:r w:rsidR="00286259">
        <w:t>6</w:t>
      </w:r>
      <w:r w:rsidRPr="00561A62">
        <w:t>0% o más de las recomendaciones derivadas de la evaluación permanece prácticamente estable</w:t>
      </w:r>
      <w:r w:rsidR="00286259">
        <w:t xml:space="preserve"> (18,2 frente a 17,9)</w:t>
      </w:r>
      <w:r w:rsidRPr="00561A62">
        <w:t>.</w:t>
      </w:r>
    </w:p>
    <w:p w14:paraId="75C74190" w14:textId="03306280" w:rsidR="00D15F0F" w:rsidRPr="00561A62" w:rsidRDefault="00D15F0F" w:rsidP="00D15F0F">
      <w:r w:rsidRPr="00561A62">
        <w:t xml:space="preserve">Por otra parte, </w:t>
      </w:r>
      <w:r w:rsidR="00286259">
        <w:t>dos</w:t>
      </w:r>
      <w:r w:rsidRPr="00561A62">
        <w:t xml:space="preserve"> de las entidades evaluadas han aplicado</w:t>
      </w:r>
      <w:r>
        <w:t>,</w:t>
      </w:r>
      <w:r w:rsidRPr="00561A62">
        <w:t xml:space="preserve"> total o parcialmente, las recomendaciones efectuadas por el Consejo o han introducido mejoras</w:t>
      </w:r>
      <w:r>
        <w:t xml:space="preserve"> </w:t>
      </w:r>
      <w:r w:rsidRPr="00561A62">
        <w:t xml:space="preserve">durante el periodo de observaciones a los informes provisionales de evaluación. Estas </w:t>
      </w:r>
      <w:r w:rsidR="00286259">
        <w:t>dos</w:t>
      </w:r>
      <w:r w:rsidRPr="00561A62">
        <w:t xml:space="preserve"> entidades se relacionan en la siguiente tabla.</w:t>
      </w:r>
    </w:p>
    <w:tbl>
      <w:tblPr>
        <w:tblStyle w:val="Listaclara-nfasis2"/>
        <w:tblW w:w="9062" w:type="dxa"/>
        <w:tblLook w:val="04A0" w:firstRow="1" w:lastRow="0" w:firstColumn="1" w:lastColumn="0" w:noHBand="0" w:noVBand="1"/>
      </w:tblPr>
      <w:tblGrid>
        <w:gridCol w:w="6062"/>
        <w:gridCol w:w="3000"/>
      </w:tblGrid>
      <w:tr w:rsidR="00D15F0F" w:rsidRPr="00561A62" w14:paraId="012224D2" w14:textId="77777777" w:rsidTr="00585D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14:paraId="782B333C" w14:textId="77777777" w:rsidR="00D15F0F" w:rsidRPr="00561A62" w:rsidRDefault="00D15F0F" w:rsidP="00585D44">
            <w:pPr>
              <w:rPr>
                <w:rFonts w:eastAsia="Calibri" w:cs="Times New Roman"/>
                <w:sz w:val="20"/>
              </w:rPr>
            </w:pPr>
            <w:r w:rsidRPr="00561A62">
              <w:rPr>
                <w:rFonts w:eastAsia="Calibri" w:cs="Times New Roman"/>
                <w:sz w:val="20"/>
              </w:rPr>
              <w:t>Entidad</w:t>
            </w:r>
          </w:p>
        </w:tc>
        <w:tc>
          <w:tcPr>
            <w:tcW w:w="3000" w:type="dxa"/>
          </w:tcPr>
          <w:p w14:paraId="2C5983CD" w14:textId="77777777" w:rsidR="00D15F0F" w:rsidRPr="00561A62" w:rsidRDefault="00D15F0F" w:rsidP="00585D44">
            <w:pPr>
              <w:cnfStyle w:val="100000000000" w:firstRow="1" w:lastRow="0" w:firstColumn="0" w:lastColumn="0" w:oddVBand="0" w:evenVBand="0" w:oddHBand="0" w:evenHBand="0" w:firstRowFirstColumn="0" w:firstRowLastColumn="0" w:lastRowFirstColumn="0" w:lastRowLastColumn="0"/>
              <w:rPr>
                <w:rFonts w:eastAsia="Calibri" w:cs="Times New Roman"/>
                <w:sz w:val="20"/>
              </w:rPr>
            </w:pPr>
            <w:r w:rsidRPr="00561A62">
              <w:rPr>
                <w:rFonts w:eastAsia="Calibri" w:cs="Times New Roman"/>
                <w:sz w:val="20"/>
              </w:rPr>
              <w:t>Número de recomendaciones o mejoras aplicadas durante el periodo de observaciones</w:t>
            </w:r>
          </w:p>
        </w:tc>
      </w:tr>
      <w:tr w:rsidR="00D15F0F" w:rsidRPr="00561A62" w14:paraId="132BC980" w14:textId="77777777" w:rsidTr="00585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14:paraId="15EB3B7F" w14:textId="10C1342C" w:rsidR="00D15F0F" w:rsidRPr="00561A62" w:rsidRDefault="00942FF5" w:rsidP="00585D44">
            <w:pPr>
              <w:jc w:val="left"/>
              <w:rPr>
                <w:rFonts w:eastAsia="Calibri" w:cs="Times New Roman"/>
                <w:b w:val="0"/>
                <w:bCs w:val="0"/>
                <w:sz w:val="20"/>
              </w:rPr>
            </w:pPr>
            <w:r w:rsidRPr="00942FF5">
              <w:rPr>
                <w:b w:val="0"/>
                <w:bCs w:val="0"/>
                <w:sz w:val="20"/>
              </w:rPr>
              <w:t>Coordinadora de ONG para el Desarrollo</w:t>
            </w:r>
          </w:p>
        </w:tc>
        <w:tc>
          <w:tcPr>
            <w:tcW w:w="3000" w:type="dxa"/>
          </w:tcPr>
          <w:p w14:paraId="7C563B3F" w14:textId="3421DBC1" w:rsidR="00D15F0F" w:rsidRPr="00561A62" w:rsidRDefault="00942FF5" w:rsidP="00585D44">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rPr>
            </w:pPr>
            <w:r>
              <w:rPr>
                <w:rFonts w:eastAsia="Calibri" w:cs="Times New Roman"/>
                <w:sz w:val="20"/>
              </w:rPr>
              <w:t>11</w:t>
            </w:r>
          </w:p>
        </w:tc>
      </w:tr>
      <w:tr w:rsidR="00D15F0F" w:rsidRPr="00561A62" w14:paraId="58D253DC" w14:textId="77777777" w:rsidTr="00585D44">
        <w:tc>
          <w:tcPr>
            <w:cnfStyle w:val="001000000000" w:firstRow="0" w:lastRow="0" w:firstColumn="1" w:lastColumn="0" w:oddVBand="0" w:evenVBand="0" w:oddHBand="0" w:evenHBand="0" w:firstRowFirstColumn="0" w:firstRowLastColumn="0" w:lastRowFirstColumn="0" w:lastRowLastColumn="0"/>
            <w:tcW w:w="6062" w:type="dxa"/>
          </w:tcPr>
          <w:p w14:paraId="11DDFB0F" w14:textId="7AED7A73" w:rsidR="00D15F0F" w:rsidRPr="00561A62" w:rsidRDefault="00942FF5" w:rsidP="00585D44">
            <w:pPr>
              <w:jc w:val="left"/>
              <w:rPr>
                <w:rFonts w:eastAsia="Calibri" w:cs="Times New Roman"/>
                <w:b w:val="0"/>
                <w:bCs w:val="0"/>
                <w:sz w:val="20"/>
              </w:rPr>
            </w:pPr>
            <w:r w:rsidRPr="00942FF5">
              <w:rPr>
                <w:rFonts w:eastAsia="Calibri" w:cs="Times New Roman"/>
                <w:b w:val="0"/>
                <w:bCs w:val="0"/>
                <w:szCs w:val="22"/>
                <w:lang w:eastAsia="en-US"/>
              </w:rPr>
              <w:t>Médicos del Mundo</w:t>
            </w:r>
          </w:p>
        </w:tc>
        <w:tc>
          <w:tcPr>
            <w:tcW w:w="3000" w:type="dxa"/>
          </w:tcPr>
          <w:p w14:paraId="0BF533D6" w14:textId="7B480FB2" w:rsidR="00D15F0F" w:rsidRPr="00561A62" w:rsidRDefault="00942FF5" w:rsidP="00585D44">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rPr>
            </w:pPr>
            <w:r>
              <w:rPr>
                <w:sz w:val="20"/>
              </w:rPr>
              <w:t>4</w:t>
            </w:r>
          </w:p>
        </w:tc>
      </w:tr>
    </w:tbl>
    <w:p w14:paraId="6BBDCF67" w14:textId="7337E510" w:rsidR="00D15F0F" w:rsidRDefault="00D15F0F" w:rsidP="00D15F0F">
      <w:pPr>
        <w:pStyle w:val="Ttulo3"/>
      </w:pPr>
    </w:p>
    <w:p w14:paraId="425B966A" w14:textId="77777777" w:rsidR="00B64350" w:rsidRPr="00B64350" w:rsidRDefault="00B64350" w:rsidP="00B64350"/>
    <w:p w14:paraId="6BCA9774" w14:textId="77777777" w:rsidR="00D15F0F" w:rsidRPr="00561A62" w:rsidRDefault="00D15F0F" w:rsidP="00D15F0F">
      <w:pPr>
        <w:pStyle w:val="Ttulo3"/>
      </w:pPr>
      <w:bookmarkStart w:id="15" w:name="_Toc219463058"/>
      <w:r w:rsidRPr="00561A62">
        <w:t>III.2.2.  Información Institucional, Organizativa y de Planificación</w:t>
      </w:r>
      <w:bookmarkEnd w:id="14"/>
      <w:bookmarkEnd w:id="15"/>
    </w:p>
    <w:p w14:paraId="562132DA" w14:textId="77777777" w:rsidR="00D15F0F" w:rsidRPr="00561A62" w:rsidRDefault="00D15F0F" w:rsidP="00D15F0F">
      <w:pPr>
        <w:pStyle w:val="Ttulo4"/>
        <w:rPr>
          <w:i w:val="0"/>
        </w:rPr>
      </w:pPr>
    </w:p>
    <w:p w14:paraId="52A8BCD2" w14:textId="6FE4CB07" w:rsidR="00D15F0F" w:rsidRDefault="00D15F0F" w:rsidP="00D15F0F">
      <w:r w:rsidRPr="00561A62">
        <w:t xml:space="preserve">En promedio se publica el </w:t>
      </w:r>
      <w:r w:rsidR="004F4188">
        <w:t>57</w:t>
      </w:r>
      <w:r w:rsidR="006546D3">
        <w:t>,1</w:t>
      </w:r>
      <w:r w:rsidRPr="00561A62">
        <w:t>% de las informaciones obligatorias de este bloque, con un rango de variación de entre el 0 y el 100%. Respecto de 202</w:t>
      </w:r>
      <w:r w:rsidR="004F4188">
        <w:t>4</w:t>
      </w:r>
      <w:r w:rsidRPr="00561A62">
        <w:t>, esta proporción ha aumentado</w:t>
      </w:r>
      <w:r w:rsidR="004F4188">
        <w:t xml:space="preserve"> casi en</w:t>
      </w:r>
      <w:r w:rsidRPr="00561A62">
        <w:t xml:space="preserve"> 3 p.p.</w:t>
      </w:r>
    </w:p>
    <w:p w14:paraId="2E60A626" w14:textId="16A1ADD0" w:rsidR="00D15F0F" w:rsidRPr="00561A62" w:rsidRDefault="00D15F0F" w:rsidP="00D15F0F">
      <w:r w:rsidRPr="00561A62">
        <w:t>Existen diferencias en cuanto a la proporción de contenidos obligatorios que publican un grupo u otro de entidades.</w:t>
      </w:r>
      <w:r w:rsidR="005F01D8">
        <w:t xml:space="preserve"> Las </w:t>
      </w:r>
      <w:r w:rsidRPr="00561A62">
        <w:t xml:space="preserve">entidades </w:t>
      </w:r>
      <w:r w:rsidR="00F4617C">
        <w:t>que han sido objeto de revisión en 2025</w:t>
      </w:r>
      <w:r w:rsidRPr="00561A62">
        <w:t xml:space="preserve"> publican en mayor proporción las informaciones obligatorias correspondientes a este bloque de </w:t>
      </w:r>
      <w:r w:rsidRPr="00561A62">
        <w:lastRenderedPageBreak/>
        <w:t>obligaciones de publicidad activa</w:t>
      </w:r>
      <w:r w:rsidR="005F01D8">
        <w:t>, un 64,1%,</w:t>
      </w:r>
      <w:r>
        <w:t xml:space="preserve"> que las que </w:t>
      </w:r>
      <w:r w:rsidR="005F01D8">
        <w:t>han sido</w:t>
      </w:r>
      <w:r>
        <w:t xml:space="preserve"> evaluadas </w:t>
      </w:r>
      <w:r w:rsidR="005F01D8">
        <w:t xml:space="preserve">por primera vez </w:t>
      </w:r>
      <w:r>
        <w:t>en 202</w:t>
      </w:r>
      <w:r w:rsidR="005F01D8">
        <w:t>5, un 54,</w:t>
      </w:r>
      <w:r w:rsidR="001B7097">
        <w:t>6</w:t>
      </w:r>
      <w:r w:rsidR="005F01D8">
        <w:t>%</w:t>
      </w:r>
      <w:r>
        <w:t xml:space="preserve">. </w:t>
      </w:r>
    </w:p>
    <w:p w14:paraId="4CD2BBD2" w14:textId="05DA23B2" w:rsidR="00D15F0F" w:rsidRPr="003005AA" w:rsidRDefault="00D15F0F" w:rsidP="00D15F0F">
      <w:pPr>
        <w:pStyle w:val="Descripcin"/>
        <w:keepNext/>
        <w:rPr>
          <w:bCs w:val="0"/>
          <w:color w:val="auto"/>
          <w:sz w:val="22"/>
          <w:szCs w:val="22"/>
        </w:rPr>
      </w:pPr>
      <w:r w:rsidRPr="003005AA">
        <w:rPr>
          <w:bCs w:val="0"/>
          <w:color w:val="auto"/>
          <w:sz w:val="22"/>
          <w:szCs w:val="22"/>
        </w:rPr>
        <w:t xml:space="preserve">Gráfico </w:t>
      </w:r>
      <w:r w:rsidRPr="003005AA">
        <w:rPr>
          <w:bCs w:val="0"/>
          <w:color w:val="auto"/>
          <w:sz w:val="22"/>
          <w:szCs w:val="22"/>
        </w:rPr>
        <w:fldChar w:fldCharType="begin"/>
      </w:r>
      <w:r w:rsidRPr="003005AA">
        <w:rPr>
          <w:bCs w:val="0"/>
          <w:color w:val="auto"/>
          <w:sz w:val="22"/>
          <w:szCs w:val="22"/>
        </w:rPr>
        <w:instrText xml:space="preserve"> SEQ Gráfico \* ARABIC </w:instrText>
      </w:r>
      <w:r w:rsidRPr="003005AA">
        <w:rPr>
          <w:bCs w:val="0"/>
          <w:color w:val="auto"/>
          <w:sz w:val="22"/>
          <w:szCs w:val="22"/>
        </w:rPr>
        <w:fldChar w:fldCharType="separate"/>
      </w:r>
      <w:r w:rsidR="009F4C6A">
        <w:rPr>
          <w:bCs w:val="0"/>
          <w:noProof/>
          <w:color w:val="auto"/>
          <w:sz w:val="22"/>
          <w:szCs w:val="22"/>
        </w:rPr>
        <w:t>2</w:t>
      </w:r>
      <w:r w:rsidRPr="003005AA">
        <w:rPr>
          <w:bCs w:val="0"/>
          <w:color w:val="auto"/>
          <w:sz w:val="22"/>
          <w:szCs w:val="22"/>
        </w:rPr>
        <w:fldChar w:fldCharType="end"/>
      </w:r>
      <w:r w:rsidRPr="003005AA">
        <w:rPr>
          <w:bCs w:val="0"/>
          <w:color w:val="auto"/>
          <w:sz w:val="22"/>
          <w:szCs w:val="22"/>
        </w:rPr>
        <w:t>: Proporción de informaciones publicadas según momento de la primera evaluación (Información Institucional y Organizativa)</w:t>
      </w:r>
    </w:p>
    <w:p w14:paraId="76256473" w14:textId="0119FDFD" w:rsidR="005F01D8" w:rsidRDefault="006546D3" w:rsidP="00D15F0F">
      <w:r>
        <w:rPr>
          <w:noProof/>
        </w:rPr>
        <w:drawing>
          <wp:inline distT="0" distB="0" distL="0" distR="0" wp14:anchorId="5D318230" wp14:editId="3B1386C7">
            <wp:extent cx="5800090" cy="2695433"/>
            <wp:effectExtent l="0" t="0" r="10160" b="10160"/>
            <wp:docPr id="14" name="Gráfico 1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B29FF0" w14:textId="37521BBB" w:rsidR="00D15F0F" w:rsidRDefault="00D15F0F" w:rsidP="00164758">
      <w:pPr>
        <w:spacing w:after="360"/>
      </w:pPr>
      <w:r w:rsidRPr="00561A62">
        <w:t xml:space="preserve">También se observan diferencias –en este caso las diferencias son estadísticamente significativas– entre los distintos tipos de entidades. Las </w:t>
      </w:r>
      <w:proofErr w:type="spellStart"/>
      <w:r w:rsidR="00B40BAD">
        <w:t>ONGs</w:t>
      </w:r>
      <w:proofErr w:type="spellEnd"/>
      <w:r w:rsidR="00B40BAD">
        <w:t xml:space="preserve">, las </w:t>
      </w:r>
      <w:r w:rsidRPr="00561A62">
        <w:t>federaciones deportivas, las asociaciones y las fundaciones privadas publican una mayor proporción de contenidos que las empresas.</w:t>
      </w:r>
    </w:p>
    <w:p w14:paraId="5F1A8CB1" w14:textId="119C38A2" w:rsidR="00D15F0F" w:rsidRPr="003005AA" w:rsidRDefault="00D15F0F" w:rsidP="00D15F0F">
      <w:pPr>
        <w:pStyle w:val="Descripcin"/>
        <w:keepNext/>
        <w:rPr>
          <w:bCs w:val="0"/>
          <w:color w:val="auto"/>
          <w:sz w:val="22"/>
          <w:szCs w:val="22"/>
        </w:rPr>
      </w:pPr>
      <w:r w:rsidRPr="003005AA">
        <w:rPr>
          <w:bCs w:val="0"/>
          <w:color w:val="auto"/>
          <w:sz w:val="22"/>
          <w:szCs w:val="22"/>
        </w:rPr>
        <w:t xml:space="preserve">Gráfico </w:t>
      </w:r>
      <w:r w:rsidRPr="003005AA">
        <w:rPr>
          <w:bCs w:val="0"/>
          <w:color w:val="auto"/>
          <w:sz w:val="22"/>
          <w:szCs w:val="22"/>
        </w:rPr>
        <w:fldChar w:fldCharType="begin"/>
      </w:r>
      <w:r w:rsidRPr="003005AA">
        <w:rPr>
          <w:bCs w:val="0"/>
          <w:color w:val="auto"/>
          <w:sz w:val="22"/>
          <w:szCs w:val="22"/>
        </w:rPr>
        <w:instrText xml:space="preserve"> SEQ Gráfico \* ARABIC </w:instrText>
      </w:r>
      <w:r w:rsidRPr="003005AA">
        <w:rPr>
          <w:bCs w:val="0"/>
          <w:color w:val="auto"/>
          <w:sz w:val="22"/>
          <w:szCs w:val="22"/>
        </w:rPr>
        <w:fldChar w:fldCharType="separate"/>
      </w:r>
      <w:r w:rsidR="009F4C6A">
        <w:rPr>
          <w:bCs w:val="0"/>
          <w:noProof/>
          <w:color w:val="auto"/>
          <w:sz w:val="22"/>
          <w:szCs w:val="22"/>
        </w:rPr>
        <w:t>3</w:t>
      </w:r>
      <w:r w:rsidRPr="003005AA">
        <w:rPr>
          <w:bCs w:val="0"/>
          <w:color w:val="auto"/>
          <w:sz w:val="22"/>
          <w:szCs w:val="22"/>
        </w:rPr>
        <w:fldChar w:fldCharType="end"/>
      </w:r>
      <w:r w:rsidRPr="003005AA">
        <w:rPr>
          <w:bCs w:val="0"/>
          <w:color w:val="auto"/>
          <w:sz w:val="22"/>
          <w:szCs w:val="22"/>
        </w:rPr>
        <w:t>: Porcentaje de contenidos obligatorios publicados según tipología de entidad evaluada (Información Institucional y Organizativa)</w:t>
      </w:r>
    </w:p>
    <w:p w14:paraId="189459BD" w14:textId="51576FE4" w:rsidR="00D15F0F" w:rsidRDefault="00D15F0F" w:rsidP="00D15F0F">
      <w:r w:rsidRPr="00561A62">
        <w:rPr>
          <w:noProof/>
        </w:rPr>
        <w:drawing>
          <wp:inline distT="0" distB="0" distL="0" distR="0" wp14:anchorId="63E5AC0C" wp14:editId="4DF2065A">
            <wp:extent cx="5137150" cy="3048604"/>
            <wp:effectExtent l="0" t="0" r="6350" b="0"/>
            <wp:docPr id="24" name="Gráfico 24">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2EF89B" w14:textId="02C68633" w:rsidR="001244CA" w:rsidRDefault="001244CA" w:rsidP="00D15F0F">
      <w:bookmarkStart w:id="16" w:name="_Hlk219368495"/>
    </w:p>
    <w:p w14:paraId="44052816" w14:textId="151700D6" w:rsidR="001244CA" w:rsidRPr="00561A62" w:rsidRDefault="001244CA" w:rsidP="00D15F0F">
      <w:r w:rsidRPr="00561A62">
        <w:lastRenderedPageBreak/>
        <w:t xml:space="preserve">El principal déficit de publicación de contenidos obligatorios se localiza en el </w:t>
      </w:r>
      <w:r w:rsidRPr="009654A6">
        <w:t>organigrama</w:t>
      </w:r>
      <w:r w:rsidRPr="00561A62">
        <w:t xml:space="preserve">, la descripción de la estructura organizativa, el perfil y trayectoria profesional de los máximos responsables. </w:t>
      </w:r>
      <w:r>
        <w:t>El 62,2% de las entidades no publica información sobre su estructura organizativa, el 63,41</w:t>
      </w:r>
      <w:r w:rsidR="009E5F7C">
        <w:t>%</w:t>
      </w:r>
      <w:r>
        <w:t xml:space="preserve"> su organigrama, </w:t>
      </w:r>
      <w:r w:rsidRPr="00561A62">
        <w:t xml:space="preserve">y el 61% </w:t>
      </w:r>
      <w:r>
        <w:t xml:space="preserve">el </w:t>
      </w:r>
      <w:r w:rsidRPr="00561A62">
        <w:t xml:space="preserve">perfil y trayectoria profesional de </w:t>
      </w:r>
      <w:r>
        <w:t>sus</w:t>
      </w:r>
      <w:r w:rsidRPr="00561A62">
        <w:t xml:space="preserve"> máximos responsables</w:t>
      </w:r>
      <w:r>
        <w:t>.</w:t>
      </w:r>
    </w:p>
    <w:p w14:paraId="4C1FBBF3" w14:textId="30C57AA9" w:rsidR="00D15F0F" w:rsidRDefault="00D15F0F" w:rsidP="00D15F0F">
      <w:bookmarkStart w:id="17" w:name="_Hlk219368525"/>
      <w:bookmarkEnd w:id="16"/>
      <w:r w:rsidRPr="00561A62">
        <w:t xml:space="preserve">Respecto del cumplimiento de los requisitos de calidad de la información que establece la LTAIBG, el principal déficit se localiza en la carencia de referencias que permitan conocer si la información publicada está vigente. </w:t>
      </w:r>
      <w:r w:rsidR="00A24896">
        <w:t xml:space="preserve">Poco más de </w:t>
      </w:r>
      <w:r w:rsidRPr="00561A62">
        <w:t xml:space="preserve">una </w:t>
      </w:r>
      <w:r w:rsidR="00A24896">
        <w:t>décima</w:t>
      </w:r>
      <w:r w:rsidRPr="00561A62">
        <w:t xml:space="preserve"> parte de las informaciones de este bloque de obligaciones contiene alguna referencia a la última fecha en que se revisó o actualizó la información publicada</w:t>
      </w:r>
      <w:bookmarkEnd w:id="17"/>
      <w:r w:rsidRPr="00561A62">
        <w:t>.</w:t>
      </w:r>
    </w:p>
    <w:p w14:paraId="787A4865" w14:textId="745F41D2" w:rsidR="00D15F0F" w:rsidRPr="003005AA" w:rsidRDefault="00D15F0F" w:rsidP="00D15F0F">
      <w:pPr>
        <w:rPr>
          <w:b/>
          <w:szCs w:val="22"/>
        </w:rPr>
      </w:pPr>
      <w:r w:rsidRPr="003005AA">
        <w:rPr>
          <w:b/>
          <w:szCs w:val="22"/>
        </w:rPr>
        <w:t xml:space="preserve">Gráfico </w:t>
      </w:r>
      <w:r w:rsidRPr="003005AA">
        <w:rPr>
          <w:b/>
          <w:szCs w:val="22"/>
        </w:rPr>
        <w:fldChar w:fldCharType="begin"/>
      </w:r>
      <w:r w:rsidRPr="003005AA">
        <w:rPr>
          <w:b/>
          <w:szCs w:val="22"/>
        </w:rPr>
        <w:instrText xml:space="preserve"> SEQ Gráfico \* ARABIC </w:instrText>
      </w:r>
      <w:r w:rsidRPr="003005AA">
        <w:rPr>
          <w:b/>
          <w:szCs w:val="22"/>
        </w:rPr>
        <w:fldChar w:fldCharType="separate"/>
      </w:r>
      <w:r w:rsidR="009F4C6A">
        <w:rPr>
          <w:b/>
          <w:noProof/>
          <w:szCs w:val="22"/>
        </w:rPr>
        <w:t>4</w:t>
      </w:r>
      <w:r w:rsidRPr="003005AA">
        <w:rPr>
          <w:b/>
          <w:szCs w:val="22"/>
        </w:rPr>
        <w:fldChar w:fldCharType="end"/>
      </w:r>
      <w:r w:rsidRPr="003005AA">
        <w:rPr>
          <w:b/>
          <w:szCs w:val="22"/>
        </w:rPr>
        <w:t xml:space="preserve">: Evaluación de la publicación (contenido) y de los atributos de calidad de información Institucional y Organizativa </w:t>
      </w:r>
    </w:p>
    <w:p w14:paraId="71457C66" w14:textId="11C24DC4" w:rsidR="00A24896" w:rsidRPr="00561A62" w:rsidRDefault="00A24896" w:rsidP="00D15F0F">
      <w:r w:rsidRPr="00561A62">
        <w:rPr>
          <w:noProof/>
        </w:rPr>
        <w:drawing>
          <wp:inline distT="0" distB="0" distL="0" distR="0" wp14:anchorId="662E23A7" wp14:editId="131ABA80">
            <wp:extent cx="5753100" cy="2714625"/>
            <wp:effectExtent l="0" t="0" r="0" b="9525"/>
            <wp:docPr id="6" name="Gráfico 6">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034E87" w14:textId="01287BF0" w:rsidR="00D15F0F" w:rsidRPr="00561A62" w:rsidRDefault="00D15F0F" w:rsidP="00D15F0F">
      <w:bookmarkStart w:id="18" w:name="_Hlk219368627"/>
      <w:r w:rsidRPr="00561A62">
        <w:t xml:space="preserve">El grado de cumplimiento medio de este bloque de obligaciones es del </w:t>
      </w:r>
      <w:r w:rsidR="0098783A">
        <w:t>47,7</w:t>
      </w:r>
      <w:r w:rsidRPr="00561A62">
        <w:t>%</w:t>
      </w:r>
      <w:r>
        <w:t>,</w:t>
      </w:r>
      <w:r w:rsidRPr="00561A62">
        <w:t xml:space="preserve"> con un rango de variación </w:t>
      </w:r>
      <w:r w:rsidR="00EE3066">
        <w:t xml:space="preserve">por entidad </w:t>
      </w:r>
      <w:r w:rsidRPr="00561A62">
        <w:t xml:space="preserve">que oscila entre el 0 y el 100%. </w:t>
      </w:r>
      <w:bookmarkEnd w:id="18"/>
      <w:r w:rsidRPr="00561A62">
        <w:t>Respecto de 202</w:t>
      </w:r>
      <w:r w:rsidR="00BE3AF4">
        <w:t>4</w:t>
      </w:r>
      <w:r w:rsidRPr="00561A62">
        <w:t xml:space="preserve">, se produce </w:t>
      </w:r>
      <w:r w:rsidR="00BE3AF4">
        <w:t>un</w:t>
      </w:r>
      <w:r w:rsidR="0098783A">
        <w:t xml:space="preserve"> decremento de 1 </w:t>
      </w:r>
      <w:proofErr w:type="spellStart"/>
      <w:r w:rsidR="00354765">
        <w:t>p.p</w:t>
      </w:r>
      <w:proofErr w:type="spellEnd"/>
      <w:r w:rsidR="00354765">
        <w:t xml:space="preserve"> </w:t>
      </w:r>
      <w:r w:rsidR="00BE3AF4">
        <w:t>con respecto al</w:t>
      </w:r>
      <w:r w:rsidRPr="00561A62">
        <w:t xml:space="preserve"> Índice de Cumplimiento de la Información Obligatoria.</w:t>
      </w:r>
    </w:p>
    <w:p w14:paraId="5AE86483" w14:textId="6E860079" w:rsidR="00D15F0F" w:rsidRPr="00561A62" w:rsidRDefault="00D15F0F" w:rsidP="00D15F0F">
      <w:bookmarkStart w:id="19" w:name="_Hlk219368652"/>
      <w:r w:rsidRPr="00561A62">
        <w:t>Existen diferencias en el nivel de cumplimiento alcanzado según el año en que se produce la primera evaluación –el grado de cumplimiento de las evaluadas en 2024 es más elevado: el 5</w:t>
      </w:r>
      <w:r w:rsidR="000938A3">
        <w:t>6,</w:t>
      </w:r>
      <w:r w:rsidR="0098783A">
        <w:t>14</w:t>
      </w:r>
      <w:r w:rsidRPr="00561A62">
        <w:t xml:space="preserve">% frente al </w:t>
      </w:r>
      <w:r w:rsidR="00354765">
        <w:t>46,16</w:t>
      </w:r>
      <w:r w:rsidRPr="00561A62">
        <w:t>%</w:t>
      </w:r>
      <w:r>
        <w:t xml:space="preserve"> de las evaluadas por primera vez en 202</w:t>
      </w:r>
      <w:r w:rsidR="000938A3">
        <w:t>5</w:t>
      </w:r>
      <w:r w:rsidRPr="00561A62">
        <w:t>–</w:t>
      </w:r>
      <w:r>
        <w:t>.</w:t>
      </w:r>
      <w:r w:rsidRPr="00561A62">
        <w:t xml:space="preserve"> Estas diferencias son estadísticamente significativas si la comparación se efectúa en función de la naturaleza de la entidad evaluada: las empresas presentan un nivel de cumplimiento significativamente menor que las federaciones deportivas y las ONG. </w:t>
      </w:r>
    </w:p>
    <w:p w14:paraId="2064DCC5" w14:textId="76DA1E09" w:rsidR="00D15F0F" w:rsidRPr="003005AA" w:rsidRDefault="00D15F0F" w:rsidP="00E831C5">
      <w:pPr>
        <w:pStyle w:val="Descripcin"/>
        <w:keepNext/>
        <w:spacing w:after="360"/>
        <w:rPr>
          <w:color w:val="auto"/>
          <w:sz w:val="22"/>
          <w:szCs w:val="22"/>
        </w:rPr>
      </w:pPr>
      <w:bookmarkStart w:id="20" w:name="_Hlk219368697"/>
      <w:bookmarkEnd w:id="19"/>
      <w:r w:rsidRPr="003005AA">
        <w:rPr>
          <w:color w:val="auto"/>
          <w:sz w:val="22"/>
          <w:szCs w:val="22"/>
        </w:rPr>
        <w:lastRenderedPageBreak/>
        <w:t xml:space="preserve">Gráfico </w:t>
      </w:r>
      <w:r w:rsidRPr="003005AA">
        <w:rPr>
          <w:color w:val="auto"/>
          <w:sz w:val="22"/>
          <w:szCs w:val="22"/>
        </w:rPr>
        <w:fldChar w:fldCharType="begin"/>
      </w:r>
      <w:r w:rsidRPr="003005AA">
        <w:rPr>
          <w:color w:val="auto"/>
          <w:sz w:val="22"/>
          <w:szCs w:val="22"/>
        </w:rPr>
        <w:instrText xml:space="preserve"> SEQ Gráfico \* ARABIC </w:instrText>
      </w:r>
      <w:r w:rsidRPr="003005AA">
        <w:rPr>
          <w:color w:val="auto"/>
          <w:sz w:val="22"/>
          <w:szCs w:val="22"/>
        </w:rPr>
        <w:fldChar w:fldCharType="separate"/>
      </w:r>
      <w:r w:rsidR="009F4C6A">
        <w:rPr>
          <w:noProof/>
          <w:color w:val="auto"/>
          <w:sz w:val="22"/>
          <w:szCs w:val="22"/>
        </w:rPr>
        <w:t>5</w:t>
      </w:r>
      <w:r w:rsidRPr="003005AA">
        <w:rPr>
          <w:color w:val="auto"/>
          <w:sz w:val="22"/>
          <w:szCs w:val="22"/>
        </w:rPr>
        <w:fldChar w:fldCharType="end"/>
      </w:r>
      <w:r w:rsidRPr="003005AA">
        <w:rPr>
          <w:color w:val="auto"/>
          <w:sz w:val="22"/>
          <w:szCs w:val="22"/>
        </w:rPr>
        <w:t>: Cumplimiento global en el bloque de informaciones Institucional y Organizativa según tipología de entidad evaluada</w:t>
      </w:r>
    </w:p>
    <w:p w14:paraId="5876299D" w14:textId="77777777" w:rsidR="00D15F0F" w:rsidRPr="00561A62" w:rsidRDefault="00D15F0F" w:rsidP="00F64886">
      <w:bookmarkStart w:id="21" w:name="_Toc178779856"/>
      <w:bookmarkStart w:id="22" w:name="_Toc178780010"/>
      <w:bookmarkStart w:id="23" w:name="_Toc178783648"/>
      <w:r w:rsidRPr="00561A62">
        <w:rPr>
          <w:noProof/>
        </w:rPr>
        <w:drawing>
          <wp:inline distT="0" distB="0" distL="0" distR="0" wp14:anchorId="3D25CFF6" wp14:editId="75274DB0">
            <wp:extent cx="5686425" cy="2438400"/>
            <wp:effectExtent l="0" t="0" r="9525" b="0"/>
            <wp:docPr id="7" name="Gráfico 7">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20"/>
      <w:bookmarkEnd w:id="21"/>
      <w:bookmarkEnd w:id="22"/>
      <w:bookmarkEnd w:id="23"/>
    </w:p>
    <w:p w14:paraId="7A72090E" w14:textId="77777777" w:rsidR="00D15F0F" w:rsidRDefault="00D15F0F" w:rsidP="00D15F0F">
      <w:pPr>
        <w:pStyle w:val="Ttulo3"/>
      </w:pPr>
    </w:p>
    <w:p w14:paraId="24E34B30" w14:textId="77777777" w:rsidR="00D15F0F" w:rsidRPr="00561A62" w:rsidRDefault="00D15F0F" w:rsidP="00A24896">
      <w:pPr>
        <w:pStyle w:val="Ttulo3"/>
        <w:spacing w:after="240"/>
      </w:pPr>
      <w:bookmarkStart w:id="24" w:name="_Toc219463059"/>
      <w:bookmarkStart w:id="25" w:name="_Toc149119225"/>
      <w:bookmarkStart w:id="26" w:name="_Hlk219368847"/>
      <w:r w:rsidRPr="00561A62">
        <w:t>III.2.3.  Información Económica</w:t>
      </w:r>
      <w:r>
        <w:t xml:space="preserve"> y</w:t>
      </w:r>
      <w:r w:rsidRPr="00561A62">
        <w:t xml:space="preserve"> Presupuestaria</w:t>
      </w:r>
      <w:bookmarkEnd w:id="24"/>
      <w:r w:rsidRPr="00561A62">
        <w:t xml:space="preserve"> </w:t>
      </w:r>
      <w:bookmarkEnd w:id="25"/>
    </w:p>
    <w:p w14:paraId="3A862A8C" w14:textId="70969B12" w:rsidR="008D6AB4" w:rsidRPr="00561A62" w:rsidRDefault="008D6AB4" w:rsidP="008D6AB4">
      <w:r w:rsidRPr="00561A62">
        <w:t xml:space="preserve">La proporción de informaciones obligatorias publicadas </w:t>
      </w:r>
      <w:r w:rsidR="00617CB7">
        <w:t>sobre</w:t>
      </w:r>
      <w:r w:rsidRPr="00561A62">
        <w:t xml:space="preserve"> </w:t>
      </w:r>
      <w:r w:rsidR="00EE3066" w:rsidRPr="00561A62">
        <w:t>est</w:t>
      </w:r>
      <w:r w:rsidR="00EE3066">
        <w:t>a</w:t>
      </w:r>
      <w:r w:rsidR="00EE3066" w:rsidRPr="00561A62">
        <w:t xml:space="preserve"> </w:t>
      </w:r>
      <w:r w:rsidR="00EE3066">
        <w:t xml:space="preserve">materia es menor que la </w:t>
      </w:r>
      <w:r w:rsidRPr="00561A62">
        <w:t xml:space="preserve">del bloque de información Institucional y Organizativa, al situarse en el </w:t>
      </w:r>
      <w:r w:rsidR="00F53FD2">
        <w:t>22,97</w:t>
      </w:r>
      <w:r w:rsidRPr="00561A62">
        <w:t xml:space="preserve">% en promedio, con un rango de variación </w:t>
      </w:r>
      <w:r w:rsidR="00EE3066">
        <w:t xml:space="preserve">por entidad </w:t>
      </w:r>
      <w:r w:rsidRPr="00561A62">
        <w:t>de entre el 0 y el 100%. Respecto de 202</w:t>
      </w:r>
      <w:r w:rsidR="00BE1CCD">
        <w:t>4</w:t>
      </w:r>
      <w:r w:rsidRPr="00561A62">
        <w:t xml:space="preserve"> se produce un</w:t>
      </w:r>
      <w:r w:rsidR="00BE1CCD">
        <w:t>a</w:t>
      </w:r>
      <w:r w:rsidRPr="00561A62">
        <w:t xml:space="preserve"> </w:t>
      </w:r>
      <w:r w:rsidR="00BE1CCD">
        <w:t>disminución</w:t>
      </w:r>
      <w:r w:rsidRPr="00561A62">
        <w:t xml:space="preserve"> de la proporción de contenidos obligatorios publicados de </w:t>
      </w:r>
      <w:r w:rsidR="00F53FD2">
        <w:t>5,1</w:t>
      </w:r>
      <w:r w:rsidRPr="00561A62">
        <w:t xml:space="preserve"> p.p.</w:t>
      </w:r>
      <w:r w:rsidR="002D321E">
        <w:t xml:space="preserve"> Existen 31 entidades, un 36,9% del total, que no publican ningún contenido de este bloque de obligaciones. </w:t>
      </w:r>
    </w:p>
    <w:bookmarkEnd w:id="26"/>
    <w:p w14:paraId="5F4A5B87" w14:textId="0AF3DD06" w:rsidR="00D15F0F" w:rsidRPr="00561A62" w:rsidRDefault="00C7373A" w:rsidP="00D15F0F">
      <w:r>
        <w:t>E</w:t>
      </w:r>
      <w:r w:rsidR="00D15F0F" w:rsidRPr="00561A62">
        <w:t>xisten diferencia</w:t>
      </w:r>
      <w:r w:rsidR="00D15F0F">
        <w:t>s</w:t>
      </w:r>
      <w:r w:rsidR="00D15F0F" w:rsidRPr="00561A62">
        <w:t xml:space="preserve"> apreciables en la proporción de contenidos que se publican según el año en que se ha efectuado la primera evaluación. Las entidades evaluadas por primera vez en 202</w:t>
      </w:r>
      <w:r w:rsidR="008D6AB4">
        <w:t>4</w:t>
      </w:r>
      <w:r w:rsidR="00D15F0F" w:rsidRPr="00561A62">
        <w:t xml:space="preserve"> publican el </w:t>
      </w:r>
      <w:r w:rsidR="00F53FD2">
        <w:t>35,26</w:t>
      </w:r>
      <w:r w:rsidR="00D15F0F" w:rsidRPr="00561A62">
        <w:t>% de los contenidos obligatorios, mientras que, entre las evaluadas por primera vez en 202</w:t>
      </w:r>
      <w:r w:rsidR="008D6AB4">
        <w:t>5</w:t>
      </w:r>
      <w:r w:rsidR="00D15F0F" w:rsidRPr="00561A62">
        <w:t xml:space="preserve">, esta proporción alcanza el </w:t>
      </w:r>
      <w:r w:rsidR="00BE1CCD">
        <w:t>18,90</w:t>
      </w:r>
      <w:r w:rsidR="00D15F0F" w:rsidRPr="00561A62">
        <w:t>%.</w:t>
      </w:r>
    </w:p>
    <w:p w14:paraId="42A641DA" w14:textId="2D81248E" w:rsidR="00D15F0F" w:rsidRDefault="00D15F0F" w:rsidP="00D15F0F">
      <w:pPr>
        <w:rPr>
          <w:noProof/>
        </w:rPr>
      </w:pPr>
      <w:bookmarkStart w:id="27" w:name="_Hlk219368883"/>
      <w:r w:rsidRPr="00561A62">
        <w:rPr>
          <w:noProof/>
        </w:rPr>
        <w:t>Al analizar según</w:t>
      </w:r>
      <w:r>
        <w:rPr>
          <w:noProof/>
        </w:rPr>
        <w:t xml:space="preserve"> el</w:t>
      </w:r>
      <w:r w:rsidRPr="00561A62">
        <w:rPr>
          <w:noProof/>
        </w:rPr>
        <w:t xml:space="preserve"> tipo de entidad evaluada, se constatan diferencias estadísticamente significativas en cuanto a la proporción de contenidos obligatorios que publican los distintos tipos de entidades. </w:t>
      </w:r>
      <w:r w:rsidR="00E831C5">
        <w:rPr>
          <w:noProof/>
        </w:rPr>
        <w:t>Por ejemplo, l</w:t>
      </w:r>
      <w:r w:rsidRPr="00561A62">
        <w:rPr>
          <w:noProof/>
        </w:rPr>
        <w:t>as ONG publican una proporción de contenidos obligatorios significativamente más elevada que las empresas.</w:t>
      </w:r>
      <w:r w:rsidR="00E831C5">
        <w:rPr>
          <w:noProof/>
        </w:rPr>
        <w:t xml:space="preserve"> Los datos pueden apreciarse en el siguiente gráfico. </w:t>
      </w:r>
    </w:p>
    <w:p w14:paraId="42862068" w14:textId="77777777" w:rsidR="00B64350" w:rsidRPr="00561A62" w:rsidRDefault="00B64350" w:rsidP="00D15F0F">
      <w:pPr>
        <w:rPr>
          <w:noProof/>
        </w:rPr>
      </w:pPr>
    </w:p>
    <w:p w14:paraId="7F39330A" w14:textId="16A3A049" w:rsidR="00D15F0F" w:rsidRPr="003005AA" w:rsidRDefault="00D15F0F" w:rsidP="00D15F0F">
      <w:pPr>
        <w:pStyle w:val="Descripcin"/>
        <w:keepNext/>
        <w:rPr>
          <w:bCs w:val="0"/>
          <w:color w:val="auto"/>
          <w:sz w:val="22"/>
          <w:szCs w:val="22"/>
        </w:rPr>
      </w:pPr>
      <w:r w:rsidRPr="003005AA">
        <w:rPr>
          <w:bCs w:val="0"/>
          <w:color w:val="auto"/>
          <w:sz w:val="22"/>
          <w:szCs w:val="22"/>
        </w:rPr>
        <w:lastRenderedPageBreak/>
        <w:t xml:space="preserve">Gráfico </w:t>
      </w:r>
      <w:r w:rsidRPr="003005AA">
        <w:rPr>
          <w:bCs w:val="0"/>
          <w:color w:val="auto"/>
          <w:sz w:val="22"/>
          <w:szCs w:val="22"/>
        </w:rPr>
        <w:fldChar w:fldCharType="begin"/>
      </w:r>
      <w:r w:rsidRPr="003005AA">
        <w:rPr>
          <w:bCs w:val="0"/>
          <w:color w:val="auto"/>
          <w:sz w:val="22"/>
          <w:szCs w:val="22"/>
        </w:rPr>
        <w:instrText xml:space="preserve"> SEQ Gráfico \* ARABIC </w:instrText>
      </w:r>
      <w:r w:rsidRPr="003005AA">
        <w:rPr>
          <w:bCs w:val="0"/>
          <w:color w:val="auto"/>
          <w:sz w:val="22"/>
          <w:szCs w:val="22"/>
        </w:rPr>
        <w:fldChar w:fldCharType="separate"/>
      </w:r>
      <w:r w:rsidR="009F4C6A">
        <w:rPr>
          <w:bCs w:val="0"/>
          <w:noProof/>
          <w:color w:val="auto"/>
          <w:sz w:val="22"/>
          <w:szCs w:val="22"/>
        </w:rPr>
        <w:t>6</w:t>
      </w:r>
      <w:r w:rsidRPr="003005AA">
        <w:rPr>
          <w:bCs w:val="0"/>
          <w:color w:val="auto"/>
          <w:sz w:val="22"/>
          <w:szCs w:val="22"/>
        </w:rPr>
        <w:fldChar w:fldCharType="end"/>
      </w:r>
      <w:r w:rsidRPr="003005AA">
        <w:rPr>
          <w:bCs w:val="0"/>
          <w:color w:val="auto"/>
          <w:sz w:val="22"/>
          <w:szCs w:val="22"/>
        </w:rPr>
        <w:t>: Porcentaje de contenidos obligatorios publicados según tipología de entidad evaluada (Información Económica y Presupuestaria)</w:t>
      </w:r>
    </w:p>
    <w:p w14:paraId="50680795" w14:textId="77777777" w:rsidR="00D15F0F" w:rsidRPr="00561A62" w:rsidRDefault="00D15F0F" w:rsidP="00D15F0F">
      <w:r w:rsidRPr="00561A62">
        <w:rPr>
          <w:noProof/>
        </w:rPr>
        <w:drawing>
          <wp:inline distT="0" distB="0" distL="0" distR="0" wp14:anchorId="1B5AC0F1" wp14:editId="03A89813">
            <wp:extent cx="5715000" cy="2600325"/>
            <wp:effectExtent l="0" t="0" r="0" b="9525"/>
            <wp:docPr id="26" name="Gráfico 26">
              <a:extLst xmlns:a="http://schemas.openxmlformats.org/drawingml/2006/main">
                <a:ext uri="{FF2B5EF4-FFF2-40B4-BE49-F238E27FC236}">
                  <a16:creationId xmlns:a16="http://schemas.microsoft.com/office/drawing/2014/main" id="{A253B4D2-322B-4C13-94F8-E78BFCC3F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End w:id="27"/>
    <w:p w14:paraId="65D10D57" w14:textId="77777777" w:rsidR="00B64350" w:rsidRDefault="00B64350" w:rsidP="00D15F0F"/>
    <w:p w14:paraId="5AFAEBAC" w14:textId="25CE4FA0" w:rsidR="00D15F0F" w:rsidRDefault="00D15F0F" w:rsidP="00D15F0F">
      <w:r w:rsidRPr="00561A62">
        <w:t>La siguiente tabla muestra la</w:t>
      </w:r>
      <w:r>
        <w:t xml:space="preserve"> proporción de entidades que publican los contenidos </w:t>
      </w:r>
      <w:r w:rsidRPr="00561A62">
        <w:t xml:space="preserve">correspondientes a </w:t>
      </w:r>
      <w:r>
        <w:t xml:space="preserve">cada una de </w:t>
      </w:r>
      <w:r w:rsidR="00E831C5">
        <w:t>l</w:t>
      </w:r>
      <w:r>
        <w:t>as obligaciones</w:t>
      </w:r>
      <w:r w:rsidR="00E831C5">
        <w:t xml:space="preserve"> de este bloque</w:t>
      </w:r>
      <w:r>
        <w:t xml:space="preserve">. </w:t>
      </w:r>
    </w:p>
    <w:p w14:paraId="4ABEFBDD" w14:textId="77777777" w:rsidR="00B64350" w:rsidRPr="00561A62" w:rsidRDefault="00B64350" w:rsidP="00D15F0F"/>
    <w:tbl>
      <w:tblPr>
        <w:tblStyle w:val="Listaclara-nfasis2"/>
        <w:tblW w:w="0" w:type="auto"/>
        <w:tblLook w:val="04A0" w:firstRow="1" w:lastRow="0" w:firstColumn="1" w:lastColumn="0" w:noHBand="0" w:noVBand="1"/>
      </w:tblPr>
      <w:tblGrid>
        <w:gridCol w:w="4527"/>
        <w:gridCol w:w="4524"/>
      </w:tblGrid>
      <w:tr w:rsidR="00D15F0F" w:rsidRPr="00561A62" w14:paraId="27464859" w14:textId="77777777" w:rsidTr="00585D44">
        <w:trPr>
          <w:cnfStyle w:val="100000000000" w:firstRow="1" w:lastRow="0" w:firstColumn="0" w:lastColumn="0" w:oddVBand="0" w:evenVBand="0" w:oddHBand="0"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4527" w:type="dxa"/>
          </w:tcPr>
          <w:p w14:paraId="08C2E58F" w14:textId="77777777" w:rsidR="00D15F0F" w:rsidRPr="00561A62" w:rsidRDefault="00D15F0F" w:rsidP="00585D44">
            <w:pPr>
              <w:jc w:val="center"/>
              <w:rPr>
                <w:sz w:val="20"/>
              </w:rPr>
            </w:pPr>
            <w:r w:rsidRPr="00561A62">
              <w:rPr>
                <w:sz w:val="20"/>
              </w:rPr>
              <w:t>Obligación</w:t>
            </w:r>
          </w:p>
        </w:tc>
        <w:tc>
          <w:tcPr>
            <w:tcW w:w="4524" w:type="dxa"/>
          </w:tcPr>
          <w:p w14:paraId="37ED5799" w14:textId="18010C3E" w:rsidR="00D15F0F" w:rsidRPr="00561A62" w:rsidRDefault="00D15F0F" w:rsidP="00585D44">
            <w:pPr>
              <w:jc w:val="center"/>
              <w:cnfStyle w:val="100000000000" w:firstRow="1" w:lastRow="0" w:firstColumn="0" w:lastColumn="0" w:oddVBand="0" w:evenVBand="0" w:oddHBand="0" w:evenHBand="0" w:firstRowFirstColumn="0" w:firstRowLastColumn="0" w:lastRowFirstColumn="0" w:lastRowLastColumn="0"/>
              <w:rPr>
                <w:sz w:val="20"/>
              </w:rPr>
            </w:pPr>
            <w:r w:rsidRPr="00561A62">
              <w:rPr>
                <w:sz w:val="20"/>
              </w:rPr>
              <w:t xml:space="preserve">Proporción de </w:t>
            </w:r>
            <w:r>
              <w:rPr>
                <w:sz w:val="20"/>
              </w:rPr>
              <w:t>entidades</w:t>
            </w:r>
            <w:r w:rsidRPr="00561A62">
              <w:rPr>
                <w:sz w:val="20"/>
              </w:rPr>
              <w:t xml:space="preserve"> a los que es de aplicación la obligación que publican contenido</w:t>
            </w:r>
          </w:p>
        </w:tc>
      </w:tr>
      <w:tr w:rsidR="00D15F0F" w:rsidRPr="00561A62" w14:paraId="4AB88125" w14:textId="77777777" w:rsidTr="00585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4E5247E9" w14:textId="77777777" w:rsidR="00D15F0F" w:rsidRPr="00561A62" w:rsidRDefault="00D15F0F" w:rsidP="00585D44">
            <w:pPr>
              <w:rPr>
                <w:sz w:val="20"/>
              </w:rPr>
            </w:pPr>
            <w:r w:rsidRPr="00561A62">
              <w:rPr>
                <w:sz w:val="20"/>
              </w:rPr>
              <w:t xml:space="preserve">Contratos </w:t>
            </w:r>
          </w:p>
        </w:tc>
        <w:tc>
          <w:tcPr>
            <w:tcW w:w="4524" w:type="dxa"/>
            <w:vAlign w:val="center"/>
          </w:tcPr>
          <w:p w14:paraId="459D9DB8" w14:textId="267F6D41" w:rsidR="00D15F0F" w:rsidRPr="00561A62" w:rsidRDefault="002D321E" w:rsidP="00585D44">
            <w:pPr>
              <w:jc w:val="center"/>
              <w:cnfStyle w:val="000000100000" w:firstRow="0" w:lastRow="0" w:firstColumn="0" w:lastColumn="0" w:oddVBand="0" w:evenVBand="0" w:oddHBand="1" w:evenHBand="0" w:firstRowFirstColumn="0" w:firstRowLastColumn="0" w:lastRowFirstColumn="0" w:lastRowLastColumn="0"/>
              <w:rPr>
                <w:sz w:val="20"/>
              </w:rPr>
            </w:pPr>
            <w:r>
              <w:rPr>
                <w:sz w:val="20"/>
              </w:rPr>
              <w:t>3,63</w:t>
            </w:r>
            <w:r w:rsidR="00D15F0F" w:rsidRPr="00561A62">
              <w:rPr>
                <w:sz w:val="20"/>
              </w:rPr>
              <w:t>%</w:t>
            </w:r>
          </w:p>
        </w:tc>
      </w:tr>
      <w:tr w:rsidR="00D15F0F" w:rsidRPr="00561A62" w14:paraId="13912F0B" w14:textId="77777777" w:rsidTr="00585D44">
        <w:tc>
          <w:tcPr>
            <w:cnfStyle w:val="001000000000" w:firstRow="0" w:lastRow="0" w:firstColumn="1" w:lastColumn="0" w:oddVBand="0" w:evenVBand="0" w:oddHBand="0" w:evenHBand="0" w:firstRowFirstColumn="0" w:firstRowLastColumn="0" w:lastRowFirstColumn="0" w:lastRowLastColumn="0"/>
            <w:tcW w:w="4527" w:type="dxa"/>
          </w:tcPr>
          <w:p w14:paraId="233F5876" w14:textId="77777777" w:rsidR="00D15F0F" w:rsidRPr="00561A62" w:rsidRDefault="00D15F0F" w:rsidP="00585D44">
            <w:pPr>
              <w:rPr>
                <w:sz w:val="20"/>
              </w:rPr>
            </w:pPr>
            <w:r w:rsidRPr="00561A62">
              <w:rPr>
                <w:sz w:val="20"/>
              </w:rPr>
              <w:t>Convenios</w:t>
            </w:r>
          </w:p>
        </w:tc>
        <w:tc>
          <w:tcPr>
            <w:tcW w:w="4524" w:type="dxa"/>
          </w:tcPr>
          <w:p w14:paraId="50316F8C" w14:textId="1C50208E" w:rsidR="00D15F0F" w:rsidRPr="00561A62" w:rsidRDefault="002D321E" w:rsidP="00585D44">
            <w:pPr>
              <w:jc w:val="center"/>
              <w:cnfStyle w:val="000000000000" w:firstRow="0" w:lastRow="0" w:firstColumn="0" w:lastColumn="0" w:oddVBand="0" w:evenVBand="0" w:oddHBand="0" w:evenHBand="0" w:firstRowFirstColumn="0" w:firstRowLastColumn="0" w:lastRowFirstColumn="0" w:lastRowLastColumn="0"/>
              <w:rPr>
                <w:sz w:val="20"/>
              </w:rPr>
            </w:pPr>
            <w:r>
              <w:rPr>
                <w:sz w:val="20"/>
              </w:rPr>
              <w:t>7,08</w:t>
            </w:r>
            <w:r w:rsidR="00D15F0F" w:rsidRPr="00561A62">
              <w:rPr>
                <w:sz w:val="20"/>
              </w:rPr>
              <w:t>%</w:t>
            </w:r>
          </w:p>
        </w:tc>
      </w:tr>
      <w:tr w:rsidR="00D15F0F" w:rsidRPr="00561A62" w14:paraId="7EC68DF7" w14:textId="77777777" w:rsidTr="00585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43C68306" w14:textId="77777777" w:rsidR="00D15F0F" w:rsidRPr="00561A62" w:rsidRDefault="00D15F0F" w:rsidP="00585D44">
            <w:pPr>
              <w:rPr>
                <w:sz w:val="20"/>
              </w:rPr>
            </w:pPr>
            <w:r w:rsidRPr="00561A62">
              <w:rPr>
                <w:sz w:val="20"/>
              </w:rPr>
              <w:t>Retribuciones</w:t>
            </w:r>
          </w:p>
        </w:tc>
        <w:tc>
          <w:tcPr>
            <w:tcW w:w="4524" w:type="dxa"/>
            <w:vAlign w:val="center"/>
          </w:tcPr>
          <w:p w14:paraId="319D68B4" w14:textId="42790E77" w:rsidR="00D15F0F" w:rsidRPr="00561A62" w:rsidRDefault="002D321E" w:rsidP="00585D44">
            <w:pPr>
              <w:jc w:val="center"/>
              <w:cnfStyle w:val="000000100000" w:firstRow="0" w:lastRow="0" w:firstColumn="0" w:lastColumn="0" w:oddVBand="0" w:evenVBand="0" w:oddHBand="1" w:evenHBand="0" w:firstRowFirstColumn="0" w:firstRowLastColumn="0" w:lastRowFirstColumn="0" w:lastRowLastColumn="0"/>
              <w:rPr>
                <w:sz w:val="20"/>
              </w:rPr>
            </w:pPr>
            <w:r>
              <w:rPr>
                <w:sz w:val="20"/>
              </w:rPr>
              <w:t>8,94</w:t>
            </w:r>
            <w:r w:rsidR="00D15F0F" w:rsidRPr="00561A62">
              <w:rPr>
                <w:sz w:val="20"/>
              </w:rPr>
              <w:t>%</w:t>
            </w:r>
          </w:p>
        </w:tc>
      </w:tr>
      <w:tr w:rsidR="00D15F0F" w:rsidRPr="00561A62" w14:paraId="6734C7BB" w14:textId="77777777" w:rsidTr="00585D44">
        <w:tc>
          <w:tcPr>
            <w:cnfStyle w:val="001000000000" w:firstRow="0" w:lastRow="0" w:firstColumn="1" w:lastColumn="0" w:oddVBand="0" w:evenVBand="0" w:oddHBand="0" w:evenHBand="0" w:firstRowFirstColumn="0" w:firstRowLastColumn="0" w:lastRowFirstColumn="0" w:lastRowLastColumn="0"/>
            <w:tcW w:w="4527" w:type="dxa"/>
          </w:tcPr>
          <w:p w14:paraId="22412F00" w14:textId="77777777" w:rsidR="00D15F0F" w:rsidRPr="00561A62" w:rsidRDefault="00D15F0F" w:rsidP="00585D44">
            <w:pPr>
              <w:rPr>
                <w:sz w:val="20"/>
              </w:rPr>
            </w:pPr>
            <w:r w:rsidRPr="00561A62">
              <w:rPr>
                <w:sz w:val="20"/>
              </w:rPr>
              <w:t>Presupuestos</w:t>
            </w:r>
          </w:p>
        </w:tc>
        <w:tc>
          <w:tcPr>
            <w:tcW w:w="4524" w:type="dxa"/>
            <w:vAlign w:val="center"/>
          </w:tcPr>
          <w:p w14:paraId="39B4C6A0" w14:textId="1BAB2DBA" w:rsidR="00D15F0F" w:rsidRPr="00561A62" w:rsidRDefault="002D321E" w:rsidP="00585D44">
            <w:pPr>
              <w:jc w:val="center"/>
              <w:cnfStyle w:val="000000000000" w:firstRow="0" w:lastRow="0" w:firstColumn="0" w:lastColumn="0" w:oddVBand="0" w:evenVBand="0" w:oddHBand="0" w:evenHBand="0" w:firstRowFirstColumn="0" w:firstRowLastColumn="0" w:lastRowFirstColumn="0" w:lastRowLastColumn="0"/>
              <w:rPr>
                <w:sz w:val="20"/>
              </w:rPr>
            </w:pPr>
            <w:r>
              <w:rPr>
                <w:sz w:val="20"/>
              </w:rPr>
              <w:t>14,29</w:t>
            </w:r>
            <w:r w:rsidR="00D15F0F" w:rsidRPr="00561A62">
              <w:rPr>
                <w:sz w:val="20"/>
              </w:rPr>
              <w:t>%</w:t>
            </w:r>
          </w:p>
        </w:tc>
      </w:tr>
      <w:tr w:rsidR="00D15F0F" w:rsidRPr="00561A62" w14:paraId="02471D31" w14:textId="77777777" w:rsidTr="00585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6EDF4871" w14:textId="77777777" w:rsidR="00D15F0F" w:rsidRPr="00561A62" w:rsidRDefault="00D15F0F" w:rsidP="00585D44">
            <w:pPr>
              <w:rPr>
                <w:sz w:val="20"/>
              </w:rPr>
            </w:pPr>
            <w:r w:rsidRPr="00561A62">
              <w:rPr>
                <w:sz w:val="20"/>
              </w:rPr>
              <w:t>Subvenciones</w:t>
            </w:r>
          </w:p>
        </w:tc>
        <w:tc>
          <w:tcPr>
            <w:tcW w:w="4524" w:type="dxa"/>
          </w:tcPr>
          <w:p w14:paraId="06EB0C64" w14:textId="78BED6A9" w:rsidR="00D15F0F" w:rsidRPr="00561A62" w:rsidRDefault="002D321E" w:rsidP="00585D44">
            <w:pPr>
              <w:jc w:val="center"/>
              <w:cnfStyle w:val="000000100000" w:firstRow="0" w:lastRow="0" w:firstColumn="0" w:lastColumn="0" w:oddVBand="0" w:evenVBand="0" w:oddHBand="1" w:evenHBand="0" w:firstRowFirstColumn="0" w:firstRowLastColumn="0" w:lastRowFirstColumn="0" w:lastRowLastColumn="0"/>
              <w:rPr>
                <w:sz w:val="20"/>
              </w:rPr>
            </w:pPr>
            <w:r>
              <w:rPr>
                <w:sz w:val="20"/>
              </w:rPr>
              <w:t>18,80</w:t>
            </w:r>
            <w:r w:rsidR="00D15F0F" w:rsidRPr="00561A62">
              <w:rPr>
                <w:sz w:val="20"/>
              </w:rPr>
              <w:t>%</w:t>
            </w:r>
          </w:p>
        </w:tc>
      </w:tr>
      <w:tr w:rsidR="00D15F0F" w:rsidRPr="00561A62" w14:paraId="42BC2CAB" w14:textId="77777777" w:rsidTr="00585D44">
        <w:tc>
          <w:tcPr>
            <w:cnfStyle w:val="001000000000" w:firstRow="0" w:lastRow="0" w:firstColumn="1" w:lastColumn="0" w:oddVBand="0" w:evenVBand="0" w:oddHBand="0" w:evenHBand="0" w:firstRowFirstColumn="0" w:firstRowLastColumn="0" w:lastRowFirstColumn="0" w:lastRowLastColumn="0"/>
            <w:tcW w:w="4527" w:type="dxa"/>
          </w:tcPr>
          <w:p w14:paraId="7D379180" w14:textId="1EDADBF1" w:rsidR="00D15F0F" w:rsidRPr="00561A62" w:rsidRDefault="002D321E" w:rsidP="00585D44">
            <w:pPr>
              <w:rPr>
                <w:sz w:val="20"/>
              </w:rPr>
            </w:pPr>
            <w:r w:rsidRPr="00561A62">
              <w:rPr>
                <w:sz w:val="20"/>
              </w:rPr>
              <w:t>Informes de Auditoría</w:t>
            </w:r>
          </w:p>
        </w:tc>
        <w:tc>
          <w:tcPr>
            <w:tcW w:w="4524" w:type="dxa"/>
            <w:vAlign w:val="center"/>
          </w:tcPr>
          <w:p w14:paraId="57D5DE40" w14:textId="1F849763" w:rsidR="00D15F0F" w:rsidRPr="00561A62" w:rsidRDefault="002D321E" w:rsidP="00585D44">
            <w:pPr>
              <w:jc w:val="center"/>
              <w:cnfStyle w:val="000000000000" w:firstRow="0" w:lastRow="0" w:firstColumn="0" w:lastColumn="0" w:oddVBand="0" w:evenVBand="0" w:oddHBand="0" w:evenHBand="0" w:firstRowFirstColumn="0" w:firstRowLastColumn="0" w:lastRowFirstColumn="0" w:lastRowLastColumn="0"/>
              <w:rPr>
                <w:sz w:val="20"/>
              </w:rPr>
            </w:pPr>
            <w:r>
              <w:rPr>
                <w:sz w:val="20"/>
              </w:rPr>
              <w:t>25,77</w:t>
            </w:r>
            <w:r w:rsidR="00D15F0F" w:rsidRPr="00561A62">
              <w:rPr>
                <w:sz w:val="20"/>
              </w:rPr>
              <w:t>%</w:t>
            </w:r>
          </w:p>
        </w:tc>
      </w:tr>
      <w:tr w:rsidR="00D15F0F" w:rsidRPr="00561A62" w14:paraId="67B2E172" w14:textId="77777777" w:rsidTr="00585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480A79C8" w14:textId="4D346D37" w:rsidR="00D15F0F" w:rsidRPr="00561A62" w:rsidRDefault="002D321E" w:rsidP="00585D44">
            <w:pPr>
              <w:rPr>
                <w:sz w:val="20"/>
              </w:rPr>
            </w:pPr>
            <w:r w:rsidRPr="00561A62">
              <w:rPr>
                <w:sz w:val="20"/>
              </w:rPr>
              <w:t>Cuentas anuales</w:t>
            </w:r>
          </w:p>
        </w:tc>
        <w:tc>
          <w:tcPr>
            <w:tcW w:w="4524" w:type="dxa"/>
            <w:vAlign w:val="center"/>
          </w:tcPr>
          <w:p w14:paraId="54EEC971" w14:textId="6F4EA773" w:rsidR="00D15F0F" w:rsidRPr="00561A62" w:rsidRDefault="002D321E" w:rsidP="00585D44">
            <w:pPr>
              <w:jc w:val="center"/>
              <w:cnfStyle w:val="000000100000" w:firstRow="0" w:lastRow="0" w:firstColumn="0" w:lastColumn="0" w:oddVBand="0" w:evenVBand="0" w:oddHBand="1" w:evenHBand="0" w:firstRowFirstColumn="0" w:firstRowLastColumn="0" w:lastRowFirstColumn="0" w:lastRowLastColumn="0"/>
              <w:rPr>
                <w:sz w:val="20"/>
              </w:rPr>
            </w:pPr>
            <w:r>
              <w:rPr>
                <w:sz w:val="20"/>
              </w:rPr>
              <w:t>30,48</w:t>
            </w:r>
            <w:r w:rsidR="00D15F0F" w:rsidRPr="00561A62">
              <w:rPr>
                <w:sz w:val="20"/>
              </w:rPr>
              <w:t>%</w:t>
            </w:r>
          </w:p>
        </w:tc>
      </w:tr>
    </w:tbl>
    <w:p w14:paraId="547FB3BF" w14:textId="77777777" w:rsidR="00D15F0F" w:rsidRPr="00561A62" w:rsidRDefault="00D15F0F" w:rsidP="00D15F0F"/>
    <w:p w14:paraId="421F7E5A" w14:textId="36AD32C3" w:rsidR="00D15F0F" w:rsidRPr="00561A62" w:rsidRDefault="00D15F0F" w:rsidP="00D15F0F">
      <w:r w:rsidRPr="00137386">
        <w:t xml:space="preserve">La obligación de publicación en este bloque que cumple una mayor proporción de entidades </w:t>
      </w:r>
      <w:r w:rsidRPr="00561A62">
        <w:t>son l</w:t>
      </w:r>
      <w:r w:rsidR="002D321E">
        <w:t>a</w:t>
      </w:r>
      <w:r w:rsidRPr="00561A62">
        <w:t xml:space="preserve">s </w:t>
      </w:r>
      <w:r w:rsidR="002D321E">
        <w:t>cuentas anuales</w:t>
      </w:r>
      <w:r w:rsidRPr="00561A62">
        <w:t xml:space="preserve">: el </w:t>
      </w:r>
      <w:r w:rsidR="002D321E">
        <w:t>30</w:t>
      </w:r>
      <w:r w:rsidRPr="00561A62">
        <w:t>%</w:t>
      </w:r>
      <w:r>
        <w:t xml:space="preserve"> </w:t>
      </w:r>
      <w:r w:rsidR="00E831C5">
        <w:t xml:space="preserve">de entidades </w:t>
      </w:r>
      <w:r>
        <w:t>las publica</w:t>
      </w:r>
      <w:r w:rsidRPr="00561A62">
        <w:t>.</w:t>
      </w:r>
    </w:p>
    <w:p w14:paraId="22401C9D" w14:textId="36DF551A" w:rsidR="002D321E" w:rsidRPr="00561A62" w:rsidRDefault="002D321E" w:rsidP="002D321E">
      <w:r w:rsidRPr="00561A62">
        <w:t xml:space="preserve">El índice medio de cumplimiento de este bloque de obligaciones es del </w:t>
      </w:r>
      <w:r w:rsidR="00202863">
        <w:t>20,9</w:t>
      </w:r>
      <w:r w:rsidRPr="00561A62">
        <w:t>%, con un rango que oscila entre el 0 y 100%</w:t>
      </w:r>
      <w:r w:rsidR="00EE3066">
        <w:t>, según la entidad</w:t>
      </w:r>
      <w:r w:rsidRPr="00561A62">
        <w:t>. Respecto de 202</w:t>
      </w:r>
      <w:r>
        <w:t>6</w:t>
      </w:r>
      <w:r w:rsidRPr="00561A62">
        <w:t xml:space="preserve">, se produce un </w:t>
      </w:r>
      <w:r>
        <w:t>de</w:t>
      </w:r>
      <w:r w:rsidRPr="00561A62">
        <w:t xml:space="preserve">cremento de </w:t>
      </w:r>
      <w:r w:rsidR="00202863">
        <w:t>7,5</w:t>
      </w:r>
      <w:r w:rsidRPr="00561A62">
        <w:t xml:space="preserve"> p.p.</w:t>
      </w:r>
    </w:p>
    <w:p w14:paraId="0AA0B526" w14:textId="2945B43D" w:rsidR="00D15F0F" w:rsidRPr="003005AA" w:rsidRDefault="00D15F0F" w:rsidP="00D15F0F">
      <w:pPr>
        <w:pStyle w:val="Descripcin"/>
        <w:keepNext/>
        <w:rPr>
          <w:color w:val="auto"/>
          <w:sz w:val="22"/>
          <w:szCs w:val="22"/>
        </w:rPr>
      </w:pPr>
      <w:r w:rsidRPr="003005AA">
        <w:rPr>
          <w:color w:val="auto"/>
          <w:sz w:val="22"/>
          <w:szCs w:val="22"/>
        </w:rPr>
        <w:lastRenderedPageBreak/>
        <w:t xml:space="preserve">Gráfico </w:t>
      </w:r>
      <w:r w:rsidRPr="003005AA">
        <w:rPr>
          <w:color w:val="auto"/>
          <w:sz w:val="22"/>
          <w:szCs w:val="22"/>
        </w:rPr>
        <w:fldChar w:fldCharType="begin"/>
      </w:r>
      <w:r w:rsidRPr="003005AA">
        <w:rPr>
          <w:color w:val="auto"/>
          <w:sz w:val="22"/>
          <w:szCs w:val="22"/>
        </w:rPr>
        <w:instrText xml:space="preserve"> SEQ Gráfico \* ARABIC </w:instrText>
      </w:r>
      <w:r w:rsidRPr="003005AA">
        <w:rPr>
          <w:color w:val="auto"/>
          <w:sz w:val="22"/>
          <w:szCs w:val="22"/>
        </w:rPr>
        <w:fldChar w:fldCharType="separate"/>
      </w:r>
      <w:r w:rsidR="009F4C6A">
        <w:rPr>
          <w:noProof/>
          <w:color w:val="auto"/>
          <w:sz w:val="22"/>
          <w:szCs w:val="22"/>
        </w:rPr>
        <w:t>7</w:t>
      </w:r>
      <w:r w:rsidRPr="003005AA">
        <w:rPr>
          <w:color w:val="auto"/>
          <w:sz w:val="22"/>
          <w:szCs w:val="22"/>
        </w:rPr>
        <w:fldChar w:fldCharType="end"/>
      </w:r>
      <w:r w:rsidRPr="003005AA">
        <w:rPr>
          <w:color w:val="auto"/>
          <w:sz w:val="22"/>
          <w:szCs w:val="22"/>
        </w:rPr>
        <w:t xml:space="preserve">: Evaluación de la publicación (contenido) y de los atributos de calidad de información Económica y Presupuestaria </w:t>
      </w:r>
    </w:p>
    <w:p w14:paraId="525237AA" w14:textId="77777777" w:rsidR="00D15F0F" w:rsidRPr="00561A62" w:rsidRDefault="00D15F0F" w:rsidP="00D15F0F">
      <w:r w:rsidRPr="00561A62">
        <w:rPr>
          <w:noProof/>
        </w:rPr>
        <w:drawing>
          <wp:inline distT="0" distB="0" distL="0" distR="0" wp14:anchorId="75DEBF0E" wp14:editId="04FFB5BC">
            <wp:extent cx="5753100" cy="2714625"/>
            <wp:effectExtent l="0" t="0" r="0" b="9525"/>
            <wp:docPr id="1" name="Gráfico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2E4BD3" w14:textId="77777777" w:rsidR="00D15F0F" w:rsidRPr="00561A62" w:rsidRDefault="00D15F0F" w:rsidP="00D15F0F">
      <w:pPr>
        <w:pStyle w:val="Ttulo4"/>
      </w:pPr>
    </w:p>
    <w:p w14:paraId="061FBA0B" w14:textId="1187BA77" w:rsidR="00D15F0F" w:rsidRPr="00561A62" w:rsidRDefault="00E85B6F" w:rsidP="00D15F0F">
      <w:bookmarkStart w:id="28" w:name="_Hlk219369079"/>
      <w:r>
        <w:t>L</w:t>
      </w:r>
      <w:r w:rsidR="00D15F0F" w:rsidRPr="00561A62">
        <w:t>as entidades evaluadas en 202</w:t>
      </w:r>
      <w:r>
        <w:t>4</w:t>
      </w:r>
      <w:r w:rsidR="00D15F0F" w:rsidRPr="00561A62">
        <w:t xml:space="preserve"> por primera vez presentan un índice medio de cumplimiento más elevado que las evaluadas por primera vez en 202</w:t>
      </w:r>
      <w:r>
        <w:t>5</w:t>
      </w:r>
      <w:r w:rsidR="00D15F0F" w:rsidRPr="00561A62">
        <w:t xml:space="preserve"> –el </w:t>
      </w:r>
      <w:r>
        <w:t>31,5</w:t>
      </w:r>
      <w:r w:rsidR="00D15F0F" w:rsidRPr="00561A62">
        <w:t xml:space="preserve">% frente al </w:t>
      </w:r>
      <w:r>
        <w:t>1</w:t>
      </w:r>
      <w:r w:rsidR="00D15F0F" w:rsidRPr="00561A62">
        <w:t>7,</w:t>
      </w:r>
      <w:r>
        <w:t>2</w:t>
      </w:r>
      <w:r w:rsidR="00D15F0F" w:rsidRPr="00561A62">
        <w:t>%–</w:t>
      </w:r>
      <w:r>
        <w:t>.</w:t>
      </w:r>
    </w:p>
    <w:p w14:paraId="0A30EA0D" w14:textId="75B06D54" w:rsidR="00D15F0F" w:rsidRDefault="00D15F0F" w:rsidP="00D15F0F">
      <w:r w:rsidRPr="00561A62">
        <w:t>S</w:t>
      </w:r>
      <w:r>
        <w:t>í</w:t>
      </w:r>
      <w:r w:rsidRPr="00561A62">
        <w:t xml:space="preserve"> se observan diferencias estadísticamente significativas entre las entidades según tipología: las ONG alcanzan niveles de cumplimiento </w:t>
      </w:r>
      <w:r w:rsidR="00B40BAD">
        <w:t xml:space="preserve">mucho </w:t>
      </w:r>
      <w:r w:rsidRPr="00561A62">
        <w:t>más elevados que las empresas.</w:t>
      </w:r>
    </w:p>
    <w:bookmarkEnd w:id="28"/>
    <w:p w14:paraId="3C8F3316" w14:textId="77777777" w:rsidR="00B40BAD" w:rsidRPr="00561A62" w:rsidRDefault="00B40BAD" w:rsidP="00D15F0F"/>
    <w:p w14:paraId="118FB517" w14:textId="37F75742" w:rsidR="00D15F0F" w:rsidRPr="003005AA" w:rsidRDefault="00D15F0F" w:rsidP="00D15F0F">
      <w:pPr>
        <w:pStyle w:val="Descripcin"/>
        <w:keepNext/>
        <w:rPr>
          <w:color w:val="auto"/>
          <w:sz w:val="22"/>
          <w:szCs w:val="22"/>
        </w:rPr>
      </w:pPr>
      <w:r w:rsidRPr="003005AA">
        <w:rPr>
          <w:color w:val="auto"/>
          <w:sz w:val="22"/>
          <w:szCs w:val="22"/>
        </w:rPr>
        <w:t xml:space="preserve">Gráfico </w:t>
      </w:r>
      <w:r w:rsidRPr="003005AA">
        <w:rPr>
          <w:color w:val="auto"/>
          <w:sz w:val="22"/>
          <w:szCs w:val="22"/>
        </w:rPr>
        <w:fldChar w:fldCharType="begin"/>
      </w:r>
      <w:r w:rsidRPr="003005AA">
        <w:rPr>
          <w:color w:val="auto"/>
          <w:sz w:val="22"/>
          <w:szCs w:val="22"/>
        </w:rPr>
        <w:instrText xml:space="preserve"> SEQ Gráfico \* ARABIC </w:instrText>
      </w:r>
      <w:r w:rsidRPr="003005AA">
        <w:rPr>
          <w:color w:val="auto"/>
          <w:sz w:val="22"/>
          <w:szCs w:val="22"/>
        </w:rPr>
        <w:fldChar w:fldCharType="separate"/>
      </w:r>
      <w:r w:rsidR="009F4C6A">
        <w:rPr>
          <w:noProof/>
          <w:color w:val="auto"/>
          <w:sz w:val="22"/>
          <w:szCs w:val="22"/>
        </w:rPr>
        <w:t>8</w:t>
      </w:r>
      <w:r w:rsidRPr="003005AA">
        <w:rPr>
          <w:color w:val="auto"/>
          <w:sz w:val="22"/>
          <w:szCs w:val="22"/>
        </w:rPr>
        <w:fldChar w:fldCharType="end"/>
      </w:r>
      <w:r w:rsidRPr="003005AA">
        <w:rPr>
          <w:color w:val="auto"/>
          <w:sz w:val="22"/>
          <w:szCs w:val="22"/>
        </w:rPr>
        <w:t>: Cumplimiento global en el bloque de informaciones Económicas y Presupuestarias según tipología de entidad evaluada</w:t>
      </w:r>
    </w:p>
    <w:p w14:paraId="5122E7F4" w14:textId="77777777" w:rsidR="00D15F0F" w:rsidRPr="00561A62" w:rsidRDefault="00D15F0F" w:rsidP="00F64886">
      <w:bookmarkStart w:id="29" w:name="_Toc178779858"/>
      <w:bookmarkStart w:id="30" w:name="_Toc178780012"/>
      <w:bookmarkStart w:id="31" w:name="_Toc178783650"/>
      <w:r w:rsidRPr="00561A62">
        <w:rPr>
          <w:noProof/>
        </w:rPr>
        <w:drawing>
          <wp:inline distT="0" distB="0" distL="0" distR="0" wp14:anchorId="2C8FFBE0" wp14:editId="60CBF76A">
            <wp:extent cx="5762625" cy="2552700"/>
            <wp:effectExtent l="0" t="0" r="9525" b="0"/>
            <wp:docPr id="9" name="Gráfico 9">
              <a:extLst xmlns:a="http://schemas.openxmlformats.org/drawingml/2006/main">
                <a:ext uri="{FF2B5EF4-FFF2-40B4-BE49-F238E27FC236}">
                  <a16:creationId xmlns:a16="http://schemas.microsoft.com/office/drawing/2014/main" id="{698EBE11-B973-45F2-B3E3-6517EAE735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29"/>
      <w:bookmarkEnd w:id="30"/>
      <w:bookmarkEnd w:id="31"/>
    </w:p>
    <w:p w14:paraId="4329691C" w14:textId="4D2B273F" w:rsidR="00D15F0F" w:rsidRDefault="00D15F0F" w:rsidP="00D15F0F">
      <w:pPr>
        <w:pStyle w:val="Ttulo3"/>
      </w:pPr>
    </w:p>
    <w:p w14:paraId="26B23F79" w14:textId="77777777" w:rsidR="00D15F0F" w:rsidRPr="00561A62" w:rsidRDefault="00D15F0F" w:rsidP="00D15F0F">
      <w:pPr>
        <w:pStyle w:val="Ttulo3"/>
      </w:pPr>
      <w:bookmarkStart w:id="32" w:name="_Toc149119227"/>
      <w:bookmarkStart w:id="33" w:name="_Toc219463060"/>
      <w:bookmarkStart w:id="34" w:name="_Hlk219369112"/>
      <w:r w:rsidRPr="00561A62">
        <w:lastRenderedPageBreak/>
        <w:t>III.2.4. Índice de Cumplimiento de la Información Obligatoria (ICIO)</w:t>
      </w:r>
      <w:bookmarkEnd w:id="32"/>
      <w:bookmarkEnd w:id="33"/>
    </w:p>
    <w:p w14:paraId="1F39D8CE" w14:textId="77777777" w:rsidR="00D15F0F" w:rsidRDefault="00D15F0F" w:rsidP="00D15F0F"/>
    <w:p w14:paraId="3D8AEF13" w14:textId="0F8CB566" w:rsidR="00D95A3D" w:rsidRPr="00561A62" w:rsidRDefault="00D95A3D" w:rsidP="00D95A3D">
      <w:r w:rsidRPr="00561A62">
        <w:t xml:space="preserve">El </w:t>
      </w:r>
      <w:r>
        <w:t xml:space="preserve">Índice de </w:t>
      </w:r>
      <w:r w:rsidRPr="00561A62">
        <w:t>C</w:t>
      </w:r>
      <w:r>
        <w:t>umplimiento de la Información Obligatoria (IC</w:t>
      </w:r>
      <w:r w:rsidRPr="00561A62">
        <w:t>IO</w:t>
      </w:r>
      <w:r>
        <w:t>)</w:t>
      </w:r>
      <w:r w:rsidRPr="00561A62">
        <w:t xml:space="preserve"> de este grupo de sujetos obligados alcanza un </w:t>
      </w:r>
      <w:r w:rsidR="00202863">
        <w:t>34,4</w:t>
      </w:r>
      <w:r w:rsidRPr="00561A62">
        <w:t>%. El rango de variación oscila entre el 6,1 y el 100%. Respecto de 202</w:t>
      </w:r>
      <w:r>
        <w:t>4</w:t>
      </w:r>
      <w:r w:rsidRPr="00561A62">
        <w:t xml:space="preserve">, se produce un </w:t>
      </w:r>
      <w:r>
        <w:t>de</w:t>
      </w:r>
      <w:r w:rsidRPr="00561A62">
        <w:t xml:space="preserve">cremento de </w:t>
      </w:r>
      <w:r w:rsidR="00202863">
        <w:t>3,2</w:t>
      </w:r>
      <w:r w:rsidRPr="00561A62">
        <w:t xml:space="preserve"> p.p.</w:t>
      </w:r>
    </w:p>
    <w:p w14:paraId="53F3FFCB" w14:textId="3B4FD23D" w:rsidR="00D15F0F" w:rsidRDefault="00D15F0F" w:rsidP="00D15F0F">
      <w:r w:rsidRPr="00561A62">
        <w:t xml:space="preserve">La falta de publicación de informaciones obligatorias –no se publica el </w:t>
      </w:r>
      <w:r w:rsidR="004013A1">
        <w:t>61,3</w:t>
      </w:r>
      <w:r w:rsidRPr="00561A62">
        <w:t>% de ellas– y la carencia de referencias que permitan conocer a los ciudadanos el grado de actualización de la información publicada, son los factores que explican el nivel de cumplimiento global alcanzado.</w:t>
      </w:r>
    </w:p>
    <w:p w14:paraId="01085A78" w14:textId="77777777" w:rsidR="00C6614F" w:rsidRPr="00561A62" w:rsidRDefault="00C6614F" w:rsidP="00D15F0F"/>
    <w:p w14:paraId="52A8E55D" w14:textId="4D1CD4C5" w:rsidR="00D15F0F" w:rsidRPr="003005AA" w:rsidRDefault="00D15F0F" w:rsidP="00D15F0F">
      <w:pPr>
        <w:pStyle w:val="Descripcin"/>
        <w:keepNext/>
        <w:rPr>
          <w:color w:val="auto"/>
        </w:rPr>
      </w:pPr>
      <w:r w:rsidRPr="003005AA">
        <w:rPr>
          <w:color w:val="auto"/>
          <w:sz w:val="22"/>
          <w:szCs w:val="22"/>
        </w:rPr>
        <w:t xml:space="preserve">Gráfico </w:t>
      </w:r>
      <w:r w:rsidRPr="003005AA">
        <w:rPr>
          <w:color w:val="auto"/>
          <w:sz w:val="22"/>
          <w:szCs w:val="22"/>
        </w:rPr>
        <w:fldChar w:fldCharType="begin"/>
      </w:r>
      <w:r w:rsidRPr="003005AA">
        <w:rPr>
          <w:color w:val="auto"/>
          <w:sz w:val="22"/>
          <w:szCs w:val="22"/>
        </w:rPr>
        <w:instrText xml:space="preserve"> SEQ Gráfico \* ARABIC </w:instrText>
      </w:r>
      <w:r w:rsidRPr="003005AA">
        <w:rPr>
          <w:color w:val="auto"/>
          <w:sz w:val="22"/>
          <w:szCs w:val="22"/>
        </w:rPr>
        <w:fldChar w:fldCharType="separate"/>
      </w:r>
      <w:r w:rsidR="009F4C6A">
        <w:rPr>
          <w:noProof/>
          <w:color w:val="auto"/>
          <w:sz w:val="22"/>
          <w:szCs w:val="22"/>
        </w:rPr>
        <w:t>9</w:t>
      </w:r>
      <w:r w:rsidRPr="003005AA">
        <w:rPr>
          <w:color w:val="auto"/>
          <w:sz w:val="22"/>
          <w:szCs w:val="22"/>
        </w:rPr>
        <w:fldChar w:fldCharType="end"/>
      </w:r>
      <w:r w:rsidRPr="003005AA">
        <w:rPr>
          <w:color w:val="auto"/>
          <w:sz w:val="22"/>
          <w:szCs w:val="22"/>
        </w:rPr>
        <w:t>: Índice de Cumplimiento de la Información Obligatoria (ICIO)</w:t>
      </w:r>
    </w:p>
    <w:p w14:paraId="3473F9BA" w14:textId="77777777" w:rsidR="00D15F0F" w:rsidRPr="00561A62" w:rsidRDefault="00D15F0F" w:rsidP="00F64886">
      <w:bookmarkStart w:id="35" w:name="_Toc178779860"/>
      <w:bookmarkStart w:id="36" w:name="_Toc178780014"/>
      <w:bookmarkStart w:id="37" w:name="_Toc178783652"/>
      <w:r w:rsidRPr="00561A62">
        <w:rPr>
          <w:noProof/>
        </w:rPr>
        <w:drawing>
          <wp:inline distT="0" distB="0" distL="0" distR="0" wp14:anchorId="68833773" wp14:editId="443A3AD8">
            <wp:extent cx="5581650" cy="2857500"/>
            <wp:effectExtent l="0" t="0" r="0" b="0"/>
            <wp:docPr id="10" name="Gráfico 10">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35"/>
      <w:bookmarkEnd w:id="36"/>
      <w:bookmarkEnd w:id="37"/>
    </w:p>
    <w:p w14:paraId="2758F2E1" w14:textId="77777777" w:rsidR="00C6614F" w:rsidRDefault="00C6614F" w:rsidP="00D15F0F"/>
    <w:p w14:paraId="2863350F" w14:textId="343AAD4D" w:rsidR="00E67260" w:rsidRDefault="00D15F0F" w:rsidP="00D15F0F">
      <w:r w:rsidRPr="00561A62">
        <w:t xml:space="preserve">Al igual que lo sucedido en los distintos bloques de información obligatoria, el índice de cumplimiento global más elevado se observa entre las entidades </w:t>
      </w:r>
      <w:r w:rsidR="00E67260">
        <w:t>objeto de revisión en 2025, 46,1</w:t>
      </w:r>
      <w:r w:rsidRPr="00561A62">
        <w:t>%</w:t>
      </w:r>
      <w:r w:rsidR="00E67260">
        <w:t xml:space="preserve">, </w:t>
      </w:r>
      <w:r w:rsidRPr="00561A62">
        <w:t xml:space="preserve">frente al </w:t>
      </w:r>
      <w:r w:rsidR="00E67260">
        <w:t>30,3</w:t>
      </w:r>
      <w:r w:rsidRPr="00561A62">
        <w:t xml:space="preserve">% alcanzado por las entidades evaluadas </w:t>
      </w:r>
      <w:r w:rsidR="00E67260" w:rsidRPr="00561A62">
        <w:t xml:space="preserve">por primera vez en </w:t>
      </w:r>
      <w:r w:rsidRPr="00561A62">
        <w:t>202</w:t>
      </w:r>
      <w:r w:rsidR="00E67260">
        <w:t>5.</w:t>
      </w:r>
    </w:p>
    <w:p w14:paraId="60401F59" w14:textId="4C6AAE95" w:rsidR="00D15F0F" w:rsidRDefault="00E67260" w:rsidP="00D15F0F">
      <w:r>
        <w:t xml:space="preserve">Por lo que se refiere al ICIO por tipo de entidad, las </w:t>
      </w:r>
      <w:proofErr w:type="spellStart"/>
      <w:r>
        <w:t>ONGs</w:t>
      </w:r>
      <w:proofErr w:type="spellEnd"/>
      <w:r>
        <w:t xml:space="preserve"> aparecen como las de mayor puntuación, un 71</w:t>
      </w:r>
      <w:r w:rsidR="005E54AE">
        <w:t>,</w:t>
      </w:r>
      <w:r>
        <w:t>7</w:t>
      </w:r>
      <w:r w:rsidR="00B40BAD">
        <w:t>%</w:t>
      </w:r>
      <w:r>
        <w:t xml:space="preserve"> y las empresas, con un 19,</w:t>
      </w:r>
      <w:r w:rsidR="00B40BAD">
        <w:t>8%</w:t>
      </w:r>
      <w:r>
        <w:t xml:space="preserve">, como las de menor puntuación. </w:t>
      </w:r>
      <w:r w:rsidR="005E54AE">
        <w:t>Puede verse</w:t>
      </w:r>
      <w:r>
        <w:t xml:space="preserve"> esta información con más detalle en el siguiente gráfico. </w:t>
      </w:r>
    </w:p>
    <w:p w14:paraId="16FF7DD0" w14:textId="1A35358E" w:rsidR="00D15F0F" w:rsidRPr="003005AA" w:rsidRDefault="00D15F0F" w:rsidP="00D15F0F">
      <w:pPr>
        <w:pStyle w:val="Descripcin"/>
        <w:keepNext/>
        <w:rPr>
          <w:color w:val="auto"/>
          <w:sz w:val="22"/>
          <w:szCs w:val="22"/>
        </w:rPr>
      </w:pPr>
      <w:bookmarkStart w:id="38" w:name="_Hlk219369234"/>
      <w:bookmarkEnd w:id="34"/>
      <w:r w:rsidRPr="003005AA">
        <w:rPr>
          <w:color w:val="auto"/>
          <w:sz w:val="22"/>
          <w:szCs w:val="22"/>
        </w:rPr>
        <w:lastRenderedPageBreak/>
        <w:t xml:space="preserve">Gráfico </w:t>
      </w:r>
      <w:r w:rsidRPr="003005AA">
        <w:rPr>
          <w:color w:val="auto"/>
          <w:sz w:val="22"/>
          <w:szCs w:val="22"/>
        </w:rPr>
        <w:fldChar w:fldCharType="begin"/>
      </w:r>
      <w:r w:rsidRPr="003005AA">
        <w:rPr>
          <w:color w:val="auto"/>
          <w:sz w:val="22"/>
          <w:szCs w:val="22"/>
        </w:rPr>
        <w:instrText xml:space="preserve"> SEQ Gráfico \* ARABIC </w:instrText>
      </w:r>
      <w:r w:rsidRPr="003005AA">
        <w:rPr>
          <w:color w:val="auto"/>
          <w:sz w:val="22"/>
          <w:szCs w:val="22"/>
        </w:rPr>
        <w:fldChar w:fldCharType="separate"/>
      </w:r>
      <w:r w:rsidR="009F4C6A">
        <w:rPr>
          <w:noProof/>
          <w:color w:val="auto"/>
          <w:sz w:val="22"/>
          <w:szCs w:val="22"/>
        </w:rPr>
        <w:t>10</w:t>
      </w:r>
      <w:r w:rsidRPr="003005AA">
        <w:rPr>
          <w:color w:val="auto"/>
          <w:sz w:val="22"/>
          <w:szCs w:val="22"/>
        </w:rPr>
        <w:fldChar w:fldCharType="end"/>
      </w:r>
      <w:r w:rsidRPr="003005AA">
        <w:rPr>
          <w:color w:val="auto"/>
          <w:sz w:val="22"/>
          <w:szCs w:val="22"/>
        </w:rPr>
        <w:t>: Índice de Cumplimiento de la Información Obligatoria (ICIO) según tipología de organismo evaluado</w:t>
      </w:r>
      <w:r w:rsidR="004013A1">
        <w:rPr>
          <w:color w:val="auto"/>
          <w:sz w:val="22"/>
          <w:szCs w:val="22"/>
        </w:rPr>
        <w:t xml:space="preserve"> </w:t>
      </w:r>
    </w:p>
    <w:p w14:paraId="628A5E4A" w14:textId="77777777" w:rsidR="00D15F0F" w:rsidRPr="00561A62" w:rsidRDefault="00D15F0F" w:rsidP="00D15F0F">
      <w:r w:rsidRPr="00561A62">
        <w:rPr>
          <w:noProof/>
        </w:rPr>
        <w:drawing>
          <wp:inline distT="0" distB="0" distL="0" distR="0" wp14:anchorId="67B3E252" wp14:editId="07F10585">
            <wp:extent cx="5743575" cy="2514600"/>
            <wp:effectExtent l="0" t="0" r="9525" b="0"/>
            <wp:docPr id="13" name="Gráfico 13">
              <a:extLst xmlns:a="http://schemas.openxmlformats.org/drawingml/2006/main">
                <a:ext uri="{FF2B5EF4-FFF2-40B4-BE49-F238E27FC236}">
                  <a16:creationId xmlns:a16="http://schemas.microsoft.com/office/drawing/2014/main" id="{800CC778-AE4F-4F6A-9D66-D3FD4D67E7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DA8AEF" w14:textId="77777777" w:rsidR="00C6614F" w:rsidRDefault="00C6614F" w:rsidP="00D15F0F">
      <w:bookmarkStart w:id="39" w:name="_Toc149119230"/>
      <w:bookmarkEnd w:id="38"/>
    </w:p>
    <w:p w14:paraId="715032E4" w14:textId="487AEAB5" w:rsidR="00D15F0F" w:rsidRDefault="00D15F0F" w:rsidP="004013A1">
      <w:bookmarkStart w:id="40" w:name="_Hlk219369270"/>
      <w:r w:rsidRPr="00561A62">
        <w:t xml:space="preserve">Con un 100% de cumplimiento se sitúan la </w:t>
      </w:r>
      <w:r w:rsidR="004013A1">
        <w:t xml:space="preserve">Coordinadora de </w:t>
      </w:r>
      <w:proofErr w:type="spellStart"/>
      <w:r w:rsidR="004013A1">
        <w:t>Ong</w:t>
      </w:r>
      <w:proofErr w:type="spellEnd"/>
      <w:r w:rsidR="004013A1">
        <w:t xml:space="preserve"> para el Desarrollo</w:t>
      </w:r>
      <w:r w:rsidR="004013A1" w:rsidRPr="00561A62">
        <w:t xml:space="preserve"> </w:t>
      </w:r>
      <w:r w:rsidRPr="00561A62">
        <w:t xml:space="preserve">y </w:t>
      </w:r>
      <w:r w:rsidR="004013A1">
        <w:t xml:space="preserve">Médicos del Mundo. </w:t>
      </w:r>
      <w:r w:rsidRPr="00561A62">
        <w:t>En la siguiente tabla se muestran las entidades que han alcanzado un Índice de Cumplimiento igual o superior al 70%.</w:t>
      </w:r>
    </w:p>
    <w:bookmarkEnd w:id="40"/>
    <w:p w14:paraId="2CBD5841" w14:textId="708E25A0" w:rsidR="00D15F0F" w:rsidRPr="003005AA" w:rsidRDefault="00D15F0F" w:rsidP="00E831C5">
      <w:pPr>
        <w:spacing w:after="360"/>
        <w:rPr>
          <w:b/>
          <w:bCs/>
          <w:szCs w:val="22"/>
        </w:rPr>
      </w:pPr>
      <w:r w:rsidRPr="003005AA">
        <w:rPr>
          <w:b/>
          <w:bCs/>
          <w:szCs w:val="22"/>
        </w:rPr>
        <w:t xml:space="preserve">Tabla </w:t>
      </w:r>
      <w:r w:rsidRPr="003005AA">
        <w:rPr>
          <w:b/>
          <w:bCs/>
          <w:szCs w:val="22"/>
        </w:rPr>
        <w:fldChar w:fldCharType="begin"/>
      </w:r>
      <w:r w:rsidRPr="003005AA">
        <w:rPr>
          <w:b/>
          <w:bCs/>
          <w:szCs w:val="22"/>
        </w:rPr>
        <w:instrText xml:space="preserve"> SEQ Tabla \* ARABIC </w:instrText>
      </w:r>
      <w:r w:rsidRPr="003005AA">
        <w:rPr>
          <w:b/>
          <w:bCs/>
          <w:szCs w:val="22"/>
        </w:rPr>
        <w:fldChar w:fldCharType="separate"/>
      </w:r>
      <w:r w:rsidR="009F4C6A">
        <w:rPr>
          <w:b/>
          <w:bCs/>
          <w:noProof/>
          <w:szCs w:val="22"/>
        </w:rPr>
        <w:t>1</w:t>
      </w:r>
      <w:r w:rsidRPr="003005AA">
        <w:rPr>
          <w:b/>
          <w:bCs/>
          <w:szCs w:val="22"/>
        </w:rPr>
        <w:fldChar w:fldCharType="end"/>
      </w:r>
      <w:r w:rsidRPr="003005AA">
        <w:rPr>
          <w:b/>
          <w:bCs/>
          <w:szCs w:val="22"/>
        </w:rPr>
        <w:t>: Índices de Cumplimiento y evolución respecto de 202</w:t>
      </w:r>
      <w:r w:rsidR="00764E7A">
        <w:rPr>
          <w:b/>
          <w:bCs/>
          <w:szCs w:val="22"/>
        </w:rPr>
        <w:t>4</w:t>
      </w:r>
      <w:r w:rsidRPr="003005AA">
        <w:rPr>
          <w:b/>
          <w:bCs/>
          <w:szCs w:val="22"/>
        </w:rPr>
        <w:t xml:space="preserve"> (en su caso), de las entidades que han alcanzado un ICIO igual o superior al 70%</w:t>
      </w:r>
    </w:p>
    <w:tbl>
      <w:tblPr>
        <w:tblStyle w:val="Tabladelista3-nfasis2"/>
        <w:tblW w:w="0" w:type="auto"/>
        <w:tblLook w:val="04A0" w:firstRow="1" w:lastRow="0" w:firstColumn="1" w:lastColumn="0" w:noHBand="0" w:noVBand="1"/>
      </w:tblPr>
      <w:tblGrid>
        <w:gridCol w:w="5098"/>
        <w:gridCol w:w="742"/>
        <w:gridCol w:w="3118"/>
      </w:tblGrid>
      <w:tr w:rsidR="00D15F0F" w:rsidRPr="00561A62" w14:paraId="5CBF7F3E" w14:textId="77777777" w:rsidTr="00585D4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5098" w:type="dxa"/>
            <w:noWrap/>
            <w:hideMark/>
          </w:tcPr>
          <w:p w14:paraId="76EF802A" w14:textId="77777777" w:rsidR="00D15F0F" w:rsidRPr="00561A62" w:rsidRDefault="00D15F0F" w:rsidP="00585D44">
            <w:pPr>
              <w:rPr>
                <w:sz w:val="20"/>
              </w:rPr>
            </w:pPr>
          </w:p>
        </w:tc>
        <w:tc>
          <w:tcPr>
            <w:tcW w:w="742" w:type="dxa"/>
            <w:noWrap/>
            <w:hideMark/>
          </w:tcPr>
          <w:p w14:paraId="5D14C132" w14:textId="77777777" w:rsidR="00D15F0F" w:rsidRPr="00561A62" w:rsidRDefault="00D15F0F" w:rsidP="00585D44">
            <w:pPr>
              <w:cnfStyle w:val="100000000000" w:firstRow="1" w:lastRow="0" w:firstColumn="0" w:lastColumn="0" w:oddVBand="0" w:evenVBand="0" w:oddHBand="0" w:evenHBand="0" w:firstRowFirstColumn="0" w:firstRowLastColumn="0" w:lastRowFirstColumn="0" w:lastRowLastColumn="0"/>
              <w:rPr>
                <w:sz w:val="20"/>
              </w:rPr>
            </w:pPr>
            <w:r w:rsidRPr="00561A62">
              <w:rPr>
                <w:sz w:val="20"/>
              </w:rPr>
              <w:t>ICIO</w:t>
            </w:r>
          </w:p>
        </w:tc>
        <w:tc>
          <w:tcPr>
            <w:tcW w:w="3118" w:type="dxa"/>
            <w:noWrap/>
            <w:hideMark/>
          </w:tcPr>
          <w:p w14:paraId="00447169" w14:textId="7FC199A6" w:rsidR="00D15F0F" w:rsidRPr="00561A62" w:rsidRDefault="00D15F0F" w:rsidP="00585D44">
            <w:pPr>
              <w:jc w:val="center"/>
              <w:cnfStyle w:val="100000000000" w:firstRow="1" w:lastRow="0" w:firstColumn="0" w:lastColumn="0" w:oddVBand="0" w:evenVBand="0" w:oddHBand="0" w:evenHBand="0" w:firstRowFirstColumn="0" w:firstRowLastColumn="0" w:lastRowFirstColumn="0" w:lastRowLastColumn="0"/>
              <w:rPr>
                <w:sz w:val="20"/>
              </w:rPr>
            </w:pPr>
            <w:r w:rsidRPr="00561A62">
              <w:rPr>
                <w:sz w:val="20"/>
              </w:rPr>
              <w:t>Incremento respecto 202</w:t>
            </w:r>
            <w:r w:rsidR="00764E7A">
              <w:rPr>
                <w:sz w:val="20"/>
              </w:rPr>
              <w:t>4</w:t>
            </w:r>
            <w:r w:rsidRPr="00561A62">
              <w:rPr>
                <w:sz w:val="20"/>
              </w:rPr>
              <w:t xml:space="preserve"> (puntos porcentuales)</w:t>
            </w:r>
          </w:p>
        </w:tc>
      </w:tr>
      <w:tr w:rsidR="00D15F0F" w:rsidRPr="00561A62" w14:paraId="4BF9E26E" w14:textId="77777777" w:rsidTr="00585D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39814CE9" w14:textId="25171B14" w:rsidR="00D15F0F" w:rsidRPr="00561A62" w:rsidRDefault="004013A1" w:rsidP="00585D44">
            <w:pPr>
              <w:rPr>
                <w:sz w:val="20"/>
              </w:rPr>
            </w:pPr>
            <w:r w:rsidRPr="004013A1">
              <w:rPr>
                <w:sz w:val="20"/>
              </w:rPr>
              <w:t xml:space="preserve">Coordinadora de </w:t>
            </w:r>
            <w:proofErr w:type="spellStart"/>
            <w:r w:rsidRPr="004013A1">
              <w:rPr>
                <w:sz w:val="20"/>
              </w:rPr>
              <w:t>Ong</w:t>
            </w:r>
            <w:proofErr w:type="spellEnd"/>
            <w:r w:rsidRPr="004013A1">
              <w:rPr>
                <w:sz w:val="20"/>
              </w:rPr>
              <w:t xml:space="preserve"> para el Desarrollo</w:t>
            </w:r>
          </w:p>
        </w:tc>
        <w:tc>
          <w:tcPr>
            <w:tcW w:w="742" w:type="dxa"/>
            <w:noWrap/>
            <w:hideMark/>
          </w:tcPr>
          <w:p w14:paraId="30705146" w14:textId="77777777" w:rsidR="00D15F0F" w:rsidRPr="00561A62" w:rsidRDefault="00D15F0F" w:rsidP="00585D44">
            <w:pPr>
              <w:jc w:val="center"/>
              <w:cnfStyle w:val="000000100000" w:firstRow="0" w:lastRow="0" w:firstColumn="0" w:lastColumn="0" w:oddVBand="0" w:evenVBand="0" w:oddHBand="1" w:evenHBand="0" w:firstRowFirstColumn="0" w:firstRowLastColumn="0" w:lastRowFirstColumn="0" w:lastRowLastColumn="0"/>
              <w:rPr>
                <w:sz w:val="20"/>
              </w:rPr>
            </w:pPr>
            <w:r w:rsidRPr="00561A62">
              <w:rPr>
                <w:sz w:val="20"/>
              </w:rPr>
              <w:t>100</w:t>
            </w:r>
          </w:p>
        </w:tc>
        <w:tc>
          <w:tcPr>
            <w:tcW w:w="3118" w:type="dxa"/>
            <w:noWrap/>
            <w:hideMark/>
          </w:tcPr>
          <w:p w14:paraId="5FEAC0F8" w14:textId="69F9157B" w:rsidR="00D15F0F" w:rsidRPr="00561A62" w:rsidRDefault="004013A1" w:rsidP="00585D44">
            <w:pPr>
              <w:jc w:val="center"/>
              <w:cnfStyle w:val="000000100000" w:firstRow="0" w:lastRow="0" w:firstColumn="0" w:lastColumn="0" w:oddVBand="0" w:evenVBand="0" w:oddHBand="1" w:evenHBand="0" w:firstRowFirstColumn="0" w:firstRowLastColumn="0" w:lastRowFirstColumn="0" w:lastRowLastColumn="0"/>
              <w:rPr>
                <w:sz w:val="20"/>
              </w:rPr>
            </w:pPr>
            <w:r>
              <w:rPr>
                <w:sz w:val="20"/>
              </w:rPr>
              <w:t>27,6</w:t>
            </w:r>
          </w:p>
        </w:tc>
      </w:tr>
      <w:tr w:rsidR="00D15F0F" w:rsidRPr="00561A62" w14:paraId="0C28D501" w14:textId="77777777" w:rsidTr="00585D44">
        <w:trPr>
          <w:trHeight w:val="300"/>
        </w:trPr>
        <w:tc>
          <w:tcPr>
            <w:cnfStyle w:val="001000000000" w:firstRow="0" w:lastRow="0" w:firstColumn="1" w:lastColumn="0" w:oddVBand="0" w:evenVBand="0" w:oddHBand="0" w:evenHBand="0" w:firstRowFirstColumn="0" w:firstRowLastColumn="0" w:lastRowFirstColumn="0" w:lastRowLastColumn="0"/>
            <w:tcW w:w="5098" w:type="dxa"/>
            <w:noWrap/>
          </w:tcPr>
          <w:p w14:paraId="4C7064DC" w14:textId="6DD499B9" w:rsidR="00D15F0F" w:rsidRPr="00561A62" w:rsidRDefault="004013A1" w:rsidP="00585D44">
            <w:pPr>
              <w:rPr>
                <w:sz w:val="20"/>
              </w:rPr>
            </w:pPr>
            <w:r>
              <w:rPr>
                <w:sz w:val="20"/>
              </w:rPr>
              <w:t>Médicos del Mundo</w:t>
            </w:r>
          </w:p>
        </w:tc>
        <w:tc>
          <w:tcPr>
            <w:tcW w:w="742" w:type="dxa"/>
            <w:noWrap/>
          </w:tcPr>
          <w:p w14:paraId="0EDA3008" w14:textId="77777777" w:rsidR="00D15F0F" w:rsidRPr="00561A62" w:rsidRDefault="00D15F0F" w:rsidP="00585D44">
            <w:pPr>
              <w:jc w:val="center"/>
              <w:cnfStyle w:val="000000000000" w:firstRow="0" w:lastRow="0" w:firstColumn="0" w:lastColumn="0" w:oddVBand="0" w:evenVBand="0" w:oddHBand="0" w:evenHBand="0" w:firstRowFirstColumn="0" w:firstRowLastColumn="0" w:lastRowFirstColumn="0" w:lastRowLastColumn="0"/>
              <w:rPr>
                <w:sz w:val="20"/>
              </w:rPr>
            </w:pPr>
            <w:r w:rsidRPr="00561A62">
              <w:rPr>
                <w:sz w:val="20"/>
              </w:rPr>
              <w:t>100</w:t>
            </w:r>
          </w:p>
        </w:tc>
        <w:tc>
          <w:tcPr>
            <w:tcW w:w="3118" w:type="dxa"/>
            <w:noWrap/>
          </w:tcPr>
          <w:p w14:paraId="637149CB" w14:textId="2BEA9BC7" w:rsidR="00D15F0F" w:rsidRPr="00561A62" w:rsidRDefault="004013A1" w:rsidP="00585D44">
            <w:pPr>
              <w:jc w:val="center"/>
              <w:cnfStyle w:val="000000000000" w:firstRow="0" w:lastRow="0" w:firstColumn="0" w:lastColumn="0" w:oddVBand="0" w:evenVBand="0" w:oddHBand="0" w:evenHBand="0" w:firstRowFirstColumn="0" w:firstRowLastColumn="0" w:lastRowFirstColumn="0" w:lastRowLastColumn="0"/>
              <w:rPr>
                <w:sz w:val="20"/>
              </w:rPr>
            </w:pPr>
            <w:r>
              <w:rPr>
                <w:sz w:val="20"/>
              </w:rPr>
              <w:t>28,6</w:t>
            </w:r>
          </w:p>
        </w:tc>
      </w:tr>
      <w:tr w:rsidR="00D15F0F" w:rsidRPr="00561A62" w14:paraId="3E38FD86" w14:textId="77777777" w:rsidTr="00585D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15803C31" w14:textId="4A5C89E6" w:rsidR="00D15F0F" w:rsidRPr="00561A62" w:rsidRDefault="004013A1" w:rsidP="00585D44">
            <w:pPr>
              <w:rPr>
                <w:sz w:val="20"/>
              </w:rPr>
            </w:pPr>
            <w:r>
              <w:rPr>
                <w:sz w:val="20"/>
              </w:rPr>
              <w:t>Real Federación Española de Tenis</w:t>
            </w:r>
          </w:p>
        </w:tc>
        <w:tc>
          <w:tcPr>
            <w:tcW w:w="742" w:type="dxa"/>
            <w:noWrap/>
            <w:hideMark/>
          </w:tcPr>
          <w:p w14:paraId="7391D972" w14:textId="56F85BBE" w:rsidR="00D15F0F" w:rsidRPr="00561A62" w:rsidRDefault="004013A1" w:rsidP="00585D44">
            <w:pPr>
              <w:jc w:val="center"/>
              <w:cnfStyle w:val="000000100000" w:firstRow="0" w:lastRow="0" w:firstColumn="0" w:lastColumn="0" w:oddVBand="0" w:evenVBand="0" w:oddHBand="1" w:evenHBand="0" w:firstRowFirstColumn="0" w:firstRowLastColumn="0" w:lastRowFirstColumn="0" w:lastRowLastColumn="0"/>
              <w:rPr>
                <w:sz w:val="20"/>
              </w:rPr>
            </w:pPr>
            <w:r>
              <w:rPr>
                <w:sz w:val="20"/>
              </w:rPr>
              <w:t>88,4</w:t>
            </w:r>
          </w:p>
        </w:tc>
        <w:tc>
          <w:tcPr>
            <w:tcW w:w="3118" w:type="dxa"/>
            <w:noWrap/>
            <w:hideMark/>
          </w:tcPr>
          <w:p w14:paraId="3D4FECB7" w14:textId="0ECFB818" w:rsidR="00D15F0F" w:rsidRPr="00561A62" w:rsidRDefault="004013A1" w:rsidP="00585D44">
            <w:pPr>
              <w:jc w:val="center"/>
              <w:cnfStyle w:val="000000100000" w:firstRow="0" w:lastRow="0" w:firstColumn="0" w:lastColumn="0" w:oddVBand="0" w:evenVBand="0" w:oddHBand="1" w:evenHBand="0" w:firstRowFirstColumn="0" w:firstRowLastColumn="0" w:lastRowFirstColumn="0" w:lastRowLastColumn="0"/>
              <w:rPr>
                <w:sz w:val="20"/>
              </w:rPr>
            </w:pPr>
            <w:r>
              <w:rPr>
                <w:sz w:val="20"/>
              </w:rPr>
              <w:t>36,6</w:t>
            </w:r>
          </w:p>
        </w:tc>
      </w:tr>
      <w:tr w:rsidR="00D15F0F" w:rsidRPr="00561A62" w14:paraId="57D85A07" w14:textId="77777777" w:rsidTr="00585D44">
        <w:trPr>
          <w:trHeight w:val="30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2B62DDBD" w14:textId="406B8DFE" w:rsidR="00D15F0F" w:rsidRPr="00561A62" w:rsidRDefault="007825C7" w:rsidP="00585D44">
            <w:pPr>
              <w:rPr>
                <w:sz w:val="20"/>
              </w:rPr>
            </w:pPr>
            <w:r>
              <w:rPr>
                <w:sz w:val="20"/>
              </w:rPr>
              <w:t>Asamblea de Cooperación por la Paz</w:t>
            </w:r>
          </w:p>
        </w:tc>
        <w:tc>
          <w:tcPr>
            <w:tcW w:w="742" w:type="dxa"/>
            <w:noWrap/>
            <w:hideMark/>
          </w:tcPr>
          <w:p w14:paraId="0AE17042" w14:textId="137EA4DF" w:rsidR="00D15F0F" w:rsidRPr="00561A62" w:rsidRDefault="007825C7" w:rsidP="00585D44">
            <w:pPr>
              <w:jc w:val="center"/>
              <w:cnfStyle w:val="000000000000" w:firstRow="0" w:lastRow="0" w:firstColumn="0" w:lastColumn="0" w:oddVBand="0" w:evenVBand="0" w:oddHBand="0" w:evenHBand="0" w:firstRowFirstColumn="0" w:firstRowLastColumn="0" w:lastRowFirstColumn="0" w:lastRowLastColumn="0"/>
              <w:rPr>
                <w:sz w:val="20"/>
              </w:rPr>
            </w:pPr>
            <w:r>
              <w:rPr>
                <w:sz w:val="20"/>
              </w:rPr>
              <w:t>82,2</w:t>
            </w:r>
          </w:p>
        </w:tc>
        <w:tc>
          <w:tcPr>
            <w:tcW w:w="3118" w:type="dxa"/>
            <w:noWrap/>
            <w:hideMark/>
          </w:tcPr>
          <w:p w14:paraId="059C4A3B" w14:textId="382F1E2C" w:rsidR="00D15F0F" w:rsidRPr="00561A62" w:rsidRDefault="007825C7" w:rsidP="00585D44">
            <w:pPr>
              <w:jc w:val="center"/>
              <w:cnfStyle w:val="000000000000" w:firstRow="0" w:lastRow="0" w:firstColumn="0" w:lastColumn="0" w:oddVBand="0" w:evenVBand="0" w:oddHBand="0" w:evenHBand="0" w:firstRowFirstColumn="0" w:firstRowLastColumn="0" w:lastRowFirstColumn="0" w:lastRowLastColumn="0"/>
              <w:rPr>
                <w:sz w:val="20"/>
              </w:rPr>
            </w:pPr>
            <w:r>
              <w:rPr>
                <w:sz w:val="20"/>
              </w:rPr>
              <w:t>30</w:t>
            </w:r>
            <w:r w:rsidR="00D15F0F" w:rsidRPr="00561A62">
              <w:rPr>
                <w:sz w:val="20"/>
              </w:rPr>
              <w:t>,7</w:t>
            </w:r>
          </w:p>
        </w:tc>
      </w:tr>
      <w:tr w:rsidR="00D15F0F" w:rsidRPr="00561A62" w14:paraId="4F22F6EF" w14:textId="77777777" w:rsidTr="00585D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220298E9" w14:textId="282908BB" w:rsidR="00D15F0F" w:rsidRPr="00561A62" w:rsidRDefault="00E831C5" w:rsidP="00585D44">
            <w:pPr>
              <w:rPr>
                <w:sz w:val="20"/>
              </w:rPr>
            </w:pPr>
            <w:r>
              <w:rPr>
                <w:sz w:val="20"/>
              </w:rPr>
              <w:t xml:space="preserve">Real </w:t>
            </w:r>
            <w:r w:rsidR="007825C7" w:rsidRPr="007825C7">
              <w:rPr>
                <w:sz w:val="20"/>
              </w:rPr>
              <w:t xml:space="preserve">Federación Española de </w:t>
            </w:r>
            <w:r w:rsidR="007825C7">
              <w:rPr>
                <w:sz w:val="20"/>
              </w:rPr>
              <w:t>Piragüismo</w:t>
            </w:r>
          </w:p>
        </w:tc>
        <w:tc>
          <w:tcPr>
            <w:tcW w:w="742" w:type="dxa"/>
            <w:noWrap/>
            <w:hideMark/>
          </w:tcPr>
          <w:p w14:paraId="58B0D85E" w14:textId="66A6EF0D" w:rsidR="00D15F0F" w:rsidRPr="00561A62" w:rsidRDefault="007825C7" w:rsidP="00585D44">
            <w:pPr>
              <w:jc w:val="center"/>
              <w:cnfStyle w:val="000000100000" w:firstRow="0" w:lastRow="0" w:firstColumn="0" w:lastColumn="0" w:oddVBand="0" w:evenVBand="0" w:oddHBand="1" w:evenHBand="0" w:firstRowFirstColumn="0" w:firstRowLastColumn="0" w:lastRowFirstColumn="0" w:lastRowLastColumn="0"/>
              <w:rPr>
                <w:sz w:val="20"/>
              </w:rPr>
            </w:pPr>
            <w:r>
              <w:rPr>
                <w:sz w:val="20"/>
              </w:rPr>
              <w:t>79,1</w:t>
            </w:r>
          </w:p>
        </w:tc>
        <w:tc>
          <w:tcPr>
            <w:tcW w:w="3118" w:type="dxa"/>
            <w:noWrap/>
            <w:hideMark/>
          </w:tcPr>
          <w:p w14:paraId="1369710F" w14:textId="3B38ABF9" w:rsidR="00D15F0F" w:rsidRPr="00561A62" w:rsidRDefault="007825C7" w:rsidP="00585D44">
            <w:pPr>
              <w:jc w:val="center"/>
              <w:cnfStyle w:val="000000100000" w:firstRow="0" w:lastRow="0" w:firstColumn="0" w:lastColumn="0" w:oddVBand="0" w:evenVBand="0" w:oddHBand="1" w:evenHBand="0" w:firstRowFirstColumn="0" w:firstRowLastColumn="0" w:lastRowFirstColumn="0" w:lastRowLastColumn="0"/>
              <w:rPr>
                <w:sz w:val="20"/>
              </w:rPr>
            </w:pPr>
            <w:r w:rsidRPr="007825C7">
              <w:rPr>
                <w:sz w:val="20"/>
              </w:rPr>
              <w:t>Primera evaluación en 202</w:t>
            </w:r>
            <w:r>
              <w:rPr>
                <w:sz w:val="20"/>
              </w:rPr>
              <w:t>5</w:t>
            </w:r>
          </w:p>
        </w:tc>
      </w:tr>
      <w:tr w:rsidR="00D15F0F" w:rsidRPr="00561A62" w14:paraId="619AA5E8" w14:textId="77777777" w:rsidTr="00585D44">
        <w:trPr>
          <w:trHeight w:val="30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0B68084B" w14:textId="11F09BDB" w:rsidR="00D15F0F" w:rsidRPr="00561A62" w:rsidRDefault="007825C7" w:rsidP="00585D44">
            <w:pPr>
              <w:rPr>
                <w:sz w:val="20"/>
              </w:rPr>
            </w:pPr>
            <w:r w:rsidRPr="00561A62">
              <w:rPr>
                <w:sz w:val="20"/>
              </w:rPr>
              <w:t>Asociación Española Contra el Cáncer</w:t>
            </w:r>
          </w:p>
        </w:tc>
        <w:tc>
          <w:tcPr>
            <w:tcW w:w="742" w:type="dxa"/>
            <w:noWrap/>
            <w:hideMark/>
          </w:tcPr>
          <w:p w14:paraId="3112D414" w14:textId="5982CD73" w:rsidR="00D15F0F" w:rsidRPr="00561A62" w:rsidRDefault="007825C7" w:rsidP="00585D44">
            <w:pPr>
              <w:jc w:val="center"/>
              <w:cnfStyle w:val="000000000000" w:firstRow="0" w:lastRow="0" w:firstColumn="0" w:lastColumn="0" w:oddVBand="0" w:evenVBand="0" w:oddHBand="0" w:evenHBand="0" w:firstRowFirstColumn="0" w:firstRowLastColumn="0" w:lastRowFirstColumn="0" w:lastRowLastColumn="0"/>
              <w:rPr>
                <w:sz w:val="20"/>
              </w:rPr>
            </w:pPr>
            <w:r>
              <w:rPr>
                <w:sz w:val="20"/>
              </w:rPr>
              <w:t>79</w:t>
            </w:r>
          </w:p>
        </w:tc>
        <w:tc>
          <w:tcPr>
            <w:tcW w:w="3118" w:type="dxa"/>
            <w:noWrap/>
            <w:hideMark/>
          </w:tcPr>
          <w:p w14:paraId="3A5ECAE6" w14:textId="3B2A5351" w:rsidR="00D15F0F" w:rsidRPr="00561A62" w:rsidRDefault="007825C7" w:rsidP="00585D44">
            <w:pPr>
              <w:jc w:val="center"/>
              <w:cnfStyle w:val="000000000000" w:firstRow="0" w:lastRow="0" w:firstColumn="0" w:lastColumn="0" w:oddVBand="0" w:evenVBand="0" w:oddHBand="0" w:evenHBand="0" w:firstRowFirstColumn="0" w:firstRowLastColumn="0" w:lastRowFirstColumn="0" w:lastRowLastColumn="0"/>
              <w:rPr>
                <w:sz w:val="20"/>
              </w:rPr>
            </w:pPr>
            <w:r>
              <w:rPr>
                <w:sz w:val="20"/>
              </w:rPr>
              <w:t>8</w:t>
            </w:r>
            <w:r w:rsidR="00D15F0F" w:rsidRPr="00561A62">
              <w:rPr>
                <w:sz w:val="20"/>
              </w:rPr>
              <w:t>,2</w:t>
            </w:r>
          </w:p>
        </w:tc>
      </w:tr>
      <w:tr w:rsidR="00A527C1" w:rsidRPr="00561A62" w14:paraId="62015684" w14:textId="77777777" w:rsidTr="00585D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noWrap/>
          </w:tcPr>
          <w:p w14:paraId="7E0F1509" w14:textId="4A743323" w:rsidR="00A527C1" w:rsidRDefault="00A527C1" w:rsidP="00585D44">
            <w:pPr>
              <w:rPr>
                <w:sz w:val="20"/>
              </w:rPr>
            </w:pPr>
            <w:r>
              <w:rPr>
                <w:sz w:val="20"/>
              </w:rPr>
              <w:t>Plataforma de Organizaciones de Infancia</w:t>
            </w:r>
          </w:p>
        </w:tc>
        <w:tc>
          <w:tcPr>
            <w:tcW w:w="742" w:type="dxa"/>
            <w:noWrap/>
          </w:tcPr>
          <w:p w14:paraId="23A6F95A" w14:textId="5CF4C217" w:rsidR="00A527C1" w:rsidRDefault="00A527C1" w:rsidP="00585D44">
            <w:pPr>
              <w:jc w:val="center"/>
              <w:cnfStyle w:val="000000100000" w:firstRow="0" w:lastRow="0" w:firstColumn="0" w:lastColumn="0" w:oddVBand="0" w:evenVBand="0" w:oddHBand="1" w:evenHBand="0" w:firstRowFirstColumn="0" w:firstRowLastColumn="0" w:lastRowFirstColumn="0" w:lastRowLastColumn="0"/>
              <w:rPr>
                <w:sz w:val="20"/>
              </w:rPr>
            </w:pPr>
            <w:r>
              <w:rPr>
                <w:sz w:val="20"/>
              </w:rPr>
              <w:t>72,7</w:t>
            </w:r>
          </w:p>
        </w:tc>
        <w:tc>
          <w:tcPr>
            <w:tcW w:w="3118" w:type="dxa"/>
            <w:noWrap/>
          </w:tcPr>
          <w:p w14:paraId="57B8A791" w14:textId="61BE21BF" w:rsidR="00A527C1" w:rsidRDefault="00A527C1" w:rsidP="00585D44">
            <w:pPr>
              <w:jc w:val="center"/>
              <w:cnfStyle w:val="000000100000" w:firstRow="0" w:lastRow="0" w:firstColumn="0" w:lastColumn="0" w:oddVBand="0" w:evenVBand="0" w:oddHBand="1" w:evenHBand="0" w:firstRowFirstColumn="0" w:firstRowLastColumn="0" w:lastRowFirstColumn="0" w:lastRowLastColumn="0"/>
              <w:rPr>
                <w:sz w:val="20"/>
              </w:rPr>
            </w:pPr>
            <w:r>
              <w:rPr>
                <w:sz w:val="20"/>
              </w:rPr>
              <w:t>19,6</w:t>
            </w:r>
          </w:p>
        </w:tc>
      </w:tr>
      <w:tr w:rsidR="00A527C1" w:rsidRPr="00561A62" w14:paraId="7B3DA590" w14:textId="77777777" w:rsidTr="00585D44">
        <w:trPr>
          <w:trHeight w:val="300"/>
        </w:trPr>
        <w:tc>
          <w:tcPr>
            <w:cnfStyle w:val="001000000000" w:firstRow="0" w:lastRow="0" w:firstColumn="1" w:lastColumn="0" w:oddVBand="0" w:evenVBand="0" w:oddHBand="0" w:evenHBand="0" w:firstRowFirstColumn="0" w:firstRowLastColumn="0" w:lastRowFirstColumn="0" w:lastRowLastColumn="0"/>
            <w:tcW w:w="5098" w:type="dxa"/>
            <w:noWrap/>
          </w:tcPr>
          <w:p w14:paraId="1CC389AC" w14:textId="504F1088" w:rsidR="00A527C1" w:rsidRDefault="00A527C1" w:rsidP="00585D44">
            <w:pPr>
              <w:rPr>
                <w:sz w:val="20"/>
              </w:rPr>
            </w:pPr>
            <w:r>
              <w:rPr>
                <w:sz w:val="20"/>
              </w:rPr>
              <w:t>Organización de Consumidores y Usuarios</w:t>
            </w:r>
          </w:p>
        </w:tc>
        <w:tc>
          <w:tcPr>
            <w:tcW w:w="742" w:type="dxa"/>
            <w:noWrap/>
          </w:tcPr>
          <w:p w14:paraId="14855AB0" w14:textId="40DC979C" w:rsidR="00A527C1" w:rsidRDefault="00A527C1" w:rsidP="00585D44">
            <w:pPr>
              <w:jc w:val="center"/>
              <w:cnfStyle w:val="000000000000" w:firstRow="0" w:lastRow="0" w:firstColumn="0" w:lastColumn="0" w:oddVBand="0" w:evenVBand="0" w:oddHBand="0" w:evenHBand="0" w:firstRowFirstColumn="0" w:firstRowLastColumn="0" w:lastRowFirstColumn="0" w:lastRowLastColumn="0"/>
              <w:rPr>
                <w:sz w:val="20"/>
              </w:rPr>
            </w:pPr>
            <w:r>
              <w:rPr>
                <w:sz w:val="20"/>
              </w:rPr>
              <w:t>72,1</w:t>
            </w:r>
          </w:p>
        </w:tc>
        <w:tc>
          <w:tcPr>
            <w:tcW w:w="3118" w:type="dxa"/>
            <w:noWrap/>
          </w:tcPr>
          <w:p w14:paraId="5AF4C530" w14:textId="3822C76E" w:rsidR="00A527C1" w:rsidRDefault="00A527C1" w:rsidP="00585D44">
            <w:pPr>
              <w:jc w:val="center"/>
              <w:cnfStyle w:val="000000000000" w:firstRow="0" w:lastRow="0" w:firstColumn="0" w:lastColumn="0" w:oddVBand="0" w:evenVBand="0" w:oddHBand="0" w:evenHBand="0" w:firstRowFirstColumn="0" w:firstRowLastColumn="0" w:lastRowFirstColumn="0" w:lastRowLastColumn="0"/>
              <w:rPr>
                <w:sz w:val="20"/>
              </w:rPr>
            </w:pPr>
            <w:r w:rsidRPr="007825C7">
              <w:rPr>
                <w:sz w:val="20"/>
              </w:rPr>
              <w:t>Primera evaluación en 202</w:t>
            </w:r>
            <w:r>
              <w:rPr>
                <w:sz w:val="20"/>
              </w:rPr>
              <w:t>5</w:t>
            </w:r>
          </w:p>
        </w:tc>
      </w:tr>
      <w:tr w:rsidR="00D15F0F" w:rsidRPr="00561A62" w14:paraId="7BD6F8BB" w14:textId="77777777" w:rsidTr="00585D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04DB92A5" w14:textId="7A0C46EA" w:rsidR="00D15F0F" w:rsidRPr="00561A62" w:rsidRDefault="007825C7" w:rsidP="00585D44">
            <w:pPr>
              <w:rPr>
                <w:sz w:val="20"/>
              </w:rPr>
            </w:pPr>
            <w:r>
              <w:rPr>
                <w:sz w:val="20"/>
              </w:rPr>
              <w:t>Intermón Oxfam</w:t>
            </w:r>
          </w:p>
        </w:tc>
        <w:tc>
          <w:tcPr>
            <w:tcW w:w="742" w:type="dxa"/>
            <w:noWrap/>
            <w:hideMark/>
          </w:tcPr>
          <w:p w14:paraId="769583DA" w14:textId="4B2494B6" w:rsidR="00D15F0F" w:rsidRPr="00561A62" w:rsidRDefault="007825C7" w:rsidP="00585D44">
            <w:pPr>
              <w:jc w:val="center"/>
              <w:cnfStyle w:val="000000100000" w:firstRow="0" w:lastRow="0" w:firstColumn="0" w:lastColumn="0" w:oddVBand="0" w:evenVBand="0" w:oddHBand="1" w:evenHBand="0" w:firstRowFirstColumn="0" w:firstRowLastColumn="0" w:lastRowFirstColumn="0" w:lastRowLastColumn="0"/>
              <w:rPr>
                <w:sz w:val="20"/>
              </w:rPr>
            </w:pPr>
            <w:r>
              <w:rPr>
                <w:sz w:val="20"/>
              </w:rPr>
              <w:t>71,4</w:t>
            </w:r>
          </w:p>
        </w:tc>
        <w:tc>
          <w:tcPr>
            <w:tcW w:w="3118" w:type="dxa"/>
            <w:noWrap/>
            <w:hideMark/>
          </w:tcPr>
          <w:p w14:paraId="60F04013" w14:textId="755176DB" w:rsidR="00D15F0F" w:rsidRPr="00561A62" w:rsidRDefault="007825C7" w:rsidP="00585D44">
            <w:pPr>
              <w:jc w:val="center"/>
              <w:cnfStyle w:val="000000100000" w:firstRow="0" w:lastRow="0" w:firstColumn="0" w:lastColumn="0" w:oddVBand="0" w:evenVBand="0" w:oddHBand="1" w:evenHBand="0" w:firstRowFirstColumn="0" w:firstRowLastColumn="0" w:lastRowFirstColumn="0" w:lastRowLastColumn="0"/>
              <w:rPr>
                <w:sz w:val="20"/>
              </w:rPr>
            </w:pPr>
            <w:r>
              <w:rPr>
                <w:sz w:val="20"/>
              </w:rPr>
              <w:t>14,3</w:t>
            </w:r>
          </w:p>
        </w:tc>
      </w:tr>
      <w:tr w:rsidR="00A527C1" w:rsidRPr="00561A62" w14:paraId="10D8D186" w14:textId="77777777" w:rsidTr="00585D44">
        <w:trPr>
          <w:trHeight w:val="300"/>
        </w:trPr>
        <w:tc>
          <w:tcPr>
            <w:cnfStyle w:val="001000000000" w:firstRow="0" w:lastRow="0" w:firstColumn="1" w:lastColumn="0" w:oddVBand="0" w:evenVBand="0" w:oddHBand="0" w:evenHBand="0" w:firstRowFirstColumn="0" w:firstRowLastColumn="0" w:lastRowFirstColumn="0" w:lastRowLastColumn="0"/>
            <w:tcW w:w="5098" w:type="dxa"/>
            <w:noWrap/>
          </w:tcPr>
          <w:p w14:paraId="3DD5AF70" w14:textId="7D82FE62" w:rsidR="00A527C1" w:rsidRDefault="00A527C1" w:rsidP="00585D44">
            <w:pPr>
              <w:rPr>
                <w:sz w:val="20"/>
              </w:rPr>
            </w:pPr>
            <w:r>
              <w:rPr>
                <w:sz w:val="20"/>
              </w:rPr>
              <w:t>Real Federación Española de Gimnasia</w:t>
            </w:r>
          </w:p>
        </w:tc>
        <w:tc>
          <w:tcPr>
            <w:tcW w:w="742" w:type="dxa"/>
            <w:noWrap/>
          </w:tcPr>
          <w:p w14:paraId="49B82B7C" w14:textId="510FCE8D" w:rsidR="00A527C1" w:rsidRDefault="00A527C1" w:rsidP="00585D44">
            <w:pPr>
              <w:jc w:val="center"/>
              <w:cnfStyle w:val="000000000000" w:firstRow="0" w:lastRow="0" w:firstColumn="0" w:lastColumn="0" w:oddVBand="0" w:evenVBand="0" w:oddHBand="0" w:evenHBand="0" w:firstRowFirstColumn="0" w:firstRowLastColumn="0" w:lastRowFirstColumn="0" w:lastRowLastColumn="0"/>
              <w:rPr>
                <w:sz w:val="20"/>
              </w:rPr>
            </w:pPr>
            <w:r>
              <w:rPr>
                <w:sz w:val="20"/>
              </w:rPr>
              <w:t>71</w:t>
            </w:r>
          </w:p>
        </w:tc>
        <w:tc>
          <w:tcPr>
            <w:tcW w:w="3118" w:type="dxa"/>
            <w:noWrap/>
          </w:tcPr>
          <w:p w14:paraId="39691F0C" w14:textId="6673D9FA" w:rsidR="00A527C1" w:rsidRDefault="00A527C1" w:rsidP="00585D44">
            <w:pPr>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r>
    </w:tbl>
    <w:p w14:paraId="4F08ACAF" w14:textId="51D61EB9" w:rsidR="00D15F0F" w:rsidRDefault="00D15F0F" w:rsidP="00D15F0F"/>
    <w:p w14:paraId="1E658D47" w14:textId="58E0E120" w:rsidR="004013A1" w:rsidRPr="00561A62" w:rsidRDefault="007825C7" w:rsidP="00D15F0F">
      <w:r>
        <w:t xml:space="preserve">El número en entidades evaluadas que cuenta con un ICIO superior al 70% </w:t>
      </w:r>
      <w:r w:rsidR="00573518">
        <w:t xml:space="preserve">en 2025, 10 entidades, </w:t>
      </w:r>
      <w:r>
        <w:t>se ha reducido</w:t>
      </w:r>
      <w:r w:rsidR="00573518">
        <w:t xml:space="preserve"> </w:t>
      </w:r>
      <w:r>
        <w:t xml:space="preserve">con respecto a 2024, </w:t>
      </w:r>
      <w:r w:rsidR="00573518">
        <w:t xml:space="preserve">en </w:t>
      </w:r>
      <w:r w:rsidR="00C7332E">
        <w:t>el</w:t>
      </w:r>
      <w:r w:rsidR="00573518">
        <w:t xml:space="preserve"> que hubo </w:t>
      </w:r>
      <w:r w:rsidR="004013A1">
        <w:t>16 entidades</w:t>
      </w:r>
      <w:r w:rsidR="00C7332E">
        <w:t xml:space="preserve"> que superaron ese umbral</w:t>
      </w:r>
      <w:r w:rsidR="004013A1">
        <w:t xml:space="preserve">. </w:t>
      </w:r>
    </w:p>
    <w:p w14:paraId="1AD59808" w14:textId="39B06485" w:rsidR="00D15F0F" w:rsidRPr="00561A62" w:rsidRDefault="00D15F0F" w:rsidP="00F64886">
      <w:pPr>
        <w:rPr>
          <w:b/>
        </w:rPr>
      </w:pPr>
      <w:bookmarkStart w:id="41" w:name="_Toc98321561"/>
      <w:bookmarkStart w:id="42" w:name="_Toc113366621"/>
      <w:bookmarkStart w:id="43" w:name="_Toc140476275"/>
      <w:bookmarkStart w:id="44" w:name="_Toc169082181"/>
      <w:bookmarkStart w:id="45" w:name="_Toc178779861"/>
      <w:bookmarkStart w:id="46" w:name="_Toc178780015"/>
      <w:bookmarkStart w:id="47" w:name="_Toc178783653"/>
      <w:r w:rsidRPr="00561A62">
        <w:t>Por otra parte, en el Anexo II se incluye una tabla que muestra los Índices de Cumplimiento individuales alcanzados por las entidades evaluadas, junto a la evolución de estos índices respecto de 202</w:t>
      </w:r>
      <w:r w:rsidR="007825C7">
        <w:t>4</w:t>
      </w:r>
      <w:r w:rsidRPr="00561A62">
        <w:t>, las recomendaciones derivadas de la evaluación 202</w:t>
      </w:r>
      <w:r w:rsidR="007825C7">
        <w:t>4</w:t>
      </w:r>
      <w:r w:rsidRPr="00561A62">
        <w:t xml:space="preserve"> implantadas, así </w:t>
      </w:r>
      <w:r w:rsidRPr="00561A62">
        <w:lastRenderedPageBreak/>
        <w:t>como las recomendaciones y mejoras que se han aplicado durante el periodo de observaciones.</w:t>
      </w:r>
      <w:bookmarkEnd w:id="41"/>
      <w:bookmarkEnd w:id="42"/>
      <w:bookmarkEnd w:id="43"/>
      <w:bookmarkEnd w:id="44"/>
      <w:bookmarkEnd w:id="45"/>
      <w:bookmarkEnd w:id="46"/>
      <w:bookmarkEnd w:id="47"/>
    </w:p>
    <w:p w14:paraId="0F36384F" w14:textId="77777777" w:rsidR="00D15F0F" w:rsidRPr="00561A62" w:rsidRDefault="00D15F0F" w:rsidP="00D15F0F"/>
    <w:p w14:paraId="2E1AFA87" w14:textId="77777777" w:rsidR="00D15F0F" w:rsidRPr="00561A62" w:rsidRDefault="00D15F0F" w:rsidP="00D15F0F">
      <w:pPr>
        <w:pStyle w:val="Ttulo2"/>
      </w:pPr>
      <w:bookmarkStart w:id="48" w:name="_Toc219463061"/>
      <w:r w:rsidRPr="00561A62">
        <w:t>III.3. Transparencia Voluntaria y Buenas Prácticas</w:t>
      </w:r>
      <w:r w:rsidRPr="00561A62">
        <w:rPr>
          <w:rStyle w:val="Refdenotaalpie"/>
        </w:rPr>
        <w:footnoteReference w:id="2"/>
      </w:r>
      <w:bookmarkEnd w:id="39"/>
      <w:bookmarkEnd w:id="48"/>
    </w:p>
    <w:p w14:paraId="5C09DFFD" w14:textId="77777777" w:rsidR="00D15F0F" w:rsidRPr="00561A62" w:rsidRDefault="00D15F0F" w:rsidP="00D15F0F"/>
    <w:p w14:paraId="01E2C9AD" w14:textId="77777777" w:rsidR="00D15F0F" w:rsidRPr="00561A62" w:rsidRDefault="00D15F0F" w:rsidP="00D15F0F">
      <w:r w:rsidRPr="00561A62">
        <w:t>Además de la información sujeta a obligaciones de publicidad activa, algunas de las entidades evaluadas publican información voluntaria, relevante desde el punto de vista de la rendición de cuentas, lo que constituye una muestra de su interés por hacer más transparente su gestión. Algunas de estas informaciones son obligaciones de publicidad activa recogidas en la LTAIBG, pero que no son aplicables a las organizaciones que las publican, por ejemplo, la información sobre planificación o sobre las actividades que realizan.</w:t>
      </w:r>
    </w:p>
    <w:p w14:paraId="745FA060" w14:textId="77777777" w:rsidR="00D15F0F" w:rsidRPr="00561A62" w:rsidRDefault="00D15F0F" w:rsidP="00D15F0F">
      <w:r w:rsidRPr="00561A62">
        <w:t xml:space="preserve">En el Anexo III se relacionan las informaciones de transparencia voluntaria que se publican, ordenadas en función de la frecuencia de publicación. También se recogen otras informaciones complementarias menos frecuentes, pero significativas respecto de la rendición de cuentas. </w:t>
      </w:r>
    </w:p>
    <w:p w14:paraId="13987B5D" w14:textId="33B8726E" w:rsidR="00D15F0F" w:rsidRDefault="00D15F0F" w:rsidP="00D15F0F">
      <w:r>
        <w:t xml:space="preserve">Un número menor de </w:t>
      </w:r>
      <w:r w:rsidRPr="00561A62">
        <w:t>entidades acreditan buenas prácticas en relación con el cumplimiento de las obligaciones de publicidad activa que podrían ser aplicadas por otros sujetos obligados. Esta información se localiza en el Anexo IV.</w:t>
      </w:r>
    </w:p>
    <w:p w14:paraId="5BC16C56" w14:textId="0DB07401" w:rsidR="00D15F0F" w:rsidRDefault="00D15F0F" w:rsidP="00D15F0F"/>
    <w:p w14:paraId="2665F902" w14:textId="77777777" w:rsidR="00D15F0F" w:rsidRPr="00561A62" w:rsidRDefault="00D15F0F" w:rsidP="00D15F0F"/>
    <w:p w14:paraId="310E8C6E" w14:textId="77777777" w:rsidR="00D15F0F" w:rsidRPr="00561A62" w:rsidRDefault="00D15F0F" w:rsidP="00D15F0F">
      <w:pPr>
        <w:pStyle w:val="Ttulo1"/>
        <w:numPr>
          <w:ilvl w:val="0"/>
          <w:numId w:val="11"/>
        </w:numPr>
        <w:ind w:left="720" w:hanging="360"/>
      </w:pPr>
      <w:bookmarkStart w:id="49" w:name="_Toc149119231"/>
      <w:bookmarkStart w:id="50" w:name="_Toc219463062"/>
      <w:r w:rsidRPr="00561A62">
        <w:t>Conclusiones y Recomendaciones</w:t>
      </w:r>
      <w:bookmarkEnd w:id="49"/>
      <w:bookmarkEnd w:id="50"/>
    </w:p>
    <w:p w14:paraId="162E3579" w14:textId="77777777" w:rsidR="00D15F0F" w:rsidRPr="00561A62" w:rsidRDefault="00D15F0F" w:rsidP="00D15F0F"/>
    <w:p w14:paraId="05C630D0" w14:textId="02F9E1D8" w:rsidR="00D15F0F" w:rsidRPr="00561A62" w:rsidRDefault="00554816" w:rsidP="00D15F0F">
      <w:pPr>
        <w:rPr>
          <w:b/>
          <w:color w:val="325F64" w:themeColor="accent2" w:themeShade="BF"/>
        </w:rPr>
      </w:pPr>
      <w:r>
        <w:rPr>
          <w:b/>
          <w:color w:val="325F64" w:themeColor="accent2" w:themeShade="BF"/>
        </w:rPr>
        <w:t>Más del 58%</w:t>
      </w:r>
      <w:r w:rsidR="00D15F0F" w:rsidRPr="00561A62">
        <w:rPr>
          <w:b/>
          <w:color w:val="325F64" w:themeColor="accent2" w:themeShade="BF"/>
        </w:rPr>
        <w:t xml:space="preserve"> de las entidades evaluadas cuenta con un portal de transparencia que, en el </w:t>
      </w:r>
      <w:r>
        <w:rPr>
          <w:b/>
          <w:color w:val="325F64" w:themeColor="accent2" w:themeShade="BF"/>
        </w:rPr>
        <w:t>53</w:t>
      </w:r>
      <w:r w:rsidR="00D15F0F" w:rsidRPr="00561A62">
        <w:rPr>
          <w:b/>
          <w:color w:val="325F64" w:themeColor="accent2" w:themeShade="BF"/>
        </w:rPr>
        <w:t>% de los casos, se encuentra ubicado en un lugar visible de su web institucional.</w:t>
      </w:r>
    </w:p>
    <w:p w14:paraId="1F4B447A" w14:textId="1E0E7808" w:rsidR="00D15F0F" w:rsidRPr="00561A62" w:rsidRDefault="00D15F0F" w:rsidP="00D15F0F">
      <w:r w:rsidRPr="00561A62">
        <w:t xml:space="preserve">El </w:t>
      </w:r>
      <w:r w:rsidR="00554816">
        <w:t>41,</w:t>
      </w:r>
      <w:r w:rsidR="00274C6A">
        <w:t>7</w:t>
      </w:r>
      <w:r w:rsidRPr="00561A62">
        <w:t>% carece de un espacio específico en el que ubicar la información sujeta a obligaciones de publicidad activa, lo que, a su vez, implica que esta información se encuentre dispersa en los distintos accesos de sus webs institucionales. Respecto de 202</w:t>
      </w:r>
      <w:r w:rsidR="00554816">
        <w:t>4</w:t>
      </w:r>
      <w:r w:rsidRPr="00561A62">
        <w:t>, ha aumentado –</w:t>
      </w:r>
      <w:r w:rsidR="00554816">
        <w:t>9,6</w:t>
      </w:r>
      <w:r w:rsidRPr="00561A62">
        <w:t xml:space="preserve"> p.p.– la proporción de entidades que han habilitado un espacio específico para la publicación de informaciones obligatorias.</w:t>
      </w:r>
    </w:p>
    <w:p w14:paraId="258EB68B" w14:textId="4AB72972" w:rsidR="00D15F0F" w:rsidRPr="00561A62" w:rsidRDefault="00D15F0F" w:rsidP="00D15F0F">
      <w:r w:rsidRPr="00561A62">
        <w:t xml:space="preserve">Entre las entidades que disponen de un portal de transparencia, la información se organiza siguiendo la estructura de la LTAIBG en el </w:t>
      </w:r>
      <w:r w:rsidR="00274C6A">
        <w:t>12,2</w:t>
      </w:r>
      <w:r w:rsidRPr="00561A62">
        <w:t>% de los casos</w:t>
      </w:r>
      <w:r w:rsidR="00EE3066">
        <w:t xml:space="preserve">. Sin embargo, de esas entidades, </w:t>
      </w:r>
      <w:r w:rsidR="00274C6A">
        <w:t>más del 75%</w:t>
      </w:r>
      <w:r w:rsidRPr="00561A62">
        <w:t xml:space="preserve"> publica información obligatoria al margen de su Portal de </w:t>
      </w:r>
      <w:r w:rsidRPr="00561A62">
        <w:lastRenderedPageBreak/>
        <w:t>Transparencia, lo que dificulta su localización. La evolución respecto de 202</w:t>
      </w:r>
      <w:r w:rsidR="00274C6A">
        <w:t>4</w:t>
      </w:r>
      <w:r w:rsidRPr="00561A62">
        <w:t xml:space="preserve"> es </w:t>
      </w:r>
      <w:r w:rsidR="00274C6A">
        <w:t>negativa</w:t>
      </w:r>
      <w:r w:rsidRPr="00561A62">
        <w:t xml:space="preserve"> respecto de esta última dimensión.</w:t>
      </w:r>
    </w:p>
    <w:p w14:paraId="6EFDAB24" w14:textId="77777777" w:rsidR="00D15F0F" w:rsidRPr="00561A62" w:rsidRDefault="00D15F0F" w:rsidP="00D15F0F">
      <w:pPr>
        <w:pBdr>
          <w:top w:val="single" w:sz="4" w:space="1" w:color="325F64" w:themeColor="accent2" w:themeShade="BF"/>
          <w:left w:val="single" w:sz="4" w:space="4" w:color="325F64" w:themeColor="accent2" w:themeShade="BF"/>
          <w:bottom w:val="single" w:sz="4" w:space="1" w:color="325F64" w:themeColor="accent2" w:themeShade="BF"/>
          <w:right w:val="single" w:sz="4" w:space="4" w:color="325F64" w:themeColor="accent2" w:themeShade="BF"/>
        </w:pBdr>
      </w:pPr>
      <w:bookmarkStart w:id="51" w:name="_Hlk219369525"/>
      <w:r w:rsidRPr="00561A62">
        <w:t xml:space="preserve">Para facilitar la localización y la accesibilidad a la información, sería deseable que todas las entidades contasen con un espacio diferenciado para la publicación de la información sujeta a obligaciones de publicidad activa. </w:t>
      </w:r>
    </w:p>
    <w:bookmarkEnd w:id="51"/>
    <w:p w14:paraId="149B6A35" w14:textId="4A640E19" w:rsidR="00D15F0F" w:rsidRPr="00561A62" w:rsidRDefault="00D15F0F" w:rsidP="00D15F0F">
      <w:pPr>
        <w:pBdr>
          <w:top w:val="single" w:sz="4" w:space="1" w:color="325F64" w:themeColor="accent2" w:themeShade="BF"/>
          <w:left w:val="single" w:sz="4" w:space="4" w:color="325F64" w:themeColor="accent2" w:themeShade="BF"/>
          <w:bottom w:val="single" w:sz="4" w:space="1" w:color="325F64" w:themeColor="accent2" w:themeShade="BF"/>
          <w:right w:val="single" w:sz="4" w:space="4" w:color="325F64" w:themeColor="accent2" w:themeShade="BF"/>
        </w:pBdr>
      </w:pPr>
      <w:r w:rsidRPr="00561A62">
        <w:t>En la medida de lo posible</w:t>
      </w:r>
      <w:r>
        <w:t>,</w:t>
      </w:r>
      <w:r w:rsidRPr="00561A62">
        <w:t xml:space="preserve"> la información debe ajustarse al patrón establecido por la LTAIBG: Información </w:t>
      </w:r>
      <w:r w:rsidR="00274C6A">
        <w:t>i</w:t>
      </w:r>
      <w:r w:rsidRPr="00561A62">
        <w:t xml:space="preserve">nstitucional y </w:t>
      </w:r>
      <w:r w:rsidR="00274C6A">
        <w:t>o</w:t>
      </w:r>
      <w:r w:rsidRPr="00561A62">
        <w:t xml:space="preserve">rganizativa e Información </w:t>
      </w:r>
      <w:r w:rsidR="00274C6A">
        <w:t>e</w:t>
      </w:r>
      <w:r w:rsidRPr="00561A62">
        <w:t>conómica, dado que es esperable que los ciudadanos utilicen la Ley como referencia para localizar la información.</w:t>
      </w:r>
    </w:p>
    <w:p w14:paraId="29463CE9" w14:textId="77777777" w:rsidR="00D15F0F" w:rsidRPr="00561A62" w:rsidRDefault="00D15F0F" w:rsidP="00D15F0F">
      <w:pPr>
        <w:pBdr>
          <w:top w:val="single" w:sz="4" w:space="1" w:color="325F64" w:themeColor="accent2" w:themeShade="BF"/>
          <w:left w:val="single" w:sz="4" w:space="4" w:color="325F64" w:themeColor="accent2" w:themeShade="BF"/>
          <w:bottom w:val="single" w:sz="4" w:space="1" w:color="325F64" w:themeColor="accent2" w:themeShade="BF"/>
          <w:right w:val="single" w:sz="4" w:space="4" w:color="325F64" w:themeColor="accent2" w:themeShade="BF"/>
        </w:pBdr>
      </w:pPr>
      <w:bookmarkStart w:id="52" w:name="_Hlk219369547"/>
      <w:r w:rsidRPr="00561A62">
        <w:t>Todas las informaciones obligatorias deberían publicarse en el Portal de Transparencia</w:t>
      </w:r>
      <w:r>
        <w:t xml:space="preserve"> de la entidad</w:t>
      </w:r>
      <w:r w:rsidRPr="00561A62">
        <w:t xml:space="preserve">. En el supuesto de que una información se encuentre publicada en otro lugar de la web institucional, debería enlazarse a ella desde el Portal de Transparencia, ubicando dicho enlace en el bloque de información al que pertenezca.   </w:t>
      </w:r>
    </w:p>
    <w:bookmarkEnd w:id="52"/>
    <w:p w14:paraId="27DC719F" w14:textId="77777777" w:rsidR="009F51A6" w:rsidRDefault="009F51A6" w:rsidP="00D15F0F">
      <w:pPr>
        <w:rPr>
          <w:b/>
          <w:color w:val="325F64" w:themeColor="accent2" w:themeShade="BF"/>
        </w:rPr>
      </w:pPr>
    </w:p>
    <w:p w14:paraId="16707456" w14:textId="772071F8" w:rsidR="00D15F0F" w:rsidRPr="00561A62" w:rsidRDefault="00D15F0F" w:rsidP="00D15F0F">
      <w:pPr>
        <w:rPr>
          <w:b/>
          <w:color w:val="325F64" w:themeColor="accent2" w:themeShade="BF"/>
        </w:rPr>
      </w:pPr>
      <w:bookmarkStart w:id="53" w:name="_Hlk219369579"/>
      <w:r w:rsidRPr="00561A62">
        <w:rPr>
          <w:b/>
          <w:color w:val="325F64" w:themeColor="accent2" w:themeShade="BF"/>
        </w:rPr>
        <w:t xml:space="preserve">El </w:t>
      </w:r>
      <w:r w:rsidR="00274C6A">
        <w:rPr>
          <w:b/>
          <w:color w:val="325F64" w:themeColor="accent2" w:themeShade="BF"/>
        </w:rPr>
        <w:t>36</w:t>
      </w:r>
      <w:r w:rsidRPr="00561A62">
        <w:rPr>
          <w:b/>
          <w:color w:val="325F64" w:themeColor="accent2" w:themeShade="BF"/>
        </w:rPr>
        <w:t>% de las entidades evaluadas por primera vez en 202</w:t>
      </w:r>
      <w:r w:rsidR="00274C6A">
        <w:rPr>
          <w:b/>
          <w:color w:val="325F64" w:themeColor="accent2" w:themeShade="BF"/>
        </w:rPr>
        <w:t>4</w:t>
      </w:r>
      <w:r w:rsidRPr="00561A62">
        <w:rPr>
          <w:b/>
          <w:color w:val="325F64" w:themeColor="accent2" w:themeShade="BF"/>
        </w:rPr>
        <w:t xml:space="preserve"> no ha aplicado ninguna de las recomendaciones efectuadas por este Consejo. Respecto de 202</w:t>
      </w:r>
      <w:r w:rsidR="00274C6A">
        <w:rPr>
          <w:b/>
          <w:color w:val="325F64" w:themeColor="accent2" w:themeShade="BF"/>
        </w:rPr>
        <w:t>4</w:t>
      </w:r>
      <w:r w:rsidRPr="00561A62">
        <w:rPr>
          <w:b/>
          <w:color w:val="325F64" w:themeColor="accent2" w:themeShade="BF"/>
        </w:rPr>
        <w:t xml:space="preserve">, la proporción de entidades evaluadas que no ha aplicado ninguna recomendación ha </w:t>
      </w:r>
      <w:r w:rsidR="00274C6A">
        <w:rPr>
          <w:b/>
          <w:color w:val="325F64" w:themeColor="accent2" w:themeShade="BF"/>
        </w:rPr>
        <w:t>descendido</w:t>
      </w:r>
      <w:r w:rsidRPr="00561A62">
        <w:rPr>
          <w:b/>
          <w:color w:val="325F64" w:themeColor="accent2" w:themeShade="BF"/>
        </w:rPr>
        <w:t xml:space="preserve"> en </w:t>
      </w:r>
      <w:r w:rsidR="00274C6A">
        <w:rPr>
          <w:b/>
          <w:color w:val="325F64" w:themeColor="accent2" w:themeShade="BF"/>
        </w:rPr>
        <w:t>más de 3</w:t>
      </w:r>
      <w:r w:rsidRPr="00561A62">
        <w:rPr>
          <w:b/>
          <w:color w:val="325F64" w:themeColor="accent2" w:themeShade="BF"/>
        </w:rPr>
        <w:t>0 p.p.</w:t>
      </w:r>
    </w:p>
    <w:p w14:paraId="732BD145" w14:textId="4E898221" w:rsidR="00D15F0F" w:rsidRPr="00561A62" w:rsidRDefault="00D15F0F" w:rsidP="00D15F0F">
      <w:r w:rsidRPr="00561A62">
        <w:t xml:space="preserve">De las </w:t>
      </w:r>
      <w:r w:rsidR="00274C6A">
        <w:t>253</w:t>
      </w:r>
      <w:r w:rsidRPr="00561A62">
        <w:t xml:space="preserve"> recomendaciones derivadas de dicha evaluación se han aplicado </w:t>
      </w:r>
      <w:r w:rsidR="00274C6A">
        <w:t>52</w:t>
      </w:r>
      <w:r w:rsidRPr="00561A62">
        <w:t xml:space="preserve">, lo que supone el </w:t>
      </w:r>
      <w:r w:rsidR="00274C6A">
        <w:t>20,6</w:t>
      </w:r>
      <w:r w:rsidRPr="00561A62">
        <w:t>% del total. Esta falta de implantación de las recomendaciones se refleja en una escasa mejora de los índices de cumplimiento</w:t>
      </w:r>
      <w:r w:rsidR="005B5D62">
        <w:t xml:space="preserve"> (menos de 7 p.p.)</w:t>
      </w:r>
      <w:r w:rsidRPr="00561A62">
        <w:t xml:space="preserve">. </w:t>
      </w:r>
      <w:bookmarkEnd w:id="53"/>
      <w:r w:rsidRPr="00561A62">
        <w:t>Respecto de 202</w:t>
      </w:r>
      <w:r w:rsidR="00274C6A">
        <w:t>4</w:t>
      </w:r>
      <w:r w:rsidRPr="00561A62">
        <w:t xml:space="preserve">, la proporción de entidades que no ha aplicado ninguna recomendación ha </w:t>
      </w:r>
      <w:r w:rsidR="00274C6A">
        <w:t>descendido</w:t>
      </w:r>
      <w:r w:rsidRPr="00561A62">
        <w:t xml:space="preserve"> </w:t>
      </w:r>
      <w:r w:rsidR="00274C6A">
        <w:t xml:space="preserve">en un </w:t>
      </w:r>
      <w:r w:rsidR="00274C6A" w:rsidRPr="00274C6A">
        <w:t>46</w:t>
      </w:r>
      <w:r w:rsidR="00274C6A">
        <w:t>,5</w:t>
      </w:r>
      <w:r w:rsidRPr="00561A62">
        <w:t xml:space="preserve">%.  </w:t>
      </w:r>
    </w:p>
    <w:p w14:paraId="73082F96" w14:textId="77777777" w:rsidR="00D15F0F" w:rsidRPr="00561A62" w:rsidRDefault="00D15F0F" w:rsidP="00D15F0F">
      <w:pPr>
        <w:pBdr>
          <w:top w:val="single" w:sz="4" w:space="0" w:color="438086" w:themeColor="accent2"/>
          <w:left w:val="single" w:sz="4" w:space="4" w:color="438086" w:themeColor="accent2"/>
          <w:bottom w:val="single" w:sz="4" w:space="1" w:color="438086" w:themeColor="accent2"/>
          <w:right w:val="single" w:sz="4" w:space="4" w:color="438086" w:themeColor="accent2"/>
        </w:pBdr>
      </w:pPr>
      <w:bookmarkStart w:id="54" w:name="_Hlk219369606"/>
      <w:r w:rsidRPr="00561A62">
        <w:t xml:space="preserve">La finalidad de las recomendaciones es conseguir mejorar los niveles de cumplimiento de la LTAIBG por parte de los sujetos obligados. Por esta razón, es importante que las entidades evaluadas las apliquen. Solo de esta manera es posible avanzar. </w:t>
      </w:r>
    </w:p>
    <w:p w14:paraId="1C168082" w14:textId="7CCC4E20" w:rsidR="00D15F0F" w:rsidRPr="00561A62" w:rsidRDefault="00D15F0F" w:rsidP="00D15F0F">
      <w:pPr>
        <w:pBdr>
          <w:top w:val="single" w:sz="4" w:space="0" w:color="438086" w:themeColor="accent2"/>
          <w:left w:val="single" w:sz="4" w:space="4" w:color="438086" w:themeColor="accent2"/>
          <w:bottom w:val="single" w:sz="4" w:space="1" w:color="438086" w:themeColor="accent2"/>
          <w:right w:val="single" w:sz="4" w:space="4" w:color="438086" w:themeColor="accent2"/>
        </w:pBdr>
      </w:pPr>
      <w:r w:rsidRPr="00561A62">
        <w:t xml:space="preserve">De hecho, entre las entidades que han aplicado al menos el 40% de las recomendaciones efectuadas, el incremento del Índice de Cumplimiento de la Información Obligatorias se sitúa en más de </w:t>
      </w:r>
      <w:r w:rsidR="00A65AC3">
        <w:t>30</w:t>
      </w:r>
      <w:r w:rsidRPr="00561A62">
        <w:t xml:space="preserve"> p.p.</w:t>
      </w:r>
    </w:p>
    <w:p w14:paraId="264CCE2D" w14:textId="77777777" w:rsidR="00D15F0F" w:rsidRPr="00561A62" w:rsidRDefault="00D15F0F" w:rsidP="00D15F0F">
      <w:pPr>
        <w:rPr>
          <w:b/>
          <w:color w:val="325F64" w:themeColor="accent2" w:themeShade="BF"/>
        </w:rPr>
      </w:pPr>
      <w:bookmarkStart w:id="55" w:name="_Hlk219369639"/>
      <w:bookmarkEnd w:id="54"/>
    </w:p>
    <w:p w14:paraId="6B8E4ABE" w14:textId="49D73C6C" w:rsidR="00D15F0F" w:rsidRPr="00561A62" w:rsidRDefault="00D15F0F" w:rsidP="00D15F0F">
      <w:pPr>
        <w:rPr>
          <w:b/>
          <w:color w:val="325F64" w:themeColor="accent2" w:themeShade="BF"/>
        </w:rPr>
      </w:pPr>
      <w:r w:rsidRPr="00561A62">
        <w:rPr>
          <w:b/>
          <w:color w:val="325F64" w:themeColor="accent2" w:themeShade="BF"/>
        </w:rPr>
        <w:t>En promedio</w:t>
      </w:r>
      <w:r>
        <w:rPr>
          <w:b/>
          <w:color w:val="325F64" w:themeColor="accent2" w:themeShade="BF"/>
        </w:rPr>
        <w:t>,</w:t>
      </w:r>
      <w:r w:rsidRPr="00561A62">
        <w:rPr>
          <w:b/>
          <w:color w:val="325F64" w:themeColor="accent2" w:themeShade="BF"/>
        </w:rPr>
        <w:t xml:space="preserve"> la proporción de informaciones obligatorias que se publican alcanza el </w:t>
      </w:r>
      <w:r w:rsidR="00A65AC3">
        <w:rPr>
          <w:b/>
          <w:color w:val="325F64" w:themeColor="accent2" w:themeShade="BF"/>
        </w:rPr>
        <w:t>38,14</w:t>
      </w:r>
      <w:r w:rsidRPr="00561A62">
        <w:rPr>
          <w:b/>
          <w:color w:val="325F64" w:themeColor="accent2" w:themeShade="BF"/>
        </w:rPr>
        <w:t xml:space="preserve">%, </w:t>
      </w:r>
      <w:r w:rsidR="00A65AC3">
        <w:rPr>
          <w:b/>
          <w:color w:val="325F64" w:themeColor="accent2" w:themeShade="BF"/>
        </w:rPr>
        <w:t>2</w:t>
      </w:r>
      <w:r w:rsidRPr="00561A62">
        <w:rPr>
          <w:b/>
          <w:color w:val="325F64" w:themeColor="accent2" w:themeShade="BF"/>
        </w:rPr>
        <w:t xml:space="preserve"> p.p. </w:t>
      </w:r>
      <w:r w:rsidR="00A65AC3">
        <w:rPr>
          <w:b/>
          <w:color w:val="325F64" w:themeColor="accent2" w:themeShade="BF"/>
        </w:rPr>
        <w:t>menos</w:t>
      </w:r>
      <w:r w:rsidRPr="00561A62">
        <w:rPr>
          <w:b/>
          <w:color w:val="325F64" w:themeColor="accent2" w:themeShade="BF"/>
        </w:rPr>
        <w:t xml:space="preserve"> que en 202</w:t>
      </w:r>
      <w:r w:rsidR="00A65AC3">
        <w:rPr>
          <w:b/>
          <w:color w:val="325F64" w:themeColor="accent2" w:themeShade="BF"/>
        </w:rPr>
        <w:t>4 y 3 más que en 2023</w:t>
      </w:r>
      <w:r w:rsidRPr="00561A62">
        <w:rPr>
          <w:b/>
          <w:color w:val="325F64" w:themeColor="accent2" w:themeShade="BF"/>
        </w:rPr>
        <w:t xml:space="preserve">, aunque existen diferencias entre bloques de información y una gran variabilidad entre las entidades evaluadas. </w:t>
      </w:r>
    </w:p>
    <w:p w14:paraId="4CD65648" w14:textId="5D001638" w:rsidR="00D15F0F" w:rsidRPr="00561A62" w:rsidRDefault="00D15F0F" w:rsidP="00D15F0F">
      <w:r w:rsidRPr="00561A62">
        <w:t>Mientras en el bloque de Información Institucional y Organizativa la proporción de contenidos obligatorios publicados alcanza el 5</w:t>
      </w:r>
      <w:r w:rsidR="00A65AC3">
        <w:t>7</w:t>
      </w:r>
      <w:r w:rsidRPr="00561A62">
        <w:t xml:space="preserve">,1%, disminuye hasta el </w:t>
      </w:r>
      <w:r w:rsidR="00A65AC3">
        <w:t>22,97</w:t>
      </w:r>
      <w:r w:rsidRPr="00561A62">
        <w:t xml:space="preserve">% en el caso de la </w:t>
      </w:r>
      <w:r w:rsidR="00EE3066">
        <w:t>I</w:t>
      </w:r>
      <w:r w:rsidR="00EE3066" w:rsidRPr="00561A62">
        <w:t>nformación</w:t>
      </w:r>
      <w:r w:rsidRPr="00561A62">
        <w:t xml:space="preserve"> </w:t>
      </w:r>
      <w:r w:rsidR="00EE3066">
        <w:t>E</w:t>
      </w:r>
      <w:r w:rsidR="00EE3066" w:rsidRPr="00561A62">
        <w:t>conómica</w:t>
      </w:r>
      <w:r w:rsidRPr="00561A62">
        <w:t xml:space="preserve">. </w:t>
      </w:r>
    </w:p>
    <w:p w14:paraId="55B8DA5A" w14:textId="16978E03" w:rsidR="00D15F0F" w:rsidRPr="00561A62" w:rsidRDefault="00D15F0F" w:rsidP="00D15F0F">
      <w:bookmarkStart w:id="56" w:name="_Hlk219369716"/>
      <w:bookmarkEnd w:id="55"/>
      <w:r w:rsidRPr="00561A62">
        <w:lastRenderedPageBreak/>
        <w:t>Las entidades evaluadas en 202</w:t>
      </w:r>
      <w:r w:rsidR="00A65AC3">
        <w:t>5</w:t>
      </w:r>
      <w:r w:rsidRPr="00561A62">
        <w:t xml:space="preserve"> por primera vez presentan un </w:t>
      </w:r>
      <w:r w:rsidR="00A65AC3">
        <w:t>peor</w:t>
      </w:r>
      <w:r w:rsidRPr="00561A62">
        <w:t xml:space="preserve"> desempeño en la publicación de contenidos obligatorios –un </w:t>
      </w:r>
      <w:r w:rsidR="00A65AC3">
        <w:t>34,64</w:t>
      </w:r>
      <w:r w:rsidRPr="00561A62">
        <w:t>%</w:t>
      </w:r>
      <w:r>
        <w:t xml:space="preserve"> de ellos se publica</w:t>
      </w:r>
      <w:r w:rsidRPr="00561A62">
        <w:t>– que las evaluadas por primera vez en 202</w:t>
      </w:r>
      <w:r w:rsidR="00A65AC3">
        <w:t>4</w:t>
      </w:r>
      <w:r w:rsidRPr="00561A62">
        <w:t xml:space="preserve"> –el </w:t>
      </w:r>
      <w:r w:rsidR="00A65AC3">
        <w:t>4</w:t>
      </w:r>
      <w:r w:rsidRPr="00561A62">
        <w:t>8,</w:t>
      </w:r>
      <w:r w:rsidR="00A65AC3">
        <w:t>43</w:t>
      </w:r>
      <w:r w:rsidRPr="00561A62">
        <w:t xml:space="preserve">%–. </w:t>
      </w:r>
    </w:p>
    <w:p w14:paraId="2F9D9280" w14:textId="35F60FF5" w:rsidR="00D15F0F" w:rsidRPr="00561A62" w:rsidRDefault="00D15F0F" w:rsidP="00D15F0F">
      <w:r w:rsidRPr="00561A62">
        <w:t>Las ONG</w:t>
      </w:r>
      <w:r w:rsidR="00D57B84">
        <w:t xml:space="preserve"> y </w:t>
      </w:r>
      <w:r w:rsidRPr="00561A62">
        <w:t xml:space="preserve">las federaciones </w:t>
      </w:r>
      <w:r>
        <w:t>d</w:t>
      </w:r>
      <w:r w:rsidRPr="00561A62">
        <w:t xml:space="preserve">eportivas publican una mayor proporción de contenidos obligatorios. </w:t>
      </w:r>
    </w:p>
    <w:p w14:paraId="4B0A103E" w14:textId="02ADBACE" w:rsidR="00D15F0F" w:rsidRPr="00561A62" w:rsidRDefault="00D57B84" w:rsidP="00D15F0F">
      <w:r>
        <w:t xml:space="preserve">En el </w:t>
      </w:r>
      <w:r w:rsidRPr="00561A62">
        <w:t xml:space="preserve">bloque </w:t>
      </w:r>
      <w:r>
        <w:t>de información institucional y organizativa, l</w:t>
      </w:r>
      <w:r w:rsidR="00D15F0F" w:rsidRPr="00561A62">
        <w:t xml:space="preserve">as informaciones que presentan una menor frecuencia de publicación son el organigrama, la descripción de la estructura organizativa y el perfil y trayectoria profesional de sus máximos responsables. En el bloque de Información Económica, los contenidos que se publican </w:t>
      </w:r>
      <w:r w:rsidR="00D15F0F">
        <w:t xml:space="preserve">en </w:t>
      </w:r>
      <w:r w:rsidR="00D15F0F" w:rsidRPr="00561A62">
        <w:t xml:space="preserve">menor medida son las informaciones relativas a contratos mayores y menores adjudicados por administraciones públicas, convenios suscritos con administraciones públicas y retribuciones de los máximos responsables. </w:t>
      </w:r>
    </w:p>
    <w:p w14:paraId="5C1DE8E6" w14:textId="5368F807" w:rsidR="00D15F0F" w:rsidRPr="00561A62" w:rsidRDefault="00D15F0F" w:rsidP="00D15F0F">
      <w:r w:rsidRPr="00561A62">
        <w:t>Es posible que en la mayoría de los casos la causa de la falta de publicación de algunas informaciones –especialmente del bloque económico– sea la inexistencia</w:t>
      </w:r>
      <w:r w:rsidR="00EE3066">
        <w:t xml:space="preserve"> de</w:t>
      </w:r>
      <w:r w:rsidRPr="00561A62">
        <w:t xml:space="preserve"> información que publicar por no haber habido actividad en ese ámbito concreto.</w:t>
      </w:r>
    </w:p>
    <w:p w14:paraId="027C993F" w14:textId="28428575" w:rsidR="00D15F0F" w:rsidRPr="00561A62" w:rsidRDefault="00D15F0F" w:rsidP="00D15F0F">
      <w:r w:rsidRPr="00561A62">
        <w:t>En otros casos</w:t>
      </w:r>
      <w:r w:rsidR="00AF7CFE">
        <w:t>,</w:t>
      </w:r>
      <w:r w:rsidRPr="00561A62">
        <w:t xml:space="preserve"> las entidades </w:t>
      </w:r>
      <w:r>
        <w:t xml:space="preserve">indican </w:t>
      </w:r>
      <w:r w:rsidRPr="00561A62">
        <w:t>en las observaciones al informe provisional de evaluación remitidas a este Consejo que una información</w:t>
      </w:r>
      <w:r>
        <w:t xml:space="preserve"> obligatoria</w:t>
      </w:r>
      <w:r w:rsidRPr="00561A62">
        <w:t xml:space="preserve"> no localizada durante la evaluación está publicada en otros documentos –generalmente las cuentas anuales y las Memorias– publicados en el Portal de Transparencia o en la web institucional.</w:t>
      </w:r>
    </w:p>
    <w:bookmarkEnd w:id="56"/>
    <w:p w14:paraId="010FC9A0" w14:textId="77777777" w:rsidR="00D15F0F" w:rsidRPr="00561A62" w:rsidRDefault="00D15F0F" w:rsidP="00D15F0F">
      <w:pPr>
        <w:pBdr>
          <w:top w:val="single" w:sz="4" w:space="1" w:color="438086" w:themeColor="accent2"/>
          <w:left w:val="single" w:sz="4" w:space="4" w:color="438086" w:themeColor="accent2"/>
          <w:bottom w:val="single" w:sz="4" w:space="1" w:color="438086" w:themeColor="accent2"/>
          <w:right w:val="single" w:sz="4" w:space="4" w:color="438086" w:themeColor="accent2"/>
        </w:pBdr>
      </w:pPr>
      <w:r w:rsidRPr="00561A62">
        <w:t>La primera recomendación</w:t>
      </w:r>
      <w:r>
        <w:t>,</w:t>
      </w:r>
      <w:r w:rsidRPr="00561A62">
        <w:t xml:space="preserve"> obviamente, es la publicación de todas las informaciones obligatorias. </w:t>
      </w:r>
    </w:p>
    <w:p w14:paraId="55B6BA65" w14:textId="785FFA9F" w:rsidR="00D15F0F" w:rsidRPr="00561A62" w:rsidRDefault="00D15F0F" w:rsidP="00D15F0F">
      <w:pPr>
        <w:pBdr>
          <w:top w:val="single" w:sz="4" w:space="1" w:color="438086" w:themeColor="accent2"/>
          <w:left w:val="single" w:sz="4" w:space="4" w:color="438086" w:themeColor="accent2"/>
          <w:bottom w:val="single" w:sz="4" w:space="1" w:color="438086" w:themeColor="accent2"/>
          <w:right w:val="single" w:sz="4" w:space="4" w:color="438086" w:themeColor="accent2"/>
        </w:pBdr>
      </w:pPr>
      <w:bookmarkStart w:id="57" w:name="_Hlk219369895"/>
      <w:r w:rsidRPr="00561A62">
        <w:t xml:space="preserve">En cuanto a la falta de publicación de algunas informaciones por no haber existido actividad en ese ámbito concreto, desde este Consejo viene señalándose, y recomendándose de manera individualizada a todas las entidades evaluadas, que la única manera de distinguir si la falta de publicación de una información sujeta a obligaciones de publicidad activa se debe a un incumplimiento de la obligación de publicar o a que no hay información que publicar porque no ha habido actividad en ese ámbito concreto, es que se indique </w:t>
      </w:r>
      <w:r w:rsidR="00D57B84">
        <w:t xml:space="preserve">expresamente </w:t>
      </w:r>
      <w:r w:rsidRPr="00561A62">
        <w:t xml:space="preserve">tal circunstancia. Por esta razón, este Consejo recomienda que en el apartado correspondiente a la obligación de publicidad activa para la que no ha existido actividad o cuando no sea posible su publicación porque existan restricciones legales, se haga constar </w:t>
      </w:r>
      <w:r w:rsidR="00D57B84">
        <w:t xml:space="preserve">de manera </w:t>
      </w:r>
      <w:r w:rsidRPr="00561A62">
        <w:t>expresa.</w:t>
      </w:r>
    </w:p>
    <w:p w14:paraId="5E19992A" w14:textId="1AD6DA6F" w:rsidR="00D15F0F" w:rsidRPr="00561A62" w:rsidRDefault="00D15F0F" w:rsidP="00D15F0F">
      <w:pPr>
        <w:pBdr>
          <w:top w:val="single" w:sz="4" w:space="1" w:color="438086" w:themeColor="accent2"/>
          <w:left w:val="single" w:sz="4" w:space="4" w:color="438086" w:themeColor="accent2"/>
          <w:bottom w:val="single" w:sz="4" w:space="1" w:color="438086" w:themeColor="accent2"/>
          <w:right w:val="single" w:sz="4" w:space="4" w:color="438086" w:themeColor="accent2"/>
        </w:pBdr>
      </w:pPr>
      <w:r w:rsidRPr="00561A62">
        <w:t>En cuanto a la publicación de información de una obligación a través de otros documentos, por ejemplo</w:t>
      </w:r>
      <w:r>
        <w:t>,</w:t>
      </w:r>
      <w:r w:rsidRPr="00561A62">
        <w:t xml:space="preserve"> las memorias anuales de la entidad, este </w:t>
      </w:r>
      <w:r w:rsidR="00D57B84">
        <w:t>Consejo</w:t>
      </w:r>
      <w:r w:rsidRPr="00561A62">
        <w:t xml:space="preserve"> recuerda que la publicación de las informaciones obligatorias debe realizarse manera individualizada. </w:t>
      </w:r>
    </w:p>
    <w:p w14:paraId="1715BD3F" w14:textId="77777777" w:rsidR="00D15F0F" w:rsidRPr="00561A62" w:rsidRDefault="00D15F0F" w:rsidP="00D15F0F">
      <w:pPr>
        <w:pBdr>
          <w:top w:val="single" w:sz="4" w:space="1" w:color="438086" w:themeColor="accent2"/>
          <w:left w:val="single" w:sz="4" w:space="4" w:color="438086" w:themeColor="accent2"/>
          <w:bottom w:val="single" w:sz="4" w:space="1" w:color="438086" w:themeColor="accent2"/>
          <w:right w:val="single" w:sz="4" w:space="4" w:color="438086" w:themeColor="accent2"/>
        </w:pBdr>
      </w:pPr>
      <w:r w:rsidRPr="00561A62">
        <w:t xml:space="preserve">Por otra parte, la publicación de diferentes informaciones de naturaleza económica por remisión a las cuentas anuales presenta serios inconvenientes. El primer problema que plantea esta forma de publicar la información es la dificultad de comprensión que documentos como las cuentas anuales pueden tener para personas no especializadas. A </w:t>
      </w:r>
      <w:r w:rsidRPr="00561A62">
        <w:lastRenderedPageBreak/>
        <w:t xml:space="preserve">ello se añade una segunda dificultad, que es la localización de una información obligatoria concreta –por ejemplo, las subvenciones percibidas–, en un documento tan amplio y prolijo como las cuentas anuales. </w:t>
      </w:r>
    </w:p>
    <w:p w14:paraId="3809DD53" w14:textId="77777777" w:rsidR="00D15F0F" w:rsidRPr="00561A62" w:rsidRDefault="00D15F0F" w:rsidP="00D15F0F">
      <w:pPr>
        <w:pBdr>
          <w:top w:val="single" w:sz="4" w:space="1" w:color="438086" w:themeColor="accent2"/>
          <w:left w:val="single" w:sz="4" w:space="4" w:color="438086" w:themeColor="accent2"/>
          <w:bottom w:val="single" w:sz="4" w:space="1" w:color="438086" w:themeColor="accent2"/>
          <w:right w:val="single" w:sz="4" w:space="4" w:color="438086" w:themeColor="accent2"/>
        </w:pBdr>
      </w:pPr>
      <w:r w:rsidRPr="00561A62">
        <w:t>Este Consejo recuerda que la claridad y la accesibilidad son dos atributos relativos a la calidad en la publicación de la información obligatoria que establece la LTAIBG en su artículo 5.4.</w:t>
      </w:r>
    </w:p>
    <w:bookmarkEnd w:id="57"/>
    <w:p w14:paraId="6D7C7EE8" w14:textId="77777777" w:rsidR="00D15F0F" w:rsidRPr="00561A62" w:rsidRDefault="00D15F0F" w:rsidP="00D15F0F">
      <w:pPr>
        <w:rPr>
          <w:b/>
          <w:color w:val="325F64" w:themeColor="accent2" w:themeShade="BF"/>
        </w:rPr>
      </w:pPr>
    </w:p>
    <w:p w14:paraId="5C1D8E9A" w14:textId="25FD20CA" w:rsidR="00D15F0F" w:rsidRPr="00561A62" w:rsidRDefault="00D15F0F" w:rsidP="00D15F0F">
      <w:pPr>
        <w:rPr>
          <w:b/>
          <w:color w:val="325F64" w:themeColor="accent2" w:themeShade="BF"/>
        </w:rPr>
      </w:pPr>
      <w:r w:rsidRPr="00561A62">
        <w:rPr>
          <w:b/>
          <w:color w:val="325F64" w:themeColor="accent2" w:themeShade="BF"/>
        </w:rPr>
        <w:t>En cuanto a los criterios de calidad de la información publicada</w:t>
      </w:r>
      <w:r>
        <w:rPr>
          <w:b/>
          <w:color w:val="325F64" w:themeColor="accent2" w:themeShade="BF"/>
        </w:rPr>
        <w:t>,</w:t>
      </w:r>
      <w:r w:rsidRPr="00561A62">
        <w:rPr>
          <w:b/>
          <w:color w:val="325F64" w:themeColor="accent2" w:themeShade="BF"/>
        </w:rPr>
        <w:t xml:space="preserve"> </w:t>
      </w:r>
      <w:r>
        <w:rPr>
          <w:b/>
          <w:color w:val="325F64" w:themeColor="accent2" w:themeShade="BF"/>
        </w:rPr>
        <w:t xml:space="preserve">las entidades </w:t>
      </w:r>
      <w:r w:rsidRPr="00561A62">
        <w:rPr>
          <w:b/>
          <w:color w:val="325F64" w:themeColor="accent2" w:themeShade="BF"/>
        </w:rPr>
        <w:t>obtienen una valoración que</w:t>
      </w:r>
      <w:r w:rsidR="009F51A6">
        <w:rPr>
          <w:b/>
          <w:color w:val="325F64" w:themeColor="accent2" w:themeShade="BF"/>
        </w:rPr>
        <w:t>,</w:t>
      </w:r>
      <w:r w:rsidRPr="00561A62">
        <w:rPr>
          <w:b/>
          <w:color w:val="325F64" w:themeColor="accent2" w:themeShade="BF"/>
        </w:rPr>
        <w:t xml:space="preserve"> en promedio, se sitúa en el 3</w:t>
      </w:r>
      <w:r w:rsidR="00FD6CC6">
        <w:rPr>
          <w:b/>
          <w:color w:val="325F64" w:themeColor="accent2" w:themeShade="BF"/>
        </w:rPr>
        <w:t>4,9</w:t>
      </w:r>
      <w:r w:rsidRPr="00561A62">
        <w:rPr>
          <w:b/>
          <w:color w:val="325F64" w:themeColor="accent2" w:themeShade="BF"/>
        </w:rPr>
        <w:t>%, lo que deriva de la falta de publicación de contenidos obligatorios y</w:t>
      </w:r>
      <w:r>
        <w:rPr>
          <w:b/>
          <w:color w:val="325F64" w:themeColor="accent2" w:themeShade="BF"/>
        </w:rPr>
        <w:t>,</w:t>
      </w:r>
      <w:r w:rsidRPr="00561A62">
        <w:rPr>
          <w:b/>
          <w:color w:val="325F64" w:themeColor="accent2" w:themeShade="BF"/>
        </w:rPr>
        <w:t xml:space="preserve"> también, de la falta generalizada de referencias que permitan saber si la información publicada está vigente.</w:t>
      </w:r>
    </w:p>
    <w:p w14:paraId="74F4A1C1" w14:textId="650A9570" w:rsidR="00D15F0F" w:rsidRPr="00561A62" w:rsidRDefault="00D15F0F" w:rsidP="00D15F0F">
      <w:pPr>
        <w:tabs>
          <w:tab w:val="left" w:pos="284"/>
        </w:tabs>
        <w:spacing w:before="120" w:after="120" w:line="312" w:lineRule="auto"/>
        <w:rPr>
          <w:rFonts w:cstheme="minorHAnsi"/>
          <w:szCs w:val="24"/>
        </w:rPr>
      </w:pPr>
      <w:r w:rsidRPr="00561A62">
        <w:rPr>
          <w:rFonts w:cstheme="minorHAnsi"/>
          <w:szCs w:val="24"/>
        </w:rPr>
        <w:t>Respecto de la actualización de la información, la situación más frecuente es que no se publique en los Portales de Transparencia o en las webs la fecha en que se revisó o actualizó por última vez la información publicada. También</w:t>
      </w:r>
      <w:r>
        <w:rPr>
          <w:rFonts w:cstheme="minorHAnsi"/>
          <w:szCs w:val="24"/>
        </w:rPr>
        <w:t>,</w:t>
      </w:r>
      <w:r w:rsidRPr="00561A62">
        <w:rPr>
          <w:rFonts w:cstheme="minorHAnsi"/>
          <w:szCs w:val="24"/>
        </w:rPr>
        <w:t xml:space="preserve"> en ocasiones, los documentos que contienen la información no están datados. </w:t>
      </w:r>
      <w:r w:rsidR="00FD6CC6">
        <w:rPr>
          <w:rFonts w:cstheme="minorHAnsi"/>
          <w:szCs w:val="24"/>
        </w:rPr>
        <w:t xml:space="preserve">La puntuación del atributo “actualización” se sitúa en un 15,4%. </w:t>
      </w:r>
    </w:p>
    <w:p w14:paraId="67EE53F5" w14:textId="77777777" w:rsidR="00D15F0F" w:rsidRPr="00561A62" w:rsidRDefault="00D15F0F" w:rsidP="00D15F0F">
      <w:pPr>
        <w:pBdr>
          <w:top w:val="single" w:sz="8" w:space="1" w:color="226860"/>
          <w:left w:val="single" w:sz="8" w:space="4" w:color="226860"/>
          <w:bottom w:val="single" w:sz="8" w:space="1" w:color="226860"/>
          <w:right w:val="single" w:sz="8" w:space="4" w:color="226860"/>
        </w:pBdr>
        <w:tabs>
          <w:tab w:val="left" w:pos="284"/>
        </w:tabs>
        <w:spacing w:before="120" w:after="120" w:line="312" w:lineRule="auto"/>
        <w:rPr>
          <w:rFonts w:cstheme="minorHAnsi"/>
          <w:szCs w:val="24"/>
        </w:rPr>
      </w:pPr>
      <w:r w:rsidRPr="00561A62">
        <w:rPr>
          <w:rFonts w:cstheme="minorHAnsi"/>
          <w:szCs w:val="24"/>
        </w:rPr>
        <w:t>Este Consejo recuerda que la única posibilidad que tienen los ciudadanos –también los evaluadores– de saber si la información publicada está vigente o no, es que en el Portal de Transparencia se indique expresamente. En este sentido</w:t>
      </w:r>
      <w:r>
        <w:rPr>
          <w:rFonts w:cstheme="minorHAnsi"/>
          <w:szCs w:val="24"/>
        </w:rPr>
        <w:t>,</w:t>
      </w:r>
      <w:r w:rsidRPr="00561A62">
        <w:rPr>
          <w:rFonts w:cstheme="minorHAnsi"/>
          <w:szCs w:val="24"/>
        </w:rPr>
        <w:t xml:space="preserve"> bastaría con que en la página inicial del Portal de Transparencia se publique la fecha de la última revisión o actualización de la información contenida en </w:t>
      </w:r>
      <w:r>
        <w:rPr>
          <w:rFonts w:cstheme="minorHAnsi"/>
          <w:szCs w:val="24"/>
        </w:rPr>
        <w:t>e</w:t>
      </w:r>
      <w:r w:rsidRPr="00561A62">
        <w:rPr>
          <w:rFonts w:cstheme="minorHAnsi"/>
          <w:szCs w:val="24"/>
        </w:rPr>
        <w:t>ste.</w:t>
      </w:r>
    </w:p>
    <w:p w14:paraId="3D17DF1B" w14:textId="77777777" w:rsidR="00D15F0F" w:rsidRPr="00561A62" w:rsidRDefault="00D15F0F" w:rsidP="00D15F0F">
      <w:pPr>
        <w:rPr>
          <w:b/>
          <w:color w:val="325F64" w:themeColor="accent2" w:themeShade="BF"/>
        </w:rPr>
      </w:pPr>
    </w:p>
    <w:p w14:paraId="57D6E75F" w14:textId="4119584E" w:rsidR="00D15F0F" w:rsidRPr="00561A62" w:rsidRDefault="00D15F0F" w:rsidP="00D15F0F">
      <w:pPr>
        <w:rPr>
          <w:b/>
          <w:color w:val="325F64" w:themeColor="accent2" w:themeShade="BF"/>
        </w:rPr>
      </w:pPr>
      <w:r w:rsidRPr="00561A62">
        <w:rPr>
          <w:b/>
          <w:color w:val="325F64" w:themeColor="accent2" w:themeShade="BF"/>
        </w:rPr>
        <w:t>En promedio</w:t>
      </w:r>
      <w:r>
        <w:rPr>
          <w:b/>
          <w:color w:val="325F64" w:themeColor="accent2" w:themeShade="BF"/>
        </w:rPr>
        <w:t>,</w:t>
      </w:r>
      <w:r w:rsidRPr="00561A62">
        <w:rPr>
          <w:b/>
          <w:color w:val="325F64" w:themeColor="accent2" w:themeShade="BF"/>
        </w:rPr>
        <w:t xml:space="preserve"> el Índice de Cumplimiento de la Información Obligatoria (ICIO) alcanza un </w:t>
      </w:r>
      <w:r w:rsidR="00686D63">
        <w:rPr>
          <w:b/>
          <w:color w:val="325F64" w:themeColor="accent2" w:themeShade="BF"/>
        </w:rPr>
        <w:t>34,4</w:t>
      </w:r>
      <w:r w:rsidRPr="00561A62">
        <w:rPr>
          <w:b/>
          <w:color w:val="325F64" w:themeColor="accent2" w:themeShade="BF"/>
        </w:rPr>
        <w:t xml:space="preserve">%. El ICIO evoluciona </w:t>
      </w:r>
      <w:r w:rsidR="00686D63">
        <w:rPr>
          <w:b/>
          <w:color w:val="325F64" w:themeColor="accent2" w:themeShade="BF"/>
        </w:rPr>
        <w:t>nega</w:t>
      </w:r>
      <w:r w:rsidRPr="00561A62">
        <w:rPr>
          <w:b/>
          <w:color w:val="325F64" w:themeColor="accent2" w:themeShade="BF"/>
        </w:rPr>
        <w:t>tivamente respecto de los resultados obtenidos en 202</w:t>
      </w:r>
      <w:r w:rsidR="00686D63">
        <w:rPr>
          <w:b/>
          <w:color w:val="325F64" w:themeColor="accent2" w:themeShade="BF"/>
        </w:rPr>
        <w:t>4</w:t>
      </w:r>
      <w:r w:rsidRPr="00561A62">
        <w:rPr>
          <w:b/>
          <w:color w:val="325F64" w:themeColor="accent2" w:themeShade="BF"/>
        </w:rPr>
        <w:t>.</w:t>
      </w:r>
    </w:p>
    <w:p w14:paraId="6A771C2C" w14:textId="13B36CB6" w:rsidR="00D15F0F" w:rsidRPr="00561A62" w:rsidRDefault="00D15F0F" w:rsidP="00D15F0F">
      <w:pPr>
        <w:rPr>
          <w:rFonts w:cstheme="minorHAnsi"/>
          <w:szCs w:val="24"/>
        </w:rPr>
      </w:pPr>
      <w:r w:rsidRPr="00561A62">
        <w:rPr>
          <w:rFonts w:cstheme="minorHAnsi"/>
          <w:szCs w:val="24"/>
        </w:rPr>
        <w:t xml:space="preserve">Las entidades evaluadas por primera vez en 2024 presentan un ICIO más elevado, el </w:t>
      </w:r>
      <w:r w:rsidR="00952C72">
        <w:rPr>
          <w:rFonts w:cstheme="minorHAnsi"/>
          <w:szCs w:val="24"/>
        </w:rPr>
        <w:t>46,1</w:t>
      </w:r>
      <w:r w:rsidRPr="00561A62">
        <w:rPr>
          <w:rFonts w:cstheme="minorHAnsi"/>
          <w:szCs w:val="24"/>
        </w:rPr>
        <w:t xml:space="preserve">%, </w:t>
      </w:r>
      <w:r w:rsidR="00952C72">
        <w:rPr>
          <w:rFonts w:cstheme="minorHAnsi"/>
          <w:szCs w:val="24"/>
        </w:rPr>
        <w:t>15,8</w:t>
      </w:r>
      <w:r w:rsidRPr="00561A62">
        <w:rPr>
          <w:rFonts w:cstheme="minorHAnsi"/>
          <w:szCs w:val="24"/>
        </w:rPr>
        <w:t xml:space="preserve"> </w:t>
      </w:r>
      <w:proofErr w:type="spellStart"/>
      <w:proofErr w:type="gramStart"/>
      <w:r w:rsidRPr="00561A62">
        <w:rPr>
          <w:rFonts w:cstheme="minorHAnsi"/>
          <w:szCs w:val="24"/>
        </w:rPr>
        <w:t>p,p</w:t>
      </w:r>
      <w:proofErr w:type="spellEnd"/>
      <w:r w:rsidRPr="00561A62">
        <w:rPr>
          <w:rFonts w:cstheme="minorHAnsi"/>
          <w:szCs w:val="24"/>
        </w:rPr>
        <w:t>.</w:t>
      </w:r>
      <w:proofErr w:type="gramEnd"/>
      <w:r w:rsidRPr="00561A62">
        <w:rPr>
          <w:rFonts w:cstheme="minorHAnsi"/>
          <w:szCs w:val="24"/>
        </w:rPr>
        <w:t xml:space="preserve"> superior al correspondiente a las evaluadas por primera vez en 202</w:t>
      </w:r>
      <w:r w:rsidR="00686D63">
        <w:rPr>
          <w:rFonts w:cstheme="minorHAnsi"/>
          <w:szCs w:val="24"/>
        </w:rPr>
        <w:t>5</w:t>
      </w:r>
      <w:r w:rsidR="00952C72">
        <w:rPr>
          <w:rFonts w:cstheme="minorHAnsi"/>
          <w:szCs w:val="24"/>
        </w:rPr>
        <w:t xml:space="preserve"> (30,3%)</w:t>
      </w:r>
      <w:r w:rsidRPr="00561A62">
        <w:rPr>
          <w:rFonts w:cstheme="minorHAnsi"/>
          <w:szCs w:val="24"/>
        </w:rPr>
        <w:t>. Por tipo de entidad, las ONG</w:t>
      </w:r>
      <w:r w:rsidR="00952C72">
        <w:rPr>
          <w:rFonts w:cstheme="minorHAnsi"/>
          <w:szCs w:val="24"/>
        </w:rPr>
        <w:t xml:space="preserve"> y</w:t>
      </w:r>
      <w:r w:rsidRPr="00561A62">
        <w:rPr>
          <w:rFonts w:cstheme="minorHAnsi"/>
          <w:szCs w:val="24"/>
        </w:rPr>
        <w:t xml:space="preserve"> las federaciones deportivas</w:t>
      </w:r>
      <w:r>
        <w:rPr>
          <w:rFonts w:cstheme="minorHAnsi"/>
          <w:szCs w:val="24"/>
        </w:rPr>
        <w:t xml:space="preserve"> </w:t>
      </w:r>
      <w:r w:rsidRPr="00561A62">
        <w:rPr>
          <w:rFonts w:cstheme="minorHAnsi"/>
          <w:szCs w:val="24"/>
        </w:rPr>
        <w:t>se sitúan muy por encima de la media de cumplimiento</w:t>
      </w:r>
      <w:r w:rsidR="00952C72">
        <w:rPr>
          <w:rFonts w:cstheme="minorHAnsi"/>
          <w:szCs w:val="24"/>
        </w:rPr>
        <w:t xml:space="preserve"> y, las empresas, muy por debajo</w:t>
      </w:r>
      <w:r w:rsidRPr="00561A62">
        <w:rPr>
          <w:rFonts w:cstheme="minorHAnsi"/>
          <w:szCs w:val="24"/>
        </w:rPr>
        <w:t xml:space="preserve">. El margen de mejora es evidente para </w:t>
      </w:r>
      <w:r w:rsidR="00952C72">
        <w:rPr>
          <w:rFonts w:cstheme="minorHAnsi"/>
          <w:szCs w:val="24"/>
        </w:rPr>
        <w:t>los</w:t>
      </w:r>
      <w:r w:rsidRPr="00561A62">
        <w:rPr>
          <w:rFonts w:cstheme="minorHAnsi"/>
          <w:szCs w:val="24"/>
        </w:rPr>
        <w:t xml:space="preserve"> sujetos obligados. </w:t>
      </w:r>
    </w:p>
    <w:p w14:paraId="7680BD11" w14:textId="77777777" w:rsidR="00D15F0F" w:rsidRPr="00561A62" w:rsidRDefault="00D15F0F" w:rsidP="00D15F0F">
      <w:pPr>
        <w:rPr>
          <w:b/>
          <w:color w:val="325F64" w:themeColor="accent2" w:themeShade="BF"/>
        </w:rPr>
      </w:pPr>
      <w:r w:rsidRPr="00561A62">
        <w:rPr>
          <w:b/>
          <w:color w:val="325F64" w:themeColor="accent2" w:themeShade="BF"/>
        </w:rPr>
        <w:t xml:space="preserve">Algunas entidades publican información adicional a la obligatoria </w:t>
      </w:r>
      <w:r>
        <w:rPr>
          <w:b/>
          <w:color w:val="325F64" w:themeColor="accent2" w:themeShade="BF"/>
        </w:rPr>
        <w:t xml:space="preserve">que es </w:t>
      </w:r>
      <w:r w:rsidRPr="00561A62">
        <w:rPr>
          <w:b/>
          <w:color w:val="325F64" w:themeColor="accent2" w:themeShade="BF"/>
        </w:rPr>
        <w:t xml:space="preserve">relevante desde el punto de vista de la transparencia, lo que constituye una muestra </w:t>
      </w:r>
      <w:r>
        <w:rPr>
          <w:b/>
          <w:color w:val="325F64" w:themeColor="accent2" w:themeShade="BF"/>
        </w:rPr>
        <w:t xml:space="preserve">de </w:t>
      </w:r>
      <w:r w:rsidRPr="00561A62">
        <w:rPr>
          <w:b/>
          <w:color w:val="325F64" w:themeColor="accent2" w:themeShade="BF"/>
        </w:rPr>
        <w:t>su proactividad respecto de la transparencia y la rendición de cuentas.</w:t>
      </w:r>
    </w:p>
    <w:p w14:paraId="43E22365" w14:textId="07B2F286" w:rsidR="00D15F0F" w:rsidRPr="00561A62" w:rsidRDefault="00D15F0F" w:rsidP="00D15F0F">
      <w:r w:rsidRPr="00561A62">
        <w:t xml:space="preserve">Algunas de estas informaciones adicionales se corresponden con informaciones contempladas en la Ley pero que no son de aplicación a la entidad –por ejemplo, información sobre planificación o datos estadísticos sobre su actividad– y otras </w:t>
      </w:r>
      <w:r>
        <w:lastRenderedPageBreak/>
        <w:t xml:space="preserve">corresponden a informaciones </w:t>
      </w:r>
      <w:r w:rsidRPr="00561A62">
        <w:t xml:space="preserve">no contempladas por la LTAIBG como actas y acuerdos o </w:t>
      </w:r>
      <w:r w:rsidR="00952C72">
        <w:t>publicación de</w:t>
      </w:r>
      <w:r w:rsidRPr="00561A62">
        <w:t xml:space="preserve"> código</w:t>
      </w:r>
      <w:r w:rsidR="00952C72">
        <w:t>s</w:t>
      </w:r>
      <w:r w:rsidRPr="00561A62">
        <w:t xml:space="preserve"> ético</w:t>
      </w:r>
      <w:r w:rsidR="00952C72">
        <w:t>s o protocolos de acoso</w:t>
      </w:r>
      <w:r w:rsidRPr="00561A62">
        <w:t>.</w:t>
      </w:r>
    </w:p>
    <w:p w14:paraId="5574BB06" w14:textId="15612893" w:rsidR="00D15F0F" w:rsidRPr="00561A62" w:rsidRDefault="00F121B4" w:rsidP="00D15F0F">
      <w:pPr>
        <w:rPr>
          <w:b/>
          <w:color w:val="325F64" w:themeColor="accent2" w:themeShade="BF"/>
        </w:rPr>
      </w:pPr>
      <w:r>
        <w:rPr>
          <w:b/>
          <w:color w:val="325F64" w:themeColor="accent2" w:themeShade="BF"/>
        </w:rPr>
        <w:t>Un número menor de</w:t>
      </w:r>
      <w:r w:rsidR="00D15F0F" w:rsidRPr="00561A62">
        <w:rPr>
          <w:b/>
          <w:color w:val="325F64" w:themeColor="accent2" w:themeShade="BF"/>
        </w:rPr>
        <w:t xml:space="preserve"> entidades</w:t>
      </w:r>
      <w:r w:rsidR="00D15F0F" w:rsidRPr="00561A62">
        <w:t xml:space="preserve"> </w:t>
      </w:r>
      <w:r w:rsidR="00D15F0F" w:rsidRPr="00561A62">
        <w:rPr>
          <w:b/>
          <w:color w:val="325F64" w:themeColor="accent2" w:themeShade="BF"/>
        </w:rPr>
        <w:t>presentan buenas prácticas</w:t>
      </w:r>
      <w:r w:rsidR="00D15F0F" w:rsidRPr="00561A62">
        <w:t xml:space="preserve"> </w:t>
      </w:r>
      <w:r w:rsidR="00D15F0F" w:rsidRPr="00561A62">
        <w:rPr>
          <w:b/>
          <w:color w:val="325F64" w:themeColor="accent2" w:themeShade="BF"/>
        </w:rPr>
        <w:t xml:space="preserve">que podrían ser aplicadas por otras entidades, lo que se explica por la falta de espacios específicos en las webs institucionales en los que agrupar la información sujeta a obligaciones de publicidad activa. </w:t>
      </w:r>
    </w:p>
    <w:p w14:paraId="7A37AD24" w14:textId="318ABFBE" w:rsidR="00D15F0F" w:rsidRDefault="00D15F0F" w:rsidP="00D15F0F">
      <w:r w:rsidRPr="00561A62">
        <w:t xml:space="preserve">Entre ellas cabe destacar </w:t>
      </w:r>
      <w:r w:rsidR="00F121B4" w:rsidRPr="00561A62">
        <w:t xml:space="preserve">la </w:t>
      </w:r>
      <w:r w:rsidR="00F121B4">
        <w:t>i</w:t>
      </w:r>
      <w:r w:rsidR="00F121B4" w:rsidRPr="00F121B4">
        <w:t xml:space="preserve">ncorporación de textos descriptivos o aclaratorios de los contenidos del Portal </w:t>
      </w:r>
      <w:r w:rsidRPr="00561A62">
        <w:t>de Transparencia y</w:t>
      </w:r>
      <w:r>
        <w:t>,</w:t>
      </w:r>
      <w:r w:rsidRPr="00561A62">
        <w:t xml:space="preserve"> por parte de </w:t>
      </w:r>
      <w:r w:rsidR="00FD6CC6">
        <w:t>dos</w:t>
      </w:r>
      <w:r w:rsidRPr="00561A62">
        <w:t xml:space="preserve"> entidad</w:t>
      </w:r>
      <w:r w:rsidR="00FD6CC6">
        <w:t>es</w:t>
      </w:r>
      <w:r w:rsidRPr="00561A62">
        <w:t xml:space="preserve">, la publicación de la fecha en que se efectuó la última revisión o actualización de la información. </w:t>
      </w:r>
    </w:p>
    <w:p w14:paraId="527180AF" w14:textId="29863C69" w:rsidR="00AE1BAF" w:rsidRDefault="00AE1BAF" w:rsidP="00D15F0F"/>
    <w:p w14:paraId="1DC85E04" w14:textId="2FEFE143" w:rsidR="00AE1BAF" w:rsidRDefault="00AE1BAF" w:rsidP="00D15F0F"/>
    <w:p w14:paraId="20A191AC" w14:textId="527CAEBD" w:rsidR="00AE1BAF" w:rsidRDefault="00AE1BAF" w:rsidP="00D15F0F"/>
    <w:p w14:paraId="14486640" w14:textId="63AE36D3" w:rsidR="00AE1BAF" w:rsidRDefault="00AE1BAF" w:rsidP="00D15F0F"/>
    <w:p w14:paraId="2D7A2E78" w14:textId="675EF1B6" w:rsidR="00AE1BAF" w:rsidRDefault="00AE1BAF" w:rsidP="00D15F0F"/>
    <w:p w14:paraId="406BCBFA" w14:textId="7067AB62" w:rsidR="00AE1BAF" w:rsidRDefault="00AE1BAF" w:rsidP="00D15F0F"/>
    <w:p w14:paraId="5426B88D" w14:textId="0E5A74F9" w:rsidR="00AE1BAF" w:rsidRDefault="00AE1BAF" w:rsidP="00D15F0F"/>
    <w:p w14:paraId="3F461C78" w14:textId="04F67496" w:rsidR="00AE1BAF" w:rsidRDefault="00AE1BAF" w:rsidP="00D15F0F"/>
    <w:p w14:paraId="7DE346F3" w14:textId="7824DC8D" w:rsidR="00AE1BAF" w:rsidRDefault="00AE1BAF" w:rsidP="00D15F0F"/>
    <w:p w14:paraId="392E0A21" w14:textId="0100A65A" w:rsidR="00AE1BAF" w:rsidRDefault="00AE1BAF" w:rsidP="00D15F0F"/>
    <w:p w14:paraId="10FA6DC4" w14:textId="79BD234C" w:rsidR="00AE1BAF" w:rsidRDefault="00AE1BAF" w:rsidP="00D15F0F"/>
    <w:p w14:paraId="680003F5" w14:textId="0DF17FD8" w:rsidR="00AE1BAF" w:rsidRDefault="00AE1BAF" w:rsidP="00D15F0F"/>
    <w:p w14:paraId="04C23D57" w14:textId="7F41F690" w:rsidR="00AE1BAF" w:rsidRDefault="00AE1BAF" w:rsidP="00D15F0F"/>
    <w:p w14:paraId="102A4B9B" w14:textId="757E39B9" w:rsidR="00AE1BAF" w:rsidRDefault="00AE1BAF" w:rsidP="00D15F0F"/>
    <w:p w14:paraId="0679523D" w14:textId="578A0973" w:rsidR="00337E80" w:rsidRDefault="00337E80" w:rsidP="00D15F0F"/>
    <w:p w14:paraId="65996E9F" w14:textId="42ECA94C" w:rsidR="00337E80" w:rsidRDefault="00337E80" w:rsidP="00D15F0F"/>
    <w:p w14:paraId="0C27AAEB" w14:textId="4BA755E6" w:rsidR="00337E80" w:rsidRDefault="00337E80" w:rsidP="00D15F0F"/>
    <w:p w14:paraId="6D9726ED" w14:textId="7F2C1C06" w:rsidR="00337E80" w:rsidRDefault="00337E80" w:rsidP="00D15F0F"/>
    <w:p w14:paraId="5A3C03D8" w14:textId="77777777" w:rsidR="00337E80" w:rsidRDefault="00337E80" w:rsidP="00D15F0F"/>
    <w:bookmarkStart w:id="58" w:name="_Toc219463063"/>
    <w:p w14:paraId="509E519B" w14:textId="77777777" w:rsidR="00D15F0F" w:rsidRPr="00D8384C" w:rsidRDefault="00CE2AF5" w:rsidP="00822D40">
      <w:pPr>
        <w:pStyle w:val="Ttulo1"/>
        <w:rPr>
          <w:color w:val="000000"/>
          <w:lang w:eastAsia="en-US"/>
        </w:rPr>
      </w:pPr>
      <w:sdt>
        <w:sdtPr>
          <w:rPr>
            <w:sz w:val="30"/>
            <w:szCs w:val="30"/>
            <w:lang w:eastAsia="en-US"/>
          </w:rPr>
          <w:id w:val="1557966967"/>
        </w:sdtPr>
        <w:sdtEndPr>
          <w:rPr>
            <w:sz w:val="32"/>
            <w:szCs w:val="32"/>
          </w:rPr>
        </w:sdtEndPr>
        <w:sdtContent>
          <w:r w:rsidR="00D15F0F" w:rsidRPr="00D8384C">
            <w:rPr>
              <w:lang w:eastAsia="en-US"/>
            </w:rPr>
            <w:t>Anexo I: Criterios de medición de los atributos de la información</w:t>
          </w:r>
        </w:sdtContent>
      </w:sdt>
      <w:bookmarkEnd w:id="58"/>
    </w:p>
    <w:tbl>
      <w:tblPr>
        <w:tblW w:w="5694" w:type="pct"/>
        <w:tblInd w:w="-497" w:type="dxa"/>
        <w:tblCellMar>
          <w:left w:w="70" w:type="dxa"/>
          <w:right w:w="70" w:type="dxa"/>
        </w:tblCellMar>
        <w:tblLook w:val="04A0" w:firstRow="1" w:lastRow="0" w:firstColumn="1" w:lastColumn="0" w:noHBand="0" w:noVBand="1"/>
      </w:tblPr>
      <w:tblGrid>
        <w:gridCol w:w="2055"/>
        <w:gridCol w:w="1603"/>
        <w:gridCol w:w="2186"/>
        <w:gridCol w:w="704"/>
        <w:gridCol w:w="3771"/>
      </w:tblGrid>
      <w:tr w:rsidR="00D15F0F" w:rsidRPr="00561A62" w14:paraId="3108318F" w14:textId="77777777" w:rsidTr="00585D44">
        <w:trPr>
          <w:trHeight w:val="300"/>
        </w:trPr>
        <w:tc>
          <w:tcPr>
            <w:tcW w:w="919" w:type="pct"/>
            <w:tcBorders>
              <w:top w:val="single" w:sz="4" w:space="0" w:color="auto"/>
              <w:left w:val="single" w:sz="4" w:space="0" w:color="auto"/>
              <w:bottom w:val="single" w:sz="4" w:space="0" w:color="auto"/>
              <w:right w:val="single" w:sz="4" w:space="0" w:color="auto"/>
            </w:tcBorders>
            <w:shd w:val="clear" w:color="000000" w:fill="438086" w:themeFill="accent2"/>
            <w:noWrap/>
            <w:vAlign w:val="bottom"/>
            <w:hideMark/>
          </w:tcPr>
          <w:p w14:paraId="64AD997F" w14:textId="77777777" w:rsidR="00D15F0F" w:rsidRPr="00561A62" w:rsidRDefault="00D15F0F" w:rsidP="00585D44">
            <w:pPr>
              <w:spacing w:after="0" w:line="240" w:lineRule="auto"/>
              <w:jc w:val="center"/>
              <w:rPr>
                <w:rFonts w:eastAsia="Times New Roman" w:cs="Calibri"/>
                <w:b/>
                <w:bCs/>
                <w:color w:val="FFFFFF"/>
                <w:sz w:val="16"/>
                <w:szCs w:val="16"/>
              </w:rPr>
            </w:pPr>
            <w:r w:rsidRPr="00561A62">
              <w:rPr>
                <w:rFonts w:eastAsia="Times New Roman" w:cs="Calibri"/>
                <w:b/>
                <w:bCs/>
                <w:color w:val="FFFFFF"/>
                <w:sz w:val="16"/>
                <w:szCs w:val="16"/>
              </w:rPr>
              <w:t>PRINCIPIOS GENERALES</w:t>
            </w:r>
          </w:p>
        </w:tc>
        <w:tc>
          <w:tcPr>
            <w:tcW w:w="724" w:type="pct"/>
            <w:tcBorders>
              <w:top w:val="single" w:sz="4" w:space="0" w:color="auto"/>
              <w:left w:val="nil"/>
              <w:bottom w:val="single" w:sz="4" w:space="0" w:color="auto"/>
              <w:right w:val="single" w:sz="4" w:space="0" w:color="auto"/>
            </w:tcBorders>
            <w:shd w:val="clear" w:color="000000" w:fill="438086" w:themeFill="accent2"/>
            <w:noWrap/>
            <w:vAlign w:val="bottom"/>
            <w:hideMark/>
          </w:tcPr>
          <w:p w14:paraId="72E69671" w14:textId="77777777" w:rsidR="00D15F0F" w:rsidRPr="00561A62" w:rsidRDefault="00D15F0F" w:rsidP="00585D44">
            <w:pPr>
              <w:spacing w:after="0" w:line="240" w:lineRule="auto"/>
              <w:jc w:val="center"/>
              <w:rPr>
                <w:rFonts w:eastAsia="Times New Roman" w:cs="Calibri"/>
                <w:b/>
                <w:bCs/>
                <w:color w:val="FFFFFF"/>
                <w:sz w:val="16"/>
                <w:szCs w:val="16"/>
              </w:rPr>
            </w:pPr>
            <w:r w:rsidRPr="00561A62">
              <w:rPr>
                <w:rFonts w:eastAsia="Times New Roman" w:cs="Calibri"/>
                <w:b/>
                <w:bCs/>
                <w:color w:val="FFFFFF"/>
                <w:sz w:val="16"/>
                <w:szCs w:val="16"/>
              </w:rPr>
              <w:t>CRITERIO</w:t>
            </w:r>
          </w:p>
        </w:tc>
        <w:tc>
          <w:tcPr>
            <w:tcW w:w="1135" w:type="pct"/>
            <w:tcBorders>
              <w:top w:val="single" w:sz="4" w:space="0" w:color="auto"/>
              <w:left w:val="nil"/>
              <w:bottom w:val="single" w:sz="4" w:space="0" w:color="auto"/>
              <w:right w:val="single" w:sz="4" w:space="0" w:color="auto"/>
            </w:tcBorders>
            <w:shd w:val="clear" w:color="000000" w:fill="438086" w:themeFill="accent2"/>
            <w:noWrap/>
            <w:vAlign w:val="bottom"/>
            <w:hideMark/>
          </w:tcPr>
          <w:p w14:paraId="1326702E" w14:textId="77777777" w:rsidR="00D15F0F" w:rsidRPr="00561A62" w:rsidRDefault="00D15F0F" w:rsidP="00585D44">
            <w:pPr>
              <w:spacing w:after="0" w:line="240" w:lineRule="auto"/>
              <w:jc w:val="center"/>
              <w:rPr>
                <w:rFonts w:eastAsia="Times New Roman" w:cs="Calibri"/>
                <w:b/>
                <w:bCs/>
                <w:color w:val="FFFFFF"/>
                <w:sz w:val="16"/>
                <w:szCs w:val="16"/>
              </w:rPr>
            </w:pPr>
            <w:r w:rsidRPr="00561A62">
              <w:rPr>
                <w:rFonts w:eastAsia="Times New Roman" w:cs="Calibri"/>
                <w:b/>
                <w:bCs/>
                <w:color w:val="FFFFFF"/>
                <w:sz w:val="16"/>
                <w:szCs w:val="16"/>
              </w:rPr>
              <w:t>DESCRIPCION</w:t>
            </w:r>
          </w:p>
        </w:tc>
        <w:tc>
          <w:tcPr>
            <w:tcW w:w="318" w:type="pct"/>
            <w:tcBorders>
              <w:top w:val="single" w:sz="4" w:space="0" w:color="auto"/>
              <w:left w:val="nil"/>
              <w:bottom w:val="single" w:sz="4" w:space="0" w:color="auto"/>
              <w:right w:val="single" w:sz="4" w:space="0" w:color="auto"/>
            </w:tcBorders>
            <w:shd w:val="clear" w:color="000000" w:fill="438086" w:themeFill="accent2"/>
            <w:noWrap/>
            <w:vAlign w:val="bottom"/>
            <w:hideMark/>
          </w:tcPr>
          <w:p w14:paraId="44AA4364" w14:textId="77777777" w:rsidR="00D15F0F" w:rsidRPr="00561A62" w:rsidRDefault="00D15F0F" w:rsidP="00585D44">
            <w:pPr>
              <w:spacing w:after="0" w:line="240" w:lineRule="auto"/>
              <w:jc w:val="center"/>
              <w:rPr>
                <w:rFonts w:eastAsia="Times New Roman" w:cs="Calibri"/>
                <w:b/>
                <w:bCs/>
                <w:color w:val="FFFFFF"/>
                <w:sz w:val="16"/>
                <w:szCs w:val="16"/>
              </w:rPr>
            </w:pPr>
            <w:r w:rsidRPr="00561A62">
              <w:rPr>
                <w:rFonts w:eastAsia="Times New Roman" w:cs="Calibri"/>
                <w:b/>
                <w:bCs/>
                <w:color w:val="FFFFFF"/>
                <w:sz w:val="16"/>
                <w:szCs w:val="16"/>
              </w:rPr>
              <w:t>VALOR</w:t>
            </w:r>
          </w:p>
        </w:tc>
        <w:tc>
          <w:tcPr>
            <w:tcW w:w="1903" w:type="pct"/>
            <w:tcBorders>
              <w:top w:val="single" w:sz="4" w:space="0" w:color="auto"/>
              <w:left w:val="nil"/>
              <w:bottom w:val="single" w:sz="4" w:space="0" w:color="auto"/>
              <w:right w:val="single" w:sz="4" w:space="0" w:color="auto"/>
            </w:tcBorders>
            <w:shd w:val="clear" w:color="000000" w:fill="438086" w:themeFill="accent2"/>
            <w:noWrap/>
            <w:vAlign w:val="bottom"/>
            <w:hideMark/>
          </w:tcPr>
          <w:p w14:paraId="52E83363" w14:textId="77777777" w:rsidR="00D15F0F" w:rsidRPr="00561A62" w:rsidRDefault="00D15F0F" w:rsidP="00585D44">
            <w:pPr>
              <w:spacing w:after="0" w:line="240" w:lineRule="auto"/>
              <w:jc w:val="center"/>
              <w:rPr>
                <w:rFonts w:eastAsia="Times New Roman" w:cs="Calibri"/>
                <w:b/>
                <w:bCs/>
                <w:color w:val="FFFFFF"/>
                <w:sz w:val="16"/>
                <w:szCs w:val="16"/>
              </w:rPr>
            </w:pPr>
            <w:r w:rsidRPr="00561A62">
              <w:rPr>
                <w:rFonts w:eastAsia="Times New Roman" w:cs="Calibri"/>
                <w:b/>
                <w:bCs/>
                <w:color w:val="FFFFFF"/>
                <w:sz w:val="16"/>
                <w:szCs w:val="16"/>
              </w:rPr>
              <w:t>SIGNIFICADO</w:t>
            </w:r>
          </w:p>
        </w:tc>
      </w:tr>
      <w:tr w:rsidR="00D15F0F" w:rsidRPr="00561A62" w14:paraId="1B81378E" w14:textId="77777777" w:rsidTr="00585D44">
        <w:trPr>
          <w:trHeight w:val="514"/>
        </w:trPr>
        <w:tc>
          <w:tcPr>
            <w:tcW w:w="91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621790"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PUBLICACIÓN</w:t>
            </w:r>
          </w:p>
        </w:tc>
        <w:tc>
          <w:tcPr>
            <w:tcW w:w="7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2EB645"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CONTENIDO</w:t>
            </w:r>
          </w:p>
        </w:tc>
        <w:tc>
          <w:tcPr>
            <w:tcW w:w="1135" w:type="pct"/>
            <w:vMerge w:val="restart"/>
            <w:tcBorders>
              <w:top w:val="nil"/>
              <w:left w:val="single" w:sz="4" w:space="0" w:color="auto"/>
              <w:bottom w:val="single" w:sz="4" w:space="0" w:color="auto"/>
              <w:right w:val="single" w:sz="4" w:space="0" w:color="auto"/>
            </w:tcBorders>
            <w:shd w:val="clear" w:color="auto" w:fill="auto"/>
            <w:vAlign w:val="center"/>
            <w:hideMark/>
          </w:tcPr>
          <w:p w14:paraId="23134F6F"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Se obliga su publicación por la Ley19/21013</w:t>
            </w:r>
          </w:p>
        </w:tc>
        <w:tc>
          <w:tcPr>
            <w:tcW w:w="318" w:type="pct"/>
            <w:tcBorders>
              <w:top w:val="nil"/>
              <w:left w:val="nil"/>
              <w:bottom w:val="single" w:sz="4" w:space="0" w:color="auto"/>
              <w:right w:val="single" w:sz="4" w:space="0" w:color="auto"/>
            </w:tcBorders>
            <w:shd w:val="clear" w:color="auto" w:fill="auto"/>
            <w:noWrap/>
            <w:vAlign w:val="bottom"/>
            <w:hideMark/>
          </w:tcPr>
          <w:p w14:paraId="36DB0B0C"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10</w:t>
            </w:r>
          </w:p>
        </w:tc>
        <w:tc>
          <w:tcPr>
            <w:tcW w:w="1903" w:type="pct"/>
            <w:tcBorders>
              <w:top w:val="nil"/>
              <w:left w:val="nil"/>
              <w:bottom w:val="single" w:sz="4" w:space="0" w:color="auto"/>
              <w:right w:val="single" w:sz="4" w:space="0" w:color="auto"/>
            </w:tcBorders>
            <w:shd w:val="clear" w:color="auto" w:fill="auto"/>
            <w:vAlign w:val="bottom"/>
            <w:hideMark/>
          </w:tcPr>
          <w:p w14:paraId="0C43AE45"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SI se publica el contenido de la obligación exigida</w:t>
            </w:r>
          </w:p>
        </w:tc>
      </w:tr>
      <w:tr w:rsidR="00D15F0F" w:rsidRPr="00561A62" w14:paraId="7A603348" w14:textId="77777777" w:rsidTr="00585D44">
        <w:trPr>
          <w:trHeight w:val="323"/>
        </w:trPr>
        <w:tc>
          <w:tcPr>
            <w:tcW w:w="919" w:type="pct"/>
            <w:vMerge/>
            <w:tcBorders>
              <w:top w:val="nil"/>
              <w:left w:val="single" w:sz="4" w:space="0" w:color="auto"/>
              <w:bottom w:val="single" w:sz="4" w:space="0" w:color="auto"/>
              <w:right w:val="single" w:sz="4" w:space="0" w:color="auto"/>
            </w:tcBorders>
            <w:vAlign w:val="center"/>
          </w:tcPr>
          <w:p w14:paraId="473CF5B0"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tcPr>
          <w:p w14:paraId="08AA3622"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tcPr>
          <w:p w14:paraId="04EB7DFD"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noWrap/>
            <w:vAlign w:val="bottom"/>
          </w:tcPr>
          <w:p w14:paraId="594CF8E6"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5</w:t>
            </w:r>
          </w:p>
        </w:tc>
        <w:tc>
          <w:tcPr>
            <w:tcW w:w="1903" w:type="pct"/>
            <w:tcBorders>
              <w:top w:val="nil"/>
              <w:left w:val="nil"/>
              <w:bottom w:val="single" w:sz="4" w:space="0" w:color="auto"/>
              <w:right w:val="single" w:sz="4" w:space="0" w:color="auto"/>
            </w:tcBorders>
            <w:shd w:val="clear" w:color="auto" w:fill="auto"/>
            <w:vAlign w:val="bottom"/>
          </w:tcPr>
          <w:p w14:paraId="78F56CEA"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Se publica información parcial</w:t>
            </w:r>
          </w:p>
        </w:tc>
      </w:tr>
      <w:tr w:rsidR="00D15F0F" w:rsidRPr="00561A62" w14:paraId="77FFD759" w14:textId="77777777" w:rsidTr="00585D44">
        <w:trPr>
          <w:trHeight w:val="323"/>
        </w:trPr>
        <w:tc>
          <w:tcPr>
            <w:tcW w:w="919" w:type="pct"/>
            <w:vMerge/>
            <w:tcBorders>
              <w:top w:val="nil"/>
              <w:left w:val="single" w:sz="4" w:space="0" w:color="auto"/>
              <w:bottom w:val="single" w:sz="4" w:space="0" w:color="auto"/>
              <w:right w:val="single" w:sz="4" w:space="0" w:color="auto"/>
            </w:tcBorders>
            <w:vAlign w:val="center"/>
            <w:hideMark/>
          </w:tcPr>
          <w:p w14:paraId="579C4F1C"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2293CC0D"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1B07D143"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noWrap/>
            <w:vAlign w:val="bottom"/>
            <w:hideMark/>
          </w:tcPr>
          <w:p w14:paraId="15F3B635"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0</w:t>
            </w:r>
          </w:p>
        </w:tc>
        <w:tc>
          <w:tcPr>
            <w:tcW w:w="1903" w:type="pct"/>
            <w:tcBorders>
              <w:top w:val="nil"/>
              <w:left w:val="nil"/>
              <w:bottom w:val="single" w:sz="4" w:space="0" w:color="auto"/>
              <w:right w:val="single" w:sz="4" w:space="0" w:color="auto"/>
            </w:tcBorders>
            <w:shd w:val="clear" w:color="auto" w:fill="auto"/>
            <w:vAlign w:val="bottom"/>
            <w:hideMark/>
          </w:tcPr>
          <w:p w14:paraId="41A1D1F1"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NO se publica el contenido de la obligación exigida</w:t>
            </w:r>
          </w:p>
        </w:tc>
      </w:tr>
      <w:tr w:rsidR="00D15F0F" w:rsidRPr="00561A62" w14:paraId="7D3AFB22" w14:textId="77777777" w:rsidTr="00585D44">
        <w:trPr>
          <w:trHeight w:val="427"/>
        </w:trPr>
        <w:tc>
          <w:tcPr>
            <w:tcW w:w="919" w:type="pct"/>
            <w:vMerge/>
            <w:tcBorders>
              <w:top w:val="nil"/>
              <w:left w:val="single" w:sz="4" w:space="0" w:color="auto"/>
              <w:bottom w:val="single" w:sz="4" w:space="0" w:color="auto"/>
              <w:right w:val="single" w:sz="4" w:space="0" w:color="auto"/>
            </w:tcBorders>
            <w:vAlign w:val="center"/>
            <w:hideMark/>
          </w:tcPr>
          <w:p w14:paraId="2CF57881"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1CBA6A"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FORMA</w:t>
            </w:r>
          </w:p>
        </w:tc>
        <w:tc>
          <w:tcPr>
            <w:tcW w:w="1135" w:type="pct"/>
            <w:vMerge w:val="restart"/>
            <w:tcBorders>
              <w:top w:val="nil"/>
              <w:left w:val="single" w:sz="4" w:space="0" w:color="auto"/>
              <w:bottom w:val="single" w:sz="4" w:space="0" w:color="auto"/>
              <w:right w:val="single" w:sz="4" w:space="0" w:color="auto"/>
            </w:tcBorders>
            <w:shd w:val="clear" w:color="auto" w:fill="auto"/>
            <w:vAlign w:val="center"/>
            <w:hideMark/>
          </w:tcPr>
          <w:p w14:paraId="49284E46"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Modo de presentar la información</w:t>
            </w:r>
          </w:p>
        </w:tc>
        <w:tc>
          <w:tcPr>
            <w:tcW w:w="318" w:type="pct"/>
            <w:tcBorders>
              <w:top w:val="nil"/>
              <w:left w:val="nil"/>
              <w:bottom w:val="single" w:sz="4" w:space="0" w:color="auto"/>
              <w:right w:val="single" w:sz="4" w:space="0" w:color="auto"/>
            </w:tcBorders>
            <w:shd w:val="clear" w:color="auto" w:fill="auto"/>
            <w:noWrap/>
            <w:vAlign w:val="bottom"/>
            <w:hideMark/>
          </w:tcPr>
          <w:p w14:paraId="2A4F9E23"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10</w:t>
            </w:r>
          </w:p>
        </w:tc>
        <w:tc>
          <w:tcPr>
            <w:tcW w:w="1903" w:type="pct"/>
            <w:tcBorders>
              <w:top w:val="nil"/>
              <w:left w:val="nil"/>
              <w:bottom w:val="single" w:sz="4" w:space="0" w:color="auto"/>
              <w:right w:val="single" w:sz="4" w:space="0" w:color="auto"/>
            </w:tcBorders>
            <w:shd w:val="clear" w:color="auto" w:fill="auto"/>
            <w:vAlign w:val="bottom"/>
            <w:hideMark/>
          </w:tcPr>
          <w:p w14:paraId="4B725BDD"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De forma DIRECTA en la misma web o con enlace directo a la información</w:t>
            </w:r>
          </w:p>
        </w:tc>
      </w:tr>
      <w:tr w:rsidR="00D15F0F" w:rsidRPr="00561A62" w14:paraId="304A5066" w14:textId="77777777" w:rsidTr="00585D44">
        <w:trPr>
          <w:trHeight w:val="419"/>
        </w:trPr>
        <w:tc>
          <w:tcPr>
            <w:tcW w:w="919" w:type="pct"/>
            <w:vMerge/>
            <w:tcBorders>
              <w:top w:val="nil"/>
              <w:left w:val="single" w:sz="4" w:space="0" w:color="auto"/>
              <w:bottom w:val="single" w:sz="4" w:space="0" w:color="auto"/>
              <w:right w:val="single" w:sz="4" w:space="0" w:color="auto"/>
            </w:tcBorders>
            <w:vAlign w:val="center"/>
            <w:hideMark/>
          </w:tcPr>
          <w:p w14:paraId="5AC13CFD"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424D96A5"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3598FE86"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noWrap/>
            <w:vAlign w:val="bottom"/>
            <w:hideMark/>
          </w:tcPr>
          <w:p w14:paraId="49693891"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0</w:t>
            </w:r>
          </w:p>
        </w:tc>
        <w:tc>
          <w:tcPr>
            <w:tcW w:w="1903" w:type="pct"/>
            <w:tcBorders>
              <w:top w:val="nil"/>
              <w:left w:val="nil"/>
              <w:bottom w:val="single" w:sz="4" w:space="0" w:color="auto"/>
              <w:right w:val="single" w:sz="4" w:space="0" w:color="auto"/>
            </w:tcBorders>
            <w:shd w:val="clear" w:color="auto" w:fill="auto"/>
            <w:vAlign w:val="bottom"/>
            <w:hideMark/>
          </w:tcPr>
          <w:p w14:paraId="64ABDD01"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 xml:space="preserve">De forma </w:t>
            </w:r>
            <w:proofErr w:type="gramStart"/>
            <w:r w:rsidRPr="00561A62">
              <w:rPr>
                <w:rFonts w:eastAsia="Times New Roman" w:cs="Calibri"/>
                <w:color w:val="000000"/>
                <w:sz w:val="16"/>
                <w:szCs w:val="16"/>
              </w:rPr>
              <w:t>INDIRECTA</w:t>
            </w:r>
            <w:proofErr w:type="gramEnd"/>
            <w:r w:rsidRPr="00561A62">
              <w:rPr>
                <w:rFonts w:eastAsia="Times New Roman" w:cs="Calibri"/>
                <w:color w:val="000000"/>
                <w:sz w:val="16"/>
                <w:szCs w:val="16"/>
              </w:rPr>
              <w:t xml:space="preserve"> pero sin dirigir a la información a la que se refiere</w:t>
            </w:r>
          </w:p>
        </w:tc>
      </w:tr>
      <w:tr w:rsidR="00D15F0F" w:rsidRPr="00561A62" w14:paraId="5E5A7D26" w14:textId="77777777" w:rsidTr="00585D44">
        <w:trPr>
          <w:trHeight w:val="411"/>
        </w:trPr>
        <w:tc>
          <w:tcPr>
            <w:tcW w:w="919" w:type="pct"/>
            <w:vMerge/>
            <w:tcBorders>
              <w:top w:val="nil"/>
              <w:left w:val="single" w:sz="4" w:space="0" w:color="auto"/>
              <w:bottom w:val="single" w:sz="4" w:space="0" w:color="auto"/>
              <w:right w:val="single" w:sz="4" w:space="0" w:color="auto"/>
            </w:tcBorders>
            <w:vAlign w:val="center"/>
            <w:hideMark/>
          </w:tcPr>
          <w:p w14:paraId="2DFB1526"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672035"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ACTUALIZACIÓN</w:t>
            </w:r>
          </w:p>
        </w:tc>
        <w:tc>
          <w:tcPr>
            <w:tcW w:w="1135" w:type="pct"/>
            <w:vMerge w:val="restart"/>
            <w:tcBorders>
              <w:top w:val="nil"/>
              <w:left w:val="single" w:sz="4" w:space="0" w:color="auto"/>
              <w:bottom w:val="single" w:sz="4" w:space="0" w:color="auto"/>
              <w:right w:val="single" w:sz="4" w:space="0" w:color="auto"/>
            </w:tcBorders>
            <w:shd w:val="clear" w:color="auto" w:fill="auto"/>
            <w:vAlign w:val="center"/>
            <w:hideMark/>
          </w:tcPr>
          <w:p w14:paraId="534B5D15"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Se identifica la fecha de datación de la información</w:t>
            </w:r>
          </w:p>
        </w:tc>
        <w:tc>
          <w:tcPr>
            <w:tcW w:w="318" w:type="pct"/>
            <w:tcBorders>
              <w:top w:val="nil"/>
              <w:left w:val="nil"/>
              <w:bottom w:val="single" w:sz="4" w:space="0" w:color="auto"/>
              <w:right w:val="single" w:sz="4" w:space="0" w:color="auto"/>
            </w:tcBorders>
            <w:shd w:val="clear" w:color="auto" w:fill="auto"/>
            <w:noWrap/>
            <w:vAlign w:val="bottom"/>
            <w:hideMark/>
          </w:tcPr>
          <w:p w14:paraId="0D3EC194"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10</w:t>
            </w:r>
          </w:p>
        </w:tc>
        <w:tc>
          <w:tcPr>
            <w:tcW w:w="1903" w:type="pct"/>
            <w:tcBorders>
              <w:top w:val="nil"/>
              <w:left w:val="nil"/>
              <w:bottom w:val="single" w:sz="4" w:space="0" w:color="auto"/>
              <w:right w:val="single" w:sz="4" w:space="0" w:color="auto"/>
            </w:tcBorders>
            <w:shd w:val="clear" w:color="auto" w:fill="auto"/>
            <w:vAlign w:val="bottom"/>
            <w:hideMark/>
          </w:tcPr>
          <w:p w14:paraId="3B95012A"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Tiene FECHA y está dentro de los TRES meses previos a la fecha de consulta</w:t>
            </w:r>
          </w:p>
        </w:tc>
      </w:tr>
      <w:tr w:rsidR="00D15F0F" w:rsidRPr="00561A62" w14:paraId="3404625D" w14:textId="77777777" w:rsidTr="00585D44">
        <w:trPr>
          <w:trHeight w:val="416"/>
        </w:trPr>
        <w:tc>
          <w:tcPr>
            <w:tcW w:w="919" w:type="pct"/>
            <w:vMerge/>
            <w:tcBorders>
              <w:top w:val="nil"/>
              <w:left w:val="single" w:sz="4" w:space="0" w:color="auto"/>
              <w:bottom w:val="single" w:sz="4" w:space="0" w:color="auto"/>
              <w:right w:val="single" w:sz="4" w:space="0" w:color="auto"/>
            </w:tcBorders>
            <w:vAlign w:val="center"/>
            <w:hideMark/>
          </w:tcPr>
          <w:p w14:paraId="5080134A"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5C70DAB8"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7083A0B4"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noWrap/>
            <w:vAlign w:val="bottom"/>
            <w:hideMark/>
          </w:tcPr>
          <w:p w14:paraId="04B90DC2"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5</w:t>
            </w:r>
          </w:p>
        </w:tc>
        <w:tc>
          <w:tcPr>
            <w:tcW w:w="1903" w:type="pct"/>
            <w:tcBorders>
              <w:top w:val="nil"/>
              <w:left w:val="nil"/>
              <w:bottom w:val="single" w:sz="4" w:space="0" w:color="auto"/>
              <w:right w:val="single" w:sz="4" w:space="0" w:color="auto"/>
            </w:tcBorders>
            <w:shd w:val="clear" w:color="auto" w:fill="auto"/>
            <w:vAlign w:val="bottom"/>
            <w:hideMark/>
          </w:tcPr>
          <w:p w14:paraId="4A518266"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 xml:space="preserve">Tiene </w:t>
            </w:r>
            <w:proofErr w:type="gramStart"/>
            <w:r w:rsidRPr="00561A62">
              <w:rPr>
                <w:rFonts w:eastAsia="Times New Roman" w:cs="Calibri"/>
                <w:color w:val="000000"/>
                <w:sz w:val="16"/>
                <w:szCs w:val="16"/>
              </w:rPr>
              <w:t>FECHA  pero</w:t>
            </w:r>
            <w:proofErr w:type="gramEnd"/>
            <w:r w:rsidRPr="00561A62">
              <w:rPr>
                <w:rFonts w:eastAsia="Times New Roman" w:cs="Calibri"/>
                <w:color w:val="000000"/>
                <w:sz w:val="16"/>
                <w:szCs w:val="16"/>
              </w:rPr>
              <w:t xml:space="preserve"> NO ESTA ACTUALIZADO dentro de los tres meses</w:t>
            </w:r>
          </w:p>
        </w:tc>
      </w:tr>
      <w:tr w:rsidR="00D15F0F" w:rsidRPr="00561A62" w14:paraId="239E0446" w14:textId="77777777" w:rsidTr="00585D44">
        <w:trPr>
          <w:trHeight w:val="422"/>
        </w:trPr>
        <w:tc>
          <w:tcPr>
            <w:tcW w:w="919" w:type="pct"/>
            <w:vMerge/>
            <w:tcBorders>
              <w:top w:val="nil"/>
              <w:left w:val="single" w:sz="4" w:space="0" w:color="auto"/>
              <w:bottom w:val="single" w:sz="4" w:space="0" w:color="auto"/>
              <w:right w:val="single" w:sz="4" w:space="0" w:color="auto"/>
            </w:tcBorders>
            <w:vAlign w:val="center"/>
            <w:hideMark/>
          </w:tcPr>
          <w:p w14:paraId="273E656D"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1FC5BFB2"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0057D2E1"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noWrap/>
            <w:vAlign w:val="bottom"/>
            <w:hideMark/>
          </w:tcPr>
          <w:p w14:paraId="4441B297"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0</w:t>
            </w:r>
          </w:p>
        </w:tc>
        <w:tc>
          <w:tcPr>
            <w:tcW w:w="1903" w:type="pct"/>
            <w:tcBorders>
              <w:top w:val="nil"/>
              <w:left w:val="nil"/>
              <w:bottom w:val="single" w:sz="4" w:space="0" w:color="auto"/>
              <w:right w:val="single" w:sz="4" w:space="0" w:color="auto"/>
            </w:tcBorders>
            <w:shd w:val="clear" w:color="auto" w:fill="auto"/>
            <w:vAlign w:val="bottom"/>
            <w:hideMark/>
          </w:tcPr>
          <w:p w14:paraId="276D352F"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NO SE CONOCE la fecha de publicación de la información</w:t>
            </w:r>
          </w:p>
        </w:tc>
      </w:tr>
      <w:tr w:rsidR="00D15F0F" w:rsidRPr="00561A62" w14:paraId="7027AB31" w14:textId="77777777" w:rsidTr="00585D44">
        <w:trPr>
          <w:trHeight w:val="300"/>
        </w:trPr>
        <w:tc>
          <w:tcPr>
            <w:tcW w:w="919" w:type="pct"/>
            <w:vMerge w:val="restart"/>
            <w:tcBorders>
              <w:top w:val="nil"/>
              <w:left w:val="single" w:sz="4" w:space="0" w:color="auto"/>
              <w:bottom w:val="single" w:sz="4" w:space="0" w:color="000000"/>
              <w:right w:val="single" w:sz="4" w:space="0" w:color="auto"/>
            </w:tcBorders>
            <w:shd w:val="clear" w:color="auto" w:fill="auto"/>
            <w:vAlign w:val="center"/>
            <w:hideMark/>
          </w:tcPr>
          <w:p w14:paraId="0016ADC0"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ATRIBUTOS</w:t>
            </w:r>
          </w:p>
        </w:tc>
        <w:tc>
          <w:tcPr>
            <w:tcW w:w="724" w:type="pct"/>
            <w:vMerge w:val="restart"/>
            <w:tcBorders>
              <w:top w:val="nil"/>
              <w:left w:val="single" w:sz="4" w:space="0" w:color="auto"/>
              <w:bottom w:val="single" w:sz="4" w:space="0" w:color="auto"/>
              <w:right w:val="single" w:sz="4" w:space="0" w:color="auto"/>
            </w:tcBorders>
            <w:shd w:val="clear" w:color="auto" w:fill="auto"/>
            <w:vAlign w:val="center"/>
            <w:hideMark/>
          </w:tcPr>
          <w:p w14:paraId="01145AB2"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ACCESIBILIDAD</w:t>
            </w:r>
          </w:p>
        </w:tc>
        <w:tc>
          <w:tcPr>
            <w:tcW w:w="1135" w:type="pct"/>
            <w:vMerge w:val="restart"/>
            <w:tcBorders>
              <w:top w:val="nil"/>
              <w:left w:val="single" w:sz="4" w:space="0" w:color="auto"/>
              <w:bottom w:val="single" w:sz="4" w:space="0" w:color="auto"/>
              <w:right w:val="single" w:sz="4" w:space="0" w:color="auto"/>
            </w:tcBorders>
            <w:shd w:val="clear" w:color="auto" w:fill="auto"/>
            <w:vAlign w:val="center"/>
            <w:hideMark/>
          </w:tcPr>
          <w:p w14:paraId="04E81E22"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Número de clics para acceder a la información desde la página principal de transparencia</w:t>
            </w:r>
          </w:p>
        </w:tc>
        <w:tc>
          <w:tcPr>
            <w:tcW w:w="318" w:type="pct"/>
            <w:tcBorders>
              <w:top w:val="nil"/>
              <w:left w:val="nil"/>
              <w:bottom w:val="single" w:sz="4" w:space="0" w:color="auto"/>
              <w:right w:val="single" w:sz="4" w:space="0" w:color="auto"/>
            </w:tcBorders>
            <w:shd w:val="clear" w:color="auto" w:fill="auto"/>
            <w:vAlign w:val="bottom"/>
            <w:hideMark/>
          </w:tcPr>
          <w:p w14:paraId="57D8B9B6"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10</w:t>
            </w:r>
          </w:p>
        </w:tc>
        <w:tc>
          <w:tcPr>
            <w:tcW w:w="1903" w:type="pct"/>
            <w:tcBorders>
              <w:top w:val="nil"/>
              <w:left w:val="nil"/>
              <w:bottom w:val="single" w:sz="4" w:space="0" w:color="auto"/>
              <w:right w:val="single" w:sz="4" w:space="0" w:color="auto"/>
            </w:tcBorders>
            <w:shd w:val="clear" w:color="auto" w:fill="auto"/>
            <w:vAlign w:val="bottom"/>
            <w:hideMark/>
          </w:tcPr>
          <w:p w14:paraId="30596295"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3 clics como máximo</w:t>
            </w:r>
          </w:p>
        </w:tc>
      </w:tr>
      <w:tr w:rsidR="00D15F0F" w:rsidRPr="00561A62" w14:paraId="642882E4" w14:textId="77777777" w:rsidTr="00585D44">
        <w:trPr>
          <w:trHeight w:val="171"/>
        </w:trPr>
        <w:tc>
          <w:tcPr>
            <w:tcW w:w="919" w:type="pct"/>
            <w:vMerge/>
            <w:tcBorders>
              <w:top w:val="nil"/>
              <w:left w:val="single" w:sz="4" w:space="0" w:color="auto"/>
              <w:bottom w:val="single" w:sz="4" w:space="0" w:color="000000"/>
              <w:right w:val="single" w:sz="4" w:space="0" w:color="auto"/>
            </w:tcBorders>
            <w:vAlign w:val="center"/>
            <w:hideMark/>
          </w:tcPr>
          <w:p w14:paraId="3CDF786D"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641BD0BA"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1A235553"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588D1E41"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9</w:t>
            </w:r>
          </w:p>
        </w:tc>
        <w:tc>
          <w:tcPr>
            <w:tcW w:w="1903" w:type="pct"/>
            <w:tcBorders>
              <w:top w:val="nil"/>
              <w:left w:val="nil"/>
              <w:bottom w:val="single" w:sz="4" w:space="0" w:color="auto"/>
              <w:right w:val="single" w:sz="4" w:space="0" w:color="auto"/>
            </w:tcBorders>
            <w:shd w:val="clear" w:color="auto" w:fill="auto"/>
            <w:vAlign w:val="bottom"/>
            <w:hideMark/>
          </w:tcPr>
          <w:p w14:paraId="38CE79EE"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4</w:t>
            </w:r>
          </w:p>
        </w:tc>
      </w:tr>
      <w:tr w:rsidR="00D15F0F" w:rsidRPr="00561A62" w14:paraId="181237B3" w14:textId="77777777" w:rsidTr="00585D44">
        <w:trPr>
          <w:trHeight w:val="245"/>
        </w:trPr>
        <w:tc>
          <w:tcPr>
            <w:tcW w:w="919" w:type="pct"/>
            <w:vMerge/>
            <w:tcBorders>
              <w:top w:val="nil"/>
              <w:left w:val="single" w:sz="4" w:space="0" w:color="auto"/>
              <w:bottom w:val="single" w:sz="4" w:space="0" w:color="000000"/>
              <w:right w:val="single" w:sz="4" w:space="0" w:color="auto"/>
            </w:tcBorders>
            <w:vAlign w:val="center"/>
            <w:hideMark/>
          </w:tcPr>
          <w:p w14:paraId="01324018"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7FD19555"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265ADC10"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06B90C56"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8</w:t>
            </w:r>
          </w:p>
        </w:tc>
        <w:tc>
          <w:tcPr>
            <w:tcW w:w="1903" w:type="pct"/>
            <w:tcBorders>
              <w:top w:val="nil"/>
              <w:left w:val="nil"/>
              <w:bottom w:val="single" w:sz="4" w:space="0" w:color="auto"/>
              <w:right w:val="single" w:sz="4" w:space="0" w:color="auto"/>
            </w:tcBorders>
            <w:shd w:val="clear" w:color="auto" w:fill="auto"/>
            <w:vAlign w:val="bottom"/>
            <w:hideMark/>
          </w:tcPr>
          <w:p w14:paraId="041AED67"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5</w:t>
            </w:r>
          </w:p>
        </w:tc>
      </w:tr>
      <w:tr w:rsidR="00D15F0F" w:rsidRPr="00561A62" w14:paraId="03B6C8D5" w14:textId="77777777" w:rsidTr="00585D44">
        <w:trPr>
          <w:trHeight w:val="263"/>
        </w:trPr>
        <w:tc>
          <w:tcPr>
            <w:tcW w:w="919" w:type="pct"/>
            <w:vMerge/>
            <w:tcBorders>
              <w:top w:val="nil"/>
              <w:left w:val="single" w:sz="4" w:space="0" w:color="auto"/>
              <w:bottom w:val="single" w:sz="4" w:space="0" w:color="000000"/>
              <w:right w:val="single" w:sz="4" w:space="0" w:color="auto"/>
            </w:tcBorders>
            <w:vAlign w:val="center"/>
            <w:hideMark/>
          </w:tcPr>
          <w:p w14:paraId="0DEF991C"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3BD17ACC"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6E60C3B7"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11413AFF"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7</w:t>
            </w:r>
          </w:p>
        </w:tc>
        <w:tc>
          <w:tcPr>
            <w:tcW w:w="1903" w:type="pct"/>
            <w:tcBorders>
              <w:top w:val="nil"/>
              <w:left w:val="nil"/>
              <w:bottom w:val="single" w:sz="4" w:space="0" w:color="auto"/>
              <w:right w:val="single" w:sz="4" w:space="0" w:color="auto"/>
            </w:tcBorders>
            <w:shd w:val="clear" w:color="auto" w:fill="auto"/>
            <w:vAlign w:val="bottom"/>
            <w:hideMark/>
          </w:tcPr>
          <w:p w14:paraId="0E80F153"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6</w:t>
            </w:r>
          </w:p>
        </w:tc>
      </w:tr>
      <w:tr w:rsidR="00D15F0F" w:rsidRPr="00561A62" w14:paraId="5306499A" w14:textId="77777777" w:rsidTr="00585D44">
        <w:trPr>
          <w:trHeight w:val="281"/>
        </w:trPr>
        <w:tc>
          <w:tcPr>
            <w:tcW w:w="919" w:type="pct"/>
            <w:vMerge/>
            <w:tcBorders>
              <w:top w:val="nil"/>
              <w:left w:val="single" w:sz="4" w:space="0" w:color="auto"/>
              <w:bottom w:val="single" w:sz="4" w:space="0" w:color="000000"/>
              <w:right w:val="single" w:sz="4" w:space="0" w:color="auto"/>
            </w:tcBorders>
            <w:vAlign w:val="center"/>
            <w:hideMark/>
          </w:tcPr>
          <w:p w14:paraId="16435864"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30A2B2F8"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6CB8A83C"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031B0554"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6</w:t>
            </w:r>
          </w:p>
        </w:tc>
        <w:tc>
          <w:tcPr>
            <w:tcW w:w="1903" w:type="pct"/>
            <w:tcBorders>
              <w:top w:val="nil"/>
              <w:left w:val="nil"/>
              <w:bottom w:val="single" w:sz="4" w:space="0" w:color="auto"/>
              <w:right w:val="single" w:sz="4" w:space="0" w:color="auto"/>
            </w:tcBorders>
            <w:shd w:val="clear" w:color="auto" w:fill="auto"/>
            <w:vAlign w:val="bottom"/>
            <w:hideMark/>
          </w:tcPr>
          <w:p w14:paraId="3EA820FC"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7</w:t>
            </w:r>
          </w:p>
        </w:tc>
      </w:tr>
      <w:tr w:rsidR="00D15F0F" w:rsidRPr="00561A62" w14:paraId="52970C5E" w14:textId="77777777" w:rsidTr="00585D44">
        <w:trPr>
          <w:trHeight w:val="271"/>
        </w:trPr>
        <w:tc>
          <w:tcPr>
            <w:tcW w:w="919" w:type="pct"/>
            <w:vMerge/>
            <w:tcBorders>
              <w:top w:val="nil"/>
              <w:left w:val="single" w:sz="4" w:space="0" w:color="auto"/>
              <w:bottom w:val="single" w:sz="4" w:space="0" w:color="000000"/>
              <w:right w:val="single" w:sz="4" w:space="0" w:color="auto"/>
            </w:tcBorders>
            <w:vAlign w:val="center"/>
            <w:hideMark/>
          </w:tcPr>
          <w:p w14:paraId="33427290"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1731BB15"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69E2D404"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3DEC90EB"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5</w:t>
            </w:r>
          </w:p>
        </w:tc>
        <w:tc>
          <w:tcPr>
            <w:tcW w:w="1903" w:type="pct"/>
            <w:tcBorders>
              <w:top w:val="nil"/>
              <w:left w:val="nil"/>
              <w:bottom w:val="single" w:sz="4" w:space="0" w:color="auto"/>
              <w:right w:val="single" w:sz="4" w:space="0" w:color="auto"/>
            </w:tcBorders>
            <w:shd w:val="clear" w:color="auto" w:fill="auto"/>
            <w:vAlign w:val="bottom"/>
            <w:hideMark/>
          </w:tcPr>
          <w:p w14:paraId="37805DB0"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8</w:t>
            </w:r>
          </w:p>
        </w:tc>
      </w:tr>
      <w:tr w:rsidR="00D15F0F" w:rsidRPr="00561A62" w14:paraId="7E971172" w14:textId="77777777" w:rsidTr="00585D44">
        <w:trPr>
          <w:trHeight w:val="133"/>
        </w:trPr>
        <w:tc>
          <w:tcPr>
            <w:tcW w:w="919" w:type="pct"/>
            <w:vMerge/>
            <w:tcBorders>
              <w:top w:val="nil"/>
              <w:left w:val="single" w:sz="4" w:space="0" w:color="auto"/>
              <w:bottom w:val="single" w:sz="4" w:space="0" w:color="000000"/>
              <w:right w:val="single" w:sz="4" w:space="0" w:color="auto"/>
            </w:tcBorders>
            <w:vAlign w:val="center"/>
            <w:hideMark/>
          </w:tcPr>
          <w:p w14:paraId="07C24D6A"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44209820"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3178DB71"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04875366"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4</w:t>
            </w:r>
          </w:p>
        </w:tc>
        <w:tc>
          <w:tcPr>
            <w:tcW w:w="1903" w:type="pct"/>
            <w:tcBorders>
              <w:top w:val="nil"/>
              <w:left w:val="nil"/>
              <w:bottom w:val="single" w:sz="4" w:space="0" w:color="auto"/>
              <w:right w:val="single" w:sz="4" w:space="0" w:color="auto"/>
            </w:tcBorders>
            <w:shd w:val="clear" w:color="auto" w:fill="auto"/>
            <w:vAlign w:val="bottom"/>
            <w:hideMark/>
          </w:tcPr>
          <w:p w14:paraId="56971F42"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9</w:t>
            </w:r>
          </w:p>
        </w:tc>
      </w:tr>
      <w:tr w:rsidR="00D15F0F" w:rsidRPr="00561A62" w14:paraId="6DCF8EF1" w14:textId="77777777" w:rsidTr="00585D44">
        <w:trPr>
          <w:trHeight w:val="207"/>
        </w:trPr>
        <w:tc>
          <w:tcPr>
            <w:tcW w:w="919" w:type="pct"/>
            <w:vMerge/>
            <w:tcBorders>
              <w:top w:val="nil"/>
              <w:left w:val="single" w:sz="4" w:space="0" w:color="auto"/>
              <w:bottom w:val="single" w:sz="4" w:space="0" w:color="000000"/>
              <w:right w:val="single" w:sz="4" w:space="0" w:color="auto"/>
            </w:tcBorders>
            <w:vAlign w:val="center"/>
            <w:hideMark/>
          </w:tcPr>
          <w:p w14:paraId="048546E4"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07FD51B4"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1C3414B3"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150AD43F"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3</w:t>
            </w:r>
          </w:p>
        </w:tc>
        <w:tc>
          <w:tcPr>
            <w:tcW w:w="1903" w:type="pct"/>
            <w:tcBorders>
              <w:top w:val="nil"/>
              <w:left w:val="nil"/>
              <w:bottom w:val="single" w:sz="4" w:space="0" w:color="auto"/>
              <w:right w:val="single" w:sz="4" w:space="0" w:color="auto"/>
            </w:tcBorders>
            <w:shd w:val="clear" w:color="auto" w:fill="auto"/>
            <w:vAlign w:val="bottom"/>
            <w:hideMark/>
          </w:tcPr>
          <w:p w14:paraId="5B7D37B9"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10</w:t>
            </w:r>
          </w:p>
        </w:tc>
      </w:tr>
      <w:tr w:rsidR="00D15F0F" w:rsidRPr="00561A62" w14:paraId="36FB37E1" w14:textId="77777777" w:rsidTr="00585D44">
        <w:trPr>
          <w:trHeight w:val="300"/>
        </w:trPr>
        <w:tc>
          <w:tcPr>
            <w:tcW w:w="919" w:type="pct"/>
            <w:vMerge/>
            <w:tcBorders>
              <w:top w:val="nil"/>
              <w:left w:val="single" w:sz="4" w:space="0" w:color="auto"/>
              <w:bottom w:val="single" w:sz="4" w:space="0" w:color="000000"/>
              <w:right w:val="single" w:sz="4" w:space="0" w:color="auto"/>
            </w:tcBorders>
            <w:vAlign w:val="center"/>
            <w:hideMark/>
          </w:tcPr>
          <w:p w14:paraId="4EABB27B"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2BEAE723"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6DB1E402"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5C8506B4"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2</w:t>
            </w:r>
          </w:p>
        </w:tc>
        <w:tc>
          <w:tcPr>
            <w:tcW w:w="1903" w:type="pct"/>
            <w:tcBorders>
              <w:top w:val="nil"/>
              <w:left w:val="nil"/>
              <w:bottom w:val="single" w:sz="4" w:space="0" w:color="auto"/>
              <w:right w:val="single" w:sz="4" w:space="0" w:color="auto"/>
            </w:tcBorders>
            <w:shd w:val="clear" w:color="auto" w:fill="auto"/>
            <w:vAlign w:val="bottom"/>
            <w:hideMark/>
          </w:tcPr>
          <w:p w14:paraId="765F0978"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11</w:t>
            </w:r>
          </w:p>
        </w:tc>
      </w:tr>
      <w:tr w:rsidR="00D15F0F" w:rsidRPr="00561A62" w14:paraId="3258C9CA" w14:textId="77777777" w:rsidTr="00585D44">
        <w:trPr>
          <w:trHeight w:val="300"/>
        </w:trPr>
        <w:tc>
          <w:tcPr>
            <w:tcW w:w="919" w:type="pct"/>
            <w:vMerge/>
            <w:tcBorders>
              <w:top w:val="nil"/>
              <w:left w:val="single" w:sz="4" w:space="0" w:color="auto"/>
              <w:bottom w:val="single" w:sz="4" w:space="0" w:color="000000"/>
              <w:right w:val="single" w:sz="4" w:space="0" w:color="auto"/>
            </w:tcBorders>
            <w:vAlign w:val="center"/>
            <w:hideMark/>
          </w:tcPr>
          <w:p w14:paraId="5E9B932B"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1169D00F"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235F9775"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25422C56"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1</w:t>
            </w:r>
          </w:p>
        </w:tc>
        <w:tc>
          <w:tcPr>
            <w:tcW w:w="1903" w:type="pct"/>
            <w:tcBorders>
              <w:top w:val="nil"/>
              <w:left w:val="nil"/>
              <w:bottom w:val="single" w:sz="4" w:space="0" w:color="auto"/>
              <w:right w:val="single" w:sz="4" w:space="0" w:color="auto"/>
            </w:tcBorders>
            <w:shd w:val="clear" w:color="auto" w:fill="auto"/>
            <w:vAlign w:val="bottom"/>
            <w:hideMark/>
          </w:tcPr>
          <w:p w14:paraId="76ABA7FF"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12</w:t>
            </w:r>
          </w:p>
        </w:tc>
      </w:tr>
      <w:tr w:rsidR="00D15F0F" w:rsidRPr="00561A62" w14:paraId="327A5A7A" w14:textId="77777777" w:rsidTr="00585D44">
        <w:trPr>
          <w:trHeight w:val="300"/>
        </w:trPr>
        <w:tc>
          <w:tcPr>
            <w:tcW w:w="919" w:type="pct"/>
            <w:vMerge/>
            <w:tcBorders>
              <w:top w:val="nil"/>
              <w:left w:val="single" w:sz="4" w:space="0" w:color="auto"/>
              <w:bottom w:val="single" w:sz="4" w:space="0" w:color="000000"/>
              <w:right w:val="single" w:sz="4" w:space="0" w:color="auto"/>
            </w:tcBorders>
            <w:vAlign w:val="center"/>
            <w:hideMark/>
          </w:tcPr>
          <w:p w14:paraId="13421072"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687D9285"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346ADF7E"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030CC330"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0</w:t>
            </w:r>
          </w:p>
        </w:tc>
        <w:tc>
          <w:tcPr>
            <w:tcW w:w="1903" w:type="pct"/>
            <w:tcBorders>
              <w:top w:val="nil"/>
              <w:left w:val="nil"/>
              <w:bottom w:val="single" w:sz="4" w:space="0" w:color="auto"/>
              <w:right w:val="single" w:sz="4" w:space="0" w:color="auto"/>
            </w:tcBorders>
            <w:shd w:val="clear" w:color="auto" w:fill="auto"/>
            <w:vAlign w:val="bottom"/>
            <w:hideMark/>
          </w:tcPr>
          <w:p w14:paraId="1BA8B6D2"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Más de 12 clics</w:t>
            </w:r>
          </w:p>
        </w:tc>
      </w:tr>
      <w:tr w:rsidR="00D15F0F" w:rsidRPr="00561A62" w14:paraId="023FFAFB" w14:textId="77777777" w:rsidTr="00585D44">
        <w:trPr>
          <w:trHeight w:val="265"/>
        </w:trPr>
        <w:tc>
          <w:tcPr>
            <w:tcW w:w="919" w:type="pct"/>
            <w:vMerge/>
            <w:tcBorders>
              <w:top w:val="nil"/>
              <w:left w:val="single" w:sz="4" w:space="0" w:color="auto"/>
              <w:bottom w:val="single" w:sz="4" w:space="0" w:color="000000"/>
              <w:right w:val="single" w:sz="4" w:space="0" w:color="auto"/>
            </w:tcBorders>
            <w:vAlign w:val="center"/>
            <w:hideMark/>
          </w:tcPr>
          <w:p w14:paraId="1AEDD00A"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val="restart"/>
            <w:tcBorders>
              <w:top w:val="nil"/>
              <w:left w:val="single" w:sz="4" w:space="0" w:color="auto"/>
              <w:bottom w:val="single" w:sz="4" w:space="0" w:color="auto"/>
              <w:right w:val="single" w:sz="4" w:space="0" w:color="auto"/>
            </w:tcBorders>
            <w:shd w:val="clear" w:color="auto" w:fill="auto"/>
            <w:vAlign w:val="center"/>
            <w:hideMark/>
          </w:tcPr>
          <w:p w14:paraId="3052E1AE"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CLARIDAD</w:t>
            </w:r>
          </w:p>
        </w:tc>
        <w:tc>
          <w:tcPr>
            <w:tcW w:w="1135" w:type="pct"/>
            <w:vMerge w:val="restart"/>
            <w:tcBorders>
              <w:top w:val="nil"/>
              <w:left w:val="single" w:sz="4" w:space="0" w:color="auto"/>
              <w:bottom w:val="single" w:sz="4" w:space="0" w:color="auto"/>
              <w:right w:val="single" w:sz="4" w:space="0" w:color="auto"/>
            </w:tcBorders>
            <w:shd w:val="clear" w:color="auto" w:fill="auto"/>
            <w:vAlign w:val="center"/>
            <w:hideMark/>
          </w:tcPr>
          <w:p w14:paraId="76A8A613"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Lenguaje fácil de entender por el público general. La información compleja se acompaña de comentarios, glosarios, textos introductorios o similares</w:t>
            </w:r>
          </w:p>
        </w:tc>
        <w:tc>
          <w:tcPr>
            <w:tcW w:w="318" w:type="pct"/>
            <w:tcBorders>
              <w:top w:val="nil"/>
              <w:left w:val="nil"/>
              <w:bottom w:val="single" w:sz="4" w:space="0" w:color="auto"/>
              <w:right w:val="single" w:sz="4" w:space="0" w:color="auto"/>
            </w:tcBorders>
            <w:shd w:val="clear" w:color="auto" w:fill="auto"/>
            <w:vAlign w:val="bottom"/>
            <w:hideMark/>
          </w:tcPr>
          <w:p w14:paraId="3EF82D40"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10</w:t>
            </w:r>
          </w:p>
        </w:tc>
        <w:tc>
          <w:tcPr>
            <w:tcW w:w="1903" w:type="pct"/>
            <w:tcBorders>
              <w:top w:val="nil"/>
              <w:left w:val="nil"/>
              <w:bottom w:val="single" w:sz="4" w:space="0" w:color="auto"/>
              <w:right w:val="single" w:sz="4" w:space="0" w:color="auto"/>
            </w:tcBorders>
            <w:shd w:val="clear" w:color="auto" w:fill="auto"/>
            <w:vAlign w:val="bottom"/>
            <w:hideMark/>
          </w:tcPr>
          <w:p w14:paraId="51ECBDF3"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MUY comprensible o con ayudas, en su caso</w:t>
            </w:r>
          </w:p>
        </w:tc>
      </w:tr>
      <w:tr w:rsidR="00D15F0F" w:rsidRPr="00561A62" w14:paraId="45655518" w14:textId="77777777" w:rsidTr="00585D44">
        <w:trPr>
          <w:trHeight w:val="271"/>
        </w:trPr>
        <w:tc>
          <w:tcPr>
            <w:tcW w:w="919" w:type="pct"/>
            <w:vMerge/>
            <w:tcBorders>
              <w:top w:val="nil"/>
              <w:left w:val="single" w:sz="4" w:space="0" w:color="auto"/>
              <w:bottom w:val="single" w:sz="4" w:space="0" w:color="000000"/>
              <w:right w:val="single" w:sz="4" w:space="0" w:color="auto"/>
            </w:tcBorders>
            <w:vAlign w:val="center"/>
            <w:hideMark/>
          </w:tcPr>
          <w:p w14:paraId="6B8C31A5"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7C596533"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0C8C59C7"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7F5CF1B1"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9</w:t>
            </w:r>
          </w:p>
        </w:tc>
        <w:tc>
          <w:tcPr>
            <w:tcW w:w="1903" w:type="pct"/>
            <w:tcBorders>
              <w:top w:val="nil"/>
              <w:left w:val="nil"/>
              <w:bottom w:val="single" w:sz="4" w:space="0" w:color="auto"/>
              <w:right w:val="single" w:sz="4" w:space="0" w:color="auto"/>
            </w:tcBorders>
            <w:shd w:val="clear" w:color="auto" w:fill="auto"/>
            <w:vAlign w:val="bottom"/>
            <w:hideMark/>
          </w:tcPr>
          <w:p w14:paraId="2BB121AB"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 </w:t>
            </w:r>
          </w:p>
        </w:tc>
      </w:tr>
      <w:tr w:rsidR="00D15F0F" w:rsidRPr="00561A62" w14:paraId="688E4074" w14:textId="77777777" w:rsidTr="00585D44">
        <w:trPr>
          <w:trHeight w:val="300"/>
        </w:trPr>
        <w:tc>
          <w:tcPr>
            <w:tcW w:w="919" w:type="pct"/>
            <w:vMerge/>
            <w:tcBorders>
              <w:top w:val="nil"/>
              <w:left w:val="single" w:sz="4" w:space="0" w:color="auto"/>
              <w:bottom w:val="single" w:sz="4" w:space="0" w:color="000000"/>
              <w:right w:val="single" w:sz="4" w:space="0" w:color="auto"/>
            </w:tcBorders>
            <w:vAlign w:val="center"/>
            <w:hideMark/>
          </w:tcPr>
          <w:p w14:paraId="5B7E477E"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16899B72"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381D22C1"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50CB24BF"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8</w:t>
            </w:r>
          </w:p>
        </w:tc>
        <w:tc>
          <w:tcPr>
            <w:tcW w:w="1903" w:type="pct"/>
            <w:tcBorders>
              <w:top w:val="nil"/>
              <w:left w:val="nil"/>
              <w:bottom w:val="single" w:sz="4" w:space="0" w:color="auto"/>
              <w:right w:val="single" w:sz="4" w:space="0" w:color="auto"/>
            </w:tcBorders>
            <w:shd w:val="clear" w:color="auto" w:fill="auto"/>
            <w:vAlign w:val="bottom"/>
            <w:hideMark/>
          </w:tcPr>
          <w:p w14:paraId="1C4D9D0A"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Comprensible</w:t>
            </w:r>
          </w:p>
        </w:tc>
      </w:tr>
      <w:tr w:rsidR="00D15F0F" w:rsidRPr="00561A62" w14:paraId="5FCD2FF0" w14:textId="77777777" w:rsidTr="00585D44">
        <w:trPr>
          <w:trHeight w:val="251"/>
        </w:trPr>
        <w:tc>
          <w:tcPr>
            <w:tcW w:w="919" w:type="pct"/>
            <w:vMerge/>
            <w:tcBorders>
              <w:top w:val="nil"/>
              <w:left w:val="single" w:sz="4" w:space="0" w:color="auto"/>
              <w:bottom w:val="single" w:sz="4" w:space="0" w:color="000000"/>
              <w:right w:val="single" w:sz="4" w:space="0" w:color="auto"/>
            </w:tcBorders>
            <w:vAlign w:val="center"/>
            <w:hideMark/>
          </w:tcPr>
          <w:p w14:paraId="344B8858"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50BA6884"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1A4873E9"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689370F5"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7</w:t>
            </w:r>
          </w:p>
        </w:tc>
        <w:tc>
          <w:tcPr>
            <w:tcW w:w="1903" w:type="pct"/>
            <w:tcBorders>
              <w:top w:val="nil"/>
              <w:left w:val="nil"/>
              <w:bottom w:val="single" w:sz="4" w:space="0" w:color="auto"/>
              <w:right w:val="single" w:sz="4" w:space="0" w:color="auto"/>
            </w:tcBorders>
            <w:shd w:val="clear" w:color="auto" w:fill="auto"/>
            <w:vAlign w:val="bottom"/>
            <w:hideMark/>
          </w:tcPr>
          <w:p w14:paraId="7B61537F"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 </w:t>
            </w:r>
          </w:p>
        </w:tc>
      </w:tr>
      <w:tr w:rsidR="00D15F0F" w:rsidRPr="00561A62" w14:paraId="4C4BD812" w14:textId="77777777" w:rsidTr="00585D44">
        <w:trPr>
          <w:trHeight w:val="300"/>
        </w:trPr>
        <w:tc>
          <w:tcPr>
            <w:tcW w:w="919" w:type="pct"/>
            <w:vMerge/>
            <w:tcBorders>
              <w:top w:val="nil"/>
              <w:left w:val="single" w:sz="4" w:space="0" w:color="auto"/>
              <w:bottom w:val="single" w:sz="4" w:space="0" w:color="000000"/>
              <w:right w:val="single" w:sz="4" w:space="0" w:color="auto"/>
            </w:tcBorders>
            <w:vAlign w:val="center"/>
            <w:hideMark/>
          </w:tcPr>
          <w:p w14:paraId="5DB4ED51"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0101222F"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23890BD0"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5B9700E1"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6</w:t>
            </w:r>
          </w:p>
        </w:tc>
        <w:tc>
          <w:tcPr>
            <w:tcW w:w="1903" w:type="pct"/>
            <w:tcBorders>
              <w:top w:val="nil"/>
              <w:left w:val="nil"/>
              <w:bottom w:val="single" w:sz="4" w:space="0" w:color="auto"/>
              <w:right w:val="single" w:sz="4" w:space="0" w:color="auto"/>
            </w:tcBorders>
            <w:shd w:val="clear" w:color="auto" w:fill="auto"/>
            <w:vAlign w:val="bottom"/>
            <w:hideMark/>
          </w:tcPr>
          <w:p w14:paraId="4B09A6AB"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Normal</w:t>
            </w:r>
          </w:p>
        </w:tc>
      </w:tr>
      <w:tr w:rsidR="00D15F0F" w:rsidRPr="00561A62" w14:paraId="7AECD07A" w14:textId="77777777" w:rsidTr="00585D44">
        <w:trPr>
          <w:trHeight w:val="300"/>
        </w:trPr>
        <w:tc>
          <w:tcPr>
            <w:tcW w:w="919" w:type="pct"/>
            <w:vMerge/>
            <w:tcBorders>
              <w:top w:val="nil"/>
              <w:left w:val="single" w:sz="4" w:space="0" w:color="auto"/>
              <w:bottom w:val="single" w:sz="4" w:space="0" w:color="000000"/>
              <w:right w:val="single" w:sz="4" w:space="0" w:color="auto"/>
            </w:tcBorders>
            <w:vAlign w:val="center"/>
            <w:hideMark/>
          </w:tcPr>
          <w:p w14:paraId="14ACFE3D"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4BA21984"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24B9AF00"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027B68DF"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5</w:t>
            </w:r>
          </w:p>
        </w:tc>
        <w:tc>
          <w:tcPr>
            <w:tcW w:w="1903" w:type="pct"/>
            <w:tcBorders>
              <w:top w:val="nil"/>
              <w:left w:val="nil"/>
              <w:bottom w:val="single" w:sz="4" w:space="0" w:color="auto"/>
              <w:right w:val="single" w:sz="4" w:space="0" w:color="auto"/>
            </w:tcBorders>
            <w:shd w:val="clear" w:color="auto" w:fill="auto"/>
            <w:vAlign w:val="bottom"/>
            <w:hideMark/>
          </w:tcPr>
          <w:p w14:paraId="5372ECA1"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 </w:t>
            </w:r>
          </w:p>
        </w:tc>
      </w:tr>
      <w:tr w:rsidR="00D15F0F" w:rsidRPr="00561A62" w14:paraId="55E6F75E" w14:textId="77777777" w:rsidTr="00585D44">
        <w:trPr>
          <w:trHeight w:val="300"/>
        </w:trPr>
        <w:tc>
          <w:tcPr>
            <w:tcW w:w="919" w:type="pct"/>
            <w:vMerge/>
            <w:tcBorders>
              <w:top w:val="nil"/>
              <w:left w:val="single" w:sz="4" w:space="0" w:color="auto"/>
              <w:bottom w:val="single" w:sz="4" w:space="0" w:color="000000"/>
              <w:right w:val="single" w:sz="4" w:space="0" w:color="auto"/>
            </w:tcBorders>
            <w:vAlign w:val="center"/>
            <w:hideMark/>
          </w:tcPr>
          <w:p w14:paraId="6A06D00E"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22688D1E"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1FFA7E2F"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67C79315"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4</w:t>
            </w:r>
          </w:p>
        </w:tc>
        <w:tc>
          <w:tcPr>
            <w:tcW w:w="1903" w:type="pct"/>
            <w:tcBorders>
              <w:top w:val="nil"/>
              <w:left w:val="nil"/>
              <w:bottom w:val="single" w:sz="4" w:space="0" w:color="auto"/>
              <w:right w:val="single" w:sz="4" w:space="0" w:color="auto"/>
            </w:tcBorders>
            <w:shd w:val="clear" w:color="auto" w:fill="auto"/>
            <w:vAlign w:val="bottom"/>
            <w:hideMark/>
          </w:tcPr>
          <w:p w14:paraId="6E628DCE"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Poco comprensible</w:t>
            </w:r>
          </w:p>
        </w:tc>
      </w:tr>
      <w:tr w:rsidR="00D15F0F" w:rsidRPr="00561A62" w14:paraId="712D80DC" w14:textId="77777777" w:rsidTr="00585D44">
        <w:trPr>
          <w:trHeight w:val="183"/>
        </w:trPr>
        <w:tc>
          <w:tcPr>
            <w:tcW w:w="919" w:type="pct"/>
            <w:vMerge/>
            <w:tcBorders>
              <w:top w:val="nil"/>
              <w:left w:val="single" w:sz="4" w:space="0" w:color="auto"/>
              <w:bottom w:val="single" w:sz="4" w:space="0" w:color="000000"/>
              <w:right w:val="single" w:sz="4" w:space="0" w:color="auto"/>
            </w:tcBorders>
            <w:vAlign w:val="center"/>
            <w:hideMark/>
          </w:tcPr>
          <w:p w14:paraId="18ACC1C5"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36925645"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27045548"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6C48782E"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3</w:t>
            </w:r>
          </w:p>
        </w:tc>
        <w:tc>
          <w:tcPr>
            <w:tcW w:w="1903" w:type="pct"/>
            <w:tcBorders>
              <w:top w:val="nil"/>
              <w:left w:val="nil"/>
              <w:bottom w:val="single" w:sz="4" w:space="0" w:color="auto"/>
              <w:right w:val="single" w:sz="4" w:space="0" w:color="auto"/>
            </w:tcBorders>
            <w:shd w:val="clear" w:color="auto" w:fill="auto"/>
            <w:vAlign w:val="bottom"/>
            <w:hideMark/>
          </w:tcPr>
          <w:p w14:paraId="3337726D"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 </w:t>
            </w:r>
          </w:p>
        </w:tc>
      </w:tr>
      <w:tr w:rsidR="00D15F0F" w:rsidRPr="00561A62" w14:paraId="1B19D077" w14:textId="77777777" w:rsidTr="00585D44">
        <w:trPr>
          <w:trHeight w:val="300"/>
        </w:trPr>
        <w:tc>
          <w:tcPr>
            <w:tcW w:w="919" w:type="pct"/>
            <w:vMerge/>
            <w:tcBorders>
              <w:top w:val="nil"/>
              <w:left w:val="single" w:sz="4" w:space="0" w:color="auto"/>
              <w:bottom w:val="single" w:sz="4" w:space="0" w:color="000000"/>
              <w:right w:val="single" w:sz="4" w:space="0" w:color="auto"/>
            </w:tcBorders>
            <w:vAlign w:val="center"/>
            <w:hideMark/>
          </w:tcPr>
          <w:p w14:paraId="79B559C6"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3D4209D3"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297FB819"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23C665C2"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2</w:t>
            </w:r>
          </w:p>
        </w:tc>
        <w:tc>
          <w:tcPr>
            <w:tcW w:w="1903" w:type="pct"/>
            <w:tcBorders>
              <w:top w:val="nil"/>
              <w:left w:val="nil"/>
              <w:bottom w:val="single" w:sz="4" w:space="0" w:color="auto"/>
              <w:right w:val="single" w:sz="4" w:space="0" w:color="auto"/>
            </w:tcBorders>
            <w:shd w:val="clear" w:color="auto" w:fill="auto"/>
            <w:vAlign w:val="bottom"/>
            <w:hideMark/>
          </w:tcPr>
          <w:p w14:paraId="0D3A92AE"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Difícilmente comprensible</w:t>
            </w:r>
          </w:p>
        </w:tc>
      </w:tr>
      <w:tr w:rsidR="00D15F0F" w:rsidRPr="00561A62" w14:paraId="0519290C" w14:textId="77777777" w:rsidTr="00585D44">
        <w:trPr>
          <w:trHeight w:val="247"/>
        </w:trPr>
        <w:tc>
          <w:tcPr>
            <w:tcW w:w="919" w:type="pct"/>
            <w:vMerge/>
            <w:tcBorders>
              <w:top w:val="nil"/>
              <w:left w:val="single" w:sz="4" w:space="0" w:color="auto"/>
              <w:bottom w:val="single" w:sz="4" w:space="0" w:color="000000"/>
              <w:right w:val="single" w:sz="4" w:space="0" w:color="auto"/>
            </w:tcBorders>
            <w:vAlign w:val="center"/>
            <w:hideMark/>
          </w:tcPr>
          <w:p w14:paraId="485F21FF"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04A81965"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3FE2DE6E"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7D7BF846"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1</w:t>
            </w:r>
          </w:p>
        </w:tc>
        <w:tc>
          <w:tcPr>
            <w:tcW w:w="1903" w:type="pct"/>
            <w:tcBorders>
              <w:top w:val="nil"/>
              <w:left w:val="nil"/>
              <w:bottom w:val="single" w:sz="4" w:space="0" w:color="auto"/>
              <w:right w:val="single" w:sz="4" w:space="0" w:color="auto"/>
            </w:tcBorders>
            <w:shd w:val="clear" w:color="auto" w:fill="auto"/>
            <w:vAlign w:val="bottom"/>
            <w:hideMark/>
          </w:tcPr>
          <w:p w14:paraId="17F09F3A"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 </w:t>
            </w:r>
          </w:p>
        </w:tc>
      </w:tr>
      <w:tr w:rsidR="00D15F0F" w:rsidRPr="00561A62" w14:paraId="54C4B378" w14:textId="77777777" w:rsidTr="00585D44">
        <w:trPr>
          <w:trHeight w:val="123"/>
        </w:trPr>
        <w:tc>
          <w:tcPr>
            <w:tcW w:w="919" w:type="pct"/>
            <w:vMerge/>
            <w:tcBorders>
              <w:top w:val="nil"/>
              <w:left w:val="single" w:sz="4" w:space="0" w:color="auto"/>
              <w:bottom w:val="single" w:sz="4" w:space="0" w:color="000000"/>
              <w:right w:val="single" w:sz="4" w:space="0" w:color="auto"/>
            </w:tcBorders>
            <w:vAlign w:val="center"/>
            <w:hideMark/>
          </w:tcPr>
          <w:p w14:paraId="314874F2"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43BB3B9C"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00EAA565"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44D7BF60"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0</w:t>
            </w:r>
          </w:p>
        </w:tc>
        <w:tc>
          <w:tcPr>
            <w:tcW w:w="1903" w:type="pct"/>
            <w:tcBorders>
              <w:top w:val="nil"/>
              <w:left w:val="nil"/>
              <w:bottom w:val="single" w:sz="4" w:space="0" w:color="auto"/>
              <w:right w:val="single" w:sz="4" w:space="0" w:color="auto"/>
            </w:tcBorders>
            <w:shd w:val="clear" w:color="auto" w:fill="auto"/>
            <w:vAlign w:val="bottom"/>
            <w:hideMark/>
          </w:tcPr>
          <w:p w14:paraId="23D59BBF"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NADA comprensible</w:t>
            </w:r>
          </w:p>
        </w:tc>
      </w:tr>
      <w:tr w:rsidR="00D15F0F" w:rsidRPr="00561A62" w14:paraId="6667CB1F" w14:textId="77777777" w:rsidTr="00585D44">
        <w:trPr>
          <w:trHeight w:val="570"/>
        </w:trPr>
        <w:tc>
          <w:tcPr>
            <w:tcW w:w="919" w:type="pct"/>
            <w:vMerge/>
            <w:tcBorders>
              <w:top w:val="nil"/>
              <w:left w:val="single" w:sz="4" w:space="0" w:color="auto"/>
              <w:bottom w:val="single" w:sz="4" w:space="0" w:color="000000"/>
              <w:right w:val="single" w:sz="4" w:space="0" w:color="auto"/>
            </w:tcBorders>
            <w:vAlign w:val="center"/>
            <w:hideMark/>
          </w:tcPr>
          <w:p w14:paraId="1925EE91"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val="restart"/>
            <w:tcBorders>
              <w:top w:val="nil"/>
              <w:left w:val="single" w:sz="4" w:space="0" w:color="auto"/>
              <w:bottom w:val="single" w:sz="4" w:space="0" w:color="000000"/>
              <w:right w:val="single" w:sz="4" w:space="0" w:color="auto"/>
            </w:tcBorders>
            <w:shd w:val="clear" w:color="auto" w:fill="auto"/>
            <w:vAlign w:val="center"/>
            <w:hideMark/>
          </w:tcPr>
          <w:p w14:paraId="5F3E00B3"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ESTRUCTURACIÓN</w:t>
            </w:r>
          </w:p>
        </w:tc>
        <w:tc>
          <w:tcPr>
            <w:tcW w:w="1135" w:type="pct"/>
            <w:vMerge w:val="restart"/>
            <w:tcBorders>
              <w:top w:val="nil"/>
              <w:left w:val="single" w:sz="4" w:space="0" w:color="auto"/>
              <w:bottom w:val="single" w:sz="4" w:space="0" w:color="000000"/>
              <w:right w:val="single" w:sz="4" w:space="0" w:color="auto"/>
            </w:tcBorders>
            <w:shd w:val="clear" w:color="auto" w:fill="auto"/>
            <w:vAlign w:val="center"/>
            <w:hideMark/>
          </w:tcPr>
          <w:p w14:paraId="68ADAC91" w14:textId="77777777" w:rsidR="00D15F0F" w:rsidRPr="00561A62" w:rsidRDefault="00D15F0F" w:rsidP="00585D44">
            <w:pPr>
              <w:spacing w:after="0" w:line="240" w:lineRule="auto"/>
              <w:jc w:val="center"/>
              <w:rPr>
                <w:rFonts w:eastAsia="Times New Roman" w:cs="Calibri"/>
                <w:sz w:val="16"/>
                <w:szCs w:val="16"/>
              </w:rPr>
            </w:pPr>
            <w:r w:rsidRPr="00561A62">
              <w:rPr>
                <w:rFonts w:eastAsia="Times New Roman" w:cs="Calibri"/>
                <w:sz w:val="16"/>
                <w:szCs w:val="16"/>
              </w:rPr>
              <w:t>Información organizada siguiendo una lógica clara</w:t>
            </w:r>
          </w:p>
        </w:tc>
        <w:tc>
          <w:tcPr>
            <w:tcW w:w="318" w:type="pct"/>
            <w:tcBorders>
              <w:top w:val="nil"/>
              <w:left w:val="nil"/>
              <w:bottom w:val="single" w:sz="4" w:space="0" w:color="auto"/>
              <w:right w:val="single" w:sz="4" w:space="0" w:color="auto"/>
            </w:tcBorders>
            <w:shd w:val="clear" w:color="auto" w:fill="auto"/>
            <w:vAlign w:val="bottom"/>
            <w:hideMark/>
          </w:tcPr>
          <w:p w14:paraId="69C212D6" w14:textId="77777777" w:rsidR="00D15F0F" w:rsidRPr="00561A62" w:rsidRDefault="00D15F0F" w:rsidP="00585D44">
            <w:pPr>
              <w:spacing w:after="0" w:line="240" w:lineRule="auto"/>
              <w:jc w:val="center"/>
              <w:rPr>
                <w:rFonts w:eastAsia="Times New Roman" w:cs="Calibri"/>
                <w:sz w:val="16"/>
                <w:szCs w:val="16"/>
              </w:rPr>
            </w:pPr>
            <w:r w:rsidRPr="00561A62">
              <w:rPr>
                <w:rFonts w:eastAsia="Times New Roman" w:cs="Calibri"/>
                <w:sz w:val="16"/>
                <w:szCs w:val="16"/>
              </w:rPr>
              <w:t>10</w:t>
            </w:r>
          </w:p>
        </w:tc>
        <w:tc>
          <w:tcPr>
            <w:tcW w:w="1903" w:type="pct"/>
            <w:tcBorders>
              <w:top w:val="nil"/>
              <w:left w:val="nil"/>
              <w:bottom w:val="single" w:sz="4" w:space="0" w:color="auto"/>
              <w:right w:val="single" w:sz="4" w:space="0" w:color="auto"/>
            </w:tcBorders>
            <w:shd w:val="clear" w:color="auto" w:fill="auto"/>
            <w:vAlign w:val="bottom"/>
            <w:hideMark/>
          </w:tcPr>
          <w:p w14:paraId="5559859D" w14:textId="77777777" w:rsidR="00D15F0F" w:rsidRPr="00561A62" w:rsidRDefault="00D15F0F" w:rsidP="00585D44">
            <w:pPr>
              <w:spacing w:after="0" w:line="240" w:lineRule="auto"/>
              <w:jc w:val="left"/>
              <w:rPr>
                <w:rFonts w:eastAsia="Times New Roman" w:cs="Calibri"/>
                <w:sz w:val="16"/>
                <w:szCs w:val="16"/>
              </w:rPr>
            </w:pPr>
            <w:r w:rsidRPr="00561A62">
              <w:rPr>
                <w:rFonts w:eastAsia="Times New Roman" w:cs="Calibri"/>
                <w:sz w:val="16"/>
                <w:szCs w:val="16"/>
              </w:rPr>
              <w:t>la información se encuentra ordenada en grupos de materias, temáticas o de acuerdo con los bloques o grupos de información de la ley</w:t>
            </w:r>
          </w:p>
        </w:tc>
      </w:tr>
      <w:tr w:rsidR="00D15F0F" w:rsidRPr="00561A62" w14:paraId="5C2A5B2C" w14:textId="77777777" w:rsidTr="00585D44">
        <w:trPr>
          <w:trHeight w:val="427"/>
        </w:trPr>
        <w:tc>
          <w:tcPr>
            <w:tcW w:w="919" w:type="pct"/>
            <w:vMerge/>
            <w:tcBorders>
              <w:top w:val="nil"/>
              <w:left w:val="single" w:sz="4" w:space="0" w:color="auto"/>
              <w:bottom w:val="single" w:sz="4" w:space="0" w:color="000000"/>
              <w:right w:val="single" w:sz="4" w:space="0" w:color="auto"/>
            </w:tcBorders>
            <w:vAlign w:val="center"/>
            <w:hideMark/>
          </w:tcPr>
          <w:p w14:paraId="36E86477"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000000"/>
              <w:right w:val="single" w:sz="4" w:space="0" w:color="auto"/>
            </w:tcBorders>
            <w:vAlign w:val="center"/>
            <w:hideMark/>
          </w:tcPr>
          <w:p w14:paraId="0C62FAE8"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000000"/>
              <w:right w:val="single" w:sz="4" w:space="0" w:color="auto"/>
            </w:tcBorders>
            <w:vAlign w:val="center"/>
            <w:hideMark/>
          </w:tcPr>
          <w:p w14:paraId="4C40494F" w14:textId="77777777" w:rsidR="00D15F0F" w:rsidRPr="00561A62" w:rsidRDefault="00D15F0F" w:rsidP="00585D44">
            <w:pPr>
              <w:spacing w:after="0" w:line="240" w:lineRule="auto"/>
              <w:jc w:val="left"/>
              <w:rPr>
                <w:rFonts w:eastAsia="Times New Roman" w:cs="Calibri"/>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594929EC" w14:textId="77777777" w:rsidR="00D15F0F" w:rsidRPr="00561A62" w:rsidRDefault="00D15F0F" w:rsidP="00585D44">
            <w:pPr>
              <w:spacing w:after="0" w:line="240" w:lineRule="auto"/>
              <w:jc w:val="center"/>
              <w:rPr>
                <w:rFonts w:eastAsia="Times New Roman" w:cs="Calibri"/>
                <w:sz w:val="16"/>
                <w:szCs w:val="16"/>
              </w:rPr>
            </w:pPr>
            <w:r w:rsidRPr="00561A62">
              <w:rPr>
                <w:rFonts w:eastAsia="Times New Roman" w:cs="Calibri"/>
                <w:sz w:val="16"/>
                <w:szCs w:val="16"/>
              </w:rPr>
              <w:t>0</w:t>
            </w:r>
          </w:p>
        </w:tc>
        <w:tc>
          <w:tcPr>
            <w:tcW w:w="1903" w:type="pct"/>
            <w:tcBorders>
              <w:top w:val="nil"/>
              <w:left w:val="nil"/>
              <w:bottom w:val="single" w:sz="4" w:space="0" w:color="auto"/>
              <w:right w:val="single" w:sz="4" w:space="0" w:color="auto"/>
            </w:tcBorders>
            <w:shd w:val="clear" w:color="auto" w:fill="auto"/>
            <w:vAlign w:val="bottom"/>
            <w:hideMark/>
          </w:tcPr>
          <w:p w14:paraId="66DA34D9" w14:textId="77777777" w:rsidR="00D15F0F" w:rsidRPr="00561A62" w:rsidRDefault="00D15F0F" w:rsidP="00585D44">
            <w:pPr>
              <w:spacing w:after="0" w:line="240" w:lineRule="auto"/>
              <w:jc w:val="left"/>
              <w:rPr>
                <w:rFonts w:eastAsia="Times New Roman" w:cs="Calibri"/>
                <w:sz w:val="16"/>
                <w:szCs w:val="16"/>
              </w:rPr>
            </w:pPr>
            <w:r w:rsidRPr="00561A62">
              <w:rPr>
                <w:rFonts w:eastAsia="Times New Roman" w:cs="Calibri"/>
                <w:sz w:val="16"/>
                <w:szCs w:val="16"/>
              </w:rPr>
              <w:t>la información se presenta dispersa sin agrupación ni ordenación alguna</w:t>
            </w:r>
          </w:p>
        </w:tc>
      </w:tr>
      <w:tr w:rsidR="00D15F0F" w:rsidRPr="00561A62" w14:paraId="6CFCBD8C" w14:textId="77777777" w:rsidTr="00585D44">
        <w:trPr>
          <w:trHeight w:val="300"/>
        </w:trPr>
        <w:tc>
          <w:tcPr>
            <w:tcW w:w="919" w:type="pct"/>
            <w:vMerge/>
            <w:tcBorders>
              <w:top w:val="nil"/>
              <w:left w:val="single" w:sz="4" w:space="0" w:color="auto"/>
              <w:bottom w:val="single" w:sz="4" w:space="0" w:color="000000"/>
              <w:right w:val="single" w:sz="4" w:space="0" w:color="auto"/>
            </w:tcBorders>
            <w:vAlign w:val="center"/>
            <w:hideMark/>
          </w:tcPr>
          <w:p w14:paraId="5FF887DD"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val="restart"/>
            <w:tcBorders>
              <w:top w:val="nil"/>
              <w:left w:val="single" w:sz="4" w:space="0" w:color="auto"/>
              <w:bottom w:val="single" w:sz="4" w:space="0" w:color="auto"/>
              <w:right w:val="single" w:sz="4" w:space="0" w:color="auto"/>
            </w:tcBorders>
            <w:shd w:val="clear" w:color="auto" w:fill="auto"/>
            <w:vAlign w:val="center"/>
            <w:hideMark/>
          </w:tcPr>
          <w:p w14:paraId="5C81242B"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Reutilización</w:t>
            </w:r>
          </w:p>
        </w:tc>
        <w:tc>
          <w:tcPr>
            <w:tcW w:w="1135" w:type="pct"/>
            <w:vMerge w:val="restart"/>
            <w:tcBorders>
              <w:top w:val="nil"/>
              <w:left w:val="single" w:sz="4" w:space="0" w:color="auto"/>
              <w:bottom w:val="single" w:sz="4" w:space="0" w:color="auto"/>
              <w:right w:val="single" w:sz="4" w:space="0" w:color="auto"/>
            </w:tcBorders>
            <w:shd w:val="clear" w:color="auto" w:fill="auto"/>
            <w:vAlign w:val="center"/>
            <w:hideMark/>
          </w:tcPr>
          <w:p w14:paraId="61555B43"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Formatos según Ley 37/2007</w:t>
            </w:r>
          </w:p>
        </w:tc>
        <w:tc>
          <w:tcPr>
            <w:tcW w:w="318" w:type="pct"/>
            <w:tcBorders>
              <w:top w:val="nil"/>
              <w:left w:val="nil"/>
              <w:bottom w:val="single" w:sz="4" w:space="0" w:color="auto"/>
              <w:right w:val="single" w:sz="4" w:space="0" w:color="auto"/>
            </w:tcBorders>
            <w:shd w:val="clear" w:color="auto" w:fill="auto"/>
            <w:vAlign w:val="bottom"/>
            <w:hideMark/>
          </w:tcPr>
          <w:p w14:paraId="229B0AC9"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10</w:t>
            </w:r>
          </w:p>
        </w:tc>
        <w:tc>
          <w:tcPr>
            <w:tcW w:w="1903" w:type="pct"/>
            <w:tcBorders>
              <w:top w:val="nil"/>
              <w:left w:val="nil"/>
              <w:bottom w:val="single" w:sz="4" w:space="0" w:color="auto"/>
              <w:right w:val="single" w:sz="4" w:space="0" w:color="auto"/>
            </w:tcBorders>
            <w:shd w:val="clear" w:color="auto" w:fill="auto"/>
            <w:vAlign w:val="bottom"/>
            <w:hideMark/>
          </w:tcPr>
          <w:p w14:paraId="30F974A5"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Es un formato reutilizable establecido</w:t>
            </w:r>
          </w:p>
        </w:tc>
      </w:tr>
      <w:tr w:rsidR="00D15F0F" w:rsidRPr="00561A62" w14:paraId="0C9A1E0B" w14:textId="77777777" w:rsidTr="00585D44">
        <w:trPr>
          <w:trHeight w:val="300"/>
        </w:trPr>
        <w:tc>
          <w:tcPr>
            <w:tcW w:w="919" w:type="pct"/>
            <w:vMerge/>
            <w:tcBorders>
              <w:top w:val="nil"/>
              <w:left w:val="single" w:sz="4" w:space="0" w:color="auto"/>
              <w:bottom w:val="single" w:sz="4" w:space="0" w:color="000000"/>
              <w:right w:val="single" w:sz="4" w:space="0" w:color="auto"/>
            </w:tcBorders>
            <w:vAlign w:val="center"/>
            <w:hideMark/>
          </w:tcPr>
          <w:p w14:paraId="37009B5F"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2D555A90"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3E8011FE"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523F0248"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0</w:t>
            </w:r>
          </w:p>
        </w:tc>
        <w:tc>
          <w:tcPr>
            <w:tcW w:w="1903" w:type="pct"/>
            <w:tcBorders>
              <w:top w:val="nil"/>
              <w:left w:val="nil"/>
              <w:bottom w:val="single" w:sz="4" w:space="0" w:color="auto"/>
              <w:right w:val="single" w:sz="4" w:space="0" w:color="auto"/>
            </w:tcBorders>
            <w:shd w:val="clear" w:color="auto" w:fill="auto"/>
            <w:vAlign w:val="bottom"/>
            <w:hideMark/>
          </w:tcPr>
          <w:p w14:paraId="56476929"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NO es un formato reutilizable</w:t>
            </w:r>
          </w:p>
        </w:tc>
      </w:tr>
      <w:tr w:rsidR="00D15F0F" w:rsidRPr="00561A62" w14:paraId="7A6C3A03" w14:textId="77777777" w:rsidTr="00585D44">
        <w:trPr>
          <w:trHeight w:val="343"/>
        </w:trPr>
        <w:tc>
          <w:tcPr>
            <w:tcW w:w="919" w:type="pct"/>
            <w:vMerge w:val="restart"/>
            <w:tcBorders>
              <w:top w:val="nil"/>
              <w:left w:val="single" w:sz="4" w:space="0" w:color="auto"/>
              <w:bottom w:val="single" w:sz="4" w:space="0" w:color="000000"/>
              <w:right w:val="single" w:sz="4" w:space="0" w:color="auto"/>
            </w:tcBorders>
            <w:shd w:val="clear" w:color="auto" w:fill="auto"/>
            <w:vAlign w:val="center"/>
            <w:hideMark/>
          </w:tcPr>
          <w:p w14:paraId="0F7F3ECD"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WEB</w:t>
            </w:r>
          </w:p>
        </w:tc>
        <w:tc>
          <w:tcPr>
            <w:tcW w:w="724" w:type="pct"/>
            <w:vMerge w:val="restart"/>
            <w:tcBorders>
              <w:top w:val="nil"/>
              <w:left w:val="single" w:sz="4" w:space="0" w:color="auto"/>
              <w:bottom w:val="single" w:sz="4" w:space="0" w:color="auto"/>
              <w:right w:val="single" w:sz="4" w:space="0" w:color="auto"/>
            </w:tcBorders>
            <w:shd w:val="clear" w:color="auto" w:fill="auto"/>
            <w:vAlign w:val="center"/>
            <w:hideMark/>
          </w:tcPr>
          <w:p w14:paraId="1F98F7CC"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LUGAR PUBLICACION</w:t>
            </w:r>
          </w:p>
        </w:tc>
        <w:tc>
          <w:tcPr>
            <w:tcW w:w="1135" w:type="pct"/>
            <w:vMerge w:val="restart"/>
            <w:tcBorders>
              <w:top w:val="nil"/>
              <w:left w:val="single" w:sz="4" w:space="0" w:color="auto"/>
              <w:bottom w:val="single" w:sz="4" w:space="0" w:color="auto"/>
              <w:right w:val="single" w:sz="4" w:space="0" w:color="auto"/>
            </w:tcBorders>
            <w:shd w:val="clear" w:color="auto" w:fill="auto"/>
            <w:vAlign w:val="center"/>
            <w:hideMark/>
          </w:tcPr>
          <w:p w14:paraId="4A66FEDD"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Dónde quedan publicadas las obligaciones de publicidad activa</w:t>
            </w:r>
          </w:p>
        </w:tc>
        <w:tc>
          <w:tcPr>
            <w:tcW w:w="318" w:type="pct"/>
            <w:tcBorders>
              <w:top w:val="nil"/>
              <w:left w:val="nil"/>
              <w:bottom w:val="single" w:sz="4" w:space="0" w:color="auto"/>
              <w:right w:val="single" w:sz="4" w:space="0" w:color="auto"/>
            </w:tcBorders>
            <w:shd w:val="clear" w:color="auto" w:fill="auto"/>
            <w:vAlign w:val="bottom"/>
            <w:hideMark/>
          </w:tcPr>
          <w:p w14:paraId="6C4C2F23"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10</w:t>
            </w:r>
          </w:p>
        </w:tc>
        <w:tc>
          <w:tcPr>
            <w:tcW w:w="1903" w:type="pct"/>
            <w:tcBorders>
              <w:top w:val="nil"/>
              <w:left w:val="nil"/>
              <w:bottom w:val="single" w:sz="4" w:space="0" w:color="auto"/>
              <w:right w:val="single" w:sz="4" w:space="0" w:color="auto"/>
            </w:tcBorders>
            <w:shd w:val="clear" w:color="auto" w:fill="auto"/>
            <w:vAlign w:val="bottom"/>
            <w:hideMark/>
          </w:tcPr>
          <w:p w14:paraId="41B93D2A"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Apartado específico o banner en la página inicial del sitio</w:t>
            </w:r>
          </w:p>
        </w:tc>
      </w:tr>
      <w:tr w:rsidR="00D15F0F" w:rsidRPr="00561A62" w14:paraId="52635DE6" w14:textId="77777777" w:rsidTr="00585D44">
        <w:trPr>
          <w:trHeight w:val="362"/>
        </w:trPr>
        <w:tc>
          <w:tcPr>
            <w:tcW w:w="919" w:type="pct"/>
            <w:vMerge/>
            <w:tcBorders>
              <w:top w:val="nil"/>
              <w:left w:val="single" w:sz="4" w:space="0" w:color="auto"/>
              <w:bottom w:val="single" w:sz="4" w:space="0" w:color="000000"/>
              <w:right w:val="single" w:sz="4" w:space="0" w:color="auto"/>
            </w:tcBorders>
            <w:vAlign w:val="center"/>
            <w:hideMark/>
          </w:tcPr>
          <w:p w14:paraId="24FA896A"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3A7678F5"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6E0B137C"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39F77D00"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5</w:t>
            </w:r>
          </w:p>
        </w:tc>
        <w:tc>
          <w:tcPr>
            <w:tcW w:w="1903" w:type="pct"/>
            <w:tcBorders>
              <w:top w:val="nil"/>
              <w:left w:val="nil"/>
              <w:bottom w:val="single" w:sz="4" w:space="0" w:color="auto"/>
              <w:right w:val="single" w:sz="4" w:space="0" w:color="auto"/>
            </w:tcBorders>
            <w:shd w:val="clear" w:color="auto" w:fill="auto"/>
            <w:vAlign w:val="bottom"/>
            <w:hideMark/>
          </w:tcPr>
          <w:p w14:paraId="668333B4"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 xml:space="preserve">Apartado </w:t>
            </w:r>
            <w:proofErr w:type="gramStart"/>
            <w:r w:rsidRPr="00561A62">
              <w:rPr>
                <w:rFonts w:eastAsia="Times New Roman" w:cs="Calibri"/>
                <w:color w:val="000000"/>
                <w:sz w:val="16"/>
                <w:szCs w:val="16"/>
              </w:rPr>
              <w:t>específico</w:t>
            </w:r>
            <w:proofErr w:type="gramEnd"/>
            <w:r w:rsidRPr="00561A62">
              <w:rPr>
                <w:rFonts w:eastAsia="Times New Roman" w:cs="Calibri"/>
                <w:color w:val="000000"/>
                <w:sz w:val="16"/>
                <w:szCs w:val="16"/>
              </w:rPr>
              <w:t xml:space="preserve"> pero NO en la página de inicio</w:t>
            </w:r>
          </w:p>
        </w:tc>
      </w:tr>
      <w:tr w:rsidR="00D15F0F" w:rsidRPr="00561A62" w14:paraId="52BCF977" w14:textId="77777777" w:rsidTr="00585D44">
        <w:trPr>
          <w:trHeight w:val="600"/>
        </w:trPr>
        <w:tc>
          <w:tcPr>
            <w:tcW w:w="919" w:type="pct"/>
            <w:vMerge/>
            <w:tcBorders>
              <w:top w:val="nil"/>
              <w:left w:val="single" w:sz="4" w:space="0" w:color="auto"/>
              <w:bottom w:val="single" w:sz="4" w:space="0" w:color="000000"/>
              <w:right w:val="single" w:sz="4" w:space="0" w:color="auto"/>
            </w:tcBorders>
            <w:vAlign w:val="center"/>
            <w:hideMark/>
          </w:tcPr>
          <w:p w14:paraId="491634C5" w14:textId="77777777" w:rsidR="00D15F0F" w:rsidRPr="00561A62" w:rsidRDefault="00D15F0F" w:rsidP="00585D44">
            <w:pPr>
              <w:spacing w:after="0" w:line="240" w:lineRule="auto"/>
              <w:jc w:val="left"/>
              <w:rPr>
                <w:rFonts w:eastAsia="Times New Roman" w:cs="Calibri"/>
                <w:color w:val="000000"/>
                <w:sz w:val="16"/>
                <w:szCs w:val="16"/>
              </w:rPr>
            </w:pPr>
          </w:p>
        </w:tc>
        <w:tc>
          <w:tcPr>
            <w:tcW w:w="724" w:type="pct"/>
            <w:vMerge/>
            <w:tcBorders>
              <w:top w:val="nil"/>
              <w:left w:val="single" w:sz="4" w:space="0" w:color="auto"/>
              <w:bottom w:val="single" w:sz="4" w:space="0" w:color="auto"/>
              <w:right w:val="single" w:sz="4" w:space="0" w:color="auto"/>
            </w:tcBorders>
            <w:vAlign w:val="center"/>
            <w:hideMark/>
          </w:tcPr>
          <w:p w14:paraId="73F338D6" w14:textId="77777777" w:rsidR="00D15F0F" w:rsidRPr="00561A62" w:rsidRDefault="00D15F0F" w:rsidP="00585D44">
            <w:pPr>
              <w:spacing w:after="0" w:line="240" w:lineRule="auto"/>
              <w:jc w:val="left"/>
              <w:rPr>
                <w:rFonts w:eastAsia="Times New Roman" w:cs="Calibri"/>
                <w:color w:val="000000"/>
                <w:sz w:val="16"/>
                <w:szCs w:val="16"/>
              </w:rPr>
            </w:pPr>
          </w:p>
        </w:tc>
        <w:tc>
          <w:tcPr>
            <w:tcW w:w="1135" w:type="pct"/>
            <w:vMerge/>
            <w:tcBorders>
              <w:top w:val="nil"/>
              <w:left w:val="single" w:sz="4" w:space="0" w:color="auto"/>
              <w:bottom w:val="single" w:sz="4" w:space="0" w:color="auto"/>
              <w:right w:val="single" w:sz="4" w:space="0" w:color="auto"/>
            </w:tcBorders>
            <w:vAlign w:val="center"/>
            <w:hideMark/>
          </w:tcPr>
          <w:p w14:paraId="54D870B0" w14:textId="77777777" w:rsidR="00D15F0F" w:rsidRPr="00561A62" w:rsidRDefault="00D15F0F" w:rsidP="00585D44">
            <w:pPr>
              <w:spacing w:after="0" w:line="240" w:lineRule="auto"/>
              <w:jc w:val="left"/>
              <w:rPr>
                <w:rFonts w:eastAsia="Times New Roman" w:cs="Calibri"/>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hideMark/>
          </w:tcPr>
          <w:p w14:paraId="0E67EF06" w14:textId="77777777" w:rsidR="00D15F0F" w:rsidRPr="00561A62" w:rsidRDefault="00D15F0F" w:rsidP="00585D44">
            <w:pPr>
              <w:spacing w:after="0" w:line="240" w:lineRule="auto"/>
              <w:jc w:val="center"/>
              <w:rPr>
                <w:rFonts w:eastAsia="Times New Roman" w:cs="Calibri"/>
                <w:color w:val="000000"/>
                <w:sz w:val="16"/>
                <w:szCs w:val="16"/>
              </w:rPr>
            </w:pPr>
            <w:r w:rsidRPr="00561A62">
              <w:rPr>
                <w:rFonts w:eastAsia="Times New Roman" w:cs="Calibri"/>
                <w:color w:val="000000"/>
                <w:sz w:val="16"/>
                <w:szCs w:val="16"/>
              </w:rPr>
              <w:t>0</w:t>
            </w:r>
          </w:p>
        </w:tc>
        <w:tc>
          <w:tcPr>
            <w:tcW w:w="1903" w:type="pct"/>
            <w:tcBorders>
              <w:top w:val="nil"/>
              <w:left w:val="nil"/>
              <w:bottom w:val="single" w:sz="4" w:space="0" w:color="auto"/>
              <w:right w:val="single" w:sz="4" w:space="0" w:color="auto"/>
            </w:tcBorders>
            <w:shd w:val="clear" w:color="auto" w:fill="auto"/>
            <w:vAlign w:val="bottom"/>
            <w:hideMark/>
          </w:tcPr>
          <w:p w14:paraId="44497FE9" w14:textId="77777777" w:rsidR="00D15F0F" w:rsidRPr="00561A62" w:rsidRDefault="00D15F0F" w:rsidP="00585D44">
            <w:pPr>
              <w:spacing w:after="0" w:line="240" w:lineRule="auto"/>
              <w:jc w:val="left"/>
              <w:rPr>
                <w:rFonts w:eastAsia="Times New Roman" w:cs="Calibri"/>
                <w:color w:val="000000"/>
                <w:sz w:val="16"/>
                <w:szCs w:val="16"/>
              </w:rPr>
            </w:pPr>
            <w:r w:rsidRPr="00561A62">
              <w:rPr>
                <w:rFonts w:eastAsia="Times New Roman" w:cs="Calibri"/>
                <w:color w:val="000000"/>
                <w:sz w:val="16"/>
                <w:szCs w:val="16"/>
              </w:rPr>
              <w:t>No existe un apartado específico de transparencia</w:t>
            </w:r>
          </w:p>
        </w:tc>
      </w:tr>
    </w:tbl>
    <w:bookmarkStart w:id="59" w:name="_Toc219463064"/>
    <w:p w14:paraId="3B75D1B0" w14:textId="77777777" w:rsidR="00D15F0F" w:rsidRPr="00D8384C" w:rsidRDefault="00CE2AF5" w:rsidP="00337E80">
      <w:pPr>
        <w:rPr>
          <w:rFonts w:eastAsia="Times New Roman" w:cs="Times New Roman"/>
          <w:b/>
          <w:color w:val="438086" w:themeColor="accent2"/>
          <w:sz w:val="32"/>
          <w:szCs w:val="32"/>
          <w:lang w:eastAsia="en-US"/>
        </w:rPr>
      </w:pPr>
      <w:sdt>
        <w:sdtPr>
          <w:rPr>
            <w:rStyle w:val="Ttulo1Car"/>
          </w:rPr>
          <w:id w:val="-2053380632"/>
        </w:sdtPr>
        <w:sdtEndPr>
          <w:rPr>
            <w:rStyle w:val="Fuentedeprrafopredeter"/>
            <w:rFonts w:eastAsia="Times New Roman" w:cs="Times New Roman"/>
            <w:b w:val="0"/>
            <w:color w:val="auto"/>
            <w:sz w:val="22"/>
            <w:szCs w:val="20"/>
            <w:lang w:eastAsia="en-US"/>
          </w:rPr>
        </w:sdtEndPr>
        <w:sdtContent>
          <w:r w:rsidR="00D15F0F" w:rsidRPr="00822D40">
            <w:rPr>
              <w:rStyle w:val="Ttulo1Car"/>
            </w:rPr>
            <w:t>Anexo II: Índices de Cumplimiento de la Información Obligatoria en 202</w:t>
          </w:r>
          <w:r w:rsidR="001F1CC9">
            <w:rPr>
              <w:rStyle w:val="Ttulo1Car"/>
            </w:rPr>
            <w:t>5</w:t>
          </w:r>
          <w:r w:rsidR="00D15F0F" w:rsidRPr="00822D40">
            <w:rPr>
              <w:rStyle w:val="Ttulo1Car"/>
            </w:rPr>
            <w:t xml:space="preserve">, evolución y </w:t>
          </w:r>
          <w:r w:rsidR="001E40D9" w:rsidRPr="00822D40">
            <w:rPr>
              <w:rStyle w:val="Ttulo1Car"/>
            </w:rPr>
            <w:t xml:space="preserve">(en su caso) </w:t>
          </w:r>
          <w:r w:rsidR="00D15F0F" w:rsidRPr="00822D40">
            <w:rPr>
              <w:rStyle w:val="Ttulo1Car"/>
            </w:rPr>
            <w:t>grado de aplicación de las recomendaciones derivadas de la evaluación 202</w:t>
          </w:r>
          <w:r w:rsidR="001F1CC9">
            <w:rPr>
              <w:rStyle w:val="Ttulo1Car"/>
            </w:rPr>
            <w:t>4</w:t>
          </w:r>
          <w:bookmarkEnd w:id="59"/>
        </w:sdtContent>
      </w:sdt>
    </w:p>
    <w:tbl>
      <w:tblPr>
        <w:tblStyle w:val="Tablaconcuadrcula4-nfasis2"/>
        <w:tblW w:w="10490" w:type="dxa"/>
        <w:tblInd w:w="-714" w:type="dxa"/>
        <w:tblLayout w:type="fixed"/>
        <w:tblLook w:val="04A0" w:firstRow="1" w:lastRow="0" w:firstColumn="1" w:lastColumn="0" w:noHBand="0" w:noVBand="1"/>
      </w:tblPr>
      <w:tblGrid>
        <w:gridCol w:w="2552"/>
        <w:gridCol w:w="1276"/>
        <w:gridCol w:w="1701"/>
        <w:gridCol w:w="1701"/>
        <w:gridCol w:w="1559"/>
        <w:gridCol w:w="1701"/>
      </w:tblGrid>
      <w:tr w:rsidR="009F51A6" w:rsidRPr="00561A62" w14:paraId="719C622B" w14:textId="77777777" w:rsidTr="009F51A6">
        <w:trPr>
          <w:cnfStyle w:val="100000000000" w:firstRow="1" w:lastRow="0" w:firstColumn="0" w:lastColumn="0" w:oddVBand="0" w:evenVBand="0" w:oddHBand="0" w:evenHBand="0" w:firstRowFirstColumn="0" w:firstRowLastColumn="0" w:lastRowFirstColumn="0" w:lastRowLastColumn="0"/>
          <w:trHeight w:val="1290"/>
          <w:tblHeader/>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1FA177E" w14:textId="77777777" w:rsidR="00D15F0F" w:rsidRPr="009F51A6" w:rsidRDefault="00D15F0F" w:rsidP="00585D44">
            <w:pPr>
              <w:jc w:val="center"/>
              <w:rPr>
                <w:rFonts w:eastAsia="Times New Roman" w:cs="Calibri"/>
                <w:color w:val="FFFFFF"/>
                <w:sz w:val="16"/>
                <w:szCs w:val="16"/>
              </w:rPr>
            </w:pPr>
            <w:r w:rsidRPr="009F51A6">
              <w:rPr>
                <w:rFonts w:eastAsia="Times New Roman" w:cs="Calibri"/>
                <w:color w:val="FFFFFF"/>
                <w:sz w:val="16"/>
                <w:szCs w:val="16"/>
              </w:rPr>
              <w:t>Entidad</w:t>
            </w:r>
          </w:p>
        </w:tc>
        <w:tc>
          <w:tcPr>
            <w:tcW w:w="1276" w:type="dxa"/>
            <w:noWrap/>
            <w:hideMark/>
          </w:tcPr>
          <w:p w14:paraId="62640C58" w14:textId="77777777" w:rsidR="00D15F0F" w:rsidRPr="009F51A6" w:rsidRDefault="00D15F0F" w:rsidP="00585D44">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6"/>
                <w:szCs w:val="16"/>
              </w:rPr>
            </w:pPr>
            <w:r w:rsidRPr="009F51A6">
              <w:rPr>
                <w:rFonts w:eastAsia="Times New Roman" w:cs="Calibri"/>
                <w:color w:val="FFFFFF"/>
                <w:sz w:val="16"/>
                <w:szCs w:val="16"/>
              </w:rPr>
              <w:t>Cumplimiento</w:t>
            </w:r>
          </w:p>
        </w:tc>
        <w:tc>
          <w:tcPr>
            <w:tcW w:w="1701" w:type="dxa"/>
            <w:hideMark/>
          </w:tcPr>
          <w:p w14:paraId="333A886D" w14:textId="094AD526" w:rsidR="00D15F0F" w:rsidRPr="009F51A6" w:rsidRDefault="00D15F0F" w:rsidP="00585D44">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6"/>
                <w:szCs w:val="16"/>
              </w:rPr>
            </w:pPr>
            <w:r w:rsidRPr="009F51A6">
              <w:rPr>
                <w:rFonts w:eastAsia="Times New Roman" w:cs="Calibri"/>
                <w:color w:val="FFFFFF"/>
                <w:sz w:val="16"/>
                <w:szCs w:val="16"/>
              </w:rPr>
              <w:t>Diferencia respecto de 202</w:t>
            </w:r>
            <w:r w:rsidR="009B1C94">
              <w:rPr>
                <w:rFonts w:eastAsia="Times New Roman" w:cs="Calibri"/>
                <w:color w:val="FFFFFF"/>
                <w:sz w:val="16"/>
                <w:szCs w:val="16"/>
              </w:rPr>
              <w:t>4</w:t>
            </w:r>
            <w:r w:rsidRPr="009F51A6">
              <w:rPr>
                <w:rFonts w:eastAsia="Times New Roman" w:cs="Calibri"/>
                <w:color w:val="FFFFFF"/>
                <w:sz w:val="16"/>
                <w:szCs w:val="16"/>
              </w:rPr>
              <w:t xml:space="preserve"> (puntos porcentuales)</w:t>
            </w:r>
          </w:p>
        </w:tc>
        <w:tc>
          <w:tcPr>
            <w:tcW w:w="1701" w:type="dxa"/>
            <w:hideMark/>
          </w:tcPr>
          <w:p w14:paraId="67908C1F" w14:textId="77777777" w:rsidR="00D15F0F" w:rsidRPr="009F51A6" w:rsidRDefault="00D15F0F" w:rsidP="00585D44">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6"/>
                <w:szCs w:val="16"/>
              </w:rPr>
            </w:pPr>
            <w:r w:rsidRPr="009F51A6">
              <w:rPr>
                <w:rFonts w:eastAsia="Times New Roman" w:cs="Calibri"/>
                <w:color w:val="FFFFFF"/>
                <w:sz w:val="16"/>
                <w:szCs w:val="16"/>
              </w:rPr>
              <w:t>Recomendaciones efectuadas</w:t>
            </w:r>
          </w:p>
        </w:tc>
        <w:tc>
          <w:tcPr>
            <w:tcW w:w="1559" w:type="dxa"/>
            <w:hideMark/>
          </w:tcPr>
          <w:p w14:paraId="2F5C68E4" w14:textId="73225976" w:rsidR="00D15F0F" w:rsidRPr="009F51A6" w:rsidRDefault="00D15F0F" w:rsidP="00585D44">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6"/>
                <w:szCs w:val="16"/>
              </w:rPr>
            </w:pPr>
            <w:r w:rsidRPr="009F51A6">
              <w:rPr>
                <w:rFonts w:eastAsia="Times New Roman" w:cs="Calibri"/>
                <w:color w:val="FFFFFF"/>
                <w:sz w:val="16"/>
                <w:szCs w:val="16"/>
              </w:rPr>
              <w:t>Recomendaciones aplicadas</w:t>
            </w:r>
          </w:p>
        </w:tc>
        <w:tc>
          <w:tcPr>
            <w:tcW w:w="1701" w:type="dxa"/>
            <w:hideMark/>
          </w:tcPr>
          <w:p w14:paraId="0730AE53" w14:textId="1A1684D9" w:rsidR="00D15F0F" w:rsidRPr="009F51A6" w:rsidRDefault="00D15F0F" w:rsidP="00585D44">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6"/>
                <w:szCs w:val="16"/>
              </w:rPr>
            </w:pPr>
            <w:r w:rsidRPr="009F51A6">
              <w:rPr>
                <w:rFonts w:eastAsia="Times New Roman" w:cs="Calibri"/>
                <w:color w:val="FFFFFF"/>
                <w:sz w:val="16"/>
                <w:szCs w:val="16"/>
              </w:rPr>
              <w:t xml:space="preserve">Recomendaciones o </w:t>
            </w:r>
            <w:r w:rsidR="009F51A6" w:rsidRPr="009F51A6">
              <w:rPr>
                <w:rFonts w:eastAsia="Times New Roman" w:cs="Calibri"/>
                <w:color w:val="FFFFFF"/>
                <w:sz w:val="16"/>
                <w:szCs w:val="16"/>
              </w:rPr>
              <w:t>m</w:t>
            </w:r>
            <w:r w:rsidRPr="009F51A6">
              <w:rPr>
                <w:rFonts w:eastAsia="Times New Roman" w:cs="Calibri"/>
                <w:color w:val="FFFFFF"/>
                <w:sz w:val="16"/>
                <w:szCs w:val="16"/>
              </w:rPr>
              <w:t>ejoras implantadas durante el periodo de observaciones</w:t>
            </w:r>
          </w:p>
        </w:tc>
      </w:tr>
      <w:tr w:rsidR="009F51A6" w:rsidRPr="00561A62" w14:paraId="71E737D8" w14:textId="77777777" w:rsidTr="009F51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76EF86B" w14:textId="2699147B" w:rsidR="00D15F0F" w:rsidRPr="00561A62" w:rsidRDefault="001F1CC9" w:rsidP="00585D44">
            <w:pPr>
              <w:jc w:val="left"/>
              <w:rPr>
                <w:rFonts w:eastAsia="Times New Roman" w:cs="Calibri"/>
                <w:color w:val="000000"/>
                <w:sz w:val="16"/>
                <w:szCs w:val="16"/>
              </w:rPr>
            </w:pPr>
            <w:r w:rsidRPr="00561A62">
              <w:rPr>
                <w:rFonts w:eastAsia="Times New Roman" w:cs="Calibri"/>
                <w:color w:val="000000"/>
                <w:sz w:val="16"/>
                <w:szCs w:val="16"/>
              </w:rPr>
              <w:t>Coordinadora de ONG para el desarrollo</w:t>
            </w:r>
          </w:p>
        </w:tc>
        <w:tc>
          <w:tcPr>
            <w:tcW w:w="1276" w:type="dxa"/>
            <w:noWrap/>
            <w:hideMark/>
          </w:tcPr>
          <w:p w14:paraId="173CF0D3" w14:textId="77777777" w:rsidR="00D15F0F" w:rsidRPr="00561A62" w:rsidRDefault="00D15F0F" w:rsidP="00585D44">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61A62">
              <w:rPr>
                <w:rFonts w:eastAsia="Times New Roman" w:cs="Calibri"/>
                <w:sz w:val="16"/>
                <w:szCs w:val="16"/>
              </w:rPr>
              <w:t>100</w:t>
            </w:r>
          </w:p>
        </w:tc>
        <w:tc>
          <w:tcPr>
            <w:tcW w:w="1701" w:type="dxa"/>
            <w:noWrap/>
            <w:hideMark/>
          </w:tcPr>
          <w:p w14:paraId="17EF7ADD" w14:textId="3107009E" w:rsidR="00D15F0F" w:rsidRPr="00561A62" w:rsidRDefault="001F1CC9" w:rsidP="00585D44">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27,6</w:t>
            </w:r>
          </w:p>
        </w:tc>
        <w:tc>
          <w:tcPr>
            <w:tcW w:w="1701" w:type="dxa"/>
            <w:noWrap/>
            <w:hideMark/>
          </w:tcPr>
          <w:p w14:paraId="59492A34" w14:textId="27B53693" w:rsidR="00D15F0F" w:rsidRPr="00561A62" w:rsidRDefault="001F1CC9" w:rsidP="00585D44">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11</w:t>
            </w:r>
          </w:p>
        </w:tc>
        <w:tc>
          <w:tcPr>
            <w:tcW w:w="1559" w:type="dxa"/>
            <w:noWrap/>
            <w:hideMark/>
          </w:tcPr>
          <w:p w14:paraId="66E4F663" w14:textId="403F7611" w:rsidR="00D15F0F" w:rsidRPr="00561A62" w:rsidRDefault="001F1CC9" w:rsidP="00585D44">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11</w:t>
            </w:r>
          </w:p>
        </w:tc>
        <w:tc>
          <w:tcPr>
            <w:tcW w:w="1701" w:type="dxa"/>
            <w:noWrap/>
            <w:hideMark/>
          </w:tcPr>
          <w:p w14:paraId="78CD2A93" w14:textId="77777777" w:rsidR="00D15F0F" w:rsidRPr="00561A62" w:rsidRDefault="00D15F0F" w:rsidP="00585D44">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9F51A6" w:rsidRPr="00561A62" w14:paraId="61732273"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E564FC8" w14:textId="78A63A8C" w:rsidR="00D15F0F" w:rsidRPr="00561A62" w:rsidRDefault="001F1CC9" w:rsidP="00585D44">
            <w:pPr>
              <w:jc w:val="left"/>
              <w:rPr>
                <w:rFonts w:eastAsia="Times New Roman" w:cs="Calibri"/>
                <w:color w:val="000000"/>
                <w:sz w:val="16"/>
                <w:szCs w:val="16"/>
              </w:rPr>
            </w:pPr>
            <w:r>
              <w:rPr>
                <w:rFonts w:eastAsia="Times New Roman" w:cs="Calibri"/>
                <w:color w:val="000000"/>
                <w:sz w:val="16"/>
                <w:szCs w:val="16"/>
              </w:rPr>
              <w:t>Médicos del Mundo</w:t>
            </w:r>
          </w:p>
        </w:tc>
        <w:tc>
          <w:tcPr>
            <w:tcW w:w="1276" w:type="dxa"/>
            <w:noWrap/>
            <w:hideMark/>
          </w:tcPr>
          <w:p w14:paraId="603F7E4D" w14:textId="77777777" w:rsidR="00D15F0F" w:rsidRPr="00561A62" w:rsidRDefault="00D15F0F" w:rsidP="00585D44">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61A62">
              <w:rPr>
                <w:rFonts w:eastAsia="Times New Roman" w:cs="Calibri"/>
                <w:sz w:val="16"/>
                <w:szCs w:val="16"/>
              </w:rPr>
              <w:t>100</w:t>
            </w:r>
          </w:p>
        </w:tc>
        <w:tc>
          <w:tcPr>
            <w:tcW w:w="1701" w:type="dxa"/>
            <w:noWrap/>
            <w:hideMark/>
          </w:tcPr>
          <w:p w14:paraId="7EDD3738" w14:textId="5F1FE574" w:rsidR="00D15F0F" w:rsidRPr="00561A62" w:rsidRDefault="001F1CC9" w:rsidP="00585D44">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w:t>
            </w:r>
            <w:r w:rsidR="00A527C1">
              <w:rPr>
                <w:rFonts w:eastAsia="Times New Roman" w:cs="Calibri"/>
                <w:color w:val="000000"/>
                <w:sz w:val="16"/>
                <w:szCs w:val="16"/>
              </w:rPr>
              <w:t>8</w:t>
            </w:r>
            <w:r>
              <w:rPr>
                <w:rFonts w:eastAsia="Times New Roman" w:cs="Calibri"/>
                <w:color w:val="000000"/>
                <w:sz w:val="16"/>
                <w:szCs w:val="16"/>
              </w:rPr>
              <w:t>,6</w:t>
            </w:r>
          </w:p>
        </w:tc>
        <w:tc>
          <w:tcPr>
            <w:tcW w:w="1701" w:type="dxa"/>
            <w:noWrap/>
            <w:hideMark/>
          </w:tcPr>
          <w:p w14:paraId="079C6B17" w14:textId="3A49D8A2" w:rsidR="00D15F0F" w:rsidRPr="00561A62" w:rsidRDefault="001F1CC9" w:rsidP="00585D44">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c>
          <w:tcPr>
            <w:tcW w:w="1559" w:type="dxa"/>
            <w:noWrap/>
            <w:hideMark/>
          </w:tcPr>
          <w:p w14:paraId="16C4FBB1" w14:textId="696F4023" w:rsidR="00D15F0F" w:rsidRPr="00561A62" w:rsidRDefault="001F1CC9" w:rsidP="00585D44">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c>
          <w:tcPr>
            <w:tcW w:w="1701" w:type="dxa"/>
            <w:noWrap/>
            <w:hideMark/>
          </w:tcPr>
          <w:p w14:paraId="1DF880D5" w14:textId="77777777" w:rsidR="00D15F0F" w:rsidRPr="00561A62" w:rsidRDefault="00D15F0F" w:rsidP="00585D44">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1F1CC9" w:rsidRPr="00561A62" w14:paraId="6FEEA859"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0D01D9C3" w14:textId="6788CB4F" w:rsidR="001F1CC9" w:rsidRDefault="001F1CC9" w:rsidP="00585D44">
            <w:pPr>
              <w:jc w:val="left"/>
              <w:rPr>
                <w:rFonts w:eastAsia="Times New Roman" w:cs="Calibri"/>
                <w:color w:val="000000"/>
                <w:sz w:val="16"/>
                <w:szCs w:val="16"/>
              </w:rPr>
            </w:pPr>
            <w:r w:rsidRPr="00561A62">
              <w:rPr>
                <w:rFonts w:eastAsia="Times New Roman" w:cs="Calibri"/>
                <w:color w:val="000000"/>
                <w:sz w:val="16"/>
                <w:szCs w:val="16"/>
              </w:rPr>
              <w:t>Real Federación Española de Tenis</w:t>
            </w:r>
          </w:p>
        </w:tc>
        <w:tc>
          <w:tcPr>
            <w:tcW w:w="1276" w:type="dxa"/>
            <w:noWrap/>
          </w:tcPr>
          <w:p w14:paraId="1B0BD373" w14:textId="75B3D687" w:rsidR="001F1CC9" w:rsidRPr="00561A62" w:rsidRDefault="001F1CC9" w:rsidP="00585D44">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88,4</w:t>
            </w:r>
          </w:p>
        </w:tc>
        <w:tc>
          <w:tcPr>
            <w:tcW w:w="1701" w:type="dxa"/>
            <w:noWrap/>
          </w:tcPr>
          <w:p w14:paraId="2FBBB2CD" w14:textId="0DACB518" w:rsidR="001F1CC9" w:rsidRDefault="001F1CC9" w:rsidP="00585D44">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36,6</w:t>
            </w:r>
          </w:p>
        </w:tc>
        <w:tc>
          <w:tcPr>
            <w:tcW w:w="1701" w:type="dxa"/>
            <w:noWrap/>
          </w:tcPr>
          <w:p w14:paraId="4EC73C03" w14:textId="3D977D95" w:rsidR="001F1CC9" w:rsidRDefault="001F1CC9" w:rsidP="00585D44">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7</w:t>
            </w:r>
          </w:p>
        </w:tc>
        <w:tc>
          <w:tcPr>
            <w:tcW w:w="1559" w:type="dxa"/>
            <w:noWrap/>
          </w:tcPr>
          <w:p w14:paraId="4C561B40" w14:textId="77B99B3C" w:rsidR="001F1CC9" w:rsidRDefault="001F1CC9" w:rsidP="00585D44">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5</w:t>
            </w:r>
          </w:p>
        </w:tc>
        <w:tc>
          <w:tcPr>
            <w:tcW w:w="1701" w:type="dxa"/>
            <w:noWrap/>
          </w:tcPr>
          <w:p w14:paraId="1E605020" w14:textId="77777777" w:rsidR="001F1CC9" w:rsidRPr="00561A62" w:rsidRDefault="001F1CC9" w:rsidP="00585D44">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1F1CC9" w:rsidRPr="00561A62" w14:paraId="3F17ABFB"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0EC874E9" w14:textId="5E5695DA" w:rsidR="001F1CC9" w:rsidRPr="00561A62" w:rsidRDefault="001F1CC9" w:rsidP="00585D44">
            <w:pPr>
              <w:jc w:val="left"/>
              <w:rPr>
                <w:rFonts w:eastAsia="Times New Roman" w:cs="Calibri"/>
                <w:color w:val="000000"/>
                <w:sz w:val="16"/>
                <w:szCs w:val="16"/>
              </w:rPr>
            </w:pPr>
            <w:r w:rsidRPr="00561A62">
              <w:rPr>
                <w:rFonts w:eastAsia="Times New Roman" w:cs="Calibri"/>
                <w:color w:val="000000"/>
                <w:sz w:val="16"/>
                <w:szCs w:val="16"/>
              </w:rPr>
              <w:t>Asamblea de Cooperación por la Paz</w:t>
            </w:r>
          </w:p>
        </w:tc>
        <w:tc>
          <w:tcPr>
            <w:tcW w:w="1276" w:type="dxa"/>
            <w:noWrap/>
          </w:tcPr>
          <w:p w14:paraId="3B39D920" w14:textId="37805C94" w:rsidR="001F1CC9" w:rsidRDefault="001F1CC9" w:rsidP="00585D44">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88.2</w:t>
            </w:r>
          </w:p>
        </w:tc>
        <w:tc>
          <w:tcPr>
            <w:tcW w:w="1701" w:type="dxa"/>
            <w:noWrap/>
          </w:tcPr>
          <w:p w14:paraId="354B693B" w14:textId="53C01740" w:rsidR="001F1CC9" w:rsidRDefault="001F1CC9" w:rsidP="00585D44">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30.7</w:t>
            </w:r>
          </w:p>
        </w:tc>
        <w:tc>
          <w:tcPr>
            <w:tcW w:w="1701" w:type="dxa"/>
            <w:noWrap/>
          </w:tcPr>
          <w:p w14:paraId="2910D6A6" w14:textId="0234E6C2" w:rsidR="001F1CC9" w:rsidRDefault="001F1CC9" w:rsidP="00585D44">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11</w:t>
            </w:r>
          </w:p>
        </w:tc>
        <w:tc>
          <w:tcPr>
            <w:tcW w:w="1559" w:type="dxa"/>
            <w:noWrap/>
          </w:tcPr>
          <w:p w14:paraId="06076C75" w14:textId="4285439E" w:rsidR="001F1CC9" w:rsidRDefault="001F1CC9" w:rsidP="00585D44">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7</w:t>
            </w:r>
          </w:p>
        </w:tc>
        <w:tc>
          <w:tcPr>
            <w:tcW w:w="1701" w:type="dxa"/>
            <w:noWrap/>
          </w:tcPr>
          <w:p w14:paraId="65D88949" w14:textId="77777777" w:rsidR="001F1CC9" w:rsidRPr="00561A62" w:rsidRDefault="001F1CC9" w:rsidP="00585D44">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1F1CC9" w:rsidRPr="00561A62" w14:paraId="538FD2A7"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3E61D7C5" w14:textId="50BFF869" w:rsidR="001F1CC9" w:rsidRPr="00561A62" w:rsidRDefault="001F1CC9" w:rsidP="00585D44">
            <w:pPr>
              <w:jc w:val="left"/>
              <w:rPr>
                <w:rFonts w:eastAsia="Times New Roman" w:cs="Calibri"/>
                <w:color w:val="000000"/>
                <w:sz w:val="16"/>
                <w:szCs w:val="16"/>
              </w:rPr>
            </w:pPr>
            <w:r>
              <w:rPr>
                <w:rFonts w:eastAsia="Times New Roman" w:cs="Calibri"/>
                <w:color w:val="000000"/>
                <w:sz w:val="16"/>
                <w:szCs w:val="16"/>
              </w:rPr>
              <w:t>Real Federación Española de Piragüismo</w:t>
            </w:r>
          </w:p>
        </w:tc>
        <w:tc>
          <w:tcPr>
            <w:tcW w:w="1276" w:type="dxa"/>
            <w:noWrap/>
          </w:tcPr>
          <w:p w14:paraId="4A9F759C" w14:textId="75AF3C35" w:rsidR="001F1CC9" w:rsidRPr="00561A62" w:rsidRDefault="001F1CC9" w:rsidP="00585D44">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79,1</w:t>
            </w:r>
          </w:p>
        </w:tc>
        <w:tc>
          <w:tcPr>
            <w:tcW w:w="4961" w:type="dxa"/>
            <w:gridSpan w:val="3"/>
            <w:noWrap/>
          </w:tcPr>
          <w:p w14:paraId="626FC1BA" w14:textId="60585A94" w:rsidR="001F1CC9" w:rsidRPr="00561A62" w:rsidRDefault="001F1CC9" w:rsidP="00585D44">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7467F786" w14:textId="65CA462D" w:rsidR="001F1CC9" w:rsidRPr="00561A62" w:rsidRDefault="00B0067A" w:rsidP="00B0067A">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w:t>
            </w:r>
          </w:p>
        </w:tc>
      </w:tr>
      <w:tr w:rsidR="001F1CC9" w:rsidRPr="00561A62" w14:paraId="206F832A"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03ACDBB4" w14:textId="5F59E549" w:rsidR="001F1CC9" w:rsidRPr="00561A62" w:rsidRDefault="001F1CC9" w:rsidP="001F1CC9">
            <w:pPr>
              <w:jc w:val="left"/>
              <w:rPr>
                <w:rFonts w:eastAsia="Times New Roman" w:cs="Calibri"/>
                <w:color w:val="000000"/>
                <w:sz w:val="16"/>
                <w:szCs w:val="16"/>
              </w:rPr>
            </w:pPr>
            <w:r w:rsidRPr="00561A62">
              <w:rPr>
                <w:rFonts w:eastAsia="Times New Roman" w:cs="Calibri"/>
                <w:color w:val="000000"/>
                <w:sz w:val="16"/>
                <w:szCs w:val="16"/>
              </w:rPr>
              <w:t>Asociación Española Contra el Cáncer</w:t>
            </w:r>
          </w:p>
        </w:tc>
        <w:tc>
          <w:tcPr>
            <w:tcW w:w="1276" w:type="dxa"/>
            <w:noWrap/>
          </w:tcPr>
          <w:p w14:paraId="19754B61" w14:textId="12A2BB9D"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79</w:t>
            </w:r>
          </w:p>
        </w:tc>
        <w:tc>
          <w:tcPr>
            <w:tcW w:w="1701" w:type="dxa"/>
            <w:noWrap/>
          </w:tcPr>
          <w:p w14:paraId="43D98A8D" w14:textId="416EC223"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8,2</w:t>
            </w:r>
          </w:p>
        </w:tc>
        <w:tc>
          <w:tcPr>
            <w:tcW w:w="1701" w:type="dxa"/>
            <w:noWrap/>
          </w:tcPr>
          <w:p w14:paraId="0BA5138D" w14:textId="511A7EB2"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6</w:t>
            </w:r>
          </w:p>
        </w:tc>
        <w:tc>
          <w:tcPr>
            <w:tcW w:w="1559" w:type="dxa"/>
            <w:noWrap/>
          </w:tcPr>
          <w:p w14:paraId="56EBB0E8" w14:textId="007B6589"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w:t>
            </w:r>
          </w:p>
        </w:tc>
        <w:tc>
          <w:tcPr>
            <w:tcW w:w="1701" w:type="dxa"/>
            <w:noWrap/>
          </w:tcPr>
          <w:p w14:paraId="2AEEA653"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1F1CC9" w:rsidRPr="00561A62" w14:paraId="239A15FD"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7107A0E5" w14:textId="373C02A4" w:rsidR="001F1CC9" w:rsidRPr="00561A62" w:rsidRDefault="001F1CC9" w:rsidP="001F1CC9">
            <w:pPr>
              <w:jc w:val="left"/>
              <w:rPr>
                <w:rFonts w:eastAsia="Times New Roman" w:cs="Calibri"/>
                <w:color w:val="000000"/>
                <w:sz w:val="16"/>
                <w:szCs w:val="16"/>
              </w:rPr>
            </w:pPr>
            <w:r w:rsidRPr="00561A62">
              <w:rPr>
                <w:rFonts w:eastAsia="Times New Roman" w:cs="Calibri"/>
                <w:color w:val="000000"/>
                <w:sz w:val="16"/>
                <w:szCs w:val="16"/>
              </w:rPr>
              <w:t>Plataforma de Organizaciones de Infancia</w:t>
            </w:r>
          </w:p>
        </w:tc>
        <w:tc>
          <w:tcPr>
            <w:tcW w:w="1276" w:type="dxa"/>
            <w:noWrap/>
          </w:tcPr>
          <w:p w14:paraId="4CB46BB3" w14:textId="093CE69D"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72,7</w:t>
            </w:r>
          </w:p>
        </w:tc>
        <w:tc>
          <w:tcPr>
            <w:tcW w:w="1701" w:type="dxa"/>
            <w:noWrap/>
          </w:tcPr>
          <w:p w14:paraId="40948B44" w14:textId="65C61CCD"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19,6</w:t>
            </w:r>
          </w:p>
        </w:tc>
        <w:tc>
          <w:tcPr>
            <w:tcW w:w="1701" w:type="dxa"/>
            <w:noWrap/>
          </w:tcPr>
          <w:p w14:paraId="1DAF965B" w14:textId="7C4BD7C9"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9</w:t>
            </w:r>
          </w:p>
        </w:tc>
        <w:tc>
          <w:tcPr>
            <w:tcW w:w="1559" w:type="dxa"/>
            <w:noWrap/>
          </w:tcPr>
          <w:p w14:paraId="7427F50D" w14:textId="04A228C4"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c>
          <w:tcPr>
            <w:tcW w:w="1701" w:type="dxa"/>
            <w:noWrap/>
          </w:tcPr>
          <w:p w14:paraId="3BF0E551" w14:textId="2912DE0C" w:rsidR="001F1CC9" w:rsidRPr="00561A62" w:rsidRDefault="00B0067A"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w:t>
            </w:r>
          </w:p>
        </w:tc>
      </w:tr>
      <w:tr w:rsidR="00826BEB" w:rsidRPr="00561A62" w14:paraId="600619E6" w14:textId="77777777" w:rsidTr="001F2244">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694A6246" w14:textId="606F1EC3" w:rsidR="00826BEB" w:rsidRPr="00561A62" w:rsidRDefault="00826BEB" w:rsidP="001F1CC9">
            <w:pPr>
              <w:jc w:val="left"/>
              <w:rPr>
                <w:rFonts w:eastAsia="Times New Roman" w:cs="Calibri"/>
                <w:color w:val="000000"/>
                <w:sz w:val="16"/>
                <w:szCs w:val="16"/>
              </w:rPr>
            </w:pPr>
            <w:r w:rsidRPr="00826BEB">
              <w:rPr>
                <w:rFonts w:eastAsia="Times New Roman" w:cs="Calibri"/>
                <w:color w:val="000000"/>
                <w:sz w:val="16"/>
                <w:szCs w:val="16"/>
              </w:rPr>
              <w:t>Organización de Consumidores y Usuarios</w:t>
            </w:r>
          </w:p>
        </w:tc>
        <w:tc>
          <w:tcPr>
            <w:tcW w:w="1276" w:type="dxa"/>
            <w:noWrap/>
          </w:tcPr>
          <w:p w14:paraId="65A90FB0" w14:textId="09A8601C" w:rsidR="00826BEB" w:rsidRPr="00561A62" w:rsidRDefault="00826BEB"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72,1</w:t>
            </w:r>
          </w:p>
        </w:tc>
        <w:tc>
          <w:tcPr>
            <w:tcW w:w="4961" w:type="dxa"/>
            <w:gridSpan w:val="3"/>
            <w:noWrap/>
          </w:tcPr>
          <w:p w14:paraId="21DE0C46" w14:textId="7CDD535C" w:rsidR="00826BEB" w:rsidRPr="00561A62" w:rsidRDefault="00826BEB" w:rsidP="00826BEB">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5E899AD7" w14:textId="7EAA1CDF" w:rsidR="00826BEB" w:rsidRPr="00561A62" w:rsidRDefault="00B0067A"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w:t>
            </w:r>
          </w:p>
        </w:tc>
      </w:tr>
      <w:tr w:rsidR="001F1CC9" w:rsidRPr="00561A62" w14:paraId="399718BA"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651C66B1" w14:textId="3514F1AD" w:rsidR="001F1CC9" w:rsidRPr="00561A62" w:rsidRDefault="00826BEB" w:rsidP="001F1CC9">
            <w:pPr>
              <w:jc w:val="left"/>
              <w:rPr>
                <w:rFonts w:eastAsia="Times New Roman" w:cs="Calibri"/>
                <w:color w:val="000000"/>
                <w:sz w:val="16"/>
                <w:szCs w:val="16"/>
              </w:rPr>
            </w:pPr>
            <w:r>
              <w:rPr>
                <w:rFonts w:eastAsia="Times New Roman" w:cs="Calibri"/>
                <w:color w:val="000000"/>
                <w:sz w:val="16"/>
                <w:szCs w:val="16"/>
              </w:rPr>
              <w:t>Intermón O</w:t>
            </w:r>
            <w:r w:rsidR="008D32D8">
              <w:rPr>
                <w:rFonts w:eastAsia="Times New Roman" w:cs="Calibri"/>
                <w:color w:val="000000"/>
                <w:sz w:val="16"/>
                <w:szCs w:val="16"/>
              </w:rPr>
              <w:t>x</w:t>
            </w:r>
            <w:r>
              <w:rPr>
                <w:rFonts w:eastAsia="Times New Roman" w:cs="Calibri"/>
                <w:color w:val="000000"/>
                <w:sz w:val="16"/>
                <w:szCs w:val="16"/>
              </w:rPr>
              <w:t>fam</w:t>
            </w:r>
          </w:p>
        </w:tc>
        <w:tc>
          <w:tcPr>
            <w:tcW w:w="1276" w:type="dxa"/>
            <w:noWrap/>
          </w:tcPr>
          <w:p w14:paraId="0D9C81D9" w14:textId="000E1CB7" w:rsidR="001F1CC9" w:rsidRPr="00561A62" w:rsidRDefault="008D32D8"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71,4</w:t>
            </w:r>
          </w:p>
        </w:tc>
        <w:tc>
          <w:tcPr>
            <w:tcW w:w="1701" w:type="dxa"/>
            <w:noWrap/>
          </w:tcPr>
          <w:p w14:paraId="482E2ABD" w14:textId="2274B602" w:rsidR="001F1CC9" w:rsidRPr="00561A62" w:rsidRDefault="008D32D8"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14,3</w:t>
            </w:r>
          </w:p>
        </w:tc>
        <w:tc>
          <w:tcPr>
            <w:tcW w:w="1701" w:type="dxa"/>
            <w:noWrap/>
          </w:tcPr>
          <w:p w14:paraId="2E2A6463" w14:textId="72772458" w:rsidR="001F1CC9" w:rsidRPr="00561A62" w:rsidRDefault="008D32D8"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9</w:t>
            </w:r>
          </w:p>
        </w:tc>
        <w:tc>
          <w:tcPr>
            <w:tcW w:w="1559" w:type="dxa"/>
            <w:noWrap/>
          </w:tcPr>
          <w:p w14:paraId="2B59E7A2" w14:textId="5FBA37F5" w:rsidR="001F1CC9" w:rsidRPr="00561A62" w:rsidRDefault="008D32D8"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w:t>
            </w:r>
          </w:p>
        </w:tc>
        <w:tc>
          <w:tcPr>
            <w:tcW w:w="1701" w:type="dxa"/>
            <w:noWrap/>
          </w:tcPr>
          <w:p w14:paraId="3317F823" w14:textId="77777777"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1F1CC9" w:rsidRPr="00561A62" w14:paraId="63808148"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8D0E2EA" w14:textId="5573C2C6" w:rsidR="001F1CC9" w:rsidRPr="00561A62" w:rsidRDefault="008D32D8" w:rsidP="001F1CC9">
            <w:pPr>
              <w:jc w:val="left"/>
              <w:rPr>
                <w:rFonts w:eastAsia="Times New Roman" w:cs="Calibri"/>
                <w:color w:val="000000"/>
                <w:sz w:val="16"/>
                <w:szCs w:val="16"/>
              </w:rPr>
            </w:pPr>
            <w:r w:rsidRPr="008D32D8">
              <w:rPr>
                <w:rFonts w:eastAsia="Times New Roman" w:cs="Calibri"/>
                <w:color w:val="000000"/>
                <w:sz w:val="16"/>
                <w:szCs w:val="16"/>
              </w:rPr>
              <w:t>Real Federación Española de Gimnasia</w:t>
            </w:r>
          </w:p>
        </w:tc>
        <w:tc>
          <w:tcPr>
            <w:tcW w:w="1276" w:type="dxa"/>
            <w:noWrap/>
            <w:hideMark/>
          </w:tcPr>
          <w:p w14:paraId="609E2092" w14:textId="70009437" w:rsidR="001F1CC9" w:rsidRPr="00561A62" w:rsidRDefault="008D32D8"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71</w:t>
            </w:r>
          </w:p>
        </w:tc>
        <w:tc>
          <w:tcPr>
            <w:tcW w:w="1701" w:type="dxa"/>
            <w:noWrap/>
            <w:hideMark/>
          </w:tcPr>
          <w:p w14:paraId="2D545AA8" w14:textId="7C2CB9C5"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w:t>
            </w:r>
          </w:p>
        </w:tc>
        <w:tc>
          <w:tcPr>
            <w:tcW w:w="1701" w:type="dxa"/>
            <w:noWrap/>
            <w:hideMark/>
          </w:tcPr>
          <w:p w14:paraId="18269BCD" w14:textId="634D1018" w:rsidR="001F1CC9" w:rsidRPr="00561A62" w:rsidRDefault="008D32D8"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7</w:t>
            </w:r>
          </w:p>
        </w:tc>
        <w:tc>
          <w:tcPr>
            <w:tcW w:w="1559" w:type="dxa"/>
            <w:noWrap/>
            <w:hideMark/>
          </w:tcPr>
          <w:p w14:paraId="1C33C6DD" w14:textId="30B4B2F4" w:rsidR="001F1CC9" w:rsidRPr="00561A62" w:rsidRDefault="008D32D8"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w:t>
            </w:r>
          </w:p>
        </w:tc>
        <w:tc>
          <w:tcPr>
            <w:tcW w:w="1701" w:type="dxa"/>
            <w:noWrap/>
            <w:hideMark/>
          </w:tcPr>
          <w:p w14:paraId="0960D964" w14:textId="4AAFC732" w:rsidR="001F1CC9" w:rsidRPr="00561A62" w:rsidRDefault="00B0067A"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w:t>
            </w:r>
          </w:p>
        </w:tc>
      </w:tr>
      <w:tr w:rsidR="008D32D8" w:rsidRPr="00561A62" w14:paraId="4995E4EB" w14:textId="77777777" w:rsidTr="006C49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3EC8A96" w14:textId="5B752862" w:rsidR="008D32D8" w:rsidRPr="00561A62" w:rsidRDefault="008D32D8" w:rsidP="001F1CC9">
            <w:pPr>
              <w:jc w:val="left"/>
              <w:rPr>
                <w:rFonts w:eastAsia="Times New Roman" w:cs="Calibri"/>
                <w:color w:val="000000"/>
                <w:sz w:val="16"/>
                <w:szCs w:val="16"/>
              </w:rPr>
            </w:pPr>
            <w:r w:rsidRPr="008D32D8">
              <w:rPr>
                <w:rFonts w:eastAsia="Times New Roman" w:cs="Calibri"/>
                <w:color w:val="000000"/>
                <w:sz w:val="16"/>
                <w:szCs w:val="16"/>
              </w:rPr>
              <w:t xml:space="preserve">Real Federación Española de </w:t>
            </w:r>
            <w:r>
              <w:rPr>
                <w:rFonts w:eastAsia="Times New Roman" w:cs="Calibri"/>
                <w:color w:val="000000"/>
                <w:sz w:val="16"/>
                <w:szCs w:val="16"/>
              </w:rPr>
              <w:t>Atletismo</w:t>
            </w:r>
          </w:p>
        </w:tc>
        <w:tc>
          <w:tcPr>
            <w:tcW w:w="1276" w:type="dxa"/>
            <w:noWrap/>
            <w:hideMark/>
          </w:tcPr>
          <w:p w14:paraId="348D77C2" w14:textId="0047F28B" w:rsidR="008D32D8" w:rsidRPr="00561A62" w:rsidRDefault="008D32D8"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62,8</w:t>
            </w:r>
          </w:p>
        </w:tc>
        <w:tc>
          <w:tcPr>
            <w:tcW w:w="4961" w:type="dxa"/>
            <w:gridSpan w:val="3"/>
            <w:noWrap/>
            <w:hideMark/>
          </w:tcPr>
          <w:p w14:paraId="241BE71D" w14:textId="32BD250F" w:rsidR="008D32D8" w:rsidRPr="00561A62" w:rsidRDefault="008D32D8" w:rsidP="008D32D8">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5D7E191A" w14:textId="77777777" w:rsidR="008D32D8" w:rsidRPr="00561A62" w:rsidRDefault="008D32D8"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8D32D8" w:rsidRPr="00561A62" w14:paraId="0DC4AF09" w14:textId="77777777" w:rsidTr="006C49A9">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58C7F004" w14:textId="7B1E5C5F" w:rsidR="008D32D8" w:rsidRPr="008D32D8" w:rsidRDefault="008D32D8" w:rsidP="001F1CC9">
            <w:pPr>
              <w:jc w:val="left"/>
              <w:rPr>
                <w:rFonts w:eastAsia="Times New Roman" w:cs="Calibri"/>
                <w:color w:val="000000"/>
                <w:sz w:val="16"/>
                <w:szCs w:val="16"/>
              </w:rPr>
            </w:pPr>
            <w:r>
              <w:rPr>
                <w:rFonts w:eastAsia="Times New Roman" w:cs="Calibri"/>
                <w:color w:val="000000"/>
                <w:sz w:val="16"/>
                <w:szCs w:val="16"/>
              </w:rPr>
              <w:t>Eroski</w:t>
            </w:r>
          </w:p>
        </w:tc>
        <w:tc>
          <w:tcPr>
            <w:tcW w:w="1276" w:type="dxa"/>
            <w:noWrap/>
          </w:tcPr>
          <w:p w14:paraId="094FAD43" w14:textId="35A99766" w:rsidR="008D32D8" w:rsidRDefault="008D32D8" w:rsidP="008D32D8">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55,5</w:t>
            </w:r>
          </w:p>
        </w:tc>
        <w:tc>
          <w:tcPr>
            <w:tcW w:w="4961" w:type="dxa"/>
            <w:gridSpan w:val="3"/>
            <w:noWrap/>
          </w:tcPr>
          <w:p w14:paraId="50B694B8" w14:textId="1CEB9BD8" w:rsidR="008D32D8" w:rsidRPr="00561A62" w:rsidRDefault="008D32D8" w:rsidP="008D32D8">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07742539" w14:textId="77777777" w:rsidR="008D32D8" w:rsidRPr="00561A62" w:rsidRDefault="008D32D8"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8D32D8" w:rsidRPr="00561A62" w14:paraId="36FF9791" w14:textId="77777777" w:rsidTr="006C49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7D3E21B3" w14:textId="6D3B4357" w:rsidR="008D32D8" w:rsidRPr="008D32D8" w:rsidRDefault="008D32D8" w:rsidP="001F1CC9">
            <w:pPr>
              <w:jc w:val="left"/>
              <w:rPr>
                <w:rFonts w:eastAsia="Times New Roman" w:cs="Calibri"/>
                <w:color w:val="000000"/>
                <w:sz w:val="16"/>
                <w:szCs w:val="16"/>
              </w:rPr>
            </w:pPr>
            <w:r>
              <w:rPr>
                <w:rFonts w:eastAsia="Times New Roman" w:cs="Calibri"/>
                <w:color w:val="000000"/>
                <w:sz w:val="16"/>
                <w:szCs w:val="16"/>
              </w:rPr>
              <w:t>Ford España</w:t>
            </w:r>
          </w:p>
        </w:tc>
        <w:tc>
          <w:tcPr>
            <w:tcW w:w="1276" w:type="dxa"/>
            <w:noWrap/>
          </w:tcPr>
          <w:p w14:paraId="539FD387" w14:textId="423CFDF2" w:rsidR="008D32D8" w:rsidRDefault="008D32D8"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54,9</w:t>
            </w:r>
          </w:p>
        </w:tc>
        <w:tc>
          <w:tcPr>
            <w:tcW w:w="4961" w:type="dxa"/>
            <w:gridSpan w:val="3"/>
            <w:noWrap/>
          </w:tcPr>
          <w:p w14:paraId="3582B37E" w14:textId="15C6813E" w:rsidR="008D32D8" w:rsidRPr="00561A62" w:rsidRDefault="008D32D8" w:rsidP="008D32D8">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722CAD41" w14:textId="77777777" w:rsidR="008D32D8" w:rsidRPr="00561A62" w:rsidRDefault="008D32D8"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8D32D8" w:rsidRPr="00561A62" w14:paraId="686984ED" w14:textId="77777777" w:rsidTr="006C49A9">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06666062" w14:textId="7DE77E63" w:rsidR="008D32D8" w:rsidRPr="008D32D8" w:rsidRDefault="00D80341" w:rsidP="001F1CC9">
            <w:pPr>
              <w:jc w:val="left"/>
              <w:rPr>
                <w:rFonts w:eastAsia="Times New Roman" w:cs="Calibri"/>
                <w:color w:val="000000"/>
                <w:sz w:val="16"/>
                <w:szCs w:val="16"/>
              </w:rPr>
            </w:pPr>
            <w:r>
              <w:rPr>
                <w:rFonts w:eastAsia="Times New Roman" w:cs="Calibri"/>
                <w:color w:val="000000"/>
                <w:sz w:val="16"/>
                <w:szCs w:val="16"/>
              </w:rPr>
              <w:t xml:space="preserve">Real </w:t>
            </w:r>
            <w:r w:rsidR="008D32D8">
              <w:rPr>
                <w:rFonts w:eastAsia="Times New Roman" w:cs="Calibri"/>
                <w:color w:val="000000"/>
                <w:sz w:val="16"/>
                <w:szCs w:val="16"/>
              </w:rPr>
              <w:t xml:space="preserve">Federación Española de Balonmano </w:t>
            </w:r>
          </w:p>
        </w:tc>
        <w:tc>
          <w:tcPr>
            <w:tcW w:w="1276" w:type="dxa"/>
            <w:noWrap/>
          </w:tcPr>
          <w:p w14:paraId="208C46C0" w14:textId="465BE8A2" w:rsidR="008D32D8" w:rsidRDefault="008D32D8"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52,6</w:t>
            </w:r>
          </w:p>
        </w:tc>
        <w:tc>
          <w:tcPr>
            <w:tcW w:w="4961" w:type="dxa"/>
            <w:gridSpan w:val="3"/>
            <w:noWrap/>
          </w:tcPr>
          <w:p w14:paraId="4083019A" w14:textId="7B58DDD8" w:rsidR="008D32D8" w:rsidRPr="00561A62" w:rsidRDefault="008D32D8" w:rsidP="008D32D8">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7CE14037" w14:textId="068DEE32" w:rsidR="008D32D8" w:rsidRPr="00561A62" w:rsidRDefault="00B0067A"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r>
      <w:tr w:rsidR="008D32D8" w:rsidRPr="00561A62" w14:paraId="09C0F27E" w14:textId="77777777" w:rsidTr="006C49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2D36A777" w14:textId="423391EF" w:rsidR="008D32D8" w:rsidRPr="008D32D8" w:rsidRDefault="008D32D8" w:rsidP="008D32D8">
            <w:pPr>
              <w:jc w:val="left"/>
              <w:rPr>
                <w:rFonts w:eastAsia="Times New Roman" w:cs="Calibri"/>
                <w:color w:val="000000"/>
                <w:sz w:val="16"/>
                <w:szCs w:val="16"/>
              </w:rPr>
            </w:pPr>
            <w:r w:rsidRPr="008D32D8">
              <w:rPr>
                <w:sz w:val="16"/>
                <w:szCs w:val="16"/>
              </w:rPr>
              <w:t>Asociación Inserta Innovación</w:t>
            </w:r>
          </w:p>
        </w:tc>
        <w:tc>
          <w:tcPr>
            <w:tcW w:w="1276" w:type="dxa"/>
            <w:noWrap/>
          </w:tcPr>
          <w:p w14:paraId="24C35BB8" w14:textId="744A75EE" w:rsidR="008D32D8" w:rsidRDefault="008D32D8" w:rsidP="008D32D8">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51,4</w:t>
            </w:r>
          </w:p>
        </w:tc>
        <w:tc>
          <w:tcPr>
            <w:tcW w:w="4961" w:type="dxa"/>
            <w:gridSpan w:val="3"/>
            <w:noWrap/>
          </w:tcPr>
          <w:p w14:paraId="75A2735D" w14:textId="1B439BC3" w:rsidR="008D32D8" w:rsidRPr="00561A62" w:rsidRDefault="008D32D8" w:rsidP="008D32D8">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7430A899" w14:textId="77777777" w:rsidR="008D32D8" w:rsidRPr="00561A62" w:rsidRDefault="008D32D8" w:rsidP="008D32D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8D32D8" w:rsidRPr="00561A62" w14:paraId="462A7392" w14:textId="77777777" w:rsidTr="006C49A9">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4A237775" w14:textId="59C94266" w:rsidR="008D32D8" w:rsidRPr="008D32D8" w:rsidRDefault="008D32D8" w:rsidP="008D32D8">
            <w:pPr>
              <w:jc w:val="left"/>
              <w:rPr>
                <w:rFonts w:eastAsia="Times New Roman" w:cs="Calibri"/>
                <w:color w:val="000000"/>
                <w:sz w:val="16"/>
                <w:szCs w:val="16"/>
              </w:rPr>
            </w:pPr>
            <w:r w:rsidRPr="008D32D8">
              <w:rPr>
                <w:sz w:val="16"/>
                <w:szCs w:val="16"/>
              </w:rPr>
              <w:t>Fundación Ecología y Desarrollo</w:t>
            </w:r>
          </w:p>
        </w:tc>
        <w:tc>
          <w:tcPr>
            <w:tcW w:w="1276" w:type="dxa"/>
            <w:noWrap/>
          </w:tcPr>
          <w:p w14:paraId="4DAA995F" w14:textId="46BBB67C" w:rsidR="008D32D8" w:rsidRDefault="008D32D8" w:rsidP="008D32D8">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51</w:t>
            </w:r>
          </w:p>
        </w:tc>
        <w:tc>
          <w:tcPr>
            <w:tcW w:w="4961" w:type="dxa"/>
            <w:gridSpan w:val="3"/>
            <w:noWrap/>
          </w:tcPr>
          <w:p w14:paraId="24CAB17F" w14:textId="0BBB37B9" w:rsidR="008D32D8" w:rsidRPr="00561A62" w:rsidRDefault="008D32D8" w:rsidP="008D32D8">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0F0822C4" w14:textId="77777777" w:rsidR="008D32D8" w:rsidRPr="00561A62" w:rsidRDefault="008D32D8" w:rsidP="008D32D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8D32D8" w:rsidRPr="00561A62" w14:paraId="0B76657D" w14:textId="77777777" w:rsidTr="006C49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65A094FC" w14:textId="72B64E1D" w:rsidR="008D32D8" w:rsidRPr="008D32D8" w:rsidRDefault="008D32D8" w:rsidP="008D32D8">
            <w:pPr>
              <w:jc w:val="left"/>
              <w:rPr>
                <w:rFonts w:eastAsia="Times New Roman" w:cs="Calibri"/>
                <w:color w:val="000000"/>
                <w:sz w:val="16"/>
                <w:szCs w:val="16"/>
              </w:rPr>
            </w:pPr>
            <w:r w:rsidRPr="008D32D8">
              <w:rPr>
                <w:sz w:val="16"/>
                <w:szCs w:val="16"/>
              </w:rPr>
              <w:t>Consejo de la Juventud de España</w:t>
            </w:r>
          </w:p>
        </w:tc>
        <w:tc>
          <w:tcPr>
            <w:tcW w:w="1276" w:type="dxa"/>
            <w:noWrap/>
          </w:tcPr>
          <w:p w14:paraId="5C80656E" w14:textId="09BBE5FC" w:rsidR="008D32D8" w:rsidRDefault="008D32D8" w:rsidP="008D32D8">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51</w:t>
            </w:r>
          </w:p>
        </w:tc>
        <w:tc>
          <w:tcPr>
            <w:tcW w:w="4961" w:type="dxa"/>
            <w:gridSpan w:val="3"/>
            <w:noWrap/>
          </w:tcPr>
          <w:p w14:paraId="44C01DA7" w14:textId="28556A4F" w:rsidR="008D32D8" w:rsidRPr="00561A62" w:rsidRDefault="008D32D8" w:rsidP="008D32D8">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193E70B4" w14:textId="77777777" w:rsidR="008D32D8" w:rsidRPr="00561A62" w:rsidRDefault="008D32D8" w:rsidP="008D32D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8D32D8" w:rsidRPr="00561A62" w14:paraId="68F704EB" w14:textId="77777777" w:rsidTr="006C49A9">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58201372" w14:textId="19052D61" w:rsidR="008D32D8" w:rsidRPr="008D32D8" w:rsidRDefault="008D32D8" w:rsidP="008D32D8">
            <w:pPr>
              <w:jc w:val="left"/>
              <w:rPr>
                <w:rFonts w:eastAsia="Times New Roman" w:cs="Calibri"/>
                <w:color w:val="000000"/>
                <w:sz w:val="16"/>
                <w:szCs w:val="16"/>
              </w:rPr>
            </w:pPr>
            <w:r w:rsidRPr="008D32D8">
              <w:rPr>
                <w:sz w:val="16"/>
                <w:szCs w:val="16"/>
              </w:rPr>
              <w:t xml:space="preserve">Fundación Carmen Pardo </w:t>
            </w:r>
            <w:proofErr w:type="spellStart"/>
            <w:r w:rsidRPr="008D32D8">
              <w:rPr>
                <w:sz w:val="16"/>
                <w:szCs w:val="16"/>
              </w:rPr>
              <w:t>Valcarce</w:t>
            </w:r>
            <w:proofErr w:type="spellEnd"/>
            <w:r>
              <w:rPr>
                <w:sz w:val="16"/>
                <w:szCs w:val="16"/>
              </w:rPr>
              <w:t xml:space="preserve"> </w:t>
            </w:r>
          </w:p>
        </w:tc>
        <w:tc>
          <w:tcPr>
            <w:tcW w:w="1276" w:type="dxa"/>
            <w:noWrap/>
          </w:tcPr>
          <w:p w14:paraId="6196EE9A" w14:textId="3103C718" w:rsidR="008D32D8" w:rsidRDefault="008D32D8" w:rsidP="008D32D8">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50</w:t>
            </w:r>
          </w:p>
        </w:tc>
        <w:tc>
          <w:tcPr>
            <w:tcW w:w="4961" w:type="dxa"/>
            <w:gridSpan w:val="3"/>
            <w:noWrap/>
          </w:tcPr>
          <w:p w14:paraId="764C8340" w14:textId="6FDC11B8" w:rsidR="008D32D8" w:rsidRPr="00561A62" w:rsidRDefault="008D32D8" w:rsidP="008D32D8">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7054315F" w14:textId="77777777" w:rsidR="008D32D8" w:rsidRPr="00561A62" w:rsidRDefault="008D32D8" w:rsidP="008D32D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8D32D8" w:rsidRPr="00561A62" w14:paraId="2154E13D" w14:textId="77777777" w:rsidTr="006C49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371DCA51" w14:textId="6E85E62C" w:rsidR="008D32D8" w:rsidRPr="008D32D8" w:rsidRDefault="008D32D8" w:rsidP="008D32D8">
            <w:pPr>
              <w:jc w:val="left"/>
              <w:rPr>
                <w:sz w:val="16"/>
                <w:szCs w:val="16"/>
              </w:rPr>
            </w:pPr>
            <w:r w:rsidRPr="008D32D8">
              <w:rPr>
                <w:sz w:val="16"/>
                <w:szCs w:val="16"/>
              </w:rPr>
              <w:t>Fundación Solidaridad Amaranta</w:t>
            </w:r>
          </w:p>
        </w:tc>
        <w:tc>
          <w:tcPr>
            <w:tcW w:w="1276" w:type="dxa"/>
            <w:noWrap/>
          </w:tcPr>
          <w:p w14:paraId="0CE75CCC" w14:textId="469B47CC" w:rsidR="008D32D8" w:rsidRDefault="008D32D8" w:rsidP="008D32D8">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49,5</w:t>
            </w:r>
          </w:p>
        </w:tc>
        <w:tc>
          <w:tcPr>
            <w:tcW w:w="4961" w:type="dxa"/>
            <w:gridSpan w:val="3"/>
            <w:noWrap/>
          </w:tcPr>
          <w:p w14:paraId="22DFA9A5" w14:textId="68A0A272" w:rsidR="008D32D8" w:rsidRPr="00561A62" w:rsidRDefault="008D32D8" w:rsidP="008D32D8">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797BE6DF" w14:textId="2C8A1390" w:rsidR="008D32D8" w:rsidRPr="00561A62" w:rsidRDefault="00573518" w:rsidP="008D32D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5</w:t>
            </w:r>
          </w:p>
        </w:tc>
      </w:tr>
      <w:tr w:rsidR="008D32D8" w:rsidRPr="00561A62" w14:paraId="013A463C" w14:textId="77777777" w:rsidTr="006C49A9">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5051AE1C" w14:textId="1142E9F1" w:rsidR="008D32D8" w:rsidRPr="008D32D8" w:rsidRDefault="00C67A61" w:rsidP="008D32D8">
            <w:pPr>
              <w:jc w:val="left"/>
              <w:rPr>
                <w:sz w:val="16"/>
                <w:szCs w:val="16"/>
              </w:rPr>
            </w:pPr>
            <w:r>
              <w:rPr>
                <w:sz w:val="16"/>
                <w:szCs w:val="16"/>
              </w:rPr>
              <w:t xml:space="preserve">Real </w:t>
            </w:r>
            <w:r w:rsidR="008D32D8" w:rsidRPr="008D32D8">
              <w:rPr>
                <w:sz w:val="16"/>
                <w:szCs w:val="16"/>
              </w:rPr>
              <w:t>Federación Española de Esgrima</w:t>
            </w:r>
          </w:p>
        </w:tc>
        <w:tc>
          <w:tcPr>
            <w:tcW w:w="1276" w:type="dxa"/>
            <w:noWrap/>
          </w:tcPr>
          <w:p w14:paraId="689156EA" w14:textId="1C8B350F" w:rsidR="008D32D8" w:rsidRDefault="008D32D8" w:rsidP="008D32D8">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49,5</w:t>
            </w:r>
          </w:p>
        </w:tc>
        <w:tc>
          <w:tcPr>
            <w:tcW w:w="4961" w:type="dxa"/>
            <w:gridSpan w:val="3"/>
            <w:noWrap/>
          </w:tcPr>
          <w:p w14:paraId="2AC03AAE" w14:textId="7584F11D" w:rsidR="008D32D8" w:rsidRPr="00561A62" w:rsidRDefault="008D32D8" w:rsidP="008D32D8">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2B97FFBA" w14:textId="77777777" w:rsidR="008D32D8" w:rsidRPr="00561A62" w:rsidRDefault="008D32D8" w:rsidP="008D32D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8D32D8" w:rsidRPr="00561A62" w14:paraId="3D985030" w14:textId="77777777" w:rsidTr="006C49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33A52019" w14:textId="0D08FEB6" w:rsidR="008D32D8" w:rsidRPr="008D32D8" w:rsidRDefault="008D32D8" w:rsidP="008D32D8">
            <w:pPr>
              <w:jc w:val="left"/>
              <w:rPr>
                <w:sz w:val="16"/>
                <w:szCs w:val="16"/>
              </w:rPr>
            </w:pPr>
            <w:r w:rsidRPr="008D32D8">
              <w:rPr>
                <w:sz w:val="16"/>
                <w:szCs w:val="16"/>
              </w:rPr>
              <w:t>Fundación Amigo</w:t>
            </w:r>
          </w:p>
        </w:tc>
        <w:tc>
          <w:tcPr>
            <w:tcW w:w="1276" w:type="dxa"/>
            <w:noWrap/>
          </w:tcPr>
          <w:p w14:paraId="60CD30AE" w14:textId="65FFCE57" w:rsidR="008D32D8" w:rsidRDefault="008D32D8" w:rsidP="008D32D8">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49</w:t>
            </w:r>
          </w:p>
        </w:tc>
        <w:tc>
          <w:tcPr>
            <w:tcW w:w="4961" w:type="dxa"/>
            <w:gridSpan w:val="3"/>
            <w:noWrap/>
          </w:tcPr>
          <w:p w14:paraId="3AD16122" w14:textId="0822CF7D" w:rsidR="008D32D8" w:rsidRPr="00561A62" w:rsidRDefault="008D32D8" w:rsidP="008D32D8">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0D883650" w14:textId="77777777" w:rsidR="008D32D8" w:rsidRPr="00561A62" w:rsidRDefault="008D32D8" w:rsidP="008D32D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8D32D8" w:rsidRPr="00561A62" w14:paraId="0CD51354"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67BE97C" w14:textId="3985CC6C" w:rsidR="001F1CC9" w:rsidRPr="00561A62" w:rsidRDefault="008D32D8" w:rsidP="001F1CC9">
            <w:pPr>
              <w:jc w:val="left"/>
              <w:rPr>
                <w:rFonts w:eastAsia="Times New Roman" w:cs="Calibri"/>
                <w:color w:val="000000"/>
                <w:sz w:val="16"/>
                <w:szCs w:val="16"/>
              </w:rPr>
            </w:pPr>
            <w:r>
              <w:rPr>
                <w:rFonts w:eastAsia="Times New Roman" w:cs="Calibri"/>
                <w:color w:val="000000"/>
                <w:sz w:val="16"/>
                <w:szCs w:val="16"/>
              </w:rPr>
              <w:t>Fundación Tomillo</w:t>
            </w:r>
          </w:p>
        </w:tc>
        <w:tc>
          <w:tcPr>
            <w:tcW w:w="1276" w:type="dxa"/>
            <w:noWrap/>
            <w:hideMark/>
          </w:tcPr>
          <w:p w14:paraId="2AB8F2EB" w14:textId="15FC78DA" w:rsidR="001F1CC9" w:rsidRPr="00561A62" w:rsidRDefault="008D32D8"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48,5</w:t>
            </w:r>
          </w:p>
        </w:tc>
        <w:tc>
          <w:tcPr>
            <w:tcW w:w="1701" w:type="dxa"/>
            <w:noWrap/>
            <w:hideMark/>
          </w:tcPr>
          <w:p w14:paraId="144BF60B" w14:textId="4FEAB9FE" w:rsidR="001F1CC9" w:rsidRPr="00561A62" w:rsidRDefault="008D32D8"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2,5</w:t>
            </w:r>
          </w:p>
        </w:tc>
        <w:tc>
          <w:tcPr>
            <w:tcW w:w="1701" w:type="dxa"/>
            <w:noWrap/>
            <w:hideMark/>
          </w:tcPr>
          <w:p w14:paraId="412AC136" w14:textId="5DACCD9C" w:rsidR="001F1CC9" w:rsidRPr="00561A62" w:rsidRDefault="008D32D8"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10</w:t>
            </w:r>
          </w:p>
        </w:tc>
        <w:tc>
          <w:tcPr>
            <w:tcW w:w="1559" w:type="dxa"/>
            <w:noWrap/>
            <w:hideMark/>
          </w:tcPr>
          <w:p w14:paraId="20431DD2" w14:textId="6A47A1A2" w:rsidR="001F1CC9" w:rsidRPr="00561A62" w:rsidRDefault="008D32D8"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w:t>
            </w:r>
          </w:p>
        </w:tc>
        <w:tc>
          <w:tcPr>
            <w:tcW w:w="1701" w:type="dxa"/>
            <w:noWrap/>
            <w:hideMark/>
          </w:tcPr>
          <w:p w14:paraId="49DBB5AA"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8D32D8" w:rsidRPr="00561A62" w14:paraId="56C86D0B" w14:textId="77777777" w:rsidTr="00E356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5532573" w14:textId="6CB35414" w:rsidR="008D32D8" w:rsidRPr="00561A62" w:rsidRDefault="008D32D8" w:rsidP="008D32D8">
            <w:pPr>
              <w:jc w:val="left"/>
              <w:rPr>
                <w:rFonts w:eastAsia="Times New Roman" w:cs="Calibri"/>
                <w:color w:val="000000"/>
                <w:sz w:val="16"/>
                <w:szCs w:val="16"/>
              </w:rPr>
            </w:pPr>
            <w:r>
              <w:rPr>
                <w:rFonts w:eastAsia="Times New Roman" w:cs="Calibri"/>
                <w:color w:val="000000"/>
                <w:sz w:val="16"/>
                <w:szCs w:val="16"/>
              </w:rPr>
              <w:t>Fundación Secretariado Gitano</w:t>
            </w:r>
          </w:p>
        </w:tc>
        <w:tc>
          <w:tcPr>
            <w:tcW w:w="1276" w:type="dxa"/>
            <w:noWrap/>
            <w:hideMark/>
          </w:tcPr>
          <w:p w14:paraId="41D0A5DD" w14:textId="3E22A493" w:rsidR="008D32D8" w:rsidRPr="00561A62" w:rsidRDefault="008D32D8" w:rsidP="008D32D8">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48,5</w:t>
            </w:r>
          </w:p>
        </w:tc>
        <w:tc>
          <w:tcPr>
            <w:tcW w:w="4961" w:type="dxa"/>
            <w:gridSpan w:val="3"/>
            <w:noWrap/>
            <w:hideMark/>
          </w:tcPr>
          <w:p w14:paraId="43F3F164" w14:textId="54FF0A56" w:rsidR="008D32D8" w:rsidRPr="00561A62" w:rsidRDefault="008D32D8" w:rsidP="009B1C94">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sidR="009B1C94">
              <w:rPr>
                <w:rFonts w:eastAsia="Times New Roman" w:cs="Calibri"/>
                <w:color w:val="000000"/>
                <w:sz w:val="16"/>
                <w:szCs w:val="16"/>
              </w:rPr>
              <w:t>5</w:t>
            </w:r>
          </w:p>
        </w:tc>
        <w:tc>
          <w:tcPr>
            <w:tcW w:w="1701" w:type="dxa"/>
            <w:noWrap/>
            <w:hideMark/>
          </w:tcPr>
          <w:p w14:paraId="0080584F" w14:textId="77777777" w:rsidR="008D32D8" w:rsidRPr="00561A62" w:rsidRDefault="008D32D8" w:rsidP="008D32D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9B1C94" w:rsidRPr="00561A62" w14:paraId="16751240" w14:textId="77777777" w:rsidTr="009B1C94">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620C2E7D" w14:textId="248E5A9A" w:rsidR="009B1C94" w:rsidRPr="00561A62" w:rsidRDefault="00AC6216" w:rsidP="001F1CC9">
            <w:pPr>
              <w:jc w:val="left"/>
              <w:rPr>
                <w:rFonts w:eastAsia="Times New Roman" w:cs="Calibri"/>
                <w:color w:val="000000"/>
                <w:sz w:val="16"/>
                <w:szCs w:val="16"/>
              </w:rPr>
            </w:pPr>
            <w:r>
              <w:rPr>
                <w:rFonts w:eastAsia="Times New Roman" w:cs="Calibri"/>
                <w:color w:val="000000"/>
                <w:sz w:val="16"/>
                <w:szCs w:val="16"/>
              </w:rPr>
              <w:t xml:space="preserve">Real </w:t>
            </w:r>
            <w:r w:rsidR="009B1C94">
              <w:rPr>
                <w:rFonts w:eastAsia="Times New Roman" w:cs="Calibri"/>
                <w:color w:val="000000"/>
                <w:sz w:val="16"/>
                <w:szCs w:val="16"/>
              </w:rPr>
              <w:t>Federación Española de Boxeo</w:t>
            </w:r>
          </w:p>
        </w:tc>
        <w:tc>
          <w:tcPr>
            <w:tcW w:w="1276" w:type="dxa"/>
            <w:noWrap/>
          </w:tcPr>
          <w:p w14:paraId="08606182" w14:textId="7DF3FC02" w:rsidR="009B1C94" w:rsidRPr="00561A62" w:rsidRDefault="009B1C94"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48</w:t>
            </w:r>
          </w:p>
        </w:tc>
        <w:tc>
          <w:tcPr>
            <w:tcW w:w="4961" w:type="dxa"/>
            <w:gridSpan w:val="3"/>
            <w:noWrap/>
            <w:hideMark/>
          </w:tcPr>
          <w:p w14:paraId="1421C03A" w14:textId="74754120" w:rsidR="009B1C94" w:rsidRPr="00561A62" w:rsidRDefault="009B1C94" w:rsidP="009B1C94">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6DD81A47" w14:textId="77777777" w:rsidR="009B1C94" w:rsidRPr="00561A62" w:rsidRDefault="009B1C94"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957ED" w:rsidRPr="00561A62" w14:paraId="5D97B59E" w14:textId="77777777" w:rsidTr="009B1C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1689BE14" w14:textId="7A70D247" w:rsidR="005957ED" w:rsidRDefault="007B668E" w:rsidP="001F1CC9">
            <w:pPr>
              <w:jc w:val="left"/>
              <w:rPr>
                <w:rFonts w:eastAsia="Times New Roman" w:cs="Calibri"/>
                <w:color w:val="000000"/>
                <w:sz w:val="16"/>
                <w:szCs w:val="16"/>
              </w:rPr>
            </w:pPr>
            <w:r w:rsidRPr="005957ED">
              <w:rPr>
                <w:sz w:val="16"/>
                <w:szCs w:val="16"/>
              </w:rPr>
              <w:t>Sociedad Española de Agricultura Ecológica y Agroecología</w:t>
            </w:r>
          </w:p>
        </w:tc>
        <w:tc>
          <w:tcPr>
            <w:tcW w:w="1276" w:type="dxa"/>
            <w:noWrap/>
          </w:tcPr>
          <w:p w14:paraId="3D4DC9D3" w14:textId="43B6BA5C" w:rsidR="005957ED" w:rsidRDefault="007B668E"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47,4</w:t>
            </w:r>
          </w:p>
        </w:tc>
        <w:tc>
          <w:tcPr>
            <w:tcW w:w="4961" w:type="dxa"/>
            <w:gridSpan w:val="3"/>
            <w:noWrap/>
          </w:tcPr>
          <w:p w14:paraId="6C448535" w14:textId="1B4F520D" w:rsidR="005957ED" w:rsidRPr="00561A62" w:rsidRDefault="007B668E" w:rsidP="009B1C94">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1BB72F21" w14:textId="4D883768" w:rsidR="005957ED" w:rsidRPr="00561A62" w:rsidRDefault="00B0067A"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w:t>
            </w:r>
          </w:p>
        </w:tc>
      </w:tr>
      <w:tr w:rsidR="009B1C94" w:rsidRPr="00561A62" w14:paraId="7BDC8631" w14:textId="77777777" w:rsidTr="009B1C94">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2449EFDA" w14:textId="5745B872" w:rsidR="009B1C94" w:rsidRPr="00561A62" w:rsidRDefault="009B1C94" w:rsidP="001F1CC9">
            <w:pPr>
              <w:jc w:val="left"/>
              <w:rPr>
                <w:rFonts w:eastAsia="Times New Roman" w:cs="Calibri"/>
                <w:color w:val="000000"/>
                <w:sz w:val="16"/>
                <w:szCs w:val="16"/>
              </w:rPr>
            </w:pPr>
            <w:r>
              <w:rPr>
                <w:rFonts w:eastAsia="Times New Roman" w:cs="Calibri"/>
                <w:color w:val="000000"/>
                <w:sz w:val="16"/>
                <w:szCs w:val="16"/>
              </w:rPr>
              <w:t>Federación Española de Remo</w:t>
            </w:r>
          </w:p>
        </w:tc>
        <w:tc>
          <w:tcPr>
            <w:tcW w:w="1276" w:type="dxa"/>
            <w:noWrap/>
          </w:tcPr>
          <w:p w14:paraId="4383466D" w14:textId="326E5DE9" w:rsidR="009B1C94" w:rsidRPr="00561A62" w:rsidRDefault="009B1C94"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46,2</w:t>
            </w:r>
          </w:p>
        </w:tc>
        <w:tc>
          <w:tcPr>
            <w:tcW w:w="4961" w:type="dxa"/>
            <w:gridSpan w:val="3"/>
            <w:noWrap/>
            <w:hideMark/>
          </w:tcPr>
          <w:p w14:paraId="38E25C20" w14:textId="515064A1" w:rsidR="009B1C94" w:rsidRPr="00561A62" w:rsidRDefault="009B1C94" w:rsidP="009B1C94">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5EF51968" w14:textId="77777777" w:rsidR="009B1C94" w:rsidRPr="00561A62" w:rsidRDefault="009B1C94"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9B1C94" w:rsidRPr="00561A62" w14:paraId="4DBC3238" w14:textId="77777777" w:rsidTr="009B1C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5614F6B7" w14:textId="5415AC93" w:rsidR="009B1C94" w:rsidRPr="00561A62" w:rsidRDefault="009B1C94" w:rsidP="001F1CC9">
            <w:pPr>
              <w:jc w:val="left"/>
              <w:rPr>
                <w:rFonts w:eastAsia="Times New Roman" w:cs="Calibri"/>
                <w:color w:val="000000"/>
                <w:sz w:val="16"/>
                <w:szCs w:val="16"/>
              </w:rPr>
            </w:pPr>
            <w:r>
              <w:rPr>
                <w:rFonts w:eastAsia="Times New Roman" w:cs="Calibri"/>
                <w:color w:val="000000"/>
                <w:sz w:val="16"/>
                <w:szCs w:val="16"/>
              </w:rPr>
              <w:t>Federación Española de Baloncesto</w:t>
            </w:r>
          </w:p>
        </w:tc>
        <w:tc>
          <w:tcPr>
            <w:tcW w:w="1276" w:type="dxa"/>
            <w:noWrap/>
          </w:tcPr>
          <w:p w14:paraId="7D49C07D" w14:textId="3C6C1071" w:rsidR="009B1C94" w:rsidRPr="00561A62" w:rsidRDefault="009B1C94"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43,9</w:t>
            </w:r>
          </w:p>
        </w:tc>
        <w:tc>
          <w:tcPr>
            <w:tcW w:w="4961" w:type="dxa"/>
            <w:gridSpan w:val="3"/>
            <w:noWrap/>
            <w:hideMark/>
          </w:tcPr>
          <w:p w14:paraId="70AF0D2E" w14:textId="14316602" w:rsidR="009B1C94" w:rsidRPr="00561A62" w:rsidRDefault="009B1C94" w:rsidP="009B1C94">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06999A2C" w14:textId="5B0E06C3" w:rsidR="009B1C94" w:rsidRPr="00561A62" w:rsidRDefault="00B0067A"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8</w:t>
            </w:r>
          </w:p>
        </w:tc>
      </w:tr>
      <w:tr w:rsidR="008D32D8" w:rsidRPr="00561A62" w14:paraId="2AB5FC3B"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D4A519B" w14:textId="5FFCA18D" w:rsidR="001F1CC9" w:rsidRPr="00561A62" w:rsidRDefault="009B1C94" w:rsidP="001F1CC9">
            <w:pPr>
              <w:jc w:val="left"/>
              <w:rPr>
                <w:rFonts w:eastAsia="Times New Roman" w:cs="Calibri"/>
                <w:color w:val="000000"/>
                <w:sz w:val="16"/>
                <w:szCs w:val="16"/>
              </w:rPr>
            </w:pPr>
            <w:proofErr w:type="spellStart"/>
            <w:r w:rsidRPr="00561A62">
              <w:rPr>
                <w:rFonts w:eastAsia="Times New Roman" w:cs="Calibri"/>
                <w:color w:val="000000"/>
                <w:sz w:val="16"/>
                <w:szCs w:val="16"/>
              </w:rPr>
              <w:lastRenderedPageBreak/>
              <w:t>Ilunion</w:t>
            </w:r>
            <w:proofErr w:type="spellEnd"/>
            <w:r w:rsidRPr="00561A62">
              <w:rPr>
                <w:rFonts w:eastAsia="Times New Roman" w:cs="Calibri"/>
                <w:color w:val="000000"/>
                <w:sz w:val="16"/>
                <w:szCs w:val="16"/>
              </w:rPr>
              <w:t xml:space="preserve"> Lavanderías, S.A.</w:t>
            </w:r>
          </w:p>
        </w:tc>
        <w:tc>
          <w:tcPr>
            <w:tcW w:w="1276" w:type="dxa"/>
            <w:noWrap/>
            <w:hideMark/>
          </w:tcPr>
          <w:p w14:paraId="77294F9E" w14:textId="4EFF24C0" w:rsidR="001F1CC9" w:rsidRPr="00561A62" w:rsidRDefault="009B1C94"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43,5</w:t>
            </w:r>
          </w:p>
        </w:tc>
        <w:tc>
          <w:tcPr>
            <w:tcW w:w="1701" w:type="dxa"/>
            <w:noWrap/>
            <w:hideMark/>
          </w:tcPr>
          <w:p w14:paraId="06E055F7" w14:textId="705841BB" w:rsidR="001F1CC9" w:rsidRPr="00561A62" w:rsidRDefault="009B1C94"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6,5</w:t>
            </w:r>
          </w:p>
        </w:tc>
        <w:tc>
          <w:tcPr>
            <w:tcW w:w="1701" w:type="dxa"/>
            <w:noWrap/>
            <w:hideMark/>
          </w:tcPr>
          <w:p w14:paraId="674E980E" w14:textId="6D555733" w:rsidR="001F1CC9" w:rsidRPr="00561A62" w:rsidRDefault="009B1C94"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13</w:t>
            </w:r>
          </w:p>
        </w:tc>
        <w:tc>
          <w:tcPr>
            <w:tcW w:w="1559" w:type="dxa"/>
            <w:noWrap/>
            <w:hideMark/>
          </w:tcPr>
          <w:p w14:paraId="4D2C3B2F" w14:textId="43624482" w:rsidR="001F1CC9" w:rsidRPr="00561A62" w:rsidRDefault="009B1C94"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c>
          <w:tcPr>
            <w:tcW w:w="1701" w:type="dxa"/>
            <w:noWrap/>
            <w:hideMark/>
          </w:tcPr>
          <w:p w14:paraId="34E75BB5"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9B1C94" w:rsidRPr="00561A62" w14:paraId="5B986A4F"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29A363B" w14:textId="770CEB23" w:rsidR="001F1CC9" w:rsidRPr="00561A62" w:rsidRDefault="005957ED" w:rsidP="001F1CC9">
            <w:pPr>
              <w:jc w:val="left"/>
              <w:rPr>
                <w:rFonts w:eastAsia="Times New Roman" w:cs="Calibri"/>
                <w:color w:val="000000"/>
                <w:sz w:val="16"/>
                <w:szCs w:val="16"/>
              </w:rPr>
            </w:pPr>
            <w:proofErr w:type="spellStart"/>
            <w:r>
              <w:rPr>
                <w:rFonts w:eastAsia="Times New Roman" w:cs="Calibri"/>
                <w:color w:val="000000"/>
                <w:sz w:val="16"/>
                <w:szCs w:val="16"/>
              </w:rPr>
              <w:t>Asufin</w:t>
            </w:r>
            <w:proofErr w:type="spellEnd"/>
          </w:p>
        </w:tc>
        <w:tc>
          <w:tcPr>
            <w:tcW w:w="1276" w:type="dxa"/>
            <w:noWrap/>
            <w:hideMark/>
          </w:tcPr>
          <w:p w14:paraId="111F4443" w14:textId="3799B163" w:rsidR="001F1CC9" w:rsidRPr="00561A62" w:rsidRDefault="005957ED"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43</w:t>
            </w:r>
          </w:p>
        </w:tc>
        <w:tc>
          <w:tcPr>
            <w:tcW w:w="4961" w:type="dxa"/>
            <w:gridSpan w:val="3"/>
            <w:noWrap/>
            <w:hideMark/>
          </w:tcPr>
          <w:p w14:paraId="778A751C" w14:textId="1F2D2E2C" w:rsidR="001F1CC9" w:rsidRPr="00561A62" w:rsidRDefault="001F1CC9" w:rsidP="001F1CC9">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sidR="005957ED">
              <w:rPr>
                <w:rFonts w:eastAsia="Times New Roman" w:cs="Calibri"/>
                <w:color w:val="000000"/>
                <w:sz w:val="16"/>
                <w:szCs w:val="16"/>
              </w:rPr>
              <w:t>5</w:t>
            </w:r>
          </w:p>
        </w:tc>
        <w:tc>
          <w:tcPr>
            <w:tcW w:w="1701" w:type="dxa"/>
            <w:noWrap/>
            <w:hideMark/>
          </w:tcPr>
          <w:p w14:paraId="15BBAAE9" w14:textId="77777777" w:rsidR="001F1CC9" w:rsidRPr="00561A62" w:rsidRDefault="001F1CC9" w:rsidP="001F1CC9">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8D32D8" w:rsidRPr="00561A62" w14:paraId="3F1A0DB6"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2272E76" w14:textId="453A52A1" w:rsidR="001F1CC9" w:rsidRPr="00561A62" w:rsidRDefault="005957ED" w:rsidP="001F1CC9">
            <w:pPr>
              <w:jc w:val="left"/>
              <w:rPr>
                <w:rFonts w:eastAsia="Times New Roman" w:cs="Calibri"/>
                <w:sz w:val="16"/>
                <w:szCs w:val="16"/>
              </w:rPr>
            </w:pPr>
            <w:r w:rsidRPr="00561A62">
              <w:rPr>
                <w:rFonts w:eastAsia="Times New Roman" w:cs="Calibri"/>
                <w:color w:val="000000"/>
                <w:sz w:val="16"/>
                <w:szCs w:val="16"/>
              </w:rPr>
              <w:t>Fundación Ronald McDonald</w:t>
            </w:r>
          </w:p>
        </w:tc>
        <w:tc>
          <w:tcPr>
            <w:tcW w:w="1276" w:type="dxa"/>
            <w:noWrap/>
            <w:hideMark/>
          </w:tcPr>
          <w:p w14:paraId="042E25AF" w14:textId="66E86AC2" w:rsidR="001F1CC9" w:rsidRPr="00561A62" w:rsidRDefault="005957ED"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42,3</w:t>
            </w:r>
          </w:p>
        </w:tc>
        <w:tc>
          <w:tcPr>
            <w:tcW w:w="1701" w:type="dxa"/>
            <w:noWrap/>
            <w:hideMark/>
          </w:tcPr>
          <w:p w14:paraId="7968629E" w14:textId="7EA37D9C" w:rsidR="001F1CC9" w:rsidRPr="00561A62" w:rsidRDefault="005957ED"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-7,7</w:t>
            </w:r>
          </w:p>
        </w:tc>
        <w:tc>
          <w:tcPr>
            <w:tcW w:w="1701" w:type="dxa"/>
            <w:noWrap/>
            <w:hideMark/>
          </w:tcPr>
          <w:p w14:paraId="349C4282" w14:textId="618BD62B" w:rsidR="001F1CC9" w:rsidRPr="00561A62" w:rsidRDefault="005957ED"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10</w:t>
            </w:r>
          </w:p>
        </w:tc>
        <w:tc>
          <w:tcPr>
            <w:tcW w:w="1559" w:type="dxa"/>
            <w:noWrap/>
            <w:hideMark/>
          </w:tcPr>
          <w:p w14:paraId="69B0397C" w14:textId="4E44EBEF" w:rsidR="001F1CC9" w:rsidRPr="00561A62" w:rsidRDefault="005957ED"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0</w:t>
            </w:r>
          </w:p>
        </w:tc>
        <w:tc>
          <w:tcPr>
            <w:tcW w:w="1701" w:type="dxa"/>
            <w:noWrap/>
            <w:hideMark/>
          </w:tcPr>
          <w:p w14:paraId="289A3618"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957ED" w:rsidRPr="00561A62" w14:paraId="3DAA5EF2" w14:textId="77777777" w:rsidTr="00595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58CD489" w14:textId="62FE89FA" w:rsidR="005957ED" w:rsidRPr="005957ED" w:rsidRDefault="005957ED" w:rsidP="005957ED">
            <w:pPr>
              <w:jc w:val="left"/>
              <w:rPr>
                <w:rFonts w:eastAsia="Times New Roman" w:cs="Calibri"/>
                <w:color w:val="000000"/>
                <w:sz w:val="16"/>
                <w:szCs w:val="16"/>
              </w:rPr>
            </w:pPr>
            <w:r w:rsidRPr="005957ED">
              <w:rPr>
                <w:sz w:val="16"/>
                <w:szCs w:val="16"/>
              </w:rPr>
              <w:t>Asociación Mujeres en Zona de Conflicto</w:t>
            </w:r>
          </w:p>
        </w:tc>
        <w:tc>
          <w:tcPr>
            <w:tcW w:w="1276" w:type="dxa"/>
            <w:noWrap/>
          </w:tcPr>
          <w:p w14:paraId="66C2684E" w14:textId="7392F535" w:rsidR="005957ED" w:rsidRPr="00561A62" w:rsidRDefault="005957ED" w:rsidP="005957ED">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42,3</w:t>
            </w:r>
          </w:p>
        </w:tc>
        <w:tc>
          <w:tcPr>
            <w:tcW w:w="4961" w:type="dxa"/>
            <w:gridSpan w:val="3"/>
            <w:noWrap/>
            <w:hideMark/>
          </w:tcPr>
          <w:p w14:paraId="4B285EB0" w14:textId="77BD0600" w:rsidR="005957ED" w:rsidRPr="00561A62" w:rsidRDefault="005957ED" w:rsidP="005957ED">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66C5646C" w14:textId="77777777" w:rsidR="005957ED" w:rsidRPr="00561A62" w:rsidRDefault="005957ED" w:rsidP="005957ED">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957ED" w:rsidRPr="00561A62" w14:paraId="64AA900A" w14:textId="77777777" w:rsidTr="005957ED">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C095057" w14:textId="53EF1C2A" w:rsidR="005957ED" w:rsidRPr="005957ED" w:rsidRDefault="005957ED" w:rsidP="005957ED">
            <w:pPr>
              <w:jc w:val="left"/>
              <w:rPr>
                <w:rFonts w:eastAsia="Times New Roman" w:cs="Calibri"/>
                <w:color w:val="000000"/>
                <w:sz w:val="16"/>
                <w:szCs w:val="16"/>
              </w:rPr>
            </w:pPr>
            <w:proofErr w:type="spellStart"/>
            <w:r w:rsidRPr="005957ED">
              <w:rPr>
                <w:sz w:val="16"/>
                <w:szCs w:val="16"/>
              </w:rPr>
              <w:t>Naturgy</w:t>
            </w:r>
            <w:proofErr w:type="spellEnd"/>
            <w:r w:rsidRPr="005957ED">
              <w:rPr>
                <w:sz w:val="16"/>
                <w:szCs w:val="16"/>
              </w:rPr>
              <w:t xml:space="preserve"> Renovables</w:t>
            </w:r>
          </w:p>
        </w:tc>
        <w:tc>
          <w:tcPr>
            <w:tcW w:w="1276" w:type="dxa"/>
            <w:noWrap/>
          </w:tcPr>
          <w:p w14:paraId="1C5BFF10" w14:textId="4A3B3820" w:rsidR="005957ED" w:rsidRPr="00561A62" w:rsidRDefault="005957ED" w:rsidP="005957ED">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40,7</w:t>
            </w:r>
          </w:p>
        </w:tc>
        <w:tc>
          <w:tcPr>
            <w:tcW w:w="4961" w:type="dxa"/>
            <w:gridSpan w:val="3"/>
            <w:noWrap/>
          </w:tcPr>
          <w:p w14:paraId="38549C42" w14:textId="3D28F710" w:rsidR="005957ED" w:rsidRPr="00561A62" w:rsidRDefault="005957ED" w:rsidP="005957ED">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20FB52F7" w14:textId="77777777" w:rsidR="005957ED" w:rsidRPr="00561A62" w:rsidRDefault="005957ED" w:rsidP="005957ED">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w:t>
            </w:r>
          </w:p>
        </w:tc>
      </w:tr>
      <w:tr w:rsidR="005957ED" w:rsidRPr="00561A62" w14:paraId="6959082C" w14:textId="77777777" w:rsidTr="00595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E64C651" w14:textId="1BFA319A" w:rsidR="005957ED" w:rsidRPr="005957ED" w:rsidRDefault="005957ED" w:rsidP="005957ED">
            <w:pPr>
              <w:jc w:val="left"/>
              <w:rPr>
                <w:rFonts w:eastAsia="Times New Roman" w:cs="Calibri"/>
                <w:color w:val="000000"/>
                <w:sz w:val="16"/>
                <w:szCs w:val="16"/>
              </w:rPr>
            </w:pPr>
            <w:r w:rsidRPr="005957ED">
              <w:rPr>
                <w:sz w:val="16"/>
                <w:szCs w:val="16"/>
              </w:rPr>
              <w:t>Iberdrola Generación</w:t>
            </w:r>
          </w:p>
        </w:tc>
        <w:tc>
          <w:tcPr>
            <w:tcW w:w="1276" w:type="dxa"/>
            <w:noWrap/>
          </w:tcPr>
          <w:p w14:paraId="7B1906D6" w14:textId="39F86A27" w:rsidR="005957ED" w:rsidRPr="00561A62" w:rsidRDefault="005957ED" w:rsidP="005957ED">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40,1</w:t>
            </w:r>
          </w:p>
        </w:tc>
        <w:tc>
          <w:tcPr>
            <w:tcW w:w="4961" w:type="dxa"/>
            <w:gridSpan w:val="3"/>
            <w:noWrap/>
            <w:hideMark/>
          </w:tcPr>
          <w:p w14:paraId="7A7F884E" w14:textId="41444C52" w:rsidR="005957ED" w:rsidRPr="00561A62" w:rsidRDefault="005957ED" w:rsidP="005957ED">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099D0F1A" w14:textId="77777777" w:rsidR="005957ED" w:rsidRPr="00561A62" w:rsidRDefault="005957ED" w:rsidP="005957ED">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w:t>
            </w:r>
          </w:p>
        </w:tc>
      </w:tr>
      <w:tr w:rsidR="005957ED" w:rsidRPr="00561A62" w14:paraId="11DC359D" w14:textId="77777777" w:rsidTr="005957ED">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79B74E0" w14:textId="02A2CC27" w:rsidR="005957ED" w:rsidRPr="005957ED" w:rsidRDefault="005957ED" w:rsidP="005957ED">
            <w:pPr>
              <w:jc w:val="left"/>
              <w:rPr>
                <w:rFonts w:eastAsia="Times New Roman" w:cs="Calibri"/>
                <w:color w:val="000000"/>
                <w:sz w:val="16"/>
                <w:szCs w:val="16"/>
              </w:rPr>
            </w:pPr>
            <w:r w:rsidRPr="005957ED">
              <w:rPr>
                <w:sz w:val="16"/>
                <w:szCs w:val="16"/>
              </w:rPr>
              <w:t>Unión de Asociaciones Familiares</w:t>
            </w:r>
          </w:p>
        </w:tc>
        <w:tc>
          <w:tcPr>
            <w:tcW w:w="1276" w:type="dxa"/>
            <w:noWrap/>
          </w:tcPr>
          <w:p w14:paraId="41DF76A3" w14:textId="74952302" w:rsidR="005957ED" w:rsidRPr="00561A62" w:rsidRDefault="005957ED" w:rsidP="005957ED">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38,8</w:t>
            </w:r>
          </w:p>
        </w:tc>
        <w:tc>
          <w:tcPr>
            <w:tcW w:w="4961" w:type="dxa"/>
            <w:gridSpan w:val="3"/>
            <w:noWrap/>
          </w:tcPr>
          <w:p w14:paraId="2BFC3D2B" w14:textId="5B9F6DB1" w:rsidR="005957ED" w:rsidRPr="00561A62" w:rsidRDefault="005957ED" w:rsidP="005957ED">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06C36A93" w14:textId="77777777" w:rsidR="005957ED" w:rsidRPr="00561A62" w:rsidRDefault="005957ED" w:rsidP="005957ED">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3</w:t>
            </w:r>
          </w:p>
        </w:tc>
      </w:tr>
      <w:tr w:rsidR="005957ED" w:rsidRPr="00561A62" w14:paraId="53AC2544" w14:textId="77777777" w:rsidTr="005C22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80181F4" w14:textId="27F7F65C" w:rsidR="005957ED" w:rsidRPr="005957ED" w:rsidRDefault="005957ED" w:rsidP="005957ED">
            <w:pPr>
              <w:jc w:val="left"/>
              <w:rPr>
                <w:rFonts w:eastAsia="Times New Roman" w:cs="Calibri"/>
                <w:color w:val="000000"/>
                <w:sz w:val="16"/>
                <w:szCs w:val="16"/>
              </w:rPr>
            </w:pPr>
            <w:r w:rsidRPr="005957ED">
              <w:rPr>
                <w:sz w:val="16"/>
                <w:szCs w:val="16"/>
              </w:rPr>
              <w:t>Coordinadora Estatal de Plataformas Sociales Salesianas</w:t>
            </w:r>
          </w:p>
        </w:tc>
        <w:tc>
          <w:tcPr>
            <w:tcW w:w="1276" w:type="dxa"/>
            <w:noWrap/>
          </w:tcPr>
          <w:p w14:paraId="7CE35723" w14:textId="67C3178F" w:rsidR="005957ED" w:rsidRPr="00561A62" w:rsidRDefault="005957ED" w:rsidP="005957ED">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37,2</w:t>
            </w:r>
          </w:p>
        </w:tc>
        <w:tc>
          <w:tcPr>
            <w:tcW w:w="4961" w:type="dxa"/>
            <w:gridSpan w:val="3"/>
            <w:noWrap/>
            <w:hideMark/>
          </w:tcPr>
          <w:p w14:paraId="4AC1DFE6" w14:textId="37472BB1" w:rsidR="005957ED" w:rsidRPr="00561A62" w:rsidRDefault="005957ED" w:rsidP="005957ED">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p w14:paraId="36271341" w14:textId="0AB75BBE" w:rsidR="005957ED" w:rsidRPr="00561A62" w:rsidRDefault="005957ED" w:rsidP="005957ED">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c>
          <w:tcPr>
            <w:tcW w:w="1701" w:type="dxa"/>
            <w:noWrap/>
            <w:hideMark/>
          </w:tcPr>
          <w:p w14:paraId="141A6548" w14:textId="77777777" w:rsidR="005957ED" w:rsidRPr="00561A62" w:rsidRDefault="005957ED" w:rsidP="005957ED">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957ED" w:rsidRPr="00561A62" w14:paraId="75CC8F4E" w14:textId="77777777" w:rsidTr="00A623DA">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E1E7EB1" w14:textId="60A98286" w:rsidR="005957ED" w:rsidRPr="005957ED" w:rsidRDefault="005957ED" w:rsidP="005957ED">
            <w:pPr>
              <w:jc w:val="left"/>
              <w:rPr>
                <w:rFonts w:eastAsia="Times New Roman" w:cs="Calibri"/>
                <w:color w:val="000000"/>
                <w:sz w:val="16"/>
                <w:szCs w:val="16"/>
              </w:rPr>
            </w:pPr>
            <w:r w:rsidRPr="005957ED">
              <w:rPr>
                <w:sz w:val="16"/>
                <w:szCs w:val="16"/>
              </w:rPr>
              <w:t xml:space="preserve">Asociación </w:t>
            </w:r>
            <w:proofErr w:type="spellStart"/>
            <w:r w:rsidRPr="005957ED">
              <w:rPr>
                <w:sz w:val="16"/>
                <w:szCs w:val="16"/>
              </w:rPr>
              <w:t>Columbares</w:t>
            </w:r>
            <w:proofErr w:type="spellEnd"/>
          </w:p>
        </w:tc>
        <w:tc>
          <w:tcPr>
            <w:tcW w:w="1276" w:type="dxa"/>
            <w:noWrap/>
          </w:tcPr>
          <w:p w14:paraId="42EF0FBD" w14:textId="199AA3C7" w:rsidR="005957ED" w:rsidRPr="00561A62" w:rsidRDefault="005957ED" w:rsidP="005957ED">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36,7</w:t>
            </w:r>
          </w:p>
        </w:tc>
        <w:tc>
          <w:tcPr>
            <w:tcW w:w="4961" w:type="dxa"/>
            <w:gridSpan w:val="3"/>
            <w:noWrap/>
            <w:hideMark/>
          </w:tcPr>
          <w:p w14:paraId="66F9C895" w14:textId="26DA26E9" w:rsidR="005957ED" w:rsidRPr="00561A62" w:rsidRDefault="005957ED" w:rsidP="005957ED">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p w14:paraId="402F6DAD" w14:textId="1790D9DE" w:rsidR="005957ED" w:rsidRPr="00561A62" w:rsidRDefault="005957ED" w:rsidP="005957ED">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c>
          <w:tcPr>
            <w:tcW w:w="1701" w:type="dxa"/>
            <w:noWrap/>
            <w:hideMark/>
          </w:tcPr>
          <w:p w14:paraId="768F62C1" w14:textId="77777777" w:rsidR="005957ED" w:rsidRPr="00561A62" w:rsidRDefault="005957ED" w:rsidP="005957ED">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957ED" w:rsidRPr="00561A62" w14:paraId="74424E56" w14:textId="77777777" w:rsidTr="00595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3A293A7" w14:textId="61CDF7B6" w:rsidR="005957ED" w:rsidRPr="005957ED" w:rsidRDefault="005957ED" w:rsidP="005957ED">
            <w:pPr>
              <w:jc w:val="left"/>
              <w:rPr>
                <w:rFonts w:eastAsia="Times New Roman" w:cs="Calibri"/>
                <w:color w:val="000000"/>
                <w:sz w:val="16"/>
                <w:szCs w:val="16"/>
              </w:rPr>
            </w:pPr>
            <w:r>
              <w:rPr>
                <w:sz w:val="16"/>
                <w:szCs w:val="16"/>
              </w:rPr>
              <w:t>ESIC</w:t>
            </w:r>
          </w:p>
        </w:tc>
        <w:tc>
          <w:tcPr>
            <w:tcW w:w="1276" w:type="dxa"/>
            <w:noWrap/>
          </w:tcPr>
          <w:p w14:paraId="4F07524C" w14:textId="3D4074C2" w:rsidR="005957ED" w:rsidRPr="00561A62" w:rsidRDefault="005957ED" w:rsidP="005957ED">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35,7</w:t>
            </w:r>
          </w:p>
        </w:tc>
        <w:tc>
          <w:tcPr>
            <w:tcW w:w="4961" w:type="dxa"/>
            <w:gridSpan w:val="3"/>
            <w:noWrap/>
            <w:hideMark/>
          </w:tcPr>
          <w:p w14:paraId="66ED0546" w14:textId="7755855A" w:rsidR="005957ED" w:rsidRPr="00561A62" w:rsidRDefault="005957ED" w:rsidP="005957ED">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2DF03C33" w14:textId="77777777" w:rsidR="005957ED" w:rsidRPr="00561A62" w:rsidRDefault="005957ED" w:rsidP="005957ED">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957ED" w:rsidRPr="00561A62" w14:paraId="67F858F2"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EC422F8" w14:textId="3F576A6E" w:rsidR="005957ED" w:rsidRPr="005957ED" w:rsidRDefault="007B668E" w:rsidP="005957ED">
            <w:pPr>
              <w:jc w:val="left"/>
              <w:rPr>
                <w:rFonts w:eastAsia="Times New Roman" w:cs="Calibri"/>
                <w:color w:val="000000"/>
                <w:sz w:val="16"/>
                <w:szCs w:val="16"/>
              </w:rPr>
            </w:pPr>
            <w:r w:rsidRPr="007B668E">
              <w:rPr>
                <w:sz w:val="16"/>
                <w:szCs w:val="16"/>
              </w:rPr>
              <w:t>Confederación Empresarial de Hostelería de España</w:t>
            </w:r>
          </w:p>
        </w:tc>
        <w:tc>
          <w:tcPr>
            <w:tcW w:w="1276" w:type="dxa"/>
            <w:noWrap/>
            <w:hideMark/>
          </w:tcPr>
          <w:p w14:paraId="357E42F6" w14:textId="3C16824F" w:rsidR="005957ED" w:rsidRPr="00561A62" w:rsidRDefault="007B668E" w:rsidP="005957ED">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34,3</w:t>
            </w:r>
          </w:p>
        </w:tc>
        <w:tc>
          <w:tcPr>
            <w:tcW w:w="1701" w:type="dxa"/>
            <w:noWrap/>
            <w:hideMark/>
          </w:tcPr>
          <w:p w14:paraId="47DB9A0E" w14:textId="67B4383C" w:rsidR="005957ED" w:rsidRPr="00561A62" w:rsidRDefault="007B668E" w:rsidP="005957ED">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7</w:t>
            </w:r>
          </w:p>
        </w:tc>
        <w:tc>
          <w:tcPr>
            <w:tcW w:w="1701" w:type="dxa"/>
            <w:noWrap/>
            <w:hideMark/>
          </w:tcPr>
          <w:p w14:paraId="4EB1D7E3" w14:textId="639090AA" w:rsidR="005957ED" w:rsidRPr="00561A62" w:rsidRDefault="007B668E" w:rsidP="005957ED">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13</w:t>
            </w:r>
          </w:p>
        </w:tc>
        <w:tc>
          <w:tcPr>
            <w:tcW w:w="1559" w:type="dxa"/>
            <w:noWrap/>
            <w:hideMark/>
          </w:tcPr>
          <w:p w14:paraId="17B40046" w14:textId="04577B07" w:rsidR="005957ED" w:rsidRPr="00561A62" w:rsidRDefault="007B668E" w:rsidP="005957ED">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w:t>
            </w:r>
          </w:p>
        </w:tc>
        <w:tc>
          <w:tcPr>
            <w:tcW w:w="1701" w:type="dxa"/>
            <w:noWrap/>
            <w:hideMark/>
          </w:tcPr>
          <w:p w14:paraId="6F7B4AFA" w14:textId="77777777" w:rsidR="005957ED" w:rsidRPr="00561A62" w:rsidRDefault="005957ED" w:rsidP="005957ED">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9B1C94" w:rsidRPr="00561A62" w14:paraId="19D43C2F"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DD11C9E" w14:textId="3E04A79B" w:rsidR="001F1CC9" w:rsidRPr="00561A62" w:rsidRDefault="007B668E" w:rsidP="001F1CC9">
            <w:pPr>
              <w:jc w:val="left"/>
              <w:rPr>
                <w:rFonts w:eastAsia="Times New Roman" w:cs="Calibri"/>
                <w:color w:val="000000"/>
                <w:sz w:val="16"/>
                <w:szCs w:val="16"/>
              </w:rPr>
            </w:pPr>
            <w:r>
              <w:rPr>
                <w:rFonts w:eastAsia="Times New Roman" w:cs="Calibri"/>
                <w:color w:val="000000"/>
                <w:sz w:val="16"/>
                <w:szCs w:val="16"/>
              </w:rPr>
              <w:t>Fundación PRODE</w:t>
            </w:r>
          </w:p>
        </w:tc>
        <w:tc>
          <w:tcPr>
            <w:tcW w:w="1276" w:type="dxa"/>
            <w:noWrap/>
            <w:hideMark/>
          </w:tcPr>
          <w:p w14:paraId="2A439EA2" w14:textId="08FDDC15" w:rsidR="001F1CC9" w:rsidRPr="00561A62" w:rsidRDefault="007B668E"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33,7</w:t>
            </w:r>
          </w:p>
        </w:tc>
        <w:tc>
          <w:tcPr>
            <w:tcW w:w="4961" w:type="dxa"/>
            <w:gridSpan w:val="3"/>
            <w:noWrap/>
            <w:hideMark/>
          </w:tcPr>
          <w:p w14:paraId="7F298065" w14:textId="09BF2182" w:rsidR="001F1CC9" w:rsidRPr="00561A62" w:rsidRDefault="001F1CC9" w:rsidP="001F1CC9">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sidR="007B668E">
              <w:rPr>
                <w:rFonts w:eastAsia="Times New Roman" w:cs="Calibri"/>
                <w:color w:val="000000"/>
                <w:sz w:val="16"/>
                <w:szCs w:val="16"/>
              </w:rPr>
              <w:t>5</w:t>
            </w:r>
          </w:p>
        </w:tc>
        <w:tc>
          <w:tcPr>
            <w:tcW w:w="1701" w:type="dxa"/>
            <w:noWrap/>
            <w:hideMark/>
          </w:tcPr>
          <w:p w14:paraId="762F90D5" w14:textId="77777777"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6</w:t>
            </w:r>
          </w:p>
        </w:tc>
      </w:tr>
      <w:tr w:rsidR="005957ED" w:rsidRPr="00561A62" w14:paraId="1D3E4C5A" w14:textId="77777777" w:rsidTr="007B668E">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E1593D6" w14:textId="145D7D39" w:rsidR="001F1CC9" w:rsidRPr="00561A62" w:rsidRDefault="007B668E" w:rsidP="001F1CC9">
            <w:pPr>
              <w:jc w:val="left"/>
              <w:rPr>
                <w:rFonts w:eastAsia="Times New Roman" w:cs="Calibri"/>
                <w:color w:val="000000"/>
                <w:sz w:val="16"/>
                <w:szCs w:val="16"/>
              </w:rPr>
            </w:pPr>
            <w:r>
              <w:rPr>
                <w:rFonts w:eastAsia="Times New Roman" w:cs="Calibri"/>
                <w:color w:val="000000"/>
                <w:sz w:val="16"/>
                <w:szCs w:val="16"/>
              </w:rPr>
              <w:t>Cemex España Operaciones</w:t>
            </w:r>
          </w:p>
        </w:tc>
        <w:tc>
          <w:tcPr>
            <w:tcW w:w="1276" w:type="dxa"/>
            <w:noWrap/>
          </w:tcPr>
          <w:p w14:paraId="1CD584DC" w14:textId="69562803" w:rsidR="001F1CC9" w:rsidRPr="00561A62" w:rsidRDefault="007B668E"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33</w:t>
            </w:r>
          </w:p>
        </w:tc>
        <w:tc>
          <w:tcPr>
            <w:tcW w:w="4961" w:type="dxa"/>
            <w:gridSpan w:val="3"/>
            <w:noWrap/>
            <w:hideMark/>
          </w:tcPr>
          <w:p w14:paraId="4656B92C" w14:textId="20A12CF7" w:rsidR="001F1CC9" w:rsidRPr="00561A62" w:rsidRDefault="001F1CC9" w:rsidP="001F1CC9">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sidR="007B668E">
              <w:rPr>
                <w:rFonts w:eastAsia="Times New Roman" w:cs="Calibri"/>
                <w:color w:val="000000"/>
                <w:sz w:val="16"/>
                <w:szCs w:val="16"/>
              </w:rPr>
              <w:t>5</w:t>
            </w:r>
          </w:p>
        </w:tc>
        <w:tc>
          <w:tcPr>
            <w:tcW w:w="1701" w:type="dxa"/>
            <w:noWrap/>
            <w:hideMark/>
          </w:tcPr>
          <w:p w14:paraId="080AB13E" w14:textId="77777777" w:rsidR="001F1CC9" w:rsidRPr="00561A62" w:rsidRDefault="001F1CC9" w:rsidP="001F1CC9">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9B1C94" w:rsidRPr="00561A62" w14:paraId="2E956215" w14:textId="77777777" w:rsidTr="007B66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A03CE57" w14:textId="17B26DE3" w:rsidR="001F1CC9" w:rsidRPr="00561A62" w:rsidRDefault="007B668E" w:rsidP="001F1CC9">
            <w:pPr>
              <w:jc w:val="left"/>
              <w:rPr>
                <w:rFonts w:eastAsia="Times New Roman" w:cs="Calibri"/>
                <w:color w:val="000000"/>
                <w:sz w:val="16"/>
                <w:szCs w:val="16"/>
              </w:rPr>
            </w:pPr>
            <w:r>
              <w:rPr>
                <w:rFonts w:eastAsia="Times New Roman" w:cs="Calibri"/>
                <w:color w:val="000000"/>
                <w:sz w:val="16"/>
                <w:szCs w:val="16"/>
              </w:rPr>
              <w:t>Nuevo Hogar Betania</w:t>
            </w:r>
          </w:p>
        </w:tc>
        <w:tc>
          <w:tcPr>
            <w:tcW w:w="1276" w:type="dxa"/>
            <w:noWrap/>
          </w:tcPr>
          <w:p w14:paraId="7F0FE1E7" w14:textId="1406D745" w:rsidR="001F1CC9" w:rsidRPr="00561A62" w:rsidRDefault="007B668E"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33</w:t>
            </w:r>
          </w:p>
        </w:tc>
        <w:tc>
          <w:tcPr>
            <w:tcW w:w="4961" w:type="dxa"/>
            <w:gridSpan w:val="3"/>
            <w:noWrap/>
            <w:hideMark/>
          </w:tcPr>
          <w:p w14:paraId="1F5A5654" w14:textId="7EBF89E7" w:rsidR="001F1CC9" w:rsidRPr="00561A62" w:rsidRDefault="001F1CC9" w:rsidP="001F1CC9">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sidR="00EC330A">
              <w:rPr>
                <w:rFonts w:eastAsia="Times New Roman" w:cs="Calibri"/>
                <w:color w:val="000000"/>
                <w:sz w:val="16"/>
                <w:szCs w:val="16"/>
              </w:rPr>
              <w:t>5</w:t>
            </w:r>
          </w:p>
        </w:tc>
        <w:tc>
          <w:tcPr>
            <w:tcW w:w="1701" w:type="dxa"/>
            <w:noWrap/>
            <w:hideMark/>
          </w:tcPr>
          <w:p w14:paraId="67AE8E49" w14:textId="77777777" w:rsidR="001F1CC9" w:rsidRPr="00561A62" w:rsidRDefault="001F1CC9" w:rsidP="001F1CC9">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8D32D8" w:rsidRPr="00561A62" w14:paraId="15B4C09E" w14:textId="77777777" w:rsidTr="007B668E">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13C6340" w14:textId="19B25E6C" w:rsidR="001F1CC9" w:rsidRPr="00561A62" w:rsidRDefault="007B668E" w:rsidP="001F1CC9">
            <w:pPr>
              <w:jc w:val="left"/>
              <w:rPr>
                <w:rFonts w:eastAsia="Times New Roman" w:cs="Calibri"/>
                <w:color w:val="000000"/>
                <w:sz w:val="16"/>
                <w:szCs w:val="16"/>
              </w:rPr>
            </w:pPr>
            <w:r w:rsidRPr="00561A62">
              <w:rPr>
                <w:rFonts w:eastAsia="Times New Roman" w:cs="Calibri"/>
                <w:color w:val="000000"/>
                <w:sz w:val="16"/>
                <w:szCs w:val="16"/>
              </w:rPr>
              <w:t>Movimiento Scout Católico</w:t>
            </w:r>
          </w:p>
        </w:tc>
        <w:tc>
          <w:tcPr>
            <w:tcW w:w="1276" w:type="dxa"/>
            <w:noWrap/>
          </w:tcPr>
          <w:p w14:paraId="34B88BD5" w14:textId="5BD229FD" w:rsidR="001F1CC9" w:rsidRPr="00561A62" w:rsidRDefault="007B668E"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32,7</w:t>
            </w:r>
          </w:p>
        </w:tc>
        <w:tc>
          <w:tcPr>
            <w:tcW w:w="1701" w:type="dxa"/>
            <w:noWrap/>
          </w:tcPr>
          <w:p w14:paraId="26D92E57" w14:textId="6A49758B" w:rsidR="001F1CC9" w:rsidRPr="00561A62" w:rsidRDefault="007B668E" w:rsidP="007B668E">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-6,6</w:t>
            </w:r>
          </w:p>
        </w:tc>
        <w:tc>
          <w:tcPr>
            <w:tcW w:w="1701" w:type="dxa"/>
            <w:noWrap/>
          </w:tcPr>
          <w:p w14:paraId="74D38FC7" w14:textId="71687A34" w:rsidR="001F1CC9" w:rsidRPr="00561A62" w:rsidRDefault="007B668E"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13</w:t>
            </w:r>
          </w:p>
        </w:tc>
        <w:tc>
          <w:tcPr>
            <w:tcW w:w="1559" w:type="dxa"/>
            <w:noWrap/>
          </w:tcPr>
          <w:p w14:paraId="733FACC4" w14:textId="50250DCF" w:rsidR="001F1CC9" w:rsidRPr="00561A62" w:rsidRDefault="007B668E"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0</w:t>
            </w:r>
          </w:p>
        </w:tc>
        <w:tc>
          <w:tcPr>
            <w:tcW w:w="1701" w:type="dxa"/>
            <w:noWrap/>
          </w:tcPr>
          <w:p w14:paraId="6CD3D58F"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7B668E" w:rsidRPr="00561A62" w14:paraId="5965E9AD" w14:textId="77777777" w:rsidTr="000D5A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24E3601" w14:textId="11280131" w:rsidR="007B668E" w:rsidRPr="00561A62" w:rsidRDefault="007B668E" w:rsidP="001F1CC9">
            <w:pPr>
              <w:jc w:val="left"/>
              <w:rPr>
                <w:rFonts w:eastAsia="Times New Roman" w:cs="Calibri"/>
                <w:color w:val="000000"/>
                <w:sz w:val="16"/>
                <w:szCs w:val="16"/>
              </w:rPr>
            </w:pPr>
            <w:proofErr w:type="spellStart"/>
            <w:r>
              <w:rPr>
                <w:rFonts w:eastAsia="Times New Roman" w:cs="Calibri"/>
                <w:color w:val="000000"/>
                <w:sz w:val="16"/>
                <w:szCs w:val="16"/>
              </w:rPr>
              <w:t>Confebus</w:t>
            </w:r>
            <w:proofErr w:type="spellEnd"/>
          </w:p>
        </w:tc>
        <w:tc>
          <w:tcPr>
            <w:tcW w:w="1276" w:type="dxa"/>
            <w:noWrap/>
          </w:tcPr>
          <w:p w14:paraId="1D7A9E94" w14:textId="1D08CFB3" w:rsidR="007B668E" w:rsidRPr="00561A62" w:rsidRDefault="007B668E"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32,1</w:t>
            </w:r>
          </w:p>
        </w:tc>
        <w:tc>
          <w:tcPr>
            <w:tcW w:w="4961" w:type="dxa"/>
            <w:gridSpan w:val="3"/>
            <w:noWrap/>
          </w:tcPr>
          <w:p w14:paraId="1A8483A2" w14:textId="4748388A" w:rsidR="007B668E" w:rsidRPr="00561A62" w:rsidRDefault="007B668E" w:rsidP="007B668E">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68BA97FE" w14:textId="77777777" w:rsidR="007B668E" w:rsidRPr="00561A62" w:rsidRDefault="007B668E"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957ED" w:rsidRPr="00561A62" w14:paraId="36FA52B3"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5C27C19" w14:textId="592FEF90" w:rsidR="001F1CC9" w:rsidRPr="00561A62" w:rsidRDefault="007B668E" w:rsidP="001F1CC9">
            <w:pPr>
              <w:jc w:val="left"/>
              <w:rPr>
                <w:rFonts w:eastAsia="Times New Roman" w:cs="Calibri"/>
                <w:color w:val="000000"/>
                <w:sz w:val="16"/>
                <w:szCs w:val="16"/>
              </w:rPr>
            </w:pPr>
            <w:r>
              <w:rPr>
                <w:rFonts w:eastAsia="Times New Roman" w:cs="Calibri"/>
                <w:color w:val="000000"/>
                <w:sz w:val="16"/>
                <w:szCs w:val="16"/>
              </w:rPr>
              <w:t>I-De Redes Eléctricas Inteligentes</w:t>
            </w:r>
          </w:p>
        </w:tc>
        <w:tc>
          <w:tcPr>
            <w:tcW w:w="1276" w:type="dxa"/>
            <w:noWrap/>
            <w:hideMark/>
          </w:tcPr>
          <w:p w14:paraId="011F944B" w14:textId="36DA32E8" w:rsidR="001F1CC9" w:rsidRPr="00561A62" w:rsidRDefault="007B668E"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30,8</w:t>
            </w:r>
          </w:p>
        </w:tc>
        <w:tc>
          <w:tcPr>
            <w:tcW w:w="4961" w:type="dxa"/>
            <w:gridSpan w:val="3"/>
            <w:noWrap/>
            <w:hideMark/>
          </w:tcPr>
          <w:p w14:paraId="3388A01E" w14:textId="0435319E" w:rsidR="001F1CC9" w:rsidRPr="00561A62" w:rsidRDefault="001F1CC9" w:rsidP="001F1CC9">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sidR="007B668E">
              <w:rPr>
                <w:rFonts w:eastAsia="Times New Roman" w:cs="Calibri"/>
                <w:color w:val="000000"/>
                <w:sz w:val="16"/>
                <w:szCs w:val="16"/>
              </w:rPr>
              <w:t>5</w:t>
            </w:r>
          </w:p>
        </w:tc>
        <w:tc>
          <w:tcPr>
            <w:tcW w:w="1701" w:type="dxa"/>
            <w:noWrap/>
            <w:hideMark/>
          </w:tcPr>
          <w:p w14:paraId="1B737272" w14:textId="77777777" w:rsidR="001F1CC9" w:rsidRPr="00561A62" w:rsidRDefault="001F1CC9" w:rsidP="001F1CC9">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8D32D8" w:rsidRPr="00561A62" w14:paraId="6728659F"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C435F9A" w14:textId="1B023959" w:rsidR="001F1CC9" w:rsidRPr="00561A62" w:rsidRDefault="007B668E" w:rsidP="001F1CC9">
            <w:pPr>
              <w:jc w:val="left"/>
              <w:rPr>
                <w:rFonts w:eastAsia="Times New Roman" w:cs="Calibri"/>
                <w:color w:val="000000"/>
                <w:sz w:val="16"/>
                <w:szCs w:val="16"/>
              </w:rPr>
            </w:pPr>
            <w:r w:rsidRPr="00561A62">
              <w:rPr>
                <w:rFonts w:eastAsia="Times New Roman" w:cs="Calibri"/>
                <w:color w:val="000000"/>
                <w:sz w:val="16"/>
                <w:szCs w:val="16"/>
              </w:rPr>
              <w:t>Unión de Profesionales y Trabajadores Autónomos de España (UPTA)</w:t>
            </w:r>
          </w:p>
        </w:tc>
        <w:tc>
          <w:tcPr>
            <w:tcW w:w="1276" w:type="dxa"/>
            <w:noWrap/>
            <w:hideMark/>
          </w:tcPr>
          <w:p w14:paraId="7FB76C83" w14:textId="362A4D74" w:rsidR="001F1CC9" w:rsidRPr="00561A62" w:rsidRDefault="007B668E"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27</w:t>
            </w:r>
          </w:p>
        </w:tc>
        <w:tc>
          <w:tcPr>
            <w:tcW w:w="1701" w:type="dxa"/>
            <w:noWrap/>
            <w:hideMark/>
          </w:tcPr>
          <w:p w14:paraId="3ACAC810" w14:textId="2835C4E4"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r w:rsidR="007B668E">
              <w:rPr>
                <w:rFonts w:eastAsia="Times New Roman" w:cs="Calibri"/>
                <w:color w:val="000000"/>
                <w:sz w:val="16"/>
                <w:szCs w:val="16"/>
              </w:rPr>
              <w:t>,5</w:t>
            </w:r>
          </w:p>
        </w:tc>
        <w:tc>
          <w:tcPr>
            <w:tcW w:w="1701" w:type="dxa"/>
            <w:noWrap/>
            <w:hideMark/>
          </w:tcPr>
          <w:p w14:paraId="1069EC00" w14:textId="4A956878" w:rsidR="001F1CC9" w:rsidRPr="00561A62" w:rsidRDefault="007B668E"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15</w:t>
            </w:r>
          </w:p>
        </w:tc>
        <w:tc>
          <w:tcPr>
            <w:tcW w:w="1559" w:type="dxa"/>
            <w:noWrap/>
            <w:hideMark/>
          </w:tcPr>
          <w:p w14:paraId="4A8F7BD7" w14:textId="7BE9154E" w:rsidR="001F1CC9" w:rsidRPr="00561A62" w:rsidRDefault="007B668E"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w:t>
            </w:r>
          </w:p>
        </w:tc>
        <w:tc>
          <w:tcPr>
            <w:tcW w:w="1701" w:type="dxa"/>
            <w:noWrap/>
            <w:hideMark/>
          </w:tcPr>
          <w:p w14:paraId="7D8EB7A6" w14:textId="77777777"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7</w:t>
            </w:r>
          </w:p>
        </w:tc>
      </w:tr>
      <w:tr w:rsidR="005957ED" w:rsidRPr="00561A62" w14:paraId="70771B76"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3CF6A98" w14:textId="3D0D7B67" w:rsidR="001F1CC9" w:rsidRPr="00561A62" w:rsidRDefault="007B668E" w:rsidP="001F1CC9">
            <w:pPr>
              <w:jc w:val="left"/>
              <w:rPr>
                <w:rFonts w:eastAsia="Times New Roman" w:cs="Calibri"/>
                <w:color w:val="000000"/>
                <w:sz w:val="16"/>
                <w:szCs w:val="16"/>
              </w:rPr>
            </w:pPr>
            <w:r>
              <w:rPr>
                <w:rFonts w:eastAsia="Times New Roman" w:cs="Calibri"/>
                <w:color w:val="000000"/>
                <w:sz w:val="16"/>
                <w:szCs w:val="16"/>
              </w:rPr>
              <w:t>Unión de Pequeños Agricultores y Ganaderos</w:t>
            </w:r>
          </w:p>
        </w:tc>
        <w:tc>
          <w:tcPr>
            <w:tcW w:w="1276" w:type="dxa"/>
            <w:noWrap/>
            <w:hideMark/>
          </w:tcPr>
          <w:p w14:paraId="1738F6EE" w14:textId="544C08F5" w:rsidR="001F1CC9" w:rsidRPr="00561A62" w:rsidRDefault="007B668E"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26,9</w:t>
            </w:r>
          </w:p>
        </w:tc>
        <w:tc>
          <w:tcPr>
            <w:tcW w:w="4961" w:type="dxa"/>
            <w:gridSpan w:val="3"/>
            <w:noWrap/>
            <w:hideMark/>
          </w:tcPr>
          <w:p w14:paraId="7F65B44A" w14:textId="27CA20BA" w:rsidR="001F1CC9" w:rsidRPr="00561A62" w:rsidRDefault="001F1CC9" w:rsidP="001F1CC9">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sidR="007B668E">
              <w:rPr>
                <w:rFonts w:eastAsia="Times New Roman" w:cs="Calibri"/>
                <w:color w:val="000000"/>
                <w:sz w:val="16"/>
                <w:szCs w:val="16"/>
              </w:rPr>
              <w:t>5</w:t>
            </w:r>
          </w:p>
        </w:tc>
        <w:tc>
          <w:tcPr>
            <w:tcW w:w="1701" w:type="dxa"/>
            <w:noWrap/>
            <w:hideMark/>
          </w:tcPr>
          <w:p w14:paraId="7BC2850C" w14:textId="77777777" w:rsidR="001F1CC9" w:rsidRPr="00561A62" w:rsidRDefault="001F1CC9" w:rsidP="001F1CC9">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9B1C94" w:rsidRPr="00561A62" w14:paraId="3BF5E982"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46572AF" w14:textId="631E1364" w:rsidR="001F1CC9" w:rsidRPr="00561A62" w:rsidRDefault="007B668E" w:rsidP="001F1CC9">
            <w:pPr>
              <w:jc w:val="left"/>
              <w:rPr>
                <w:rFonts w:eastAsia="Times New Roman" w:cs="Calibri"/>
                <w:color w:val="000000"/>
                <w:sz w:val="16"/>
                <w:szCs w:val="16"/>
              </w:rPr>
            </w:pPr>
            <w:r>
              <w:rPr>
                <w:rFonts w:eastAsia="Times New Roman" w:cs="Calibri"/>
                <w:color w:val="000000"/>
                <w:sz w:val="16"/>
                <w:szCs w:val="16"/>
              </w:rPr>
              <w:t>Federación Española de Hockey</w:t>
            </w:r>
          </w:p>
        </w:tc>
        <w:tc>
          <w:tcPr>
            <w:tcW w:w="1276" w:type="dxa"/>
            <w:noWrap/>
            <w:hideMark/>
          </w:tcPr>
          <w:p w14:paraId="62ED5DF1" w14:textId="590D6D84" w:rsidR="001F1CC9" w:rsidRPr="00561A62" w:rsidRDefault="007B668E"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25,5</w:t>
            </w:r>
          </w:p>
        </w:tc>
        <w:tc>
          <w:tcPr>
            <w:tcW w:w="4961" w:type="dxa"/>
            <w:gridSpan w:val="3"/>
            <w:noWrap/>
            <w:hideMark/>
          </w:tcPr>
          <w:p w14:paraId="4739D37F" w14:textId="565B803F" w:rsidR="001F1CC9" w:rsidRPr="00561A62" w:rsidRDefault="001F1CC9" w:rsidP="001F1CC9">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sidR="007B668E">
              <w:rPr>
                <w:rFonts w:eastAsia="Times New Roman" w:cs="Calibri"/>
                <w:color w:val="000000"/>
                <w:sz w:val="16"/>
                <w:szCs w:val="16"/>
              </w:rPr>
              <w:t>5</w:t>
            </w:r>
          </w:p>
        </w:tc>
        <w:tc>
          <w:tcPr>
            <w:tcW w:w="1701" w:type="dxa"/>
            <w:noWrap/>
            <w:hideMark/>
          </w:tcPr>
          <w:p w14:paraId="10738D06" w14:textId="77777777" w:rsidR="001F1CC9" w:rsidRPr="00561A62" w:rsidRDefault="001F1CC9" w:rsidP="001F1CC9">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8D32D8" w:rsidRPr="00561A62" w14:paraId="4AC952E2"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40C0142" w14:textId="0498FAB6" w:rsidR="001F1CC9" w:rsidRPr="00561A62" w:rsidRDefault="007B668E" w:rsidP="001F1CC9">
            <w:pPr>
              <w:jc w:val="left"/>
              <w:rPr>
                <w:rFonts w:eastAsia="Times New Roman" w:cs="Calibri"/>
                <w:color w:val="000000"/>
                <w:sz w:val="16"/>
                <w:szCs w:val="16"/>
              </w:rPr>
            </w:pPr>
            <w:r w:rsidRPr="00561A62">
              <w:rPr>
                <w:rFonts w:eastAsia="Times New Roman" w:cs="Calibri"/>
                <w:color w:val="000000"/>
                <w:sz w:val="16"/>
                <w:szCs w:val="16"/>
              </w:rPr>
              <w:t>Fundación del Toro de lidia</w:t>
            </w:r>
          </w:p>
        </w:tc>
        <w:tc>
          <w:tcPr>
            <w:tcW w:w="1276" w:type="dxa"/>
            <w:noWrap/>
            <w:hideMark/>
          </w:tcPr>
          <w:p w14:paraId="3B99236F" w14:textId="0BAE1272" w:rsidR="001F1CC9" w:rsidRPr="00561A62" w:rsidRDefault="007B668E"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25</w:t>
            </w:r>
          </w:p>
        </w:tc>
        <w:tc>
          <w:tcPr>
            <w:tcW w:w="1701" w:type="dxa"/>
            <w:noWrap/>
            <w:hideMark/>
          </w:tcPr>
          <w:p w14:paraId="7CF126B9" w14:textId="41F4FB25" w:rsidR="001F1CC9" w:rsidRPr="00561A62" w:rsidRDefault="007B668E"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-3,1</w:t>
            </w:r>
          </w:p>
        </w:tc>
        <w:tc>
          <w:tcPr>
            <w:tcW w:w="1701" w:type="dxa"/>
            <w:noWrap/>
            <w:hideMark/>
          </w:tcPr>
          <w:p w14:paraId="4A677966" w14:textId="47196A43" w:rsidR="001F1CC9" w:rsidRPr="00561A62" w:rsidRDefault="007B668E"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13</w:t>
            </w:r>
          </w:p>
        </w:tc>
        <w:tc>
          <w:tcPr>
            <w:tcW w:w="1559" w:type="dxa"/>
            <w:noWrap/>
            <w:hideMark/>
          </w:tcPr>
          <w:p w14:paraId="7EA910FF" w14:textId="0638EFF4" w:rsidR="001F1CC9" w:rsidRPr="00561A62" w:rsidRDefault="007B668E"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w:t>
            </w:r>
          </w:p>
        </w:tc>
        <w:tc>
          <w:tcPr>
            <w:tcW w:w="1701" w:type="dxa"/>
            <w:noWrap/>
            <w:hideMark/>
          </w:tcPr>
          <w:p w14:paraId="36FE09C3"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7B668E" w:rsidRPr="00561A62" w14:paraId="0F97D59B" w14:textId="77777777" w:rsidTr="00CB65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vAlign w:val="bottom"/>
            <w:hideMark/>
          </w:tcPr>
          <w:p w14:paraId="287D8829" w14:textId="143612E1" w:rsidR="007B668E" w:rsidRPr="007B668E" w:rsidRDefault="007B668E" w:rsidP="007B668E">
            <w:pPr>
              <w:jc w:val="left"/>
              <w:rPr>
                <w:rFonts w:eastAsia="Times New Roman" w:cs="Calibri"/>
                <w:color w:val="000000"/>
                <w:sz w:val="16"/>
                <w:szCs w:val="16"/>
              </w:rPr>
            </w:pPr>
            <w:r w:rsidRPr="007B668E">
              <w:rPr>
                <w:rFonts w:cs="Calibri"/>
                <w:color w:val="000000"/>
                <w:sz w:val="16"/>
                <w:szCs w:val="16"/>
              </w:rPr>
              <w:t>Fundación Universidad Loyola Andalucía</w:t>
            </w:r>
          </w:p>
        </w:tc>
        <w:tc>
          <w:tcPr>
            <w:tcW w:w="1276" w:type="dxa"/>
            <w:noWrap/>
          </w:tcPr>
          <w:p w14:paraId="72DD617C" w14:textId="64CF6523" w:rsidR="007B668E" w:rsidRPr="00561A62" w:rsidRDefault="009C49B0" w:rsidP="007B668E">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24,5</w:t>
            </w:r>
          </w:p>
        </w:tc>
        <w:tc>
          <w:tcPr>
            <w:tcW w:w="4961" w:type="dxa"/>
            <w:gridSpan w:val="3"/>
            <w:noWrap/>
          </w:tcPr>
          <w:p w14:paraId="22D92F15" w14:textId="4FC97D47" w:rsidR="007B668E" w:rsidRPr="00561A62" w:rsidRDefault="007B668E" w:rsidP="007B668E">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00EFEE5B" w14:textId="77777777" w:rsidR="007B668E" w:rsidRPr="00561A62" w:rsidRDefault="007B668E" w:rsidP="007B668E">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7B668E" w:rsidRPr="00561A62" w14:paraId="0F6BA9CC" w14:textId="77777777" w:rsidTr="00C958B2">
        <w:trPr>
          <w:trHeight w:val="300"/>
        </w:trPr>
        <w:tc>
          <w:tcPr>
            <w:cnfStyle w:val="001000000000" w:firstRow="0" w:lastRow="0" w:firstColumn="1" w:lastColumn="0" w:oddVBand="0" w:evenVBand="0" w:oddHBand="0" w:evenHBand="0" w:firstRowFirstColumn="0" w:firstRowLastColumn="0" w:lastRowFirstColumn="0" w:lastRowLastColumn="0"/>
            <w:tcW w:w="2552" w:type="dxa"/>
            <w:noWrap/>
            <w:vAlign w:val="bottom"/>
            <w:hideMark/>
          </w:tcPr>
          <w:p w14:paraId="4EEA45CB" w14:textId="043BCAEF" w:rsidR="007B668E" w:rsidRPr="007B668E" w:rsidRDefault="007B668E" w:rsidP="007B668E">
            <w:pPr>
              <w:jc w:val="left"/>
              <w:rPr>
                <w:rFonts w:eastAsia="Times New Roman" w:cs="Calibri"/>
                <w:color w:val="000000"/>
                <w:sz w:val="16"/>
                <w:szCs w:val="16"/>
              </w:rPr>
            </w:pPr>
            <w:r w:rsidRPr="007B668E">
              <w:rPr>
                <w:rFonts w:cs="Calibri"/>
                <w:color w:val="000000"/>
                <w:sz w:val="16"/>
                <w:szCs w:val="16"/>
              </w:rPr>
              <w:t>Fundación San Rosendo</w:t>
            </w:r>
          </w:p>
        </w:tc>
        <w:tc>
          <w:tcPr>
            <w:tcW w:w="1276" w:type="dxa"/>
            <w:noWrap/>
          </w:tcPr>
          <w:p w14:paraId="0C8461B7" w14:textId="3FA6B15E" w:rsidR="007B668E" w:rsidRPr="00561A62" w:rsidRDefault="009C49B0" w:rsidP="007B668E">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23,5</w:t>
            </w:r>
          </w:p>
        </w:tc>
        <w:tc>
          <w:tcPr>
            <w:tcW w:w="4961" w:type="dxa"/>
            <w:gridSpan w:val="3"/>
            <w:noWrap/>
          </w:tcPr>
          <w:p w14:paraId="50AB6DB2" w14:textId="5EB9B32A" w:rsidR="007B668E" w:rsidRPr="00561A62" w:rsidRDefault="007B668E" w:rsidP="009C49B0">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5B9C1F5A" w14:textId="77777777" w:rsidR="007B668E" w:rsidRPr="00561A62" w:rsidRDefault="007B668E" w:rsidP="007B668E">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9C49B0" w:rsidRPr="00561A62" w14:paraId="27F180D4" w14:textId="77777777" w:rsidTr="009279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vAlign w:val="bottom"/>
            <w:hideMark/>
          </w:tcPr>
          <w:p w14:paraId="305DB261" w14:textId="5BD4301C" w:rsidR="009C49B0" w:rsidRPr="007B668E" w:rsidRDefault="009C49B0" w:rsidP="007B668E">
            <w:pPr>
              <w:jc w:val="left"/>
              <w:rPr>
                <w:rFonts w:eastAsia="Times New Roman" w:cs="Calibri"/>
                <w:color w:val="000000"/>
                <w:sz w:val="16"/>
                <w:szCs w:val="16"/>
              </w:rPr>
            </w:pPr>
            <w:r w:rsidRPr="007B668E">
              <w:rPr>
                <w:rFonts w:cs="Calibri"/>
                <w:color w:val="000000"/>
                <w:sz w:val="16"/>
                <w:szCs w:val="16"/>
              </w:rPr>
              <w:t>Fundación San Valero</w:t>
            </w:r>
          </w:p>
        </w:tc>
        <w:tc>
          <w:tcPr>
            <w:tcW w:w="1276" w:type="dxa"/>
            <w:noWrap/>
          </w:tcPr>
          <w:p w14:paraId="159100B8" w14:textId="09EA2B48" w:rsidR="009C49B0" w:rsidRPr="00561A62" w:rsidRDefault="009C49B0" w:rsidP="007B668E">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23</w:t>
            </w:r>
          </w:p>
        </w:tc>
        <w:tc>
          <w:tcPr>
            <w:tcW w:w="4961" w:type="dxa"/>
            <w:gridSpan w:val="3"/>
            <w:noWrap/>
          </w:tcPr>
          <w:p w14:paraId="2B866B89" w14:textId="291FA22A" w:rsidR="009C49B0" w:rsidRPr="00561A62" w:rsidRDefault="009C49B0" w:rsidP="009C49B0">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5ED83837" w14:textId="77777777" w:rsidR="009C49B0" w:rsidRPr="00561A62" w:rsidRDefault="009C49B0" w:rsidP="007B668E">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9C49B0" w:rsidRPr="00561A62" w14:paraId="3C267D2D" w14:textId="77777777" w:rsidTr="0064424A">
        <w:trPr>
          <w:trHeight w:val="300"/>
        </w:trPr>
        <w:tc>
          <w:tcPr>
            <w:cnfStyle w:val="001000000000" w:firstRow="0" w:lastRow="0" w:firstColumn="1" w:lastColumn="0" w:oddVBand="0" w:evenVBand="0" w:oddHBand="0" w:evenHBand="0" w:firstRowFirstColumn="0" w:firstRowLastColumn="0" w:lastRowFirstColumn="0" w:lastRowLastColumn="0"/>
            <w:tcW w:w="2552" w:type="dxa"/>
            <w:noWrap/>
            <w:vAlign w:val="bottom"/>
            <w:hideMark/>
          </w:tcPr>
          <w:p w14:paraId="76E81F9A" w14:textId="0B2138F8" w:rsidR="009C49B0" w:rsidRPr="007B668E" w:rsidRDefault="009C49B0" w:rsidP="007B668E">
            <w:pPr>
              <w:jc w:val="left"/>
              <w:rPr>
                <w:rFonts w:eastAsia="Times New Roman" w:cs="Calibri"/>
                <w:color w:val="000000"/>
                <w:sz w:val="16"/>
                <w:szCs w:val="16"/>
              </w:rPr>
            </w:pPr>
            <w:r w:rsidRPr="007B668E">
              <w:rPr>
                <w:rFonts w:cs="Calibri"/>
                <w:color w:val="000000"/>
                <w:sz w:val="16"/>
                <w:szCs w:val="16"/>
              </w:rPr>
              <w:t>Fundación Universitaria San Pablo CEU</w:t>
            </w:r>
          </w:p>
        </w:tc>
        <w:tc>
          <w:tcPr>
            <w:tcW w:w="1276" w:type="dxa"/>
            <w:noWrap/>
          </w:tcPr>
          <w:p w14:paraId="421147F0" w14:textId="2CF57533" w:rsidR="009C49B0" w:rsidRPr="00561A62" w:rsidRDefault="009C49B0" w:rsidP="007B668E">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21,4</w:t>
            </w:r>
          </w:p>
        </w:tc>
        <w:tc>
          <w:tcPr>
            <w:tcW w:w="4961" w:type="dxa"/>
            <w:gridSpan w:val="3"/>
            <w:noWrap/>
          </w:tcPr>
          <w:p w14:paraId="2B68062F" w14:textId="5A553089" w:rsidR="009C49B0" w:rsidRPr="00561A62" w:rsidRDefault="009C49B0" w:rsidP="009C49B0">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50C1F6D0" w14:textId="77777777" w:rsidR="009C49B0" w:rsidRPr="00561A62" w:rsidRDefault="009C49B0" w:rsidP="007B668E">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7B668E" w:rsidRPr="00561A62" w14:paraId="3E51872D" w14:textId="77777777" w:rsidTr="003345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vAlign w:val="bottom"/>
            <w:hideMark/>
          </w:tcPr>
          <w:p w14:paraId="2B9D0B9A" w14:textId="6FC864B5" w:rsidR="007B668E" w:rsidRPr="007B668E" w:rsidRDefault="007B668E" w:rsidP="007B668E">
            <w:pPr>
              <w:jc w:val="left"/>
              <w:rPr>
                <w:rFonts w:eastAsia="Times New Roman" w:cs="Calibri"/>
                <w:color w:val="000000"/>
                <w:sz w:val="16"/>
                <w:szCs w:val="16"/>
              </w:rPr>
            </w:pPr>
            <w:r w:rsidRPr="007B668E">
              <w:rPr>
                <w:rFonts w:cs="Calibri"/>
                <w:color w:val="000000"/>
                <w:sz w:val="16"/>
                <w:szCs w:val="16"/>
              </w:rPr>
              <w:t>Asociación Amar-</w:t>
            </w:r>
            <w:proofErr w:type="spellStart"/>
            <w:r w:rsidRPr="007B668E">
              <w:rPr>
                <w:rFonts w:cs="Calibri"/>
                <w:color w:val="000000"/>
                <w:sz w:val="16"/>
                <w:szCs w:val="16"/>
              </w:rPr>
              <w:t>Dragoste</w:t>
            </w:r>
            <w:proofErr w:type="spellEnd"/>
          </w:p>
        </w:tc>
        <w:tc>
          <w:tcPr>
            <w:tcW w:w="1276" w:type="dxa"/>
            <w:noWrap/>
            <w:hideMark/>
          </w:tcPr>
          <w:p w14:paraId="42D2EE22" w14:textId="609E8E9D" w:rsidR="007B668E" w:rsidRPr="00561A62" w:rsidRDefault="007B668E" w:rsidP="007B668E">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21,4</w:t>
            </w:r>
          </w:p>
        </w:tc>
        <w:tc>
          <w:tcPr>
            <w:tcW w:w="4961" w:type="dxa"/>
            <w:gridSpan w:val="3"/>
            <w:noWrap/>
            <w:hideMark/>
          </w:tcPr>
          <w:p w14:paraId="31066A5D" w14:textId="3C5D3103" w:rsidR="007B668E" w:rsidRPr="00561A62" w:rsidRDefault="007B668E" w:rsidP="007B668E">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5E2B4DB8" w14:textId="77777777" w:rsidR="007B668E" w:rsidRPr="00561A62" w:rsidRDefault="007B668E" w:rsidP="007B668E">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8D32D8" w:rsidRPr="00561A62" w14:paraId="03DD7664"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8BBA270" w14:textId="5B5B6EE5" w:rsidR="001F1CC9" w:rsidRPr="00561A62" w:rsidRDefault="009C49B0" w:rsidP="001F1CC9">
            <w:pPr>
              <w:jc w:val="left"/>
              <w:rPr>
                <w:rFonts w:eastAsia="Times New Roman" w:cs="Calibri"/>
                <w:color w:val="000000"/>
                <w:sz w:val="16"/>
                <w:szCs w:val="16"/>
              </w:rPr>
            </w:pPr>
            <w:proofErr w:type="spellStart"/>
            <w:r>
              <w:rPr>
                <w:rFonts w:eastAsia="Times New Roman" w:cs="Calibri"/>
                <w:color w:val="000000"/>
                <w:sz w:val="16"/>
                <w:szCs w:val="16"/>
              </w:rPr>
              <w:t>Ribercamp</w:t>
            </w:r>
            <w:proofErr w:type="spellEnd"/>
          </w:p>
        </w:tc>
        <w:tc>
          <w:tcPr>
            <w:tcW w:w="1276" w:type="dxa"/>
            <w:noWrap/>
            <w:hideMark/>
          </w:tcPr>
          <w:p w14:paraId="31537B67" w14:textId="03860854" w:rsidR="001F1CC9" w:rsidRPr="00561A62" w:rsidRDefault="009C49B0"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20,7</w:t>
            </w:r>
          </w:p>
        </w:tc>
        <w:tc>
          <w:tcPr>
            <w:tcW w:w="1701" w:type="dxa"/>
            <w:noWrap/>
            <w:hideMark/>
          </w:tcPr>
          <w:p w14:paraId="6AB1FAA7" w14:textId="37D94558" w:rsidR="001F1CC9" w:rsidRPr="00561A62" w:rsidRDefault="009C49B0"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14,1</w:t>
            </w:r>
          </w:p>
        </w:tc>
        <w:tc>
          <w:tcPr>
            <w:tcW w:w="1701" w:type="dxa"/>
            <w:noWrap/>
            <w:hideMark/>
          </w:tcPr>
          <w:p w14:paraId="48E9C982" w14:textId="0E905C9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w:t>
            </w:r>
            <w:r w:rsidR="009C49B0">
              <w:rPr>
                <w:rFonts w:eastAsia="Times New Roman" w:cs="Calibri"/>
                <w:color w:val="000000"/>
                <w:sz w:val="16"/>
                <w:szCs w:val="16"/>
              </w:rPr>
              <w:t>5</w:t>
            </w:r>
          </w:p>
        </w:tc>
        <w:tc>
          <w:tcPr>
            <w:tcW w:w="1559" w:type="dxa"/>
            <w:noWrap/>
            <w:hideMark/>
          </w:tcPr>
          <w:p w14:paraId="4BE46F32" w14:textId="5B6C3CE8" w:rsidR="001F1CC9" w:rsidRPr="00561A62" w:rsidRDefault="009C49B0"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c>
          <w:tcPr>
            <w:tcW w:w="1701" w:type="dxa"/>
            <w:noWrap/>
            <w:hideMark/>
          </w:tcPr>
          <w:p w14:paraId="158AAB61"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8D32D8" w:rsidRPr="00561A62" w14:paraId="06B2A51F"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2139F1C" w14:textId="67613A28" w:rsidR="001F1CC9" w:rsidRPr="00561A62" w:rsidRDefault="009C49B0" w:rsidP="001F1CC9">
            <w:pPr>
              <w:jc w:val="left"/>
              <w:rPr>
                <w:rFonts w:eastAsia="Times New Roman" w:cs="Calibri"/>
                <w:sz w:val="16"/>
                <w:szCs w:val="16"/>
              </w:rPr>
            </w:pPr>
            <w:r>
              <w:rPr>
                <w:rFonts w:eastAsia="Times New Roman" w:cs="Calibri"/>
                <w:sz w:val="16"/>
                <w:szCs w:val="16"/>
              </w:rPr>
              <w:t>Bureau Veritas</w:t>
            </w:r>
          </w:p>
        </w:tc>
        <w:tc>
          <w:tcPr>
            <w:tcW w:w="1276" w:type="dxa"/>
            <w:noWrap/>
            <w:hideMark/>
          </w:tcPr>
          <w:p w14:paraId="25CBEBA3" w14:textId="59BC9131" w:rsidR="001F1CC9" w:rsidRPr="00561A62" w:rsidRDefault="009C49B0"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19,8</w:t>
            </w:r>
          </w:p>
        </w:tc>
        <w:tc>
          <w:tcPr>
            <w:tcW w:w="1701" w:type="dxa"/>
            <w:noWrap/>
            <w:hideMark/>
          </w:tcPr>
          <w:p w14:paraId="1B1B865D" w14:textId="7B3CD471" w:rsidR="001F1CC9" w:rsidRPr="00561A62" w:rsidRDefault="009C49B0"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-22,5</w:t>
            </w:r>
          </w:p>
        </w:tc>
        <w:tc>
          <w:tcPr>
            <w:tcW w:w="1701" w:type="dxa"/>
            <w:noWrap/>
            <w:hideMark/>
          </w:tcPr>
          <w:p w14:paraId="09FE4F77" w14:textId="3F2C858C"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w:t>
            </w:r>
            <w:r w:rsidR="009C49B0">
              <w:rPr>
                <w:rFonts w:eastAsia="Times New Roman" w:cs="Calibri"/>
                <w:color w:val="000000"/>
                <w:sz w:val="16"/>
                <w:szCs w:val="16"/>
              </w:rPr>
              <w:t>5</w:t>
            </w:r>
          </w:p>
        </w:tc>
        <w:tc>
          <w:tcPr>
            <w:tcW w:w="1559" w:type="dxa"/>
            <w:noWrap/>
            <w:hideMark/>
          </w:tcPr>
          <w:p w14:paraId="7C3B4C1D" w14:textId="77777777"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p>
        </w:tc>
        <w:tc>
          <w:tcPr>
            <w:tcW w:w="1701" w:type="dxa"/>
            <w:noWrap/>
            <w:hideMark/>
          </w:tcPr>
          <w:p w14:paraId="09E3E41B" w14:textId="77777777"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9C49B0" w:rsidRPr="00561A62" w14:paraId="201C9899" w14:textId="77777777" w:rsidTr="00917FE9">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E754A6A" w14:textId="718E536F" w:rsidR="009C49B0" w:rsidRPr="00561A62" w:rsidRDefault="009C49B0" w:rsidP="001F1CC9">
            <w:pPr>
              <w:jc w:val="left"/>
              <w:rPr>
                <w:rFonts w:eastAsia="Times New Roman" w:cs="Calibri"/>
                <w:color w:val="000000"/>
                <w:sz w:val="16"/>
                <w:szCs w:val="16"/>
              </w:rPr>
            </w:pPr>
            <w:proofErr w:type="spellStart"/>
            <w:r>
              <w:rPr>
                <w:rFonts w:eastAsia="Times New Roman" w:cs="Calibri"/>
                <w:color w:val="000000"/>
                <w:sz w:val="16"/>
                <w:szCs w:val="16"/>
              </w:rPr>
              <w:t>A</w:t>
            </w:r>
            <w:r w:rsidR="00EE3066">
              <w:rPr>
                <w:rFonts w:eastAsia="Times New Roman" w:cs="Calibri"/>
                <w:color w:val="000000"/>
                <w:sz w:val="16"/>
                <w:szCs w:val="16"/>
              </w:rPr>
              <w:t>r</w:t>
            </w:r>
            <w:r>
              <w:rPr>
                <w:rFonts w:eastAsia="Times New Roman" w:cs="Calibri"/>
                <w:color w:val="000000"/>
                <w:sz w:val="16"/>
                <w:szCs w:val="16"/>
              </w:rPr>
              <w:t>cerlormittal</w:t>
            </w:r>
            <w:proofErr w:type="spellEnd"/>
            <w:r>
              <w:rPr>
                <w:rFonts w:eastAsia="Times New Roman" w:cs="Calibri"/>
                <w:color w:val="000000"/>
                <w:sz w:val="16"/>
                <w:szCs w:val="16"/>
              </w:rPr>
              <w:t xml:space="preserve"> España</w:t>
            </w:r>
          </w:p>
        </w:tc>
        <w:tc>
          <w:tcPr>
            <w:tcW w:w="1276" w:type="dxa"/>
            <w:noWrap/>
            <w:hideMark/>
          </w:tcPr>
          <w:p w14:paraId="44B4882B" w14:textId="67DF64AA" w:rsidR="009C49B0" w:rsidRPr="00561A62" w:rsidRDefault="009C49B0"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19,8</w:t>
            </w:r>
          </w:p>
        </w:tc>
        <w:tc>
          <w:tcPr>
            <w:tcW w:w="4961" w:type="dxa"/>
            <w:gridSpan w:val="3"/>
            <w:noWrap/>
            <w:hideMark/>
          </w:tcPr>
          <w:p w14:paraId="28881F52" w14:textId="554182F1" w:rsidR="009C49B0" w:rsidRPr="00561A62" w:rsidRDefault="009C49B0" w:rsidP="009C49B0">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09265F24" w14:textId="77777777" w:rsidR="009C49B0" w:rsidRPr="00561A62" w:rsidRDefault="009C49B0"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957ED" w:rsidRPr="00561A62" w14:paraId="4D2088E2" w14:textId="77777777" w:rsidTr="009C49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48E86F8" w14:textId="55BAB205" w:rsidR="001F1CC9" w:rsidRPr="00561A62" w:rsidRDefault="009C49B0" w:rsidP="001F1CC9">
            <w:pPr>
              <w:jc w:val="left"/>
              <w:rPr>
                <w:rFonts w:eastAsia="Times New Roman" w:cs="Calibri"/>
                <w:color w:val="000000"/>
                <w:sz w:val="16"/>
                <w:szCs w:val="16"/>
              </w:rPr>
            </w:pPr>
            <w:r>
              <w:rPr>
                <w:rFonts w:eastAsia="Times New Roman" w:cs="Calibri"/>
                <w:color w:val="000000"/>
                <w:sz w:val="16"/>
                <w:szCs w:val="16"/>
              </w:rPr>
              <w:t>FCC Aqualia</w:t>
            </w:r>
          </w:p>
        </w:tc>
        <w:tc>
          <w:tcPr>
            <w:tcW w:w="1276" w:type="dxa"/>
            <w:noWrap/>
          </w:tcPr>
          <w:p w14:paraId="7ADCC7F5" w14:textId="4B4923D1" w:rsidR="001F1CC9" w:rsidRPr="00561A62" w:rsidRDefault="009C49B0"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19,8</w:t>
            </w:r>
          </w:p>
        </w:tc>
        <w:tc>
          <w:tcPr>
            <w:tcW w:w="4961" w:type="dxa"/>
            <w:gridSpan w:val="3"/>
            <w:noWrap/>
            <w:hideMark/>
          </w:tcPr>
          <w:p w14:paraId="02F0097A" w14:textId="42177CA6" w:rsidR="001F1CC9" w:rsidRPr="00561A62" w:rsidRDefault="001F1CC9" w:rsidP="001F1CC9">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sidR="009C49B0">
              <w:rPr>
                <w:rFonts w:eastAsia="Times New Roman" w:cs="Calibri"/>
                <w:color w:val="000000"/>
                <w:sz w:val="16"/>
                <w:szCs w:val="16"/>
              </w:rPr>
              <w:t>5</w:t>
            </w:r>
          </w:p>
        </w:tc>
        <w:tc>
          <w:tcPr>
            <w:tcW w:w="1701" w:type="dxa"/>
            <w:noWrap/>
            <w:hideMark/>
          </w:tcPr>
          <w:p w14:paraId="4DA85061" w14:textId="77777777" w:rsidR="001F1CC9" w:rsidRPr="00561A62" w:rsidRDefault="001F1CC9" w:rsidP="001F1CC9">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9C49B0" w:rsidRPr="00561A62" w14:paraId="11EACC6A" w14:textId="77777777" w:rsidTr="009C49B0">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430294E" w14:textId="52F0AF3F" w:rsidR="009C49B0" w:rsidRPr="00561A62" w:rsidRDefault="009C49B0" w:rsidP="001F1CC9">
            <w:pPr>
              <w:jc w:val="left"/>
              <w:rPr>
                <w:rFonts w:eastAsia="Times New Roman" w:cs="Calibri"/>
                <w:color w:val="000000"/>
                <w:sz w:val="16"/>
                <w:szCs w:val="16"/>
              </w:rPr>
            </w:pPr>
            <w:r w:rsidRPr="009C49B0">
              <w:rPr>
                <w:rFonts w:eastAsia="Times New Roman" w:cs="Calibri"/>
                <w:color w:val="000000"/>
                <w:sz w:val="16"/>
                <w:szCs w:val="16"/>
              </w:rPr>
              <w:t>Confederación Española de Asociaciones de Jóvenes Empresarios</w:t>
            </w:r>
          </w:p>
        </w:tc>
        <w:tc>
          <w:tcPr>
            <w:tcW w:w="1276" w:type="dxa"/>
            <w:noWrap/>
            <w:hideMark/>
          </w:tcPr>
          <w:p w14:paraId="76AD820E" w14:textId="008E0E48" w:rsidR="009C49B0" w:rsidRPr="00561A62" w:rsidRDefault="009C49B0"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19,2</w:t>
            </w:r>
          </w:p>
        </w:tc>
        <w:tc>
          <w:tcPr>
            <w:tcW w:w="1701" w:type="dxa"/>
            <w:noWrap/>
            <w:hideMark/>
          </w:tcPr>
          <w:p w14:paraId="73F9A11B" w14:textId="305FA7EF" w:rsidR="009C49B0" w:rsidRPr="00561A62" w:rsidRDefault="009C49B0" w:rsidP="009C49B0">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0</w:t>
            </w:r>
          </w:p>
        </w:tc>
        <w:tc>
          <w:tcPr>
            <w:tcW w:w="1701" w:type="dxa"/>
          </w:tcPr>
          <w:p w14:paraId="4AA6809E" w14:textId="63421CCC" w:rsidR="009C49B0" w:rsidRPr="00561A62" w:rsidRDefault="009C49B0" w:rsidP="009C49B0">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14</w:t>
            </w:r>
          </w:p>
        </w:tc>
        <w:tc>
          <w:tcPr>
            <w:tcW w:w="1559" w:type="dxa"/>
          </w:tcPr>
          <w:p w14:paraId="79634280" w14:textId="7A579E3D" w:rsidR="009C49B0" w:rsidRPr="00561A62" w:rsidRDefault="009C49B0" w:rsidP="009C49B0">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0</w:t>
            </w:r>
          </w:p>
        </w:tc>
        <w:tc>
          <w:tcPr>
            <w:tcW w:w="1701" w:type="dxa"/>
            <w:noWrap/>
            <w:hideMark/>
          </w:tcPr>
          <w:p w14:paraId="6FFB2C99" w14:textId="77777777" w:rsidR="009C49B0" w:rsidRPr="00561A62" w:rsidRDefault="009C49B0" w:rsidP="001F1CC9">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AF44BF" w:rsidRPr="00561A62" w14:paraId="7E3006ED" w14:textId="77777777" w:rsidTr="00C52F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7B0C875" w14:textId="196E8B46" w:rsidR="00AF44BF" w:rsidRPr="00561A62" w:rsidRDefault="00AF44BF" w:rsidP="001F1CC9">
            <w:pPr>
              <w:jc w:val="left"/>
              <w:rPr>
                <w:rFonts w:eastAsia="Times New Roman" w:cs="Calibri"/>
                <w:color w:val="000000"/>
                <w:sz w:val="16"/>
                <w:szCs w:val="16"/>
              </w:rPr>
            </w:pPr>
            <w:r w:rsidRPr="00561A62">
              <w:rPr>
                <w:rFonts w:eastAsia="Times New Roman" w:cs="Calibri"/>
                <w:color w:val="000000"/>
                <w:sz w:val="16"/>
                <w:szCs w:val="16"/>
              </w:rPr>
              <w:t xml:space="preserve">Fundación </w:t>
            </w:r>
            <w:r>
              <w:rPr>
                <w:rFonts w:eastAsia="Times New Roman" w:cs="Calibri"/>
                <w:color w:val="000000"/>
                <w:sz w:val="16"/>
                <w:szCs w:val="16"/>
              </w:rPr>
              <w:t>Archivo Manuel de Falla</w:t>
            </w:r>
          </w:p>
        </w:tc>
        <w:tc>
          <w:tcPr>
            <w:tcW w:w="1276" w:type="dxa"/>
            <w:noWrap/>
            <w:hideMark/>
          </w:tcPr>
          <w:p w14:paraId="54073B6C" w14:textId="2EA02F68" w:rsidR="00AF44BF" w:rsidRPr="00561A62" w:rsidRDefault="00AF44BF"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19,2</w:t>
            </w:r>
          </w:p>
        </w:tc>
        <w:tc>
          <w:tcPr>
            <w:tcW w:w="4961" w:type="dxa"/>
            <w:gridSpan w:val="3"/>
            <w:noWrap/>
            <w:hideMark/>
          </w:tcPr>
          <w:p w14:paraId="6DBB37E9" w14:textId="184BCF59" w:rsidR="00AF44BF" w:rsidRPr="00561A62" w:rsidRDefault="00AF44BF" w:rsidP="00AF44BF">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425CD3A4" w14:textId="77777777" w:rsidR="00AF44BF" w:rsidRPr="00561A62" w:rsidRDefault="00AF44BF"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8D32D8" w:rsidRPr="00561A62" w14:paraId="2C75CED7"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386B5D3" w14:textId="234E9785" w:rsidR="001F1CC9" w:rsidRPr="00561A62" w:rsidRDefault="0094287C" w:rsidP="001F1CC9">
            <w:pPr>
              <w:jc w:val="left"/>
              <w:rPr>
                <w:rFonts w:eastAsia="Times New Roman" w:cs="Calibri"/>
                <w:sz w:val="16"/>
                <w:szCs w:val="16"/>
              </w:rPr>
            </w:pPr>
            <w:r>
              <w:rPr>
                <w:rFonts w:eastAsia="Times New Roman" w:cs="Calibri"/>
                <w:sz w:val="16"/>
                <w:szCs w:val="16"/>
              </w:rPr>
              <w:t xml:space="preserve">Fundación </w:t>
            </w:r>
            <w:proofErr w:type="spellStart"/>
            <w:r>
              <w:rPr>
                <w:rFonts w:eastAsia="Times New Roman" w:cs="Calibri"/>
                <w:sz w:val="16"/>
                <w:szCs w:val="16"/>
              </w:rPr>
              <w:t>Tecnova</w:t>
            </w:r>
            <w:proofErr w:type="spellEnd"/>
          </w:p>
        </w:tc>
        <w:tc>
          <w:tcPr>
            <w:tcW w:w="1276" w:type="dxa"/>
            <w:noWrap/>
            <w:hideMark/>
          </w:tcPr>
          <w:p w14:paraId="31FA1FB8" w14:textId="4B9D9861" w:rsidR="001F1CC9" w:rsidRPr="00561A62" w:rsidRDefault="0094287C"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18,4</w:t>
            </w:r>
          </w:p>
        </w:tc>
        <w:tc>
          <w:tcPr>
            <w:tcW w:w="1701" w:type="dxa"/>
            <w:noWrap/>
            <w:hideMark/>
          </w:tcPr>
          <w:p w14:paraId="639F94EE" w14:textId="26A0294F" w:rsidR="001F1CC9" w:rsidRPr="00561A62" w:rsidRDefault="0094287C"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0</w:t>
            </w:r>
          </w:p>
        </w:tc>
        <w:tc>
          <w:tcPr>
            <w:tcW w:w="1701" w:type="dxa"/>
            <w:noWrap/>
            <w:hideMark/>
          </w:tcPr>
          <w:p w14:paraId="7C216C69"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14</w:t>
            </w:r>
          </w:p>
        </w:tc>
        <w:tc>
          <w:tcPr>
            <w:tcW w:w="1559" w:type="dxa"/>
            <w:noWrap/>
            <w:hideMark/>
          </w:tcPr>
          <w:p w14:paraId="29490550" w14:textId="41989659" w:rsidR="001F1CC9" w:rsidRPr="00561A62" w:rsidRDefault="0094287C"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0</w:t>
            </w:r>
          </w:p>
        </w:tc>
        <w:tc>
          <w:tcPr>
            <w:tcW w:w="1701" w:type="dxa"/>
            <w:noWrap/>
            <w:hideMark/>
          </w:tcPr>
          <w:p w14:paraId="715D89A1"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94287C" w:rsidRPr="00561A62" w14:paraId="73DDADE5"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1C9A02C8" w14:textId="74F04CBB" w:rsidR="0094287C" w:rsidRPr="0094287C" w:rsidRDefault="0094287C" w:rsidP="0094287C">
            <w:pPr>
              <w:jc w:val="left"/>
              <w:rPr>
                <w:rFonts w:eastAsia="Times New Roman" w:cs="Calibri"/>
                <w:color w:val="000000"/>
                <w:sz w:val="16"/>
                <w:szCs w:val="16"/>
              </w:rPr>
            </w:pPr>
            <w:r w:rsidRPr="0094287C">
              <w:rPr>
                <w:sz w:val="16"/>
                <w:szCs w:val="16"/>
              </w:rPr>
              <w:t>Federación de Mujeres Progresistas</w:t>
            </w:r>
          </w:p>
        </w:tc>
        <w:tc>
          <w:tcPr>
            <w:tcW w:w="1276" w:type="dxa"/>
            <w:noWrap/>
          </w:tcPr>
          <w:p w14:paraId="5B69618F" w14:textId="376A382F" w:rsidR="0094287C" w:rsidRPr="00561A62" w:rsidRDefault="0094287C" w:rsidP="0094287C">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18,4</w:t>
            </w:r>
          </w:p>
        </w:tc>
        <w:tc>
          <w:tcPr>
            <w:tcW w:w="4961" w:type="dxa"/>
            <w:gridSpan w:val="3"/>
            <w:noWrap/>
          </w:tcPr>
          <w:p w14:paraId="74D09FE9" w14:textId="186A8C6D" w:rsidR="0094287C" w:rsidRPr="00561A62" w:rsidRDefault="0094287C" w:rsidP="0094287C">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02939C3E" w14:textId="77777777" w:rsidR="0094287C" w:rsidRPr="00561A62" w:rsidRDefault="0094287C" w:rsidP="0094287C">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94287C" w:rsidRPr="00561A62" w14:paraId="23006C98"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1A650CF4" w14:textId="41BCA967" w:rsidR="0094287C" w:rsidRPr="0094287C" w:rsidRDefault="0094287C" w:rsidP="0094287C">
            <w:pPr>
              <w:jc w:val="left"/>
              <w:rPr>
                <w:rFonts w:eastAsia="Times New Roman" w:cs="Calibri"/>
                <w:color w:val="000000"/>
                <w:sz w:val="16"/>
                <w:szCs w:val="16"/>
              </w:rPr>
            </w:pPr>
            <w:r w:rsidRPr="0094287C">
              <w:rPr>
                <w:sz w:val="16"/>
                <w:szCs w:val="16"/>
              </w:rPr>
              <w:lastRenderedPageBreak/>
              <w:t xml:space="preserve">Fundación </w:t>
            </w:r>
            <w:proofErr w:type="spellStart"/>
            <w:r w:rsidRPr="0094287C">
              <w:rPr>
                <w:sz w:val="16"/>
                <w:szCs w:val="16"/>
              </w:rPr>
              <w:t>Cidaut</w:t>
            </w:r>
            <w:proofErr w:type="spellEnd"/>
          </w:p>
        </w:tc>
        <w:tc>
          <w:tcPr>
            <w:tcW w:w="1276" w:type="dxa"/>
            <w:noWrap/>
          </w:tcPr>
          <w:p w14:paraId="31AEA044" w14:textId="3DFA01B7" w:rsidR="0094287C" w:rsidRPr="00561A62" w:rsidRDefault="0094287C" w:rsidP="0094287C">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17,8</w:t>
            </w:r>
          </w:p>
        </w:tc>
        <w:tc>
          <w:tcPr>
            <w:tcW w:w="4961" w:type="dxa"/>
            <w:gridSpan w:val="3"/>
            <w:noWrap/>
          </w:tcPr>
          <w:p w14:paraId="13473051" w14:textId="4A99FFC0" w:rsidR="0094287C" w:rsidRPr="00561A62" w:rsidRDefault="0094287C" w:rsidP="0094287C">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2D153E36" w14:textId="77777777" w:rsidR="0094287C" w:rsidRPr="00561A62" w:rsidRDefault="0094287C" w:rsidP="0094287C">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94287C" w:rsidRPr="00561A62" w14:paraId="74C70D3C" w14:textId="77777777" w:rsidTr="009428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E5847CB" w14:textId="266ED0C0" w:rsidR="0094287C" w:rsidRPr="0094287C" w:rsidRDefault="0094287C" w:rsidP="0094287C">
            <w:pPr>
              <w:jc w:val="left"/>
              <w:rPr>
                <w:rFonts w:eastAsia="Times New Roman" w:cs="Calibri"/>
                <w:color w:val="000000"/>
                <w:sz w:val="16"/>
                <w:szCs w:val="16"/>
              </w:rPr>
            </w:pPr>
            <w:proofErr w:type="spellStart"/>
            <w:r w:rsidRPr="0094287C">
              <w:rPr>
                <w:sz w:val="16"/>
                <w:szCs w:val="16"/>
              </w:rPr>
              <w:t>Semidyamics</w:t>
            </w:r>
            <w:proofErr w:type="spellEnd"/>
            <w:r w:rsidRPr="0094287C">
              <w:rPr>
                <w:sz w:val="16"/>
                <w:szCs w:val="16"/>
              </w:rPr>
              <w:t xml:space="preserve"> </w:t>
            </w:r>
            <w:proofErr w:type="spellStart"/>
            <w:r w:rsidRPr="0094287C">
              <w:rPr>
                <w:sz w:val="16"/>
                <w:szCs w:val="16"/>
              </w:rPr>
              <w:t>Technology</w:t>
            </w:r>
            <w:proofErr w:type="spellEnd"/>
            <w:r w:rsidRPr="0094287C">
              <w:rPr>
                <w:sz w:val="16"/>
                <w:szCs w:val="16"/>
              </w:rPr>
              <w:t xml:space="preserve"> </w:t>
            </w:r>
            <w:proofErr w:type="spellStart"/>
            <w:r w:rsidRPr="0094287C">
              <w:rPr>
                <w:sz w:val="16"/>
                <w:szCs w:val="16"/>
              </w:rPr>
              <w:t>Services</w:t>
            </w:r>
            <w:proofErr w:type="spellEnd"/>
          </w:p>
        </w:tc>
        <w:tc>
          <w:tcPr>
            <w:tcW w:w="1276" w:type="dxa"/>
            <w:noWrap/>
          </w:tcPr>
          <w:p w14:paraId="6BC6E0DA" w14:textId="7BE36CCF" w:rsidR="0094287C" w:rsidRPr="00561A62" w:rsidRDefault="0094287C" w:rsidP="0094287C">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17,5</w:t>
            </w:r>
          </w:p>
        </w:tc>
        <w:tc>
          <w:tcPr>
            <w:tcW w:w="4961" w:type="dxa"/>
            <w:gridSpan w:val="3"/>
            <w:noWrap/>
            <w:hideMark/>
          </w:tcPr>
          <w:p w14:paraId="47AD0E8B" w14:textId="7D6D7270" w:rsidR="0094287C" w:rsidRPr="00561A62" w:rsidRDefault="0094287C" w:rsidP="0094287C">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5513D45E" w14:textId="77777777" w:rsidR="0094287C" w:rsidRPr="00561A62" w:rsidRDefault="0094287C" w:rsidP="0094287C">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94287C" w:rsidRPr="00561A62" w14:paraId="799A05E6" w14:textId="77777777" w:rsidTr="0094287C">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353B701" w14:textId="51681CCE" w:rsidR="0094287C" w:rsidRPr="0094287C" w:rsidRDefault="0094287C" w:rsidP="0094287C">
            <w:pPr>
              <w:jc w:val="left"/>
              <w:rPr>
                <w:rFonts w:eastAsia="Times New Roman" w:cs="Calibri"/>
                <w:color w:val="000000"/>
                <w:sz w:val="16"/>
                <w:szCs w:val="16"/>
              </w:rPr>
            </w:pPr>
            <w:r w:rsidRPr="0094287C">
              <w:rPr>
                <w:sz w:val="16"/>
                <w:szCs w:val="16"/>
              </w:rPr>
              <w:t>Alúmina Española</w:t>
            </w:r>
          </w:p>
        </w:tc>
        <w:tc>
          <w:tcPr>
            <w:tcW w:w="1276" w:type="dxa"/>
            <w:noWrap/>
          </w:tcPr>
          <w:p w14:paraId="0DA04CC0" w14:textId="4EBFBBAF" w:rsidR="0094287C" w:rsidRPr="00561A62" w:rsidRDefault="0094287C" w:rsidP="0094287C">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15,9</w:t>
            </w:r>
          </w:p>
        </w:tc>
        <w:tc>
          <w:tcPr>
            <w:tcW w:w="4961" w:type="dxa"/>
            <w:gridSpan w:val="3"/>
            <w:noWrap/>
            <w:hideMark/>
          </w:tcPr>
          <w:p w14:paraId="59AD1BBE" w14:textId="3841B5B5" w:rsidR="0094287C" w:rsidRPr="00561A62" w:rsidRDefault="0094287C" w:rsidP="0094287C">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hideMark/>
          </w:tcPr>
          <w:p w14:paraId="610E387D" w14:textId="77777777" w:rsidR="0094287C" w:rsidRPr="00561A62" w:rsidRDefault="0094287C" w:rsidP="0094287C">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94287C" w:rsidRPr="00561A62" w14:paraId="12893AC3"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011E930B" w14:textId="6D2083E4" w:rsidR="0094287C" w:rsidRPr="0094287C" w:rsidRDefault="0094287C" w:rsidP="0094287C">
            <w:pPr>
              <w:jc w:val="left"/>
              <w:rPr>
                <w:rFonts w:eastAsia="Times New Roman" w:cs="Calibri"/>
                <w:color w:val="000000"/>
                <w:sz w:val="16"/>
                <w:szCs w:val="16"/>
              </w:rPr>
            </w:pPr>
            <w:proofErr w:type="spellStart"/>
            <w:r w:rsidRPr="0094287C">
              <w:rPr>
                <w:sz w:val="16"/>
                <w:szCs w:val="16"/>
              </w:rPr>
              <w:t>Euroarce</w:t>
            </w:r>
            <w:proofErr w:type="spellEnd"/>
            <w:r w:rsidRPr="0094287C">
              <w:rPr>
                <w:sz w:val="16"/>
                <w:szCs w:val="16"/>
              </w:rPr>
              <w:t xml:space="preserve"> </w:t>
            </w:r>
            <w:r w:rsidR="00EC330A" w:rsidRPr="0094287C">
              <w:rPr>
                <w:sz w:val="16"/>
                <w:szCs w:val="16"/>
              </w:rPr>
              <w:t>Minería</w:t>
            </w:r>
          </w:p>
        </w:tc>
        <w:tc>
          <w:tcPr>
            <w:tcW w:w="1276" w:type="dxa"/>
            <w:noWrap/>
          </w:tcPr>
          <w:p w14:paraId="0CFBAC05" w14:textId="34E29877" w:rsidR="0094287C" w:rsidRPr="00561A62" w:rsidRDefault="0094287C" w:rsidP="0094287C">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14,3</w:t>
            </w:r>
          </w:p>
        </w:tc>
        <w:tc>
          <w:tcPr>
            <w:tcW w:w="4961" w:type="dxa"/>
            <w:gridSpan w:val="3"/>
            <w:noWrap/>
          </w:tcPr>
          <w:p w14:paraId="2E02F6F0" w14:textId="10F5390A" w:rsidR="0094287C" w:rsidRPr="00561A62" w:rsidRDefault="0094287C" w:rsidP="0094287C">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42C8203A" w14:textId="77777777" w:rsidR="0094287C" w:rsidRPr="00561A62" w:rsidRDefault="0094287C" w:rsidP="0094287C">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94287C" w:rsidRPr="00561A62" w14:paraId="69067D1B"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359FF301" w14:textId="249FBD0E" w:rsidR="0094287C" w:rsidRPr="0094287C" w:rsidRDefault="0094287C" w:rsidP="0094287C">
            <w:pPr>
              <w:jc w:val="left"/>
              <w:rPr>
                <w:rFonts w:eastAsia="Times New Roman" w:cs="Calibri"/>
                <w:color w:val="000000"/>
                <w:sz w:val="16"/>
                <w:szCs w:val="16"/>
              </w:rPr>
            </w:pPr>
            <w:r w:rsidRPr="0094287C">
              <w:rPr>
                <w:sz w:val="16"/>
                <w:szCs w:val="16"/>
              </w:rPr>
              <w:t xml:space="preserve">Asociación Instituto Tecnológico de Informática </w:t>
            </w:r>
          </w:p>
        </w:tc>
        <w:tc>
          <w:tcPr>
            <w:tcW w:w="1276" w:type="dxa"/>
            <w:noWrap/>
          </w:tcPr>
          <w:p w14:paraId="543A2EA0" w14:textId="23EA4CBE" w:rsidR="0094287C" w:rsidRPr="00561A62" w:rsidRDefault="0094287C" w:rsidP="0094287C">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14,3</w:t>
            </w:r>
          </w:p>
        </w:tc>
        <w:tc>
          <w:tcPr>
            <w:tcW w:w="4961" w:type="dxa"/>
            <w:gridSpan w:val="3"/>
            <w:noWrap/>
          </w:tcPr>
          <w:p w14:paraId="571B91FB" w14:textId="2A99ECFB" w:rsidR="0094287C" w:rsidRPr="00561A62" w:rsidRDefault="0094287C" w:rsidP="0094287C">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57BC2C90" w14:textId="6A6145F6" w:rsidR="0094287C" w:rsidRPr="00561A62" w:rsidRDefault="00B0067A" w:rsidP="00B0067A">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r>
      <w:tr w:rsidR="0094287C" w:rsidRPr="00561A62" w14:paraId="68D5DE62"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38FA6B1F" w14:textId="1F247B8F" w:rsidR="0094287C" w:rsidRPr="0094287C" w:rsidRDefault="0094287C" w:rsidP="0094287C">
            <w:pPr>
              <w:jc w:val="left"/>
              <w:rPr>
                <w:rFonts w:eastAsia="Times New Roman" w:cs="Calibri"/>
                <w:color w:val="000000"/>
                <w:sz w:val="16"/>
                <w:szCs w:val="16"/>
              </w:rPr>
            </w:pPr>
            <w:r w:rsidRPr="0094287C">
              <w:rPr>
                <w:sz w:val="16"/>
                <w:szCs w:val="16"/>
              </w:rPr>
              <w:t>Asturiana de Zinc</w:t>
            </w:r>
          </w:p>
        </w:tc>
        <w:tc>
          <w:tcPr>
            <w:tcW w:w="1276" w:type="dxa"/>
            <w:noWrap/>
          </w:tcPr>
          <w:p w14:paraId="79EC56D4" w14:textId="08DAC14E" w:rsidR="0094287C" w:rsidRPr="00561A62" w:rsidRDefault="00EC330A" w:rsidP="0094287C">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13,2</w:t>
            </w:r>
          </w:p>
        </w:tc>
        <w:tc>
          <w:tcPr>
            <w:tcW w:w="4961" w:type="dxa"/>
            <w:gridSpan w:val="3"/>
            <w:noWrap/>
          </w:tcPr>
          <w:p w14:paraId="7ACC09A9" w14:textId="6E25236F" w:rsidR="0094287C" w:rsidRPr="00561A62" w:rsidRDefault="0094287C" w:rsidP="0094287C">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009B81F9" w14:textId="77777777" w:rsidR="0094287C" w:rsidRPr="00561A62" w:rsidRDefault="0094287C" w:rsidP="0094287C">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94287C" w:rsidRPr="00561A62" w14:paraId="6905C278"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6FC146E4" w14:textId="55A4DCA3" w:rsidR="0094287C" w:rsidRPr="0094287C" w:rsidRDefault="0094287C" w:rsidP="0094287C">
            <w:pPr>
              <w:jc w:val="left"/>
              <w:rPr>
                <w:rFonts w:eastAsia="Times New Roman" w:cs="Calibri"/>
                <w:color w:val="000000"/>
                <w:sz w:val="16"/>
                <w:szCs w:val="16"/>
              </w:rPr>
            </w:pPr>
            <w:r w:rsidRPr="0094287C">
              <w:rPr>
                <w:sz w:val="16"/>
                <w:szCs w:val="16"/>
              </w:rPr>
              <w:t xml:space="preserve">Orange </w:t>
            </w:r>
            <w:proofErr w:type="spellStart"/>
            <w:r w:rsidRPr="0094287C">
              <w:rPr>
                <w:sz w:val="16"/>
                <w:szCs w:val="16"/>
              </w:rPr>
              <w:t>Espagne</w:t>
            </w:r>
            <w:proofErr w:type="spellEnd"/>
          </w:p>
        </w:tc>
        <w:tc>
          <w:tcPr>
            <w:tcW w:w="1276" w:type="dxa"/>
            <w:noWrap/>
          </w:tcPr>
          <w:p w14:paraId="64C996B5" w14:textId="660F6849" w:rsidR="0094287C" w:rsidRPr="00561A62" w:rsidRDefault="00EC330A" w:rsidP="0094287C">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13,2</w:t>
            </w:r>
          </w:p>
        </w:tc>
        <w:tc>
          <w:tcPr>
            <w:tcW w:w="4961" w:type="dxa"/>
            <w:gridSpan w:val="3"/>
            <w:noWrap/>
          </w:tcPr>
          <w:p w14:paraId="24A77D97" w14:textId="21CD59C1" w:rsidR="0094287C" w:rsidRPr="00561A62" w:rsidRDefault="0094287C" w:rsidP="0094287C">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4889C98B" w14:textId="77777777" w:rsidR="0094287C" w:rsidRPr="00561A62" w:rsidRDefault="0094287C" w:rsidP="0094287C">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94287C" w:rsidRPr="00561A62" w14:paraId="0FCFD398"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2280AE77" w14:textId="17F71E6E" w:rsidR="0094287C" w:rsidRPr="0094287C" w:rsidRDefault="0094287C" w:rsidP="0094287C">
            <w:pPr>
              <w:jc w:val="left"/>
              <w:rPr>
                <w:rFonts w:eastAsia="Times New Roman" w:cs="Calibri"/>
                <w:color w:val="000000"/>
                <w:sz w:val="16"/>
                <w:szCs w:val="16"/>
              </w:rPr>
            </w:pPr>
            <w:r w:rsidRPr="0094287C">
              <w:rPr>
                <w:sz w:val="16"/>
                <w:szCs w:val="16"/>
              </w:rPr>
              <w:t xml:space="preserve">Asociación Interprofesional del Cerdo </w:t>
            </w:r>
            <w:r w:rsidR="00EC330A" w:rsidRPr="0094287C">
              <w:rPr>
                <w:sz w:val="16"/>
                <w:szCs w:val="16"/>
              </w:rPr>
              <w:t>Ibérico</w:t>
            </w:r>
          </w:p>
        </w:tc>
        <w:tc>
          <w:tcPr>
            <w:tcW w:w="1276" w:type="dxa"/>
            <w:noWrap/>
          </w:tcPr>
          <w:p w14:paraId="3DB1DEA0" w14:textId="0DC237C3" w:rsidR="0094287C" w:rsidRPr="00561A62" w:rsidRDefault="00EC330A" w:rsidP="0094287C">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12,2</w:t>
            </w:r>
          </w:p>
        </w:tc>
        <w:tc>
          <w:tcPr>
            <w:tcW w:w="4961" w:type="dxa"/>
            <w:gridSpan w:val="3"/>
            <w:noWrap/>
          </w:tcPr>
          <w:p w14:paraId="6BB68055" w14:textId="5DF9017A" w:rsidR="0094287C" w:rsidRPr="00561A62" w:rsidRDefault="0094287C" w:rsidP="0094287C">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53661F69" w14:textId="77777777" w:rsidR="0094287C" w:rsidRPr="00561A62" w:rsidRDefault="0094287C" w:rsidP="0094287C">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94287C" w:rsidRPr="00561A62" w14:paraId="3EA6150A"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32F51688" w14:textId="1B4517A3" w:rsidR="0094287C" w:rsidRPr="0094287C" w:rsidRDefault="0094287C" w:rsidP="0094287C">
            <w:pPr>
              <w:jc w:val="left"/>
              <w:rPr>
                <w:rFonts w:eastAsia="Times New Roman" w:cs="Calibri"/>
                <w:color w:val="000000"/>
                <w:sz w:val="16"/>
                <w:szCs w:val="16"/>
              </w:rPr>
            </w:pPr>
            <w:r w:rsidRPr="0094287C">
              <w:rPr>
                <w:sz w:val="16"/>
                <w:szCs w:val="16"/>
              </w:rPr>
              <w:t>CTNC</w:t>
            </w:r>
          </w:p>
        </w:tc>
        <w:tc>
          <w:tcPr>
            <w:tcW w:w="1276" w:type="dxa"/>
            <w:noWrap/>
          </w:tcPr>
          <w:p w14:paraId="7F6E2E9A" w14:textId="4F8F2E00" w:rsidR="0094287C" w:rsidRPr="00561A62" w:rsidRDefault="00EC330A" w:rsidP="0094287C">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9,2</w:t>
            </w:r>
          </w:p>
        </w:tc>
        <w:tc>
          <w:tcPr>
            <w:tcW w:w="4961" w:type="dxa"/>
            <w:gridSpan w:val="3"/>
            <w:noWrap/>
          </w:tcPr>
          <w:p w14:paraId="40FEC9EC" w14:textId="34BA8049" w:rsidR="0094287C" w:rsidRPr="00561A62" w:rsidRDefault="0094287C" w:rsidP="0094287C">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099545DE" w14:textId="77777777" w:rsidR="0094287C" w:rsidRPr="00561A62" w:rsidRDefault="0094287C" w:rsidP="0094287C">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94287C" w:rsidRPr="00561A62" w14:paraId="170975C2"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0481EDBD" w14:textId="44A886C8" w:rsidR="0094287C" w:rsidRPr="0094287C" w:rsidRDefault="0094287C" w:rsidP="0094287C">
            <w:pPr>
              <w:jc w:val="left"/>
              <w:rPr>
                <w:rFonts w:eastAsia="Times New Roman" w:cs="Calibri"/>
                <w:color w:val="000000"/>
                <w:sz w:val="16"/>
                <w:szCs w:val="16"/>
              </w:rPr>
            </w:pPr>
            <w:proofErr w:type="spellStart"/>
            <w:r w:rsidRPr="0094287C">
              <w:rPr>
                <w:sz w:val="16"/>
                <w:szCs w:val="16"/>
              </w:rPr>
              <w:t>Anemur</w:t>
            </w:r>
            <w:proofErr w:type="spellEnd"/>
          </w:p>
        </w:tc>
        <w:tc>
          <w:tcPr>
            <w:tcW w:w="1276" w:type="dxa"/>
            <w:noWrap/>
          </w:tcPr>
          <w:p w14:paraId="078A1B9E" w14:textId="2D1B5832" w:rsidR="0094287C" w:rsidRPr="00561A62" w:rsidRDefault="00EC330A" w:rsidP="0094287C">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7,1</w:t>
            </w:r>
          </w:p>
        </w:tc>
        <w:tc>
          <w:tcPr>
            <w:tcW w:w="4961" w:type="dxa"/>
            <w:gridSpan w:val="3"/>
            <w:noWrap/>
          </w:tcPr>
          <w:p w14:paraId="58523977" w14:textId="71D837A0" w:rsidR="0094287C" w:rsidRPr="00561A62" w:rsidRDefault="0094287C" w:rsidP="0094287C">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701" w:type="dxa"/>
            <w:noWrap/>
          </w:tcPr>
          <w:p w14:paraId="6573657E" w14:textId="77777777" w:rsidR="0094287C" w:rsidRPr="00561A62" w:rsidRDefault="0094287C" w:rsidP="0094287C">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EC330A" w:rsidRPr="00561A62" w14:paraId="79EB82AA" w14:textId="77777777" w:rsidTr="00EC330A">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4E13760" w14:textId="6F0EF0B9" w:rsidR="001F1CC9" w:rsidRPr="00561A62" w:rsidRDefault="00EC330A" w:rsidP="001F1CC9">
            <w:pPr>
              <w:jc w:val="left"/>
              <w:rPr>
                <w:rFonts w:eastAsia="Times New Roman" w:cs="Calibri"/>
                <w:color w:val="000000"/>
                <w:sz w:val="16"/>
                <w:szCs w:val="16"/>
              </w:rPr>
            </w:pPr>
            <w:proofErr w:type="spellStart"/>
            <w:r w:rsidRPr="00561A62">
              <w:rPr>
                <w:rFonts w:eastAsia="Times New Roman" w:cs="Calibri"/>
                <w:color w:val="000000"/>
                <w:sz w:val="16"/>
                <w:szCs w:val="16"/>
              </w:rPr>
              <w:t>Torraspapel</w:t>
            </w:r>
            <w:proofErr w:type="spellEnd"/>
            <w:r w:rsidRPr="00561A62">
              <w:rPr>
                <w:rFonts w:eastAsia="Times New Roman" w:cs="Calibri"/>
                <w:color w:val="000000"/>
                <w:sz w:val="16"/>
                <w:szCs w:val="16"/>
              </w:rPr>
              <w:t>, S.A.</w:t>
            </w:r>
          </w:p>
        </w:tc>
        <w:tc>
          <w:tcPr>
            <w:tcW w:w="1276" w:type="dxa"/>
            <w:noWrap/>
          </w:tcPr>
          <w:p w14:paraId="6F162A39" w14:textId="186A4CBE" w:rsidR="001F1CC9" w:rsidRPr="00561A62" w:rsidRDefault="00EC330A"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6,6</w:t>
            </w:r>
          </w:p>
        </w:tc>
        <w:tc>
          <w:tcPr>
            <w:tcW w:w="1701" w:type="dxa"/>
            <w:noWrap/>
            <w:hideMark/>
          </w:tcPr>
          <w:p w14:paraId="405ED06E"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p>
        </w:tc>
        <w:tc>
          <w:tcPr>
            <w:tcW w:w="1701" w:type="dxa"/>
            <w:noWrap/>
            <w:hideMark/>
          </w:tcPr>
          <w:p w14:paraId="106EF264" w14:textId="0F9A3993" w:rsidR="001F1CC9" w:rsidRPr="00561A62" w:rsidRDefault="00EC330A"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15</w:t>
            </w:r>
          </w:p>
        </w:tc>
        <w:tc>
          <w:tcPr>
            <w:tcW w:w="1559" w:type="dxa"/>
            <w:noWrap/>
            <w:hideMark/>
          </w:tcPr>
          <w:p w14:paraId="0B55A56C"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p>
        </w:tc>
        <w:tc>
          <w:tcPr>
            <w:tcW w:w="1701" w:type="dxa"/>
            <w:noWrap/>
            <w:hideMark/>
          </w:tcPr>
          <w:p w14:paraId="6FB7D176"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94287C" w:rsidRPr="00561A62" w14:paraId="5D11CEDB" w14:textId="77777777" w:rsidTr="00EC3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B00BC0D" w14:textId="64EA3AE1" w:rsidR="001F1CC9" w:rsidRPr="00561A62" w:rsidRDefault="00EC330A" w:rsidP="001F1CC9">
            <w:pPr>
              <w:jc w:val="left"/>
              <w:rPr>
                <w:rFonts w:eastAsia="Times New Roman" w:cs="Calibri"/>
                <w:color w:val="000000"/>
                <w:sz w:val="16"/>
                <w:szCs w:val="16"/>
              </w:rPr>
            </w:pPr>
            <w:r w:rsidRPr="00561A62">
              <w:rPr>
                <w:rFonts w:eastAsia="Times New Roman" w:cs="Calibri"/>
                <w:color w:val="000000"/>
                <w:sz w:val="16"/>
                <w:szCs w:val="16"/>
              </w:rPr>
              <w:t>Solidaridad y Trabajo Virgen del Camino, S.L.</w:t>
            </w:r>
          </w:p>
        </w:tc>
        <w:tc>
          <w:tcPr>
            <w:tcW w:w="1276" w:type="dxa"/>
            <w:noWrap/>
          </w:tcPr>
          <w:p w14:paraId="463B2826" w14:textId="34665E8E" w:rsidR="001F1CC9" w:rsidRPr="00561A62" w:rsidRDefault="00EC330A"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6,6</w:t>
            </w:r>
          </w:p>
        </w:tc>
        <w:tc>
          <w:tcPr>
            <w:tcW w:w="1701" w:type="dxa"/>
            <w:noWrap/>
            <w:hideMark/>
          </w:tcPr>
          <w:p w14:paraId="66800315" w14:textId="77777777"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p>
        </w:tc>
        <w:tc>
          <w:tcPr>
            <w:tcW w:w="1701" w:type="dxa"/>
            <w:noWrap/>
            <w:hideMark/>
          </w:tcPr>
          <w:p w14:paraId="58032F31" w14:textId="2761D9F9" w:rsidR="001F1CC9" w:rsidRPr="00561A62" w:rsidRDefault="00EC330A"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15</w:t>
            </w:r>
          </w:p>
        </w:tc>
        <w:tc>
          <w:tcPr>
            <w:tcW w:w="1559" w:type="dxa"/>
            <w:noWrap/>
            <w:hideMark/>
          </w:tcPr>
          <w:p w14:paraId="0D366097" w14:textId="77777777"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p>
        </w:tc>
        <w:tc>
          <w:tcPr>
            <w:tcW w:w="1701" w:type="dxa"/>
            <w:noWrap/>
            <w:hideMark/>
          </w:tcPr>
          <w:p w14:paraId="7A244902" w14:textId="77777777" w:rsidR="001F1CC9" w:rsidRPr="00561A62" w:rsidRDefault="001F1CC9" w:rsidP="001F1CC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EC330A" w:rsidRPr="00561A62" w14:paraId="01D5A665" w14:textId="77777777" w:rsidTr="00EC330A">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F398E97" w14:textId="5CCE58F0" w:rsidR="001F1CC9" w:rsidRPr="00561A62" w:rsidRDefault="00EC330A" w:rsidP="001F1CC9">
            <w:pPr>
              <w:jc w:val="left"/>
              <w:rPr>
                <w:rFonts w:eastAsia="Times New Roman" w:cs="Calibri"/>
                <w:color w:val="000000"/>
                <w:sz w:val="16"/>
                <w:szCs w:val="16"/>
              </w:rPr>
            </w:pPr>
            <w:proofErr w:type="spellStart"/>
            <w:r w:rsidRPr="00561A62">
              <w:rPr>
                <w:rFonts w:eastAsia="Times New Roman" w:cs="Calibri"/>
                <w:color w:val="000000"/>
                <w:sz w:val="16"/>
                <w:szCs w:val="16"/>
              </w:rPr>
              <w:t>Avateltelecom</w:t>
            </w:r>
            <w:proofErr w:type="spellEnd"/>
            <w:r w:rsidRPr="00561A62">
              <w:rPr>
                <w:rFonts w:eastAsia="Times New Roman" w:cs="Calibri"/>
                <w:color w:val="000000"/>
                <w:sz w:val="16"/>
                <w:szCs w:val="16"/>
              </w:rPr>
              <w:t>, S.A.</w:t>
            </w:r>
          </w:p>
        </w:tc>
        <w:tc>
          <w:tcPr>
            <w:tcW w:w="1276" w:type="dxa"/>
            <w:noWrap/>
          </w:tcPr>
          <w:p w14:paraId="2E1FE0F7" w14:textId="6CF6E744" w:rsidR="001F1CC9" w:rsidRPr="00561A62" w:rsidRDefault="00EC330A"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6,6</w:t>
            </w:r>
          </w:p>
        </w:tc>
        <w:tc>
          <w:tcPr>
            <w:tcW w:w="1701" w:type="dxa"/>
            <w:noWrap/>
            <w:hideMark/>
          </w:tcPr>
          <w:p w14:paraId="180640B8" w14:textId="628CF3BB" w:rsidR="001F1CC9" w:rsidRPr="00561A62" w:rsidRDefault="00EC330A"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-7,7</w:t>
            </w:r>
          </w:p>
        </w:tc>
        <w:tc>
          <w:tcPr>
            <w:tcW w:w="1701" w:type="dxa"/>
            <w:noWrap/>
            <w:hideMark/>
          </w:tcPr>
          <w:p w14:paraId="42ED9648"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14</w:t>
            </w:r>
          </w:p>
        </w:tc>
        <w:tc>
          <w:tcPr>
            <w:tcW w:w="1559" w:type="dxa"/>
            <w:noWrap/>
            <w:hideMark/>
          </w:tcPr>
          <w:p w14:paraId="2FAB0DEA"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p>
        </w:tc>
        <w:tc>
          <w:tcPr>
            <w:tcW w:w="1701" w:type="dxa"/>
            <w:noWrap/>
            <w:hideMark/>
          </w:tcPr>
          <w:p w14:paraId="5041A7F8" w14:textId="77777777" w:rsidR="001F1CC9" w:rsidRPr="00561A62" w:rsidRDefault="001F1CC9" w:rsidP="001F1CC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EC330A" w:rsidRPr="00561A62" w14:paraId="5D97BED3"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0020C9FD" w14:textId="56F75E60" w:rsidR="00EC330A" w:rsidRPr="00EC330A" w:rsidRDefault="00EC330A" w:rsidP="00EC330A">
            <w:pPr>
              <w:jc w:val="left"/>
              <w:rPr>
                <w:rFonts w:eastAsia="Times New Roman" w:cs="Calibri"/>
                <w:color w:val="000000"/>
                <w:sz w:val="16"/>
                <w:szCs w:val="16"/>
              </w:rPr>
            </w:pPr>
            <w:proofErr w:type="spellStart"/>
            <w:r w:rsidRPr="00EC330A">
              <w:rPr>
                <w:sz w:val="16"/>
                <w:szCs w:val="16"/>
              </w:rPr>
              <w:t>Envision</w:t>
            </w:r>
            <w:proofErr w:type="spellEnd"/>
            <w:r w:rsidRPr="00EC330A">
              <w:rPr>
                <w:sz w:val="16"/>
                <w:szCs w:val="16"/>
              </w:rPr>
              <w:t xml:space="preserve"> </w:t>
            </w:r>
            <w:proofErr w:type="spellStart"/>
            <w:r w:rsidRPr="00EC330A">
              <w:rPr>
                <w:sz w:val="16"/>
                <w:szCs w:val="16"/>
              </w:rPr>
              <w:t>Aesc</w:t>
            </w:r>
            <w:proofErr w:type="spellEnd"/>
            <w:r w:rsidRPr="00EC330A">
              <w:rPr>
                <w:sz w:val="16"/>
                <w:szCs w:val="16"/>
              </w:rPr>
              <w:t xml:space="preserve"> </w:t>
            </w:r>
            <w:proofErr w:type="spellStart"/>
            <w:r w:rsidRPr="00EC330A">
              <w:rPr>
                <w:sz w:val="16"/>
                <w:szCs w:val="16"/>
              </w:rPr>
              <w:t>Spain</w:t>
            </w:r>
            <w:proofErr w:type="spellEnd"/>
          </w:p>
        </w:tc>
        <w:tc>
          <w:tcPr>
            <w:tcW w:w="1276" w:type="dxa"/>
            <w:noWrap/>
          </w:tcPr>
          <w:p w14:paraId="04F1AEFA" w14:textId="1B0C3687" w:rsidR="00EC330A" w:rsidRPr="00561A62" w:rsidRDefault="00EC330A" w:rsidP="00EC330A">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6,6</w:t>
            </w:r>
          </w:p>
        </w:tc>
        <w:tc>
          <w:tcPr>
            <w:tcW w:w="4961" w:type="dxa"/>
            <w:gridSpan w:val="3"/>
            <w:noWrap/>
          </w:tcPr>
          <w:p w14:paraId="46D26BE9" w14:textId="5B133F6F" w:rsidR="00EC330A" w:rsidRPr="00561A62" w:rsidRDefault="00EC330A" w:rsidP="00EC330A">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701" w:type="dxa"/>
            <w:noWrap/>
          </w:tcPr>
          <w:p w14:paraId="1182AF9C" w14:textId="77777777" w:rsidR="00EC330A" w:rsidRPr="00561A62" w:rsidRDefault="00EC330A" w:rsidP="00EC330A">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EC330A" w:rsidRPr="00561A62" w14:paraId="019031A0"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2180859D" w14:textId="6AEC7D03" w:rsidR="00EC330A" w:rsidRPr="00EC330A" w:rsidRDefault="00EC330A" w:rsidP="00EC330A">
            <w:pPr>
              <w:jc w:val="left"/>
              <w:rPr>
                <w:rFonts w:eastAsia="Times New Roman" w:cs="Calibri"/>
                <w:color w:val="000000"/>
                <w:sz w:val="16"/>
                <w:szCs w:val="16"/>
              </w:rPr>
            </w:pPr>
            <w:proofErr w:type="spellStart"/>
            <w:r w:rsidRPr="00EC330A">
              <w:rPr>
                <w:sz w:val="16"/>
                <w:szCs w:val="16"/>
              </w:rPr>
              <w:t>Seat</w:t>
            </w:r>
            <w:proofErr w:type="spellEnd"/>
          </w:p>
        </w:tc>
        <w:tc>
          <w:tcPr>
            <w:tcW w:w="1276" w:type="dxa"/>
            <w:noWrap/>
          </w:tcPr>
          <w:p w14:paraId="5A928D28" w14:textId="375E48D5" w:rsidR="00EC330A" w:rsidRPr="00561A62" w:rsidRDefault="00EC330A" w:rsidP="00EC330A">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4F4D27">
              <w:rPr>
                <w:rFonts w:eastAsia="Times New Roman" w:cs="Calibri"/>
                <w:sz w:val="16"/>
                <w:szCs w:val="16"/>
              </w:rPr>
              <w:t>6,6</w:t>
            </w:r>
          </w:p>
        </w:tc>
        <w:tc>
          <w:tcPr>
            <w:tcW w:w="4961" w:type="dxa"/>
            <w:gridSpan w:val="3"/>
            <w:noWrap/>
          </w:tcPr>
          <w:p w14:paraId="433E2F6B" w14:textId="0C756C21" w:rsidR="00EC330A" w:rsidRPr="00561A62" w:rsidRDefault="00EC330A" w:rsidP="00EC330A">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701" w:type="dxa"/>
            <w:noWrap/>
          </w:tcPr>
          <w:p w14:paraId="43ADE753" w14:textId="77777777" w:rsidR="00EC330A" w:rsidRPr="00561A62" w:rsidRDefault="00EC330A" w:rsidP="00EC330A">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EC330A" w:rsidRPr="00561A62" w14:paraId="1EAA4795"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13CC6BC5" w14:textId="0D84CAC3" w:rsidR="00EC330A" w:rsidRPr="00EC330A" w:rsidRDefault="00EC330A" w:rsidP="00EC330A">
            <w:pPr>
              <w:jc w:val="left"/>
              <w:rPr>
                <w:rFonts w:eastAsia="Times New Roman" w:cs="Calibri"/>
                <w:color w:val="000000"/>
                <w:sz w:val="16"/>
                <w:szCs w:val="16"/>
              </w:rPr>
            </w:pPr>
            <w:r w:rsidRPr="00EC330A">
              <w:rPr>
                <w:sz w:val="16"/>
                <w:szCs w:val="16"/>
              </w:rPr>
              <w:t>Cosentino</w:t>
            </w:r>
          </w:p>
        </w:tc>
        <w:tc>
          <w:tcPr>
            <w:tcW w:w="1276" w:type="dxa"/>
            <w:noWrap/>
          </w:tcPr>
          <w:p w14:paraId="244F113A" w14:textId="371CF2FD" w:rsidR="00EC330A" w:rsidRPr="00561A62" w:rsidRDefault="00EC330A" w:rsidP="00EC330A">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4F4D27">
              <w:rPr>
                <w:rFonts w:eastAsia="Times New Roman" w:cs="Calibri"/>
                <w:sz w:val="16"/>
                <w:szCs w:val="16"/>
              </w:rPr>
              <w:t>6,6</w:t>
            </w:r>
          </w:p>
        </w:tc>
        <w:tc>
          <w:tcPr>
            <w:tcW w:w="4961" w:type="dxa"/>
            <w:gridSpan w:val="3"/>
            <w:noWrap/>
          </w:tcPr>
          <w:p w14:paraId="0854A6F1" w14:textId="0FC1E98F" w:rsidR="00EC330A" w:rsidRPr="00561A62" w:rsidRDefault="00EC330A" w:rsidP="00EC330A">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701" w:type="dxa"/>
            <w:noWrap/>
          </w:tcPr>
          <w:p w14:paraId="3295249C" w14:textId="77777777" w:rsidR="00EC330A" w:rsidRPr="00561A62" w:rsidRDefault="00EC330A" w:rsidP="00EC330A">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EC330A" w:rsidRPr="00561A62" w14:paraId="220D321F"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49C71B5F" w14:textId="3A635941" w:rsidR="00EC330A" w:rsidRPr="00EC330A" w:rsidRDefault="00EC330A" w:rsidP="00EC330A">
            <w:pPr>
              <w:jc w:val="left"/>
              <w:rPr>
                <w:rFonts w:eastAsia="Times New Roman" w:cs="Calibri"/>
                <w:color w:val="000000"/>
                <w:sz w:val="16"/>
                <w:szCs w:val="16"/>
              </w:rPr>
            </w:pPr>
            <w:r w:rsidRPr="00EC330A">
              <w:rPr>
                <w:sz w:val="16"/>
                <w:szCs w:val="16"/>
              </w:rPr>
              <w:t>Petróleos del Norte</w:t>
            </w:r>
          </w:p>
        </w:tc>
        <w:tc>
          <w:tcPr>
            <w:tcW w:w="1276" w:type="dxa"/>
            <w:noWrap/>
          </w:tcPr>
          <w:p w14:paraId="7671E9B2" w14:textId="6CA2A50E" w:rsidR="00EC330A" w:rsidRPr="00561A62" w:rsidRDefault="00EC330A" w:rsidP="00EC330A">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4F4D27">
              <w:rPr>
                <w:rFonts w:eastAsia="Times New Roman" w:cs="Calibri"/>
                <w:sz w:val="16"/>
                <w:szCs w:val="16"/>
              </w:rPr>
              <w:t>6,6</w:t>
            </w:r>
          </w:p>
        </w:tc>
        <w:tc>
          <w:tcPr>
            <w:tcW w:w="4961" w:type="dxa"/>
            <w:gridSpan w:val="3"/>
            <w:noWrap/>
          </w:tcPr>
          <w:p w14:paraId="0B1F37DF" w14:textId="1D29D5F0" w:rsidR="00EC330A" w:rsidRPr="00561A62" w:rsidRDefault="00EC330A" w:rsidP="00EC330A">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701" w:type="dxa"/>
            <w:noWrap/>
          </w:tcPr>
          <w:p w14:paraId="47AF1032" w14:textId="77777777" w:rsidR="00EC330A" w:rsidRPr="00561A62" w:rsidRDefault="00EC330A" w:rsidP="00EC330A">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EC330A" w:rsidRPr="00561A62" w14:paraId="2C86024D"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6F488E93" w14:textId="1063F838" w:rsidR="00EC330A" w:rsidRPr="00EC330A" w:rsidRDefault="00EC330A" w:rsidP="00EC330A">
            <w:pPr>
              <w:jc w:val="left"/>
              <w:rPr>
                <w:rFonts w:eastAsia="Times New Roman" w:cs="Calibri"/>
                <w:color w:val="000000"/>
                <w:sz w:val="16"/>
                <w:szCs w:val="16"/>
              </w:rPr>
            </w:pPr>
            <w:proofErr w:type="spellStart"/>
            <w:r w:rsidRPr="00EC330A">
              <w:rPr>
                <w:sz w:val="16"/>
                <w:szCs w:val="16"/>
              </w:rPr>
              <w:t>Colorobbia</w:t>
            </w:r>
            <w:proofErr w:type="spellEnd"/>
            <w:r w:rsidRPr="00EC330A">
              <w:rPr>
                <w:sz w:val="16"/>
                <w:szCs w:val="16"/>
              </w:rPr>
              <w:t xml:space="preserve"> España</w:t>
            </w:r>
          </w:p>
        </w:tc>
        <w:tc>
          <w:tcPr>
            <w:tcW w:w="1276" w:type="dxa"/>
            <w:noWrap/>
          </w:tcPr>
          <w:p w14:paraId="4D9289E6" w14:textId="36A2FF6D" w:rsidR="00EC330A" w:rsidRPr="00561A62" w:rsidRDefault="00EC330A" w:rsidP="00EC330A">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4F4D27">
              <w:rPr>
                <w:rFonts w:eastAsia="Times New Roman" w:cs="Calibri"/>
                <w:sz w:val="16"/>
                <w:szCs w:val="16"/>
              </w:rPr>
              <w:t>6,6</w:t>
            </w:r>
          </w:p>
        </w:tc>
        <w:tc>
          <w:tcPr>
            <w:tcW w:w="4961" w:type="dxa"/>
            <w:gridSpan w:val="3"/>
            <w:noWrap/>
          </w:tcPr>
          <w:p w14:paraId="09C116FF" w14:textId="69011A7F" w:rsidR="00EC330A" w:rsidRPr="00561A62" w:rsidRDefault="00EC330A" w:rsidP="00EC330A">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701" w:type="dxa"/>
            <w:noWrap/>
          </w:tcPr>
          <w:p w14:paraId="4F9BF154" w14:textId="77777777" w:rsidR="00EC330A" w:rsidRPr="00561A62" w:rsidRDefault="00EC330A" w:rsidP="00EC330A">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EC330A" w:rsidRPr="00561A62" w14:paraId="74B355D0"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2C131532" w14:textId="66363B82" w:rsidR="00EC330A" w:rsidRPr="00EC330A" w:rsidRDefault="00EC330A" w:rsidP="00EC330A">
            <w:pPr>
              <w:jc w:val="left"/>
              <w:rPr>
                <w:rFonts w:eastAsia="Times New Roman" w:cs="Calibri"/>
                <w:color w:val="000000"/>
                <w:sz w:val="16"/>
                <w:szCs w:val="16"/>
              </w:rPr>
            </w:pPr>
            <w:proofErr w:type="spellStart"/>
            <w:r w:rsidRPr="00EC330A">
              <w:rPr>
                <w:sz w:val="16"/>
                <w:szCs w:val="16"/>
              </w:rPr>
              <w:t>Prezero</w:t>
            </w:r>
            <w:proofErr w:type="spellEnd"/>
            <w:r w:rsidRPr="00EC330A">
              <w:rPr>
                <w:sz w:val="16"/>
                <w:szCs w:val="16"/>
              </w:rPr>
              <w:t xml:space="preserve"> España</w:t>
            </w:r>
          </w:p>
        </w:tc>
        <w:tc>
          <w:tcPr>
            <w:tcW w:w="1276" w:type="dxa"/>
            <w:noWrap/>
          </w:tcPr>
          <w:p w14:paraId="7320F51B" w14:textId="262DBD75" w:rsidR="00EC330A" w:rsidRPr="00561A62" w:rsidRDefault="00EC330A" w:rsidP="00EC330A">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4F4D27">
              <w:rPr>
                <w:rFonts w:eastAsia="Times New Roman" w:cs="Calibri"/>
                <w:sz w:val="16"/>
                <w:szCs w:val="16"/>
              </w:rPr>
              <w:t>6,6</w:t>
            </w:r>
          </w:p>
        </w:tc>
        <w:tc>
          <w:tcPr>
            <w:tcW w:w="4961" w:type="dxa"/>
            <w:gridSpan w:val="3"/>
            <w:noWrap/>
          </w:tcPr>
          <w:p w14:paraId="5267F3C2" w14:textId="6A6270D2" w:rsidR="00EC330A" w:rsidRPr="00561A62" w:rsidRDefault="00EC330A" w:rsidP="00EC330A">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701" w:type="dxa"/>
            <w:noWrap/>
          </w:tcPr>
          <w:p w14:paraId="78FF497E" w14:textId="77777777" w:rsidR="00EC330A" w:rsidRPr="00561A62" w:rsidRDefault="00EC330A" w:rsidP="00EC330A">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EC330A" w:rsidRPr="00561A62" w14:paraId="713CC22B"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64BE51C" w14:textId="225D02E0" w:rsidR="00EC330A" w:rsidRPr="00EC330A" w:rsidRDefault="00EC330A" w:rsidP="00EC330A">
            <w:pPr>
              <w:jc w:val="left"/>
              <w:rPr>
                <w:rFonts w:eastAsia="Times New Roman" w:cs="Calibri"/>
                <w:color w:val="000000"/>
                <w:sz w:val="16"/>
                <w:szCs w:val="16"/>
              </w:rPr>
            </w:pPr>
            <w:r w:rsidRPr="00EC330A">
              <w:rPr>
                <w:sz w:val="16"/>
                <w:szCs w:val="16"/>
              </w:rPr>
              <w:t>Asociación Española para la Promoción del Empleo Joven</w:t>
            </w:r>
          </w:p>
        </w:tc>
        <w:tc>
          <w:tcPr>
            <w:tcW w:w="1276" w:type="dxa"/>
            <w:noWrap/>
            <w:hideMark/>
          </w:tcPr>
          <w:p w14:paraId="48A12A5B" w14:textId="38B7A56D" w:rsidR="00EC330A" w:rsidRPr="00561A62" w:rsidRDefault="00EC330A" w:rsidP="00EC330A">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61A62">
              <w:rPr>
                <w:rFonts w:eastAsia="Times New Roman" w:cs="Calibri"/>
                <w:sz w:val="16"/>
                <w:szCs w:val="16"/>
              </w:rPr>
              <w:t>6,</w:t>
            </w:r>
            <w:r>
              <w:rPr>
                <w:rFonts w:eastAsia="Times New Roman" w:cs="Calibri"/>
                <w:sz w:val="16"/>
                <w:szCs w:val="16"/>
              </w:rPr>
              <w:t>1</w:t>
            </w:r>
          </w:p>
        </w:tc>
        <w:tc>
          <w:tcPr>
            <w:tcW w:w="4961" w:type="dxa"/>
            <w:gridSpan w:val="3"/>
            <w:noWrap/>
            <w:hideMark/>
          </w:tcPr>
          <w:p w14:paraId="69E2ADF6" w14:textId="56734E11" w:rsidR="00EC330A" w:rsidRPr="00561A62" w:rsidRDefault="00EC330A" w:rsidP="00EC330A">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701" w:type="dxa"/>
            <w:noWrap/>
            <w:hideMark/>
          </w:tcPr>
          <w:p w14:paraId="3838AC74" w14:textId="77777777" w:rsidR="00EC330A" w:rsidRPr="00561A62" w:rsidRDefault="00EC330A" w:rsidP="00EC330A">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EC330A" w:rsidRPr="00561A62" w14:paraId="0E34C810"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2F1D844" w14:textId="7D1214B4" w:rsidR="00EC330A" w:rsidRPr="00EC330A" w:rsidRDefault="00EC330A" w:rsidP="00EC330A">
            <w:pPr>
              <w:jc w:val="left"/>
              <w:rPr>
                <w:rFonts w:eastAsia="Times New Roman" w:cs="Calibri"/>
                <w:color w:val="000000"/>
                <w:sz w:val="16"/>
                <w:szCs w:val="16"/>
              </w:rPr>
            </w:pPr>
            <w:r w:rsidRPr="00EC330A">
              <w:rPr>
                <w:sz w:val="16"/>
                <w:szCs w:val="16"/>
              </w:rPr>
              <w:t>Oxigeno</w:t>
            </w:r>
          </w:p>
        </w:tc>
        <w:tc>
          <w:tcPr>
            <w:tcW w:w="1276" w:type="dxa"/>
            <w:noWrap/>
            <w:hideMark/>
          </w:tcPr>
          <w:p w14:paraId="5302913A" w14:textId="017C9CD2" w:rsidR="00EC330A" w:rsidRPr="00561A62" w:rsidRDefault="00EC330A" w:rsidP="00EC330A">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61A62">
              <w:rPr>
                <w:rFonts w:eastAsia="Times New Roman" w:cs="Calibri"/>
                <w:sz w:val="16"/>
                <w:szCs w:val="16"/>
              </w:rPr>
              <w:t>6,</w:t>
            </w:r>
            <w:r>
              <w:rPr>
                <w:rFonts w:eastAsia="Times New Roman" w:cs="Calibri"/>
                <w:sz w:val="16"/>
                <w:szCs w:val="16"/>
              </w:rPr>
              <w:t>1</w:t>
            </w:r>
          </w:p>
        </w:tc>
        <w:tc>
          <w:tcPr>
            <w:tcW w:w="4961" w:type="dxa"/>
            <w:gridSpan w:val="3"/>
            <w:noWrap/>
            <w:hideMark/>
          </w:tcPr>
          <w:p w14:paraId="248A46D2" w14:textId="6E8858DC" w:rsidR="00EC330A" w:rsidRPr="00561A62" w:rsidRDefault="00EC330A" w:rsidP="00EC330A">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701" w:type="dxa"/>
            <w:noWrap/>
            <w:hideMark/>
          </w:tcPr>
          <w:p w14:paraId="67CBBD94" w14:textId="77777777" w:rsidR="00EC330A" w:rsidRPr="00561A62" w:rsidRDefault="00EC330A" w:rsidP="00EC330A">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EC330A" w:rsidRPr="00561A62" w14:paraId="1F372D39" w14:textId="77777777" w:rsidTr="009F5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9EBB381" w14:textId="5EBA4BCB" w:rsidR="00EC330A" w:rsidRPr="00EC330A" w:rsidRDefault="00EC330A" w:rsidP="00EC330A">
            <w:pPr>
              <w:jc w:val="left"/>
              <w:rPr>
                <w:rFonts w:eastAsia="Times New Roman" w:cs="Calibri"/>
                <w:color w:val="000000"/>
                <w:sz w:val="16"/>
                <w:szCs w:val="16"/>
              </w:rPr>
            </w:pPr>
            <w:r w:rsidRPr="00EC330A">
              <w:rPr>
                <w:sz w:val="16"/>
                <w:szCs w:val="16"/>
              </w:rPr>
              <w:t>In Género</w:t>
            </w:r>
          </w:p>
        </w:tc>
        <w:tc>
          <w:tcPr>
            <w:tcW w:w="1276" w:type="dxa"/>
            <w:noWrap/>
            <w:hideMark/>
          </w:tcPr>
          <w:p w14:paraId="02521D5B" w14:textId="42F83638" w:rsidR="00EC330A" w:rsidRPr="00561A62" w:rsidRDefault="00EC330A" w:rsidP="00EC330A">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61A62">
              <w:rPr>
                <w:rFonts w:eastAsia="Times New Roman" w:cs="Calibri"/>
                <w:sz w:val="16"/>
                <w:szCs w:val="16"/>
              </w:rPr>
              <w:t>6</w:t>
            </w:r>
            <w:r>
              <w:rPr>
                <w:rFonts w:eastAsia="Times New Roman" w:cs="Calibri"/>
                <w:sz w:val="16"/>
                <w:szCs w:val="16"/>
              </w:rPr>
              <w:t>,1</w:t>
            </w:r>
          </w:p>
        </w:tc>
        <w:tc>
          <w:tcPr>
            <w:tcW w:w="4961" w:type="dxa"/>
            <w:gridSpan w:val="3"/>
            <w:noWrap/>
            <w:hideMark/>
          </w:tcPr>
          <w:p w14:paraId="233CD618" w14:textId="66BF5733" w:rsidR="00EC330A" w:rsidRPr="00561A62" w:rsidRDefault="00EC330A" w:rsidP="00EC330A">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701" w:type="dxa"/>
            <w:noWrap/>
            <w:hideMark/>
          </w:tcPr>
          <w:p w14:paraId="6FEE2CBC" w14:textId="77777777" w:rsidR="00EC330A" w:rsidRPr="00561A62" w:rsidRDefault="00EC330A" w:rsidP="00EC330A">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EC330A" w:rsidRPr="00561A62" w14:paraId="462D614A" w14:textId="77777777" w:rsidTr="009F51A6">
        <w:trPr>
          <w:trHeight w:val="300"/>
        </w:trPr>
        <w:tc>
          <w:tcPr>
            <w:cnfStyle w:val="001000000000" w:firstRow="0" w:lastRow="0" w:firstColumn="1" w:lastColumn="0" w:oddVBand="0" w:evenVBand="0" w:oddHBand="0" w:evenHBand="0" w:firstRowFirstColumn="0" w:firstRowLastColumn="0" w:lastRowFirstColumn="0" w:lastRowLastColumn="0"/>
            <w:tcW w:w="2552" w:type="dxa"/>
            <w:noWrap/>
          </w:tcPr>
          <w:p w14:paraId="0542D699" w14:textId="43B245D6" w:rsidR="00EC330A" w:rsidRPr="00EC330A" w:rsidRDefault="00EC330A" w:rsidP="00EC330A">
            <w:pPr>
              <w:jc w:val="left"/>
              <w:rPr>
                <w:sz w:val="16"/>
                <w:szCs w:val="16"/>
              </w:rPr>
            </w:pPr>
            <w:proofErr w:type="spellStart"/>
            <w:r w:rsidRPr="00EC330A">
              <w:rPr>
                <w:sz w:val="16"/>
                <w:szCs w:val="16"/>
              </w:rPr>
              <w:t>Stellantis</w:t>
            </w:r>
            <w:proofErr w:type="spellEnd"/>
            <w:r w:rsidRPr="00EC330A">
              <w:rPr>
                <w:sz w:val="16"/>
                <w:szCs w:val="16"/>
              </w:rPr>
              <w:t xml:space="preserve"> España</w:t>
            </w:r>
          </w:p>
        </w:tc>
        <w:tc>
          <w:tcPr>
            <w:tcW w:w="1276" w:type="dxa"/>
            <w:noWrap/>
          </w:tcPr>
          <w:p w14:paraId="702F65F3" w14:textId="6559D974" w:rsidR="00EC330A" w:rsidRPr="00561A62" w:rsidRDefault="00EC330A" w:rsidP="00EC330A">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3,3</w:t>
            </w:r>
          </w:p>
        </w:tc>
        <w:tc>
          <w:tcPr>
            <w:tcW w:w="4961" w:type="dxa"/>
            <w:gridSpan w:val="3"/>
            <w:noWrap/>
          </w:tcPr>
          <w:p w14:paraId="65670839" w14:textId="55812641" w:rsidR="00EC330A" w:rsidRPr="00561A62" w:rsidRDefault="00EC330A" w:rsidP="00EC330A">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701" w:type="dxa"/>
            <w:noWrap/>
          </w:tcPr>
          <w:p w14:paraId="3CB350BE" w14:textId="77777777" w:rsidR="00EC330A" w:rsidRPr="00561A62" w:rsidRDefault="00EC330A" w:rsidP="00EC330A">
            <w:pPr>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bl>
    <w:p w14:paraId="5374A5ED" w14:textId="77777777" w:rsidR="00D15F0F" w:rsidRPr="00561A62" w:rsidRDefault="00D15F0F" w:rsidP="00D15F0F"/>
    <w:p w14:paraId="3D0E58D4" w14:textId="77777777" w:rsidR="00D15F0F" w:rsidRPr="00561A62" w:rsidRDefault="00D15F0F" w:rsidP="00D15F0F"/>
    <w:p w14:paraId="6A728DC9" w14:textId="77777777" w:rsidR="00D15F0F" w:rsidRPr="00561A62" w:rsidRDefault="00D15F0F" w:rsidP="00D15F0F">
      <w:pPr>
        <w:jc w:val="left"/>
      </w:pPr>
      <w:r w:rsidRPr="00561A62">
        <w:br w:type="page"/>
      </w:r>
    </w:p>
    <w:p w14:paraId="47B650E1" w14:textId="6EBE1560" w:rsidR="00D15F0F" w:rsidRPr="00561A62" w:rsidRDefault="00D15F0F" w:rsidP="00822D40">
      <w:pPr>
        <w:pStyle w:val="Ttulo1"/>
        <w:rPr>
          <w:sz w:val="30"/>
          <w:szCs w:val="30"/>
          <w:lang w:eastAsia="en-US"/>
        </w:rPr>
      </w:pPr>
      <w:bookmarkStart w:id="60" w:name="_Toc219463065"/>
      <w:r w:rsidRPr="00561A62">
        <w:rPr>
          <w:sz w:val="30"/>
          <w:szCs w:val="30"/>
          <w:lang w:eastAsia="en-US"/>
        </w:rPr>
        <w:lastRenderedPageBreak/>
        <w:t xml:space="preserve">Anexo III: </w:t>
      </w:r>
      <w:r w:rsidRPr="00561A62">
        <w:rPr>
          <w:lang w:eastAsia="en-US"/>
        </w:rPr>
        <w:t>Transparencia voluntaria en las entidades evaluadas por primera vez en 202</w:t>
      </w:r>
      <w:r w:rsidR="00D9687E">
        <w:rPr>
          <w:lang w:eastAsia="en-US"/>
        </w:rPr>
        <w:t>5</w:t>
      </w:r>
      <w:bookmarkEnd w:id="60"/>
    </w:p>
    <w:tbl>
      <w:tblPr>
        <w:tblStyle w:val="Tabladelista3-nfasis2"/>
        <w:tblW w:w="0" w:type="auto"/>
        <w:tblLook w:val="04A0" w:firstRow="1" w:lastRow="0" w:firstColumn="1" w:lastColumn="0" w:noHBand="0" w:noVBand="1"/>
      </w:tblPr>
      <w:tblGrid>
        <w:gridCol w:w="4106"/>
        <w:gridCol w:w="4955"/>
      </w:tblGrid>
      <w:tr w:rsidR="00D15F0F" w:rsidRPr="00561A62" w14:paraId="516DC8D7" w14:textId="77777777" w:rsidTr="00585D44">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100" w:firstRow="0" w:lastRow="0" w:firstColumn="1" w:lastColumn="0" w:oddVBand="0" w:evenVBand="0" w:oddHBand="0" w:evenHBand="0" w:firstRowFirstColumn="1" w:firstRowLastColumn="0" w:lastRowFirstColumn="0" w:lastRowLastColumn="0"/>
            <w:tcW w:w="4106" w:type="dxa"/>
            <w:noWrap/>
            <w:hideMark/>
          </w:tcPr>
          <w:p w14:paraId="3849A10E" w14:textId="77777777" w:rsidR="00D15F0F" w:rsidRPr="00561A62" w:rsidRDefault="00D15F0F" w:rsidP="00585D44">
            <w:pPr>
              <w:rPr>
                <w:rFonts w:eastAsia="Times New Roman" w:cs="Times New Roman"/>
                <w:sz w:val="18"/>
                <w:szCs w:val="18"/>
                <w:lang w:eastAsia="en-US"/>
              </w:rPr>
            </w:pPr>
            <w:r w:rsidRPr="00561A62">
              <w:rPr>
                <w:rFonts w:eastAsia="Times New Roman" w:cs="Times New Roman"/>
                <w:sz w:val="18"/>
                <w:szCs w:val="18"/>
                <w:lang w:eastAsia="en-US"/>
              </w:rPr>
              <w:t>Información</w:t>
            </w:r>
          </w:p>
        </w:tc>
        <w:tc>
          <w:tcPr>
            <w:tcW w:w="4955" w:type="dxa"/>
            <w:noWrap/>
            <w:hideMark/>
          </w:tcPr>
          <w:p w14:paraId="7BB45D57" w14:textId="77777777" w:rsidR="00D15F0F" w:rsidRPr="00561A62" w:rsidRDefault="00D15F0F" w:rsidP="00585D4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en-US"/>
              </w:rPr>
            </w:pPr>
            <w:r w:rsidRPr="00561A62">
              <w:rPr>
                <w:rFonts w:eastAsia="Times New Roman" w:cs="Times New Roman"/>
                <w:sz w:val="18"/>
                <w:szCs w:val="18"/>
                <w:lang w:eastAsia="en-US"/>
              </w:rPr>
              <w:t>Entidades</w:t>
            </w:r>
          </w:p>
        </w:tc>
      </w:tr>
      <w:tr w:rsidR="00D15F0F" w:rsidRPr="00561A62" w14:paraId="54883A9B" w14:textId="77777777" w:rsidTr="00585D44">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4106" w:type="dxa"/>
            <w:noWrap/>
          </w:tcPr>
          <w:p w14:paraId="7BBED238" w14:textId="2A0DC2CD" w:rsidR="00D15F0F" w:rsidRPr="00561A62" w:rsidRDefault="00D15F0F" w:rsidP="00585D44">
            <w:pPr>
              <w:rPr>
                <w:rFonts w:eastAsia="Times New Roman" w:cs="Times New Roman"/>
                <w:b w:val="0"/>
                <w:bCs w:val="0"/>
                <w:sz w:val="18"/>
                <w:szCs w:val="18"/>
                <w:lang w:eastAsia="en-US"/>
              </w:rPr>
            </w:pPr>
            <w:r w:rsidRPr="00561A62">
              <w:rPr>
                <w:rFonts w:eastAsia="Times New Roman" w:cs="Times New Roman"/>
                <w:b w:val="0"/>
                <w:bCs w:val="0"/>
                <w:sz w:val="18"/>
                <w:szCs w:val="18"/>
                <w:lang w:eastAsia="en-US"/>
              </w:rPr>
              <w:t>Información estadística</w:t>
            </w:r>
            <w:r w:rsidR="00B145B8">
              <w:rPr>
                <w:rFonts w:eastAsia="Times New Roman" w:cs="Times New Roman"/>
                <w:b w:val="0"/>
                <w:bCs w:val="0"/>
                <w:sz w:val="18"/>
                <w:szCs w:val="18"/>
                <w:lang w:eastAsia="en-US"/>
              </w:rPr>
              <w:t xml:space="preserve">/ Memoria </w:t>
            </w:r>
            <w:r w:rsidRPr="00561A62">
              <w:rPr>
                <w:rFonts w:eastAsia="Times New Roman" w:cs="Times New Roman"/>
                <w:b w:val="0"/>
                <w:bCs w:val="0"/>
                <w:sz w:val="18"/>
                <w:szCs w:val="18"/>
                <w:lang w:eastAsia="en-US"/>
              </w:rPr>
              <w:t>actividades</w:t>
            </w:r>
          </w:p>
        </w:tc>
        <w:tc>
          <w:tcPr>
            <w:tcW w:w="4955" w:type="dxa"/>
            <w:noWrap/>
          </w:tcPr>
          <w:p w14:paraId="6293A0AF" w14:textId="56B40D56" w:rsidR="00D15F0F" w:rsidRPr="00561A62" w:rsidRDefault="00B145B8" w:rsidP="00585D44">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n-US"/>
              </w:rPr>
            </w:pPr>
            <w:r w:rsidRPr="00B145B8">
              <w:rPr>
                <w:rFonts w:eastAsia="Times New Roman" w:cs="Times New Roman"/>
                <w:sz w:val="18"/>
                <w:szCs w:val="18"/>
                <w:lang w:eastAsia="en-US"/>
              </w:rPr>
              <w:t>Fundación Universitaria San Pablo CEU</w:t>
            </w:r>
            <w:r>
              <w:rPr>
                <w:rFonts w:eastAsia="Times New Roman" w:cs="Times New Roman"/>
                <w:sz w:val="18"/>
                <w:szCs w:val="18"/>
                <w:lang w:eastAsia="en-US"/>
              </w:rPr>
              <w:t xml:space="preserve">, </w:t>
            </w:r>
            <w:r w:rsidRPr="00B145B8">
              <w:rPr>
                <w:rFonts w:eastAsia="Times New Roman" w:cs="Times New Roman"/>
                <w:sz w:val="18"/>
                <w:szCs w:val="18"/>
                <w:lang w:eastAsia="en-US"/>
              </w:rPr>
              <w:t xml:space="preserve">Fundación Carmen Pardo </w:t>
            </w:r>
            <w:proofErr w:type="spellStart"/>
            <w:r w:rsidRPr="00B145B8">
              <w:rPr>
                <w:rFonts w:eastAsia="Times New Roman" w:cs="Times New Roman"/>
                <w:sz w:val="18"/>
                <w:szCs w:val="18"/>
                <w:lang w:eastAsia="en-US"/>
              </w:rPr>
              <w:t>Valcarce</w:t>
            </w:r>
            <w:proofErr w:type="spellEnd"/>
            <w:r>
              <w:rPr>
                <w:rFonts w:eastAsia="Times New Roman" w:cs="Times New Roman"/>
                <w:sz w:val="18"/>
                <w:szCs w:val="18"/>
                <w:lang w:eastAsia="en-US"/>
              </w:rPr>
              <w:t xml:space="preserve">, </w:t>
            </w:r>
            <w:r w:rsidR="005414A4" w:rsidRPr="005414A4">
              <w:rPr>
                <w:rFonts w:eastAsia="Times New Roman" w:cs="Times New Roman"/>
                <w:sz w:val="18"/>
                <w:szCs w:val="18"/>
                <w:lang w:eastAsia="en-US"/>
              </w:rPr>
              <w:t>Fundación Ecología y Desarrollo</w:t>
            </w:r>
            <w:r w:rsidR="005414A4">
              <w:rPr>
                <w:rFonts w:eastAsia="Times New Roman" w:cs="Times New Roman"/>
                <w:sz w:val="18"/>
                <w:szCs w:val="18"/>
                <w:lang w:eastAsia="en-US"/>
              </w:rPr>
              <w:t xml:space="preserve">, </w:t>
            </w:r>
            <w:r w:rsidR="005414A4" w:rsidRPr="005414A4">
              <w:rPr>
                <w:rFonts w:eastAsia="Times New Roman" w:cs="Times New Roman"/>
                <w:sz w:val="18"/>
                <w:szCs w:val="18"/>
                <w:lang w:eastAsia="en-US"/>
              </w:rPr>
              <w:t>SEAT, SA</w:t>
            </w:r>
            <w:r w:rsidR="005414A4">
              <w:rPr>
                <w:rFonts w:eastAsia="Times New Roman" w:cs="Times New Roman"/>
                <w:sz w:val="18"/>
                <w:szCs w:val="18"/>
                <w:lang w:eastAsia="en-US"/>
              </w:rPr>
              <w:t xml:space="preserve">, </w:t>
            </w:r>
            <w:r w:rsidR="005414A4" w:rsidRPr="005414A4">
              <w:rPr>
                <w:rFonts w:eastAsia="Times New Roman" w:cs="Times New Roman"/>
                <w:sz w:val="18"/>
                <w:szCs w:val="18"/>
                <w:lang w:eastAsia="en-US"/>
              </w:rPr>
              <w:t>Iberdrola Generación, S.A.U.</w:t>
            </w:r>
            <w:r w:rsidR="00074537">
              <w:rPr>
                <w:rFonts w:eastAsia="Times New Roman" w:cs="Times New Roman"/>
                <w:sz w:val="18"/>
                <w:szCs w:val="18"/>
                <w:lang w:eastAsia="en-US"/>
              </w:rPr>
              <w:t xml:space="preserve">, </w:t>
            </w:r>
            <w:r w:rsidR="00074537" w:rsidRPr="00074537">
              <w:rPr>
                <w:rFonts w:eastAsia="Times New Roman" w:cs="Times New Roman"/>
                <w:sz w:val="18"/>
                <w:szCs w:val="18"/>
                <w:lang w:eastAsia="en-US"/>
              </w:rPr>
              <w:t>Eroski</w:t>
            </w:r>
            <w:r w:rsidR="00074537">
              <w:rPr>
                <w:rFonts w:eastAsia="Times New Roman" w:cs="Times New Roman"/>
                <w:sz w:val="18"/>
                <w:szCs w:val="18"/>
                <w:lang w:eastAsia="en-US"/>
              </w:rPr>
              <w:t xml:space="preserve">, </w:t>
            </w:r>
            <w:r w:rsidR="00074537" w:rsidRPr="00074537">
              <w:rPr>
                <w:rFonts w:eastAsia="Times New Roman" w:cs="Times New Roman"/>
                <w:sz w:val="18"/>
                <w:szCs w:val="18"/>
                <w:lang w:eastAsia="en-US"/>
              </w:rPr>
              <w:t>Cosentino</w:t>
            </w:r>
            <w:r w:rsidR="00074537">
              <w:rPr>
                <w:rFonts w:eastAsia="Times New Roman" w:cs="Times New Roman"/>
                <w:sz w:val="18"/>
                <w:szCs w:val="18"/>
                <w:lang w:eastAsia="en-US"/>
              </w:rPr>
              <w:t xml:space="preserve">, </w:t>
            </w:r>
            <w:r w:rsidR="00BA20CA" w:rsidRPr="00BA20CA">
              <w:rPr>
                <w:rFonts w:eastAsia="Times New Roman" w:cs="Times New Roman"/>
                <w:sz w:val="18"/>
                <w:szCs w:val="18"/>
                <w:lang w:eastAsia="en-US"/>
              </w:rPr>
              <w:t>Alúmina Española</w:t>
            </w:r>
            <w:r w:rsidR="00BA20CA">
              <w:rPr>
                <w:rFonts w:eastAsia="Times New Roman" w:cs="Times New Roman"/>
                <w:sz w:val="18"/>
                <w:szCs w:val="18"/>
                <w:lang w:eastAsia="en-US"/>
              </w:rPr>
              <w:t xml:space="preserve">, </w:t>
            </w:r>
            <w:r w:rsidR="00F664B6" w:rsidRPr="00F664B6">
              <w:rPr>
                <w:rFonts w:eastAsia="Times New Roman" w:cs="Times New Roman"/>
                <w:sz w:val="18"/>
                <w:szCs w:val="18"/>
                <w:lang w:eastAsia="en-US"/>
              </w:rPr>
              <w:t>I-De Redes Eléctricas Inteligentes</w:t>
            </w:r>
            <w:r w:rsidR="00F664B6">
              <w:rPr>
                <w:rFonts w:eastAsia="Times New Roman" w:cs="Times New Roman"/>
                <w:sz w:val="18"/>
                <w:szCs w:val="18"/>
                <w:lang w:eastAsia="en-US"/>
              </w:rPr>
              <w:t xml:space="preserve">, </w:t>
            </w:r>
            <w:r w:rsidR="00F23958" w:rsidRPr="00F23958">
              <w:rPr>
                <w:rFonts w:eastAsia="Times New Roman" w:cs="Times New Roman"/>
                <w:sz w:val="18"/>
                <w:szCs w:val="18"/>
                <w:lang w:eastAsia="en-US"/>
              </w:rPr>
              <w:t xml:space="preserve">Orange </w:t>
            </w:r>
            <w:proofErr w:type="spellStart"/>
            <w:r w:rsidR="00F23958" w:rsidRPr="00F23958">
              <w:rPr>
                <w:rFonts w:eastAsia="Times New Roman" w:cs="Times New Roman"/>
                <w:sz w:val="18"/>
                <w:szCs w:val="18"/>
                <w:lang w:eastAsia="en-US"/>
              </w:rPr>
              <w:t>Espagne</w:t>
            </w:r>
            <w:proofErr w:type="spellEnd"/>
            <w:r w:rsidR="003A15BB">
              <w:rPr>
                <w:rFonts w:eastAsia="Times New Roman" w:cs="Times New Roman"/>
                <w:sz w:val="18"/>
                <w:szCs w:val="18"/>
                <w:lang w:eastAsia="en-US"/>
              </w:rPr>
              <w:t xml:space="preserve">, </w:t>
            </w:r>
            <w:r w:rsidR="003A15BB" w:rsidRPr="003A15BB">
              <w:rPr>
                <w:rFonts w:eastAsia="Times New Roman" w:cs="Times New Roman"/>
                <w:sz w:val="18"/>
                <w:szCs w:val="18"/>
                <w:lang w:eastAsia="en-US"/>
              </w:rPr>
              <w:t xml:space="preserve">Petróleos </w:t>
            </w:r>
            <w:r w:rsidR="003A15BB">
              <w:rPr>
                <w:rFonts w:eastAsia="Times New Roman" w:cs="Times New Roman"/>
                <w:sz w:val="18"/>
                <w:szCs w:val="18"/>
                <w:lang w:eastAsia="en-US"/>
              </w:rPr>
              <w:t>d</w:t>
            </w:r>
            <w:r w:rsidR="003A15BB" w:rsidRPr="003A15BB">
              <w:rPr>
                <w:rFonts w:eastAsia="Times New Roman" w:cs="Times New Roman"/>
                <w:sz w:val="18"/>
                <w:szCs w:val="18"/>
                <w:lang w:eastAsia="en-US"/>
              </w:rPr>
              <w:t>el Norte</w:t>
            </w:r>
            <w:r w:rsidR="00964825">
              <w:rPr>
                <w:rFonts w:eastAsia="Times New Roman" w:cs="Times New Roman"/>
                <w:sz w:val="18"/>
                <w:szCs w:val="18"/>
                <w:lang w:eastAsia="en-US"/>
              </w:rPr>
              <w:t xml:space="preserve">, </w:t>
            </w:r>
            <w:proofErr w:type="spellStart"/>
            <w:r w:rsidR="00964825">
              <w:rPr>
                <w:rFonts w:eastAsia="Times New Roman" w:cs="Times New Roman"/>
                <w:sz w:val="18"/>
                <w:szCs w:val="18"/>
                <w:lang w:eastAsia="en-US"/>
              </w:rPr>
              <w:t>Naturgy</w:t>
            </w:r>
            <w:proofErr w:type="spellEnd"/>
            <w:r w:rsidR="00964825">
              <w:rPr>
                <w:rFonts w:eastAsia="Times New Roman" w:cs="Times New Roman"/>
                <w:sz w:val="18"/>
                <w:szCs w:val="18"/>
                <w:lang w:eastAsia="en-US"/>
              </w:rPr>
              <w:t xml:space="preserve">, </w:t>
            </w:r>
            <w:r w:rsidR="000864E4" w:rsidRPr="000864E4">
              <w:rPr>
                <w:rFonts w:eastAsia="Times New Roman" w:cs="Times New Roman"/>
                <w:sz w:val="18"/>
                <w:szCs w:val="18"/>
                <w:lang w:eastAsia="en-US"/>
              </w:rPr>
              <w:t>Asoc</w:t>
            </w:r>
            <w:r w:rsidR="000864E4">
              <w:rPr>
                <w:rFonts w:eastAsia="Times New Roman" w:cs="Times New Roman"/>
                <w:sz w:val="18"/>
                <w:szCs w:val="18"/>
                <w:lang w:eastAsia="en-US"/>
              </w:rPr>
              <w:t>iación</w:t>
            </w:r>
            <w:r w:rsidR="000864E4" w:rsidRPr="000864E4">
              <w:rPr>
                <w:rFonts w:eastAsia="Times New Roman" w:cs="Times New Roman"/>
                <w:sz w:val="18"/>
                <w:szCs w:val="18"/>
                <w:lang w:eastAsia="en-US"/>
              </w:rPr>
              <w:t xml:space="preserve"> Mujeres </w:t>
            </w:r>
            <w:r w:rsidR="000864E4">
              <w:rPr>
                <w:rFonts w:eastAsia="Times New Roman" w:cs="Times New Roman"/>
                <w:sz w:val="18"/>
                <w:szCs w:val="18"/>
                <w:lang w:eastAsia="en-US"/>
              </w:rPr>
              <w:t>e</w:t>
            </w:r>
            <w:r w:rsidR="000864E4" w:rsidRPr="000864E4">
              <w:rPr>
                <w:rFonts w:eastAsia="Times New Roman" w:cs="Times New Roman"/>
                <w:sz w:val="18"/>
                <w:szCs w:val="18"/>
                <w:lang w:eastAsia="en-US"/>
              </w:rPr>
              <w:t xml:space="preserve">n Zona </w:t>
            </w:r>
            <w:r w:rsidR="000864E4">
              <w:rPr>
                <w:rFonts w:eastAsia="Times New Roman" w:cs="Times New Roman"/>
                <w:sz w:val="18"/>
                <w:szCs w:val="18"/>
                <w:lang w:eastAsia="en-US"/>
              </w:rPr>
              <w:t>d</w:t>
            </w:r>
            <w:r w:rsidR="000864E4" w:rsidRPr="000864E4">
              <w:rPr>
                <w:rFonts w:eastAsia="Times New Roman" w:cs="Times New Roman"/>
                <w:sz w:val="18"/>
                <w:szCs w:val="18"/>
                <w:lang w:eastAsia="en-US"/>
              </w:rPr>
              <w:t>e Conflicto</w:t>
            </w:r>
            <w:r w:rsidR="000864E4">
              <w:rPr>
                <w:rFonts w:eastAsia="Times New Roman" w:cs="Times New Roman"/>
                <w:sz w:val="18"/>
                <w:szCs w:val="18"/>
                <w:lang w:eastAsia="en-US"/>
              </w:rPr>
              <w:t xml:space="preserve">, </w:t>
            </w:r>
            <w:r w:rsidR="00367D1A">
              <w:rPr>
                <w:rFonts w:eastAsia="Times New Roman" w:cs="Times New Roman"/>
                <w:sz w:val="18"/>
                <w:szCs w:val="18"/>
                <w:lang w:eastAsia="en-US"/>
              </w:rPr>
              <w:t xml:space="preserve">Asociación </w:t>
            </w:r>
            <w:proofErr w:type="spellStart"/>
            <w:r w:rsidR="00367D1A">
              <w:rPr>
                <w:rFonts w:eastAsia="Times New Roman" w:cs="Times New Roman"/>
                <w:sz w:val="18"/>
                <w:szCs w:val="18"/>
                <w:lang w:eastAsia="en-US"/>
              </w:rPr>
              <w:t>Columbares</w:t>
            </w:r>
            <w:proofErr w:type="spellEnd"/>
            <w:r w:rsidR="00367D1A">
              <w:rPr>
                <w:rFonts w:eastAsia="Times New Roman" w:cs="Times New Roman"/>
                <w:sz w:val="18"/>
                <w:szCs w:val="18"/>
                <w:lang w:eastAsia="en-US"/>
              </w:rPr>
              <w:t xml:space="preserve">, </w:t>
            </w:r>
            <w:r w:rsidR="00367D1A" w:rsidRPr="00367D1A">
              <w:rPr>
                <w:rFonts w:eastAsia="Times New Roman" w:cs="Times New Roman"/>
                <w:sz w:val="18"/>
                <w:szCs w:val="18"/>
                <w:lang w:eastAsia="en-US"/>
              </w:rPr>
              <w:t xml:space="preserve">Sociedad Española </w:t>
            </w:r>
            <w:r w:rsidR="00367D1A">
              <w:rPr>
                <w:rFonts w:eastAsia="Times New Roman" w:cs="Times New Roman"/>
                <w:sz w:val="18"/>
                <w:szCs w:val="18"/>
                <w:lang w:eastAsia="en-US"/>
              </w:rPr>
              <w:t>d</w:t>
            </w:r>
            <w:r w:rsidR="00367D1A" w:rsidRPr="00367D1A">
              <w:rPr>
                <w:rFonts w:eastAsia="Times New Roman" w:cs="Times New Roman"/>
                <w:sz w:val="18"/>
                <w:szCs w:val="18"/>
                <w:lang w:eastAsia="en-US"/>
              </w:rPr>
              <w:t xml:space="preserve">e Agricultura Ecológica </w:t>
            </w:r>
            <w:r w:rsidR="00367D1A">
              <w:rPr>
                <w:rFonts w:eastAsia="Times New Roman" w:cs="Times New Roman"/>
                <w:sz w:val="18"/>
                <w:szCs w:val="18"/>
                <w:lang w:eastAsia="en-US"/>
              </w:rPr>
              <w:t>y</w:t>
            </w:r>
            <w:r w:rsidR="00367D1A" w:rsidRPr="00367D1A">
              <w:rPr>
                <w:rFonts w:eastAsia="Times New Roman" w:cs="Times New Roman"/>
                <w:sz w:val="18"/>
                <w:szCs w:val="18"/>
                <w:lang w:eastAsia="en-US"/>
              </w:rPr>
              <w:t xml:space="preserve"> Agroecología</w:t>
            </w:r>
            <w:r w:rsidR="00367D1A">
              <w:rPr>
                <w:rFonts w:eastAsia="Times New Roman" w:cs="Times New Roman"/>
                <w:sz w:val="18"/>
                <w:szCs w:val="18"/>
                <w:lang w:eastAsia="en-US"/>
              </w:rPr>
              <w:t xml:space="preserve">, </w:t>
            </w:r>
            <w:r w:rsidR="00D80341">
              <w:rPr>
                <w:rFonts w:eastAsia="Times New Roman" w:cs="Times New Roman"/>
                <w:sz w:val="18"/>
                <w:szCs w:val="18"/>
                <w:lang w:eastAsia="en-US"/>
              </w:rPr>
              <w:t xml:space="preserve">Nuevo Hogar Betania, </w:t>
            </w:r>
            <w:r w:rsidR="00C67A61" w:rsidRPr="00C67A61">
              <w:rPr>
                <w:rFonts w:eastAsia="Times New Roman" w:cs="Times New Roman"/>
                <w:sz w:val="18"/>
                <w:szCs w:val="18"/>
                <w:lang w:eastAsia="en-US"/>
              </w:rPr>
              <w:t>Asociación Amar-</w:t>
            </w:r>
            <w:proofErr w:type="spellStart"/>
            <w:r w:rsidR="00C67A61" w:rsidRPr="00C67A61">
              <w:rPr>
                <w:rFonts w:eastAsia="Times New Roman" w:cs="Times New Roman"/>
                <w:sz w:val="18"/>
                <w:szCs w:val="18"/>
                <w:lang w:eastAsia="en-US"/>
              </w:rPr>
              <w:t>Dragoste</w:t>
            </w:r>
            <w:proofErr w:type="spellEnd"/>
            <w:r w:rsidR="00C67A61">
              <w:rPr>
                <w:rFonts w:eastAsia="Times New Roman" w:cs="Times New Roman"/>
                <w:sz w:val="18"/>
                <w:szCs w:val="18"/>
                <w:lang w:eastAsia="en-US"/>
              </w:rPr>
              <w:t xml:space="preserve">, </w:t>
            </w:r>
            <w:r w:rsidR="00AC6216" w:rsidRPr="00AC6216">
              <w:rPr>
                <w:rFonts w:eastAsia="Times New Roman" w:cs="Times New Roman"/>
                <w:sz w:val="18"/>
                <w:szCs w:val="18"/>
                <w:lang w:eastAsia="en-US"/>
              </w:rPr>
              <w:t xml:space="preserve">Unión </w:t>
            </w:r>
            <w:r w:rsidR="00AC6216">
              <w:rPr>
                <w:rFonts w:eastAsia="Times New Roman" w:cs="Times New Roman"/>
                <w:sz w:val="18"/>
                <w:szCs w:val="18"/>
                <w:lang w:eastAsia="en-US"/>
              </w:rPr>
              <w:t>d</w:t>
            </w:r>
            <w:r w:rsidR="00AC6216" w:rsidRPr="00AC6216">
              <w:rPr>
                <w:rFonts w:eastAsia="Times New Roman" w:cs="Times New Roman"/>
                <w:sz w:val="18"/>
                <w:szCs w:val="18"/>
                <w:lang w:eastAsia="en-US"/>
              </w:rPr>
              <w:t>e Asociaciones Familiares</w:t>
            </w:r>
            <w:r w:rsidR="00AC6216">
              <w:rPr>
                <w:rFonts w:eastAsia="Times New Roman" w:cs="Times New Roman"/>
                <w:sz w:val="18"/>
                <w:szCs w:val="18"/>
                <w:lang w:eastAsia="en-US"/>
              </w:rPr>
              <w:t xml:space="preserve">, </w:t>
            </w:r>
            <w:proofErr w:type="spellStart"/>
            <w:r w:rsidR="00AC6216">
              <w:rPr>
                <w:rFonts w:eastAsia="Times New Roman" w:cs="Times New Roman"/>
                <w:sz w:val="18"/>
                <w:szCs w:val="18"/>
                <w:lang w:eastAsia="en-US"/>
              </w:rPr>
              <w:t>Asufin</w:t>
            </w:r>
            <w:proofErr w:type="spellEnd"/>
            <w:r w:rsidR="00AC6216">
              <w:rPr>
                <w:rFonts w:eastAsia="Times New Roman" w:cs="Times New Roman"/>
                <w:sz w:val="18"/>
                <w:szCs w:val="18"/>
                <w:lang w:eastAsia="en-US"/>
              </w:rPr>
              <w:t xml:space="preserve">, </w:t>
            </w:r>
            <w:r w:rsidR="00AC6216" w:rsidRPr="00AC6216">
              <w:rPr>
                <w:rFonts w:eastAsia="Times New Roman" w:cs="Times New Roman"/>
                <w:sz w:val="18"/>
                <w:szCs w:val="18"/>
                <w:lang w:eastAsia="en-US"/>
              </w:rPr>
              <w:t xml:space="preserve">Coordinadora Estatal </w:t>
            </w:r>
            <w:r w:rsidR="00AC6216">
              <w:rPr>
                <w:rFonts w:eastAsia="Times New Roman" w:cs="Times New Roman"/>
                <w:sz w:val="18"/>
                <w:szCs w:val="18"/>
                <w:lang w:eastAsia="en-US"/>
              </w:rPr>
              <w:t>d</w:t>
            </w:r>
            <w:r w:rsidR="00AC6216" w:rsidRPr="00AC6216">
              <w:rPr>
                <w:rFonts w:eastAsia="Times New Roman" w:cs="Times New Roman"/>
                <w:sz w:val="18"/>
                <w:szCs w:val="18"/>
                <w:lang w:eastAsia="en-US"/>
              </w:rPr>
              <w:t>e Plataformas Sociales Salesianas</w:t>
            </w:r>
          </w:p>
        </w:tc>
      </w:tr>
      <w:tr w:rsidR="00D15F0F" w:rsidRPr="00561A62" w14:paraId="79FD2022" w14:textId="77777777" w:rsidTr="000F7EF9">
        <w:trPr>
          <w:trHeight w:val="59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093D2EC5" w14:textId="0DC8C2BF" w:rsidR="00D15F0F" w:rsidRPr="00561A62" w:rsidRDefault="00D15F0F" w:rsidP="00585D44">
            <w:pPr>
              <w:rPr>
                <w:rFonts w:eastAsia="Times New Roman" w:cs="Times New Roman"/>
                <w:b w:val="0"/>
                <w:bCs w:val="0"/>
                <w:sz w:val="18"/>
                <w:szCs w:val="18"/>
                <w:lang w:eastAsia="en-US"/>
              </w:rPr>
            </w:pPr>
            <w:r w:rsidRPr="00561A62">
              <w:rPr>
                <w:rFonts w:eastAsia="Times New Roman" w:cs="Times New Roman"/>
                <w:b w:val="0"/>
                <w:bCs w:val="0"/>
                <w:sz w:val="18"/>
                <w:szCs w:val="18"/>
                <w:lang w:eastAsia="en-US"/>
              </w:rPr>
              <w:t>Código ético o de conducta</w:t>
            </w:r>
          </w:p>
        </w:tc>
        <w:tc>
          <w:tcPr>
            <w:tcW w:w="4955" w:type="dxa"/>
            <w:noWrap/>
            <w:hideMark/>
          </w:tcPr>
          <w:p w14:paraId="0B37E29C" w14:textId="0C3A4282" w:rsidR="00D15F0F" w:rsidRPr="00561A62" w:rsidRDefault="00D9687E" w:rsidP="00585D44">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n-US"/>
              </w:rPr>
            </w:pPr>
            <w:r>
              <w:rPr>
                <w:rFonts w:eastAsia="Times New Roman" w:cs="Times New Roman"/>
                <w:sz w:val="18"/>
                <w:szCs w:val="18"/>
                <w:lang w:eastAsia="en-US"/>
              </w:rPr>
              <w:t>Fundación Secretariado Gitano, Fundación Amigó,</w:t>
            </w:r>
            <w:r w:rsidRPr="00561A62">
              <w:rPr>
                <w:rFonts w:eastAsia="Times New Roman" w:cs="Times New Roman"/>
                <w:sz w:val="18"/>
                <w:szCs w:val="18"/>
                <w:lang w:eastAsia="en-US"/>
              </w:rPr>
              <w:t xml:space="preserve"> </w:t>
            </w:r>
            <w:r w:rsidRPr="00D9687E">
              <w:rPr>
                <w:rFonts w:eastAsia="Times New Roman" w:cs="Times New Roman"/>
                <w:sz w:val="18"/>
                <w:szCs w:val="18"/>
                <w:lang w:eastAsia="en-US"/>
              </w:rPr>
              <w:t>Asociación Inserta Innovación</w:t>
            </w:r>
            <w:r>
              <w:rPr>
                <w:rFonts w:eastAsia="Times New Roman" w:cs="Times New Roman"/>
                <w:sz w:val="18"/>
                <w:szCs w:val="18"/>
                <w:lang w:eastAsia="en-US"/>
              </w:rPr>
              <w:t xml:space="preserve">, </w:t>
            </w:r>
            <w:r w:rsidR="00107A32" w:rsidRPr="00107A32">
              <w:rPr>
                <w:rFonts w:eastAsia="Times New Roman" w:cs="Times New Roman"/>
                <w:sz w:val="18"/>
                <w:szCs w:val="18"/>
                <w:lang w:eastAsia="en-US"/>
              </w:rPr>
              <w:t>Fundación Solidaridad Amaranta</w:t>
            </w:r>
            <w:r w:rsidR="00107A32">
              <w:rPr>
                <w:rFonts w:eastAsia="Times New Roman" w:cs="Times New Roman"/>
                <w:sz w:val="18"/>
                <w:szCs w:val="18"/>
                <w:lang w:eastAsia="en-US"/>
              </w:rPr>
              <w:t xml:space="preserve">, </w:t>
            </w:r>
            <w:r w:rsidR="005414A4" w:rsidRPr="00B145B8">
              <w:rPr>
                <w:rFonts w:eastAsia="Times New Roman" w:cs="Times New Roman"/>
                <w:sz w:val="18"/>
                <w:szCs w:val="18"/>
                <w:lang w:eastAsia="en-US"/>
              </w:rPr>
              <w:t xml:space="preserve">Fundación Carmen Pardo </w:t>
            </w:r>
            <w:proofErr w:type="spellStart"/>
            <w:r w:rsidR="005414A4" w:rsidRPr="00B145B8">
              <w:rPr>
                <w:rFonts w:eastAsia="Times New Roman" w:cs="Times New Roman"/>
                <w:sz w:val="18"/>
                <w:szCs w:val="18"/>
                <w:lang w:eastAsia="en-US"/>
              </w:rPr>
              <w:t>Valcarce</w:t>
            </w:r>
            <w:proofErr w:type="spellEnd"/>
            <w:r w:rsidR="005414A4">
              <w:rPr>
                <w:rFonts w:eastAsia="Times New Roman" w:cs="Times New Roman"/>
                <w:sz w:val="18"/>
                <w:szCs w:val="18"/>
                <w:lang w:eastAsia="en-US"/>
              </w:rPr>
              <w:t xml:space="preserve">, </w:t>
            </w:r>
            <w:r w:rsidR="005414A4" w:rsidRPr="005414A4">
              <w:rPr>
                <w:rFonts w:eastAsia="Times New Roman" w:cs="Times New Roman"/>
                <w:sz w:val="18"/>
                <w:szCs w:val="18"/>
                <w:lang w:eastAsia="en-US"/>
              </w:rPr>
              <w:t>Ford España</w:t>
            </w:r>
            <w:r w:rsidR="005414A4">
              <w:rPr>
                <w:rFonts w:eastAsia="Times New Roman" w:cs="Times New Roman"/>
                <w:sz w:val="18"/>
                <w:szCs w:val="18"/>
                <w:lang w:eastAsia="en-US"/>
              </w:rPr>
              <w:t xml:space="preserve">, </w:t>
            </w:r>
            <w:r w:rsidR="00F23958" w:rsidRPr="00F23958">
              <w:rPr>
                <w:rFonts w:eastAsia="Times New Roman" w:cs="Times New Roman"/>
                <w:sz w:val="18"/>
                <w:szCs w:val="18"/>
                <w:lang w:eastAsia="en-US"/>
              </w:rPr>
              <w:t xml:space="preserve">Orange </w:t>
            </w:r>
            <w:proofErr w:type="spellStart"/>
            <w:r w:rsidR="00F23958" w:rsidRPr="00F23958">
              <w:rPr>
                <w:rFonts w:eastAsia="Times New Roman" w:cs="Times New Roman"/>
                <w:sz w:val="18"/>
                <w:szCs w:val="18"/>
                <w:lang w:eastAsia="en-US"/>
              </w:rPr>
              <w:t>Espagne</w:t>
            </w:r>
            <w:proofErr w:type="spellEnd"/>
            <w:r w:rsidR="00F23958">
              <w:rPr>
                <w:rFonts w:eastAsia="Times New Roman" w:cs="Times New Roman"/>
                <w:sz w:val="18"/>
                <w:szCs w:val="18"/>
                <w:lang w:eastAsia="en-US"/>
              </w:rPr>
              <w:t xml:space="preserve">, </w:t>
            </w:r>
            <w:proofErr w:type="spellStart"/>
            <w:r w:rsidR="00964825">
              <w:rPr>
                <w:rFonts w:eastAsia="Times New Roman" w:cs="Times New Roman"/>
                <w:sz w:val="18"/>
                <w:szCs w:val="18"/>
                <w:lang w:eastAsia="en-US"/>
              </w:rPr>
              <w:t>Naturgy</w:t>
            </w:r>
            <w:proofErr w:type="spellEnd"/>
            <w:r w:rsidR="00964825">
              <w:rPr>
                <w:rFonts w:eastAsia="Times New Roman" w:cs="Times New Roman"/>
                <w:sz w:val="18"/>
                <w:szCs w:val="18"/>
                <w:lang w:eastAsia="en-US"/>
              </w:rPr>
              <w:t xml:space="preserve">, </w:t>
            </w:r>
            <w:r w:rsidR="00964825" w:rsidRPr="00964825">
              <w:rPr>
                <w:rFonts w:eastAsia="Times New Roman" w:cs="Times New Roman"/>
                <w:sz w:val="18"/>
                <w:szCs w:val="18"/>
                <w:lang w:eastAsia="en-US"/>
              </w:rPr>
              <w:t>Cemex España Operaciones</w:t>
            </w:r>
            <w:r w:rsidR="00964825">
              <w:rPr>
                <w:rFonts w:eastAsia="Times New Roman" w:cs="Times New Roman"/>
                <w:sz w:val="18"/>
                <w:szCs w:val="18"/>
                <w:lang w:eastAsia="en-US"/>
              </w:rPr>
              <w:t xml:space="preserve">, </w:t>
            </w:r>
            <w:r w:rsidR="00964825" w:rsidRPr="00964825">
              <w:rPr>
                <w:rFonts w:eastAsia="Times New Roman" w:cs="Times New Roman"/>
                <w:sz w:val="18"/>
                <w:szCs w:val="18"/>
                <w:lang w:eastAsia="en-US"/>
              </w:rPr>
              <w:t>FCC Aqualia</w:t>
            </w:r>
            <w:r w:rsidR="00964825">
              <w:rPr>
                <w:rFonts w:eastAsia="Times New Roman" w:cs="Times New Roman"/>
                <w:sz w:val="18"/>
                <w:szCs w:val="18"/>
                <w:lang w:eastAsia="en-US"/>
              </w:rPr>
              <w:t xml:space="preserve">, </w:t>
            </w:r>
            <w:r w:rsidR="00964825" w:rsidRPr="00964825">
              <w:rPr>
                <w:sz w:val="18"/>
                <w:szCs w:val="18"/>
              </w:rPr>
              <w:t>ESIC</w:t>
            </w:r>
            <w:r w:rsidR="00477F12">
              <w:rPr>
                <w:sz w:val="18"/>
                <w:szCs w:val="18"/>
              </w:rPr>
              <w:t xml:space="preserve">, </w:t>
            </w:r>
            <w:proofErr w:type="spellStart"/>
            <w:r w:rsidR="000C1605" w:rsidRPr="000C1605">
              <w:rPr>
                <w:sz w:val="18"/>
                <w:szCs w:val="18"/>
              </w:rPr>
              <w:t>Euroarce</w:t>
            </w:r>
            <w:proofErr w:type="spellEnd"/>
            <w:r w:rsidR="000C1605" w:rsidRPr="000C1605">
              <w:rPr>
                <w:sz w:val="18"/>
                <w:szCs w:val="18"/>
              </w:rPr>
              <w:t xml:space="preserve"> Minería</w:t>
            </w:r>
            <w:r w:rsidR="000C1605">
              <w:rPr>
                <w:sz w:val="18"/>
                <w:szCs w:val="18"/>
              </w:rPr>
              <w:t xml:space="preserve">, </w:t>
            </w:r>
            <w:r w:rsidR="00AD4833" w:rsidRPr="00AD4833">
              <w:rPr>
                <w:rFonts w:eastAsia="Times New Roman" w:cs="Times New Roman"/>
                <w:sz w:val="18"/>
                <w:szCs w:val="18"/>
                <w:lang w:eastAsia="en-US"/>
              </w:rPr>
              <w:t>Real Federación Española de</w:t>
            </w:r>
            <w:r w:rsidR="00AD4833">
              <w:rPr>
                <w:rFonts w:eastAsia="Times New Roman" w:cs="Times New Roman"/>
                <w:sz w:val="18"/>
                <w:szCs w:val="18"/>
                <w:lang w:eastAsia="en-US"/>
              </w:rPr>
              <w:t xml:space="preserve"> Piragüismo, </w:t>
            </w:r>
            <w:r w:rsidR="00AD4833" w:rsidRPr="00AD4833">
              <w:rPr>
                <w:rFonts w:eastAsia="Times New Roman" w:cs="Times New Roman"/>
                <w:sz w:val="18"/>
                <w:szCs w:val="18"/>
                <w:lang w:eastAsia="en-US"/>
              </w:rPr>
              <w:t>Fundación Prode</w:t>
            </w:r>
            <w:r w:rsidR="00AD4833">
              <w:rPr>
                <w:rFonts w:eastAsia="Times New Roman" w:cs="Times New Roman"/>
                <w:sz w:val="18"/>
                <w:szCs w:val="18"/>
                <w:lang w:eastAsia="en-US"/>
              </w:rPr>
              <w:t xml:space="preserve">, </w:t>
            </w:r>
            <w:r w:rsidR="000864E4" w:rsidRPr="000864E4">
              <w:rPr>
                <w:rFonts w:eastAsia="Times New Roman" w:cs="Times New Roman"/>
                <w:sz w:val="18"/>
                <w:szCs w:val="18"/>
                <w:lang w:eastAsia="en-US"/>
              </w:rPr>
              <w:t>Real Federación Española de Hockey,</w:t>
            </w:r>
            <w:r w:rsidR="000864E4">
              <w:rPr>
                <w:rFonts w:eastAsia="Times New Roman" w:cs="Times New Roman"/>
                <w:sz w:val="18"/>
                <w:szCs w:val="18"/>
                <w:lang w:eastAsia="en-US"/>
              </w:rPr>
              <w:t xml:space="preserve"> </w:t>
            </w:r>
            <w:r w:rsidR="000864E4" w:rsidRPr="000864E4">
              <w:rPr>
                <w:rFonts w:eastAsia="Times New Roman" w:cs="Times New Roman"/>
                <w:sz w:val="18"/>
                <w:szCs w:val="18"/>
                <w:lang w:eastAsia="en-US"/>
              </w:rPr>
              <w:t>Asoc</w:t>
            </w:r>
            <w:r w:rsidR="000864E4">
              <w:rPr>
                <w:rFonts w:eastAsia="Times New Roman" w:cs="Times New Roman"/>
                <w:sz w:val="18"/>
                <w:szCs w:val="18"/>
                <w:lang w:eastAsia="en-US"/>
              </w:rPr>
              <w:t>iación</w:t>
            </w:r>
            <w:r w:rsidR="000864E4" w:rsidRPr="000864E4">
              <w:rPr>
                <w:rFonts w:eastAsia="Times New Roman" w:cs="Times New Roman"/>
                <w:sz w:val="18"/>
                <w:szCs w:val="18"/>
                <w:lang w:eastAsia="en-US"/>
              </w:rPr>
              <w:t xml:space="preserve"> Mujeres </w:t>
            </w:r>
            <w:r w:rsidR="000864E4">
              <w:rPr>
                <w:rFonts w:eastAsia="Times New Roman" w:cs="Times New Roman"/>
                <w:sz w:val="18"/>
                <w:szCs w:val="18"/>
                <w:lang w:eastAsia="en-US"/>
              </w:rPr>
              <w:t>e</w:t>
            </w:r>
            <w:r w:rsidR="000864E4" w:rsidRPr="000864E4">
              <w:rPr>
                <w:rFonts w:eastAsia="Times New Roman" w:cs="Times New Roman"/>
                <w:sz w:val="18"/>
                <w:szCs w:val="18"/>
                <w:lang w:eastAsia="en-US"/>
              </w:rPr>
              <w:t xml:space="preserve">n Zona </w:t>
            </w:r>
            <w:r w:rsidR="000864E4">
              <w:rPr>
                <w:rFonts w:eastAsia="Times New Roman" w:cs="Times New Roman"/>
                <w:sz w:val="18"/>
                <w:szCs w:val="18"/>
                <w:lang w:eastAsia="en-US"/>
              </w:rPr>
              <w:t>d</w:t>
            </w:r>
            <w:r w:rsidR="000864E4" w:rsidRPr="000864E4">
              <w:rPr>
                <w:rFonts w:eastAsia="Times New Roman" w:cs="Times New Roman"/>
                <w:sz w:val="18"/>
                <w:szCs w:val="18"/>
                <w:lang w:eastAsia="en-US"/>
              </w:rPr>
              <w:t>e Conflicto</w:t>
            </w:r>
            <w:r w:rsidR="00C67A61">
              <w:rPr>
                <w:rFonts w:eastAsia="Times New Roman" w:cs="Times New Roman"/>
                <w:sz w:val="18"/>
                <w:szCs w:val="18"/>
                <w:lang w:eastAsia="en-US"/>
              </w:rPr>
              <w:t xml:space="preserve">, </w:t>
            </w:r>
            <w:r w:rsidR="00C67A61" w:rsidRPr="00C67A61">
              <w:rPr>
                <w:rFonts w:eastAsia="Times New Roman" w:cs="Times New Roman"/>
                <w:sz w:val="18"/>
                <w:szCs w:val="18"/>
                <w:lang w:eastAsia="en-US"/>
              </w:rPr>
              <w:t>Asociación Amar-</w:t>
            </w:r>
            <w:proofErr w:type="spellStart"/>
            <w:r w:rsidR="00C67A61" w:rsidRPr="00C67A61">
              <w:rPr>
                <w:rFonts w:eastAsia="Times New Roman" w:cs="Times New Roman"/>
                <w:sz w:val="18"/>
                <w:szCs w:val="18"/>
                <w:lang w:eastAsia="en-US"/>
              </w:rPr>
              <w:t>Dragoste</w:t>
            </w:r>
            <w:proofErr w:type="spellEnd"/>
            <w:r w:rsidR="00AC6216">
              <w:rPr>
                <w:rFonts w:eastAsia="Times New Roman" w:cs="Times New Roman"/>
                <w:sz w:val="18"/>
                <w:szCs w:val="18"/>
                <w:lang w:eastAsia="en-US"/>
              </w:rPr>
              <w:t xml:space="preserve">, </w:t>
            </w:r>
            <w:r w:rsidR="00AC6216" w:rsidRPr="00AC6216">
              <w:rPr>
                <w:rFonts w:eastAsia="Times New Roman" w:cs="Times New Roman"/>
                <w:sz w:val="18"/>
                <w:szCs w:val="18"/>
                <w:lang w:eastAsia="en-US"/>
              </w:rPr>
              <w:t xml:space="preserve">Coordinadora Estatal </w:t>
            </w:r>
            <w:r w:rsidR="00AC6216">
              <w:rPr>
                <w:rFonts w:eastAsia="Times New Roman" w:cs="Times New Roman"/>
                <w:sz w:val="18"/>
                <w:szCs w:val="18"/>
                <w:lang w:eastAsia="en-US"/>
              </w:rPr>
              <w:t>d</w:t>
            </w:r>
            <w:r w:rsidR="00AC6216" w:rsidRPr="00AC6216">
              <w:rPr>
                <w:rFonts w:eastAsia="Times New Roman" w:cs="Times New Roman"/>
                <w:sz w:val="18"/>
                <w:szCs w:val="18"/>
                <w:lang w:eastAsia="en-US"/>
              </w:rPr>
              <w:t>e Plataformas Sociales Salesianas</w:t>
            </w:r>
          </w:p>
        </w:tc>
      </w:tr>
      <w:tr w:rsidR="00D15F0F" w:rsidRPr="00561A62" w14:paraId="6CC31C5E" w14:textId="77777777" w:rsidTr="00585D4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106" w:type="dxa"/>
            <w:noWrap/>
          </w:tcPr>
          <w:p w14:paraId="7EC6B1A8" w14:textId="77777777" w:rsidR="00D15F0F" w:rsidRPr="00561A62" w:rsidRDefault="00D15F0F" w:rsidP="00585D44">
            <w:pPr>
              <w:rPr>
                <w:rFonts w:eastAsia="Times New Roman" w:cs="Times New Roman"/>
                <w:b w:val="0"/>
                <w:bCs w:val="0"/>
                <w:sz w:val="18"/>
                <w:szCs w:val="18"/>
                <w:lang w:eastAsia="en-US"/>
              </w:rPr>
            </w:pPr>
            <w:r w:rsidRPr="00561A62">
              <w:rPr>
                <w:rFonts w:eastAsia="Times New Roman" w:cs="Times New Roman"/>
                <w:b w:val="0"/>
                <w:bCs w:val="0"/>
                <w:sz w:val="18"/>
                <w:szCs w:val="18"/>
                <w:lang w:eastAsia="en-US"/>
              </w:rPr>
              <w:t xml:space="preserve">Planificación estratégica y operativa </w:t>
            </w:r>
          </w:p>
        </w:tc>
        <w:tc>
          <w:tcPr>
            <w:tcW w:w="4955" w:type="dxa"/>
            <w:noWrap/>
          </w:tcPr>
          <w:p w14:paraId="279A7D3C" w14:textId="6AC38FDA" w:rsidR="00D15F0F" w:rsidRPr="00561A62" w:rsidRDefault="00D9687E" w:rsidP="00585D44">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n-US"/>
              </w:rPr>
            </w:pPr>
            <w:r>
              <w:rPr>
                <w:rFonts w:eastAsia="Times New Roman" w:cs="Times New Roman"/>
                <w:sz w:val="18"/>
                <w:szCs w:val="18"/>
                <w:lang w:eastAsia="en-US"/>
              </w:rPr>
              <w:t xml:space="preserve">Fundación Amigó, </w:t>
            </w:r>
            <w:r w:rsidR="000F7EF9" w:rsidRPr="000F7EF9">
              <w:rPr>
                <w:rFonts w:eastAsia="Times New Roman" w:cs="Times New Roman"/>
                <w:sz w:val="18"/>
                <w:szCs w:val="18"/>
                <w:lang w:eastAsia="en-US"/>
              </w:rPr>
              <w:t>Fundación Universidad Loyola Andalucía</w:t>
            </w:r>
            <w:r w:rsidR="000F7EF9">
              <w:rPr>
                <w:rFonts w:eastAsia="Times New Roman" w:cs="Times New Roman"/>
                <w:sz w:val="18"/>
                <w:szCs w:val="18"/>
                <w:lang w:eastAsia="en-US"/>
              </w:rPr>
              <w:t xml:space="preserve">, </w:t>
            </w:r>
            <w:r w:rsidR="00107A32" w:rsidRPr="00107A32">
              <w:rPr>
                <w:rFonts w:eastAsia="Times New Roman" w:cs="Times New Roman"/>
                <w:sz w:val="18"/>
                <w:szCs w:val="18"/>
                <w:lang w:eastAsia="en-US"/>
              </w:rPr>
              <w:t>Fundación Solidaridad Amaranta</w:t>
            </w:r>
            <w:r w:rsidR="00B145B8">
              <w:rPr>
                <w:rFonts w:eastAsia="Times New Roman" w:cs="Times New Roman"/>
                <w:sz w:val="18"/>
                <w:szCs w:val="18"/>
                <w:lang w:eastAsia="en-US"/>
              </w:rPr>
              <w:t xml:space="preserve">, </w:t>
            </w:r>
            <w:r w:rsidR="00B145B8" w:rsidRPr="00B145B8">
              <w:rPr>
                <w:rFonts w:eastAsia="Times New Roman" w:cs="Times New Roman"/>
                <w:sz w:val="18"/>
                <w:szCs w:val="18"/>
                <w:lang w:eastAsia="en-US"/>
              </w:rPr>
              <w:t xml:space="preserve">Fundación Carmen Pardo </w:t>
            </w:r>
            <w:proofErr w:type="spellStart"/>
            <w:r w:rsidR="00B145B8" w:rsidRPr="00B145B8">
              <w:rPr>
                <w:rFonts w:eastAsia="Times New Roman" w:cs="Times New Roman"/>
                <w:sz w:val="18"/>
                <w:szCs w:val="18"/>
                <w:lang w:eastAsia="en-US"/>
              </w:rPr>
              <w:t>Valcarce</w:t>
            </w:r>
            <w:proofErr w:type="spellEnd"/>
            <w:r w:rsidR="00B145B8">
              <w:rPr>
                <w:rFonts w:eastAsia="Times New Roman" w:cs="Times New Roman"/>
                <w:sz w:val="18"/>
                <w:szCs w:val="18"/>
                <w:lang w:eastAsia="en-US"/>
              </w:rPr>
              <w:t xml:space="preserve">, </w:t>
            </w:r>
            <w:proofErr w:type="spellStart"/>
            <w:r w:rsidR="00964825" w:rsidRPr="00964825">
              <w:rPr>
                <w:rFonts w:eastAsia="Times New Roman" w:cs="Times New Roman"/>
                <w:sz w:val="18"/>
                <w:szCs w:val="18"/>
                <w:lang w:eastAsia="en-US"/>
              </w:rPr>
              <w:t>Naturgy</w:t>
            </w:r>
            <w:proofErr w:type="spellEnd"/>
            <w:r w:rsidR="00964825">
              <w:rPr>
                <w:rFonts w:eastAsia="Times New Roman" w:cs="Times New Roman"/>
                <w:sz w:val="18"/>
                <w:szCs w:val="18"/>
                <w:lang w:eastAsia="en-US"/>
              </w:rPr>
              <w:t xml:space="preserve">, </w:t>
            </w:r>
            <w:r w:rsidR="00964825" w:rsidRPr="00964825">
              <w:rPr>
                <w:rFonts w:eastAsia="Times New Roman" w:cs="Times New Roman"/>
                <w:sz w:val="18"/>
                <w:szCs w:val="18"/>
                <w:lang w:eastAsia="en-US"/>
              </w:rPr>
              <w:t>FCC Aqualia</w:t>
            </w:r>
            <w:r w:rsidR="00964825">
              <w:rPr>
                <w:rFonts w:eastAsia="Times New Roman" w:cs="Times New Roman"/>
                <w:sz w:val="18"/>
                <w:szCs w:val="18"/>
                <w:lang w:eastAsia="en-US"/>
              </w:rPr>
              <w:t xml:space="preserve">, </w:t>
            </w:r>
            <w:r w:rsidR="00964825" w:rsidRPr="00964825">
              <w:rPr>
                <w:rFonts w:eastAsia="Times New Roman" w:cs="Times New Roman"/>
                <w:sz w:val="18"/>
                <w:szCs w:val="18"/>
                <w:lang w:eastAsia="en-US"/>
              </w:rPr>
              <w:t>ESIC</w:t>
            </w:r>
            <w:r w:rsidR="00964825">
              <w:rPr>
                <w:rFonts w:eastAsia="Times New Roman" w:cs="Times New Roman"/>
                <w:sz w:val="18"/>
                <w:szCs w:val="18"/>
                <w:lang w:eastAsia="en-US"/>
              </w:rPr>
              <w:t xml:space="preserve">, </w:t>
            </w:r>
            <w:r w:rsidR="00AD4833" w:rsidRPr="00AD4833">
              <w:rPr>
                <w:rFonts w:eastAsia="Times New Roman" w:cs="Times New Roman"/>
                <w:sz w:val="18"/>
                <w:szCs w:val="18"/>
                <w:lang w:eastAsia="en-US"/>
              </w:rPr>
              <w:t xml:space="preserve">Real Federación Española de </w:t>
            </w:r>
            <w:r w:rsidR="00AD4833">
              <w:rPr>
                <w:rFonts w:eastAsia="Times New Roman" w:cs="Times New Roman"/>
                <w:sz w:val="18"/>
                <w:szCs w:val="18"/>
                <w:lang w:eastAsia="en-US"/>
              </w:rPr>
              <w:t xml:space="preserve">Atletismo, </w:t>
            </w:r>
            <w:r w:rsidR="005031A5" w:rsidRPr="005031A5">
              <w:rPr>
                <w:rFonts w:eastAsia="Times New Roman" w:cs="Times New Roman"/>
                <w:sz w:val="18"/>
                <w:szCs w:val="18"/>
                <w:lang w:eastAsia="en-US"/>
              </w:rPr>
              <w:t xml:space="preserve">Consejo </w:t>
            </w:r>
            <w:r w:rsidR="005031A5">
              <w:rPr>
                <w:rFonts w:eastAsia="Times New Roman" w:cs="Times New Roman"/>
                <w:sz w:val="18"/>
                <w:szCs w:val="18"/>
                <w:lang w:eastAsia="en-US"/>
              </w:rPr>
              <w:t>d</w:t>
            </w:r>
            <w:r w:rsidR="005031A5" w:rsidRPr="005031A5">
              <w:rPr>
                <w:rFonts w:eastAsia="Times New Roman" w:cs="Times New Roman"/>
                <w:sz w:val="18"/>
                <w:szCs w:val="18"/>
                <w:lang w:eastAsia="en-US"/>
              </w:rPr>
              <w:t xml:space="preserve">e </w:t>
            </w:r>
            <w:r w:rsidR="005031A5">
              <w:rPr>
                <w:rFonts w:eastAsia="Times New Roman" w:cs="Times New Roman"/>
                <w:sz w:val="18"/>
                <w:szCs w:val="18"/>
                <w:lang w:eastAsia="en-US"/>
              </w:rPr>
              <w:t>l</w:t>
            </w:r>
            <w:r w:rsidR="005031A5" w:rsidRPr="005031A5">
              <w:rPr>
                <w:rFonts w:eastAsia="Times New Roman" w:cs="Times New Roman"/>
                <w:sz w:val="18"/>
                <w:szCs w:val="18"/>
                <w:lang w:eastAsia="en-US"/>
              </w:rPr>
              <w:t xml:space="preserve">a Juventud </w:t>
            </w:r>
            <w:r w:rsidR="005031A5">
              <w:rPr>
                <w:rFonts w:eastAsia="Times New Roman" w:cs="Times New Roman"/>
                <w:sz w:val="18"/>
                <w:szCs w:val="18"/>
                <w:lang w:eastAsia="en-US"/>
              </w:rPr>
              <w:t>d</w:t>
            </w:r>
            <w:r w:rsidR="005031A5" w:rsidRPr="005031A5">
              <w:rPr>
                <w:rFonts w:eastAsia="Times New Roman" w:cs="Times New Roman"/>
                <w:sz w:val="18"/>
                <w:szCs w:val="18"/>
                <w:lang w:eastAsia="en-US"/>
              </w:rPr>
              <w:t>e España</w:t>
            </w:r>
          </w:p>
        </w:tc>
      </w:tr>
      <w:tr w:rsidR="00D15F0F" w:rsidRPr="00561A62" w14:paraId="2E93F463" w14:textId="77777777" w:rsidTr="00AC6216">
        <w:trPr>
          <w:trHeight w:val="399"/>
        </w:trPr>
        <w:tc>
          <w:tcPr>
            <w:cnfStyle w:val="001000000000" w:firstRow="0" w:lastRow="0" w:firstColumn="1" w:lastColumn="0" w:oddVBand="0" w:evenVBand="0" w:oddHBand="0" w:evenHBand="0" w:firstRowFirstColumn="0" w:firstRowLastColumn="0" w:lastRowFirstColumn="0" w:lastRowLastColumn="0"/>
            <w:tcW w:w="4106" w:type="dxa"/>
            <w:noWrap/>
          </w:tcPr>
          <w:p w14:paraId="14243D7C" w14:textId="77777777" w:rsidR="00D15F0F" w:rsidRPr="00561A62" w:rsidRDefault="00D15F0F" w:rsidP="00585D44">
            <w:pPr>
              <w:rPr>
                <w:rFonts w:eastAsia="Times New Roman" w:cs="Times New Roman"/>
                <w:b w:val="0"/>
                <w:bCs w:val="0"/>
                <w:sz w:val="18"/>
                <w:szCs w:val="18"/>
                <w:lang w:eastAsia="en-US"/>
              </w:rPr>
            </w:pPr>
            <w:r w:rsidRPr="00561A62">
              <w:rPr>
                <w:rFonts w:eastAsia="Times New Roman" w:cs="Times New Roman"/>
                <w:b w:val="0"/>
                <w:bCs w:val="0"/>
                <w:sz w:val="18"/>
                <w:szCs w:val="18"/>
                <w:lang w:eastAsia="en-US"/>
              </w:rPr>
              <w:t>Políticas/ Normativa Régimen interior</w:t>
            </w:r>
          </w:p>
        </w:tc>
        <w:tc>
          <w:tcPr>
            <w:tcW w:w="4955" w:type="dxa"/>
            <w:noWrap/>
          </w:tcPr>
          <w:p w14:paraId="4D5770EC" w14:textId="79E81D96" w:rsidR="00D15F0F" w:rsidRPr="00561A62" w:rsidRDefault="005414A4" w:rsidP="00585D44">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n-US"/>
              </w:rPr>
            </w:pPr>
            <w:r w:rsidRPr="00B145B8">
              <w:rPr>
                <w:rFonts w:eastAsia="Times New Roman" w:cs="Times New Roman"/>
                <w:sz w:val="18"/>
                <w:szCs w:val="18"/>
                <w:lang w:eastAsia="en-US"/>
              </w:rPr>
              <w:t xml:space="preserve">Fundación Carmen Pardo </w:t>
            </w:r>
            <w:proofErr w:type="spellStart"/>
            <w:r w:rsidRPr="00B145B8">
              <w:rPr>
                <w:rFonts w:eastAsia="Times New Roman" w:cs="Times New Roman"/>
                <w:sz w:val="18"/>
                <w:szCs w:val="18"/>
                <w:lang w:eastAsia="en-US"/>
              </w:rPr>
              <w:t>Valcarce</w:t>
            </w:r>
            <w:proofErr w:type="spellEnd"/>
            <w:r>
              <w:rPr>
                <w:rFonts w:eastAsia="Times New Roman" w:cs="Times New Roman"/>
                <w:sz w:val="18"/>
                <w:szCs w:val="18"/>
                <w:lang w:eastAsia="en-US"/>
              </w:rPr>
              <w:t xml:space="preserve">, </w:t>
            </w:r>
            <w:r w:rsidRPr="005414A4">
              <w:rPr>
                <w:rFonts w:eastAsia="Times New Roman" w:cs="Times New Roman"/>
                <w:sz w:val="18"/>
                <w:szCs w:val="18"/>
                <w:lang w:eastAsia="en-US"/>
              </w:rPr>
              <w:t>SEAT, SA</w:t>
            </w:r>
          </w:p>
        </w:tc>
      </w:tr>
      <w:tr w:rsidR="00D15F0F" w:rsidRPr="00561A62" w14:paraId="421E2C25" w14:textId="77777777" w:rsidTr="00585D44">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106" w:type="dxa"/>
            <w:noWrap/>
            <w:hideMark/>
          </w:tcPr>
          <w:p w14:paraId="7D134DF5" w14:textId="77777777" w:rsidR="00D15F0F" w:rsidRPr="00561A62" w:rsidRDefault="00D15F0F" w:rsidP="00585D44">
            <w:pPr>
              <w:rPr>
                <w:rFonts w:eastAsia="Times New Roman" w:cs="Times New Roman"/>
                <w:b w:val="0"/>
                <w:bCs w:val="0"/>
                <w:sz w:val="18"/>
                <w:szCs w:val="18"/>
                <w:lang w:eastAsia="en-US"/>
              </w:rPr>
            </w:pPr>
            <w:r w:rsidRPr="00561A62">
              <w:rPr>
                <w:rFonts w:eastAsia="Times New Roman" w:cs="Times New Roman"/>
                <w:b w:val="0"/>
                <w:bCs w:val="0"/>
                <w:sz w:val="18"/>
                <w:szCs w:val="18"/>
                <w:lang w:eastAsia="en-US"/>
              </w:rPr>
              <w:t>Política de cumplimiento/ Planes o Protocolos de riesgos penales/Política anticorrupción</w:t>
            </w:r>
          </w:p>
        </w:tc>
        <w:tc>
          <w:tcPr>
            <w:tcW w:w="4955" w:type="dxa"/>
            <w:noWrap/>
            <w:hideMark/>
          </w:tcPr>
          <w:p w14:paraId="68A2A198" w14:textId="46220E9B" w:rsidR="00D15F0F" w:rsidRPr="00561A62" w:rsidRDefault="00CF2EA3" w:rsidP="00585D44">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n-US"/>
              </w:rPr>
            </w:pPr>
            <w:r w:rsidRPr="00CF2EA3">
              <w:rPr>
                <w:rFonts w:eastAsia="Times New Roman" w:cs="Times New Roman"/>
                <w:sz w:val="18"/>
                <w:szCs w:val="18"/>
                <w:lang w:eastAsia="en-US"/>
              </w:rPr>
              <w:t>Fundación Universitaria San Pablo CEU</w:t>
            </w:r>
            <w:r>
              <w:rPr>
                <w:rFonts w:eastAsia="Times New Roman" w:cs="Times New Roman"/>
                <w:sz w:val="18"/>
                <w:szCs w:val="18"/>
                <w:lang w:eastAsia="en-US"/>
              </w:rPr>
              <w:t>,</w:t>
            </w:r>
            <w:r w:rsidRPr="00CF2EA3">
              <w:rPr>
                <w:rFonts w:eastAsia="Times New Roman" w:cs="Times New Roman"/>
                <w:sz w:val="18"/>
                <w:szCs w:val="18"/>
                <w:lang w:eastAsia="en-US"/>
              </w:rPr>
              <w:t xml:space="preserve"> </w:t>
            </w:r>
            <w:r w:rsidR="00B145B8" w:rsidRPr="00B145B8">
              <w:rPr>
                <w:rFonts w:eastAsia="Times New Roman" w:cs="Times New Roman"/>
                <w:sz w:val="18"/>
                <w:szCs w:val="18"/>
                <w:lang w:eastAsia="en-US"/>
              </w:rPr>
              <w:t xml:space="preserve">Fundación Carmen Pardo </w:t>
            </w:r>
            <w:proofErr w:type="spellStart"/>
            <w:r w:rsidR="00B145B8" w:rsidRPr="00B145B8">
              <w:rPr>
                <w:rFonts w:eastAsia="Times New Roman" w:cs="Times New Roman"/>
                <w:sz w:val="18"/>
                <w:szCs w:val="18"/>
                <w:lang w:eastAsia="en-US"/>
              </w:rPr>
              <w:t>Valcarce</w:t>
            </w:r>
            <w:proofErr w:type="spellEnd"/>
            <w:r w:rsidR="00B145B8">
              <w:rPr>
                <w:rFonts w:eastAsia="Times New Roman" w:cs="Times New Roman"/>
                <w:sz w:val="18"/>
                <w:szCs w:val="18"/>
                <w:lang w:eastAsia="en-US"/>
              </w:rPr>
              <w:t xml:space="preserve">, </w:t>
            </w:r>
            <w:proofErr w:type="spellStart"/>
            <w:r w:rsidR="00AD4833" w:rsidRPr="00AD4833">
              <w:rPr>
                <w:rFonts w:eastAsia="Times New Roman" w:cs="Times New Roman"/>
                <w:sz w:val="18"/>
                <w:szCs w:val="18"/>
                <w:lang w:eastAsia="en-US"/>
              </w:rPr>
              <w:t>Euroarce</w:t>
            </w:r>
            <w:proofErr w:type="spellEnd"/>
            <w:r w:rsidR="00AD4833" w:rsidRPr="00AD4833">
              <w:rPr>
                <w:rFonts w:eastAsia="Times New Roman" w:cs="Times New Roman"/>
                <w:sz w:val="18"/>
                <w:szCs w:val="18"/>
                <w:lang w:eastAsia="en-US"/>
              </w:rPr>
              <w:t xml:space="preserve"> Minería</w:t>
            </w:r>
          </w:p>
        </w:tc>
      </w:tr>
      <w:tr w:rsidR="00D15F0F" w:rsidRPr="00561A62" w14:paraId="0EA77004" w14:textId="77777777" w:rsidTr="00585D44">
        <w:trPr>
          <w:trHeight w:val="564"/>
        </w:trPr>
        <w:tc>
          <w:tcPr>
            <w:cnfStyle w:val="001000000000" w:firstRow="0" w:lastRow="0" w:firstColumn="1" w:lastColumn="0" w:oddVBand="0" w:evenVBand="0" w:oddHBand="0" w:evenHBand="0" w:firstRowFirstColumn="0" w:firstRowLastColumn="0" w:lastRowFirstColumn="0" w:lastRowLastColumn="0"/>
            <w:tcW w:w="4106" w:type="dxa"/>
            <w:noWrap/>
            <w:hideMark/>
          </w:tcPr>
          <w:p w14:paraId="1A905ECF" w14:textId="77777777" w:rsidR="00D15F0F" w:rsidRPr="00561A62" w:rsidRDefault="00D15F0F" w:rsidP="00585D44">
            <w:pPr>
              <w:rPr>
                <w:rFonts w:eastAsia="Times New Roman" w:cs="Times New Roman"/>
                <w:b w:val="0"/>
                <w:bCs w:val="0"/>
                <w:sz w:val="18"/>
                <w:szCs w:val="18"/>
                <w:lang w:eastAsia="en-US"/>
              </w:rPr>
            </w:pPr>
            <w:r w:rsidRPr="00561A62">
              <w:rPr>
                <w:rFonts w:eastAsia="Times New Roman" w:cs="Times New Roman"/>
                <w:b w:val="0"/>
                <w:bCs w:val="0"/>
                <w:sz w:val="18"/>
                <w:szCs w:val="18"/>
                <w:lang w:eastAsia="en-US"/>
              </w:rPr>
              <w:t>Actas, Acuerdos</w:t>
            </w:r>
          </w:p>
        </w:tc>
        <w:tc>
          <w:tcPr>
            <w:tcW w:w="4955" w:type="dxa"/>
            <w:noWrap/>
            <w:hideMark/>
          </w:tcPr>
          <w:p w14:paraId="2F91FD19" w14:textId="4FF6B246" w:rsidR="00D15F0F" w:rsidRPr="00561A62" w:rsidRDefault="00AD4833" w:rsidP="00585D44">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n-US"/>
              </w:rPr>
            </w:pPr>
            <w:r w:rsidRPr="00AD4833">
              <w:rPr>
                <w:rFonts w:eastAsia="Times New Roman" w:cs="Times New Roman"/>
                <w:sz w:val="18"/>
                <w:szCs w:val="18"/>
                <w:lang w:eastAsia="en-US"/>
              </w:rPr>
              <w:t xml:space="preserve">Real Federación Española de </w:t>
            </w:r>
            <w:r>
              <w:rPr>
                <w:rFonts w:eastAsia="Times New Roman" w:cs="Times New Roman"/>
                <w:sz w:val="18"/>
                <w:szCs w:val="18"/>
                <w:lang w:eastAsia="en-US"/>
              </w:rPr>
              <w:t>Atletismo,</w:t>
            </w:r>
            <w:r w:rsidR="000864E4">
              <w:rPr>
                <w:rFonts w:eastAsia="Times New Roman" w:cs="Times New Roman"/>
                <w:sz w:val="18"/>
                <w:szCs w:val="18"/>
                <w:lang w:eastAsia="en-US"/>
              </w:rPr>
              <w:t xml:space="preserve"> </w:t>
            </w:r>
            <w:r w:rsidR="000864E4" w:rsidRPr="000864E4">
              <w:rPr>
                <w:rFonts w:eastAsia="Times New Roman" w:cs="Times New Roman"/>
                <w:sz w:val="18"/>
                <w:szCs w:val="18"/>
                <w:lang w:eastAsia="en-US"/>
              </w:rPr>
              <w:t>Federación Española de Baloncesto</w:t>
            </w:r>
            <w:r w:rsidR="000864E4">
              <w:rPr>
                <w:rFonts w:eastAsia="Times New Roman" w:cs="Times New Roman"/>
                <w:sz w:val="18"/>
                <w:szCs w:val="18"/>
                <w:lang w:eastAsia="en-US"/>
              </w:rPr>
              <w:t xml:space="preserve">, </w:t>
            </w:r>
            <w:r w:rsidR="000864E4" w:rsidRPr="00561A62">
              <w:rPr>
                <w:rFonts w:eastAsia="Times New Roman" w:cs="Times New Roman"/>
                <w:sz w:val="18"/>
                <w:szCs w:val="18"/>
                <w:lang w:eastAsia="en-US"/>
              </w:rPr>
              <w:t xml:space="preserve">Real Federación Española de </w:t>
            </w:r>
            <w:r w:rsidR="000864E4">
              <w:rPr>
                <w:rFonts w:eastAsia="Times New Roman" w:cs="Times New Roman"/>
                <w:sz w:val="18"/>
                <w:szCs w:val="18"/>
                <w:lang w:eastAsia="en-US"/>
              </w:rPr>
              <w:t xml:space="preserve">Hockey, </w:t>
            </w:r>
            <w:r w:rsidR="00D80341" w:rsidRPr="00D80341">
              <w:rPr>
                <w:rFonts w:eastAsia="Times New Roman" w:cs="Calibri"/>
                <w:color w:val="000000"/>
                <w:sz w:val="18"/>
                <w:szCs w:val="18"/>
              </w:rPr>
              <w:t>Real Federación Española de Balonmano</w:t>
            </w:r>
            <w:r w:rsidR="00D80341">
              <w:rPr>
                <w:rFonts w:eastAsia="Times New Roman" w:cs="Calibri"/>
                <w:color w:val="000000"/>
                <w:sz w:val="16"/>
                <w:szCs w:val="16"/>
              </w:rPr>
              <w:t xml:space="preserve"> </w:t>
            </w:r>
          </w:p>
        </w:tc>
      </w:tr>
      <w:tr w:rsidR="00964825" w:rsidRPr="00561A62" w14:paraId="3504B798" w14:textId="77777777" w:rsidTr="0082042E">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4106" w:type="dxa"/>
            <w:noWrap/>
          </w:tcPr>
          <w:p w14:paraId="422BC5FA" w14:textId="56D583E2" w:rsidR="00964825" w:rsidRPr="00964825" w:rsidRDefault="00964825" w:rsidP="00585D44">
            <w:pPr>
              <w:rPr>
                <w:rFonts w:eastAsia="Times New Roman" w:cs="Times New Roman"/>
                <w:b w:val="0"/>
                <w:bCs w:val="0"/>
                <w:sz w:val="18"/>
                <w:szCs w:val="18"/>
                <w:lang w:eastAsia="en-US"/>
              </w:rPr>
            </w:pPr>
            <w:r w:rsidRPr="00964825">
              <w:rPr>
                <w:rFonts w:eastAsia="Times New Roman" w:cs="Times New Roman"/>
                <w:b w:val="0"/>
                <w:bCs w:val="0"/>
                <w:sz w:val="18"/>
                <w:szCs w:val="18"/>
                <w:lang w:eastAsia="en-US"/>
              </w:rPr>
              <w:t>Datos sobre pagos a proveedores</w:t>
            </w:r>
          </w:p>
        </w:tc>
        <w:tc>
          <w:tcPr>
            <w:tcW w:w="4955" w:type="dxa"/>
            <w:noWrap/>
          </w:tcPr>
          <w:p w14:paraId="2456E7BB" w14:textId="6F3B4000" w:rsidR="00964825" w:rsidRPr="00561A62" w:rsidRDefault="00964825" w:rsidP="00585D44">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n-US"/>
              </w:rPr>
            </w:pPr>
            <w:proofErr w:type="spellStart"/>
            <w:r>
              <w:rPr>
                <w:rFonts w:eastAsia="Times New Roman" w:cs="Times New Roman"/>
                <w:sz w:val="18"/>
                <w:szCs w:val="18"/>
                <w:lang w:eastAsia="en-US"/>
              </w:rPr>
              <w:t>Naturgy</w:t>
            </w:r>
            <w:proofErr w:type="spellEnd"/>
            <w:r>
              <w:rPr>
                <w:rFonts w:eastAsia="Times New Roman" w:cs="Times New Roman"/>
                <w:sz w:val="18"/>
                <w:szCs w:val="18"/>
                <w:lang w:eastAsia="en-US"/>
              </w:rPr>
              <w:t xml:space="preserve">, </w:t>
            </w:r>
            <w:r w:rsidRPr="00964825">
              <w:rPr>
                <w:rFonts w:eastAsia="Times New Roman" w:cs="Times New Roman"/>
                <w:sz w:val="18"/>
                <w:szCs w:val="18"/>
                <w:lang w:eastAsia="en-US"/>
              </w:rPr>
              <w:t>FCC Aqualia</w:t>
            </w:r>
            <w:r>
              <w:rPr>
                <w:rFonts w:eastAsia="Times New Roman" w:cs="Times New Roman"/>
                <w:sz w:val="18"/>
                <w:szCs w:val="18"/>
                <w:lang w:eastAsia="en-US"/>
              </w:rPr>
              <w:t xml:space="preserve">, </w:t>
            </w:r>
            <w:r w:rsidR="00AC6216" w:rsidRPr="00B145B8">
              <w:rPr>
                <w:rFonts w:eastAsia="Times New Roman" w:cs="Times New Roman"/>
                <w:sz w:val="18"/>
                <w:szCs w:val="18"/>
                <w:lang w:eastAsia="en-US"/>
              </w:rPr>
              <w:t xml:space="preserve">Fundación Carmen Pardo </w:t>
            </w:r>
            <w:proofErr w:type="spellStart"/>
            <w:r w:rsidR="00AC6216" w:rsidRPr="00B145B8">
              <w:rPr>
                <w:rFonts w:eastAsia="Times New Roman" w:cs="Times New Roman"/>
                <w:sz w:val="18"/>
                <w:szCs w:val="18"/>
                <w:lang w:eastAsia="en-US"/>
              </w:rPr>
              <w:t>Valcarce</w:t>
            </w:r>
            <w:proofErr w:type="spellEnd"/>
          </w:p>
        </w:tc>
      </w:tr>
      <w:tr w:rsidR="00D15F0F" w:rsidRPr="00561A62" w14:paraId="0E3844C0" w14:textId="77777777" w:rsidTr="00585D44">
        <w:trPr>
          <w:trHeight w:val="522"/>
        </w:trPr>
        <w:tc>
          <w:tcPr>
            <w:cnfStyle w:val="001000000000" w:firstRow="0" w:lastRow="0" w:firstColumn="1" w:lastColumn="0" w:oddVBand="0" w:evenVBand="0" w:oddHBand="0" w:evenHBand="0" w:firstRowFirstColumn="0" w:firstRowLastColumn="0" w:lastRowFirstColumn="0" w:lastRowLastColumn="0"/>
            <w:tcW w:w="4106" w:type="dxa"/>
            <w:noWrap/>
          </w:tcPr>
          <w:p w14:paraId="48810B51" w14:textId="6A5072D7" w:rsidR="00D15F0F" w:rsidRPr="00561A62" w:rsidRDefault="00AC6216" w:rsidP="00585D44">
            <w:pPr>
              <w:rPr>
                <w:rFonts w:eastAsia="Times New Roman" w:cs="Times New Roman"/>
                <w:b w:val="0"/>
                <w:bCs w:val="0"/>
                <w:sz w:val="18"/>
                <w:szCs w:val="18"/>
                <w:lang w:eastAsia="en-US"/>
              </w:rPr>
            </w:pPr>
            <w:r>
              <w:rPr>
                <w:rFonts w:eastAsia="Times New Roman" w:cs="Times New Roman"/>
                <w:b w:val="0"/>
                <w:bCs w:val="0"/>
                <w:sz w:val="18"/>
                <w:szCs w:val="18"/>
                <w:lang w:eastAsia="en-US"/>
              </w:rPr>
              <w:t>Código de buen gobierno</w:t>
            </w:r>
          </w:p>
        </w:tc>
        <w:tc>
          <w:tcPr>
            <w:tcW w:w="4955" w:type="dxa"/>
            <w:noWrap/>
          </w:tcPr>
          <w:p w14:paraId="199BEF4E" w14:textId="4C3A87A5" w:rsidR="00D15F0F" w:rsidRPr="00561A62" w:rsidRDefault="00AC6216" w:rsidP="00585D44">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n-US"/>
              </w:rPr>
            </w:pPr>
            <w:r w:rsidRPr="00AD4833">
              <w:rPr>
                <w:rFonts w:eastAsia="Times New Roman" w:cs="Times New Roman"/>
                <w:sz w:val="18"/>
                <w:szCs w:val="18"/>
                <w:lang w:eastAsia="en-US"/>
              </w:rPr>
              <w:t xml:space="preserve">Federación Española de </w:t>
            </w:r>
            <w:r>
              <w:rPr>
                <w:rFonts w:eastAsia="Times New Roman" w:cs="Times New Roman"/>
                <w:sz w:val="18"/>
                <w:szCs w:val="18"/>
                <w:lang w:eastAsia="en-US"/>
              </w:rPr>
              <w:t xml:space="preserve">Baloncesto, </w:t>
            </w:r>
            <w:r w:rsidRPr="00AC6216">
              <w:rPr>
                <w:rFonts w:eastAsia="Times New Roman" w:cs="Times New Roman"/>
                <w:sz w:val="18"/>
                <w:szCs w:val="18"/>
                <w:lang w:eastAsia="en-US"/>
              </w:rPr>
              <w:t>Real Federación Española de Boxeo</w:t>
            </w:r>
            <w:r>
              <w:rPr>
                <w:rFonts w:eastAsia="Times New Roman" w:cs="Times New Roman"/>
                <w:sz w:val="18"/>
                <w:szCs w:val="18"/>
                <w:lang w:eastAsia="en-US"/>
              </w:rPr>
              <w:t>, Real</w:t>
            </w:r>
            <w:r w:rsidRPr="00C67A61">
              <w:rPr>
                <w:rFonts w:eastAsia="Times New Roman" w:cs="Times New Roman"/>
                <w:sz w:val="18"/>
                <w:szCs w:val="18"/>
                <w:lang w:eastAsia="en-US"/>
              </w:rPr>
              <w:t xml:space="preserve"> Federación Española de </w:t>
            </w:r>
            <w:r>
              <w:rPr>
                <w:rFonts w:eastAsia="Times New Roman" w:cs="Times New Roman"/>
                <w:sz w:val="18"/>
                <w:szCs w:val="18"/>
                <w:lang w:eastAsia="en-US"/>
              </w:rPr>
              <w:t>Esgrima</w:t>
            </w:r>
            <w:r w:rsidR="00C51CAE">
              <w:rPr>
                <w:rFonts w:eastAsia="Times New Roman" w:cs="Times New Roman"/>
                <w:sz w:val="18"/>
                <w:szCs w:val="18"/>
                <w:lang w:eastAsia="en-US"/>
              </w:rPr>
              <w:t>, ESIC</w:t>
            </w:r>
          </w:p>
        </w:tc>
      </w:tr>
      <w:tr w:rsidR="00AD4833" w:rsidRPr="00561A62" w14:paraId="79849413" w14:textId="77777777" w:rsidTr="00585D44">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106" w:type="dxa"/>
            <w:noWrap/>
          </w:tcPr>
          <w:p w14:paraId="1A833729" w14:textId="059DE6F3" w:rsidR="00AD4833" w:rsidRPr="00D9687E" w:rsidRDefault="00AD4833" w:rsidP="00585D44">
            <w:pPr>
              <w:rPr>
                <w:rFonts w:eastAsia="Times New Roman" w:cs="Times New Roman"/>
                <w:b w:val="0"/>
                <w:bCs w:val="0"/>
                <w:sz w:val="18"/>
                <w:szCs w:val="18"/>
                <w:lang w:eastAsia="en-US"/>
              </w:rPr>
            </w:pPr>
            <w:r>
              <w:rPr>
                <w:rFonts w:eastAsia="Times New Roman" w:cs="Times New Roman"/>
                <w:b w:val="0"/>
                <w:bCs w:val="0"/>
                <w:sz w:val="18"/>
                <w:szCs w:val="18"/>
                <w:lang w:eastAsia="en-US"/>
              </w:rPr>
              <w:t>Planes de igualdad/ conciliación</w:t>
            </w:r>
          </w:p>
        </w:tc>
        <w:tc>
          <w:tcPr>
            <w:tcW w:w="4955" w:type="dxa"/>
            <w:noWrap/>
          </w:tcPr>
          <w:p w14:paraId="36E7E68E" w14:textId="4B013010" w:rsidR="00AD4833" w:rsidRPr="00D9687E" w:rsidRDefault="00AD4833" w:rsidP="00585D44">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n-US"/>
              </w:rPr>
            </w:pPr>
            <w:r w:rsidRPr="00AD4833">
              <w:rPr>
                <w:rFonts w:eastAsia="Times New Roman" w:cs="Times New Roman"/>
                <w:sz w:val="18"/>
                <w:szCs w:val="18"/>
                <w:lang w:eastAsia="en-US"/>
              </w:rPr>
              <w:t>Real Federación Española de</w:t>
            </w:r>
            <w:r>
              <w:rPr>
                <w:rFonts w:eastAsia="Times New Roman" w:cs="Times New Roman"/>
                <w:sz w:val="18"/>
                <w:szCs w:val="18"/>
                <w:lang w:eastAsia="en-US"/>
              </w:rPr>
              <w:t xml:space="preserve"> Piragüismo, </w:t>
            </w:r>
            <w:r w:rsidRPr="00B145B8">
              <w:rPr>
                <w:rFonts w:eastAsia="Times New Roman" w:cs="Times New Roman"/>
                <w:sz w:val="18"/>
                <w:szCs w:val="18"/>
                <w:lang w:eastAsia="en-US"/>
              </w:rPr>
              <w:t xml:space="preserve">Fundación Carmen Pardo </w:t>
            </w:r>
            <w:proofErr w:type="spellStart"/>
            <w:r w:rsidRPr="00B145B8">
              <w:rPr>
                <w:rFonts w:eastAsia="Times New Roman" w:cs="Times New Roman"/>
                <w:sz w:val="18"/>
                <w:szCs w:val="18"/>
                <w:lang w:eastAsia="en-US"/>
              </w:rPr>
              <w:t>Valcarce</w:t>
            </w:r>
            <w:proofErr w:type="spellEnd"/>
            <w:r>
              <w:rPr>
                <w:rFonts w:eastAsia="Times New Roman" w:cs="Times New Roman"/>
                <w:sz w:val="18"/>
                <w:szCs w:val="18"/>
                <w:lang w:eastAsia="en-US"/>
              </w:rPr>
              <w:t xml:space="preserve">, </w:t>
            </w:r>
            <w:r w:rsidRPr="00AD4833">
              <w:rPr>
                <w:rFonts w:eastAsia="Times New Roman" w:cs="Times New Roman"/>
                <w:sz w:val="18"/>
                <w:szCs w:val="18"/>
                <w:lang w:eastAsia="en-US"/>
              </w:rPr>
              <w:t xml:space="preserve">Real Federación Española de </w:t>
            </w:r>
            <w:r>
              <w:rPr>
                <w:rFonts w:eastAsia="Times New Roman" w:cs="Times New Roman"/>
                <w:sz w:val="18"/>
                <w:szCs w:val="18"/>
                <w:lang w:eastAsia="en-US"/>
              </w:rPr>
              <w:t xml:space="preserve">Atletismo, </w:t>
            </w:r>
            <w:r w:rsidR="000864E4">
              <w:rPr>
                <w:rFonts w:eastAsia="Times New Roman" w:cs="Times New Roman"/>
                <w:sz w:val="18"/>
                <w:szCs w:val="18"/>
                <w:lang w:eastAsia="en-US"/>
              </w:rPr>
              <w:t xml:space="preserve">CTNC, </w:t>
            </w:r>
            <w:r w:rsidR="000864E4" w:rsidRPr="00AD4833">
              <w:rPr>
                <w:rFonts w:eastAsia="Times New Roman" w:cs="Times New Roman"/>
                <w:sz w:val="18"/>
                <w:szCs w:val="18"/>
                <w:lang w:eastAsia="en-US"/>
              </w:rPr>
              <w:t xml:space="preserve">Federación Española de </w:t>
            </w:r>
            <w:r w:rsidR="000864E4">
              <w:rPr>
                <w:rFonts w:eastAsia="Times New Roman" w:cs="Times New Roman"/>
                <w:sz w:val="18"/>
                <w:szCs w:val="18"/>
                <w:lang w:eastAsia="en-US"/>
              </w:rPr>
              <w:t>Baloncesto</w:t>
            </w:r>
            <w:r w:rsidR="00D80341">
              <w:rPr>
                <w:rFonts w:eastAsia="Times New Roman" w:cs="Times New Roman"/>
                <w:sz w:val="18"/>
                <w:szCs w:val="18"/>
                <w:lang w:eastAsia="en-US"/>
              </w:rPr>
              <w:t xml:space="preserve">, Nuevo Hogar Betania, </w:t>
            </w:r>
            <w:r w:rsidR="00AC6216" w:rsidRPr="00AC6216">
              <w:rPr>
                <w:rFonts w:eastAsia="Times New Roman" w:cs="Times New Roman"/>
                <w:sz w:val="18"/>
                <w:szCs w:val="18"/>
                <w:lang w:eastAsia="en-US"/>
              </w:rPr>
              <w:t>Real Federación Española de Boxeo</w:t>
            </w:r>
            <w:r w:rsidR="00AC6216">
              <w:rPr>
                <w:rFonts w:eastAsia="Times New Roman" w:cs="Times New Roman"/>
                <w:sz w:val="18"/>
                <w:szCs w:val="18"/>
                <w:lang w:eastAsia="en-US"/>
              </w:rPr>
              <w:t xml:space="preserve">, </w:t>
            </w:r>
            <w:r w:rsidR="002F054B" w:rsidRPr="002F054B">
              <w:rPr>
                <w:rFonts w:eastAsia="Times New Roman" w:cs="Times New Roman"/>
                <w:sz w:val="18"/>
                <w:szCs w:val="18"/>
                <w:lang w:eastAsia="en-US"/>
              </w:rPr>
              <w:t>Federación Española de Remo</w:t>
            </w:r>
            <w:r w:rsidR="002F054B">
              <w:rPr>
                <w:rFonts w:eastAsia="Times New Roman" w:cs="Times New Roman"/>
                <w:sz w:val="18"/>
                <w:szCs w:val="18"/>
                <w:lang w:eastAsia="en-US"/>
              </w:rPr>
              <w:t xml:space="preserve">, </w:t>
            </w:r>
            <w:r w:rsidR="00C67A61">
              <w:rPr>
                <w:rFonts w:eastAsia="Times New Roman" w:cs="Times New Roman"/>
                <w:sz w:val="18"/>
                <w:szCs w:val="18"/>
                <w:lang w:eastAsia="en-US"/>
              </w:rPr>
              <w:t xml:space="preserve">Real </w:t>
            </w:r>
            <w:r w:rsidR="00C67A61" w:rsidRPr="00C67A61">
              <w:rPr>
                <w:rFonts w:eastAsia="Times New Roman" w:cs="Times New Roman"/>
                <w:sz w:val="18"/>
                <w:szCs w:val="18"/>
                <w:lang w:eastAsia="en-US"/>
              </w:rPr>
              <w:t xml:space="preserve">Federación Española de </w:t>
            </w:r>
            <w:r w:rsidR="00C67A61">
              <w:rPr>
                <w:rFonts w:eastAsia="Times New Roman" w:cs="Times New Roman"/>
                <w:sz w:val="18"/>
                <w:szCs w:val="18"/>
                <w:lang w:eastAsia="en-US"/>
              </w:rPr>
              <w:t>Esgrima</w:t>
            </w:r>
            <w:r w:rsidR="00AC6216">
              <w:rPr>
                <w:rFonts w:eastAsia="Times New Roman" w:cs="Times New Roman"/>
                <w:sz w:val="18"/>
                <w:szCs w:val="18"/>
                <w:lang w:eastAsia="en-US"/>
              </w:rPr>
              <w:t xml:space="preserve">, </w:t>
            </w:r>
            <w:r w:rsidR="00AC6216" w:rsidRPr="00AC6216">
              <w:rPr>
                <w:rFonts w:eastAsia="Times New Roman" w:cs="Times New Roman"/>
                <w:sz w:val="18"/>
                <w:szCs w:val="18"/>
                <w:lang w:eastAsia="en-US"/>
              </w:rPr>
              <w:t xml:space="preserve">Coordinadora Estatal </w:t>
            </w:r>
            <w:r w:rsidR="00AC6216">
              <w:rPr>
                <w:rFonts w:eastAsia="Times New Roman" w:cs="Times New Roman"/>
                <w:sz w:val="18"/>
                <w:szCs w:val="18"/>
                <w:lang w:eastAsia="en-US"/>
              </w:rPr>
              <w:t>d</w:t>
            </w:r>
            <w:r w:rsidR="00AC6216" w:rsidRPr="00AC6216">
              <w:rPr>
                <w:rFonts w:eastAsia="Times New Roman" w:cs="Times New Roman"/>
                <w:sz w:val="18"/>
                <w:szCs w:val="18"/>
                <w:lang w:eastAsia="en-US"/>
              </w:rPr>
              <w:t>e Plataformas Sociales Salesianas</w:t>
            </w:r>
          </w:p>
        </w:tc>
      </w:tr>
      <w:tr w:rsidR="00D9687E" w:rsidRPr="00561A62" w14:paraId="37DE936E" w14:textId="77777777" w:rsidTr="00585D44">
        <w:trPr>
          <w:trHeight w:val="311"/>
        </w:trPr>
        <w:tc>
          <w:tcPr>
            <w:cnfStyle w:val="001000000000" w:firstRow="0" w:lastRow="0" w:firstColumn="1" w:lastColumn="0" w:oddVBand="0" w:evenVBand="0" w:oddHBand="0" w:evenHBand="0" w:firstRowFirstColumn="0" w:firstRowLastColumn="0" w:lastRowFirstColumn="0" w:lastRowLastColumn="0"/>
            <w:tcW w:w="4106" w:type="dxa"/>
            <w:noWrap/>
          </w:tcPr>
          <w:p w14:paraId="2F4FBAE3" w14:textId="7B5B7C44" w:rsidR="00D9687E" w:rsidRPr="00D9687E" w:rsidRDefault="00D9687E" w:rsidP="00585D44">
            <w:pPr>
              <w:rPr>
                <w:rFonts w:eastAsia="Times New Roman" w:cs="Times New Roman"/>
                <w:b w:val="0"/>
                <w:bCs w:val="0"/>
                <w:sz w:val="18"/>
                <w:szCs w:val="18"/>
                <w:lang w:eastAsia="en-US"/>
              </w:rPr>
            </w:pPr>
            <w:r w:rsidRPr="00D9687E">
              <w:rPr>
                <w:rFonts w:eastAsia="Times New Roman" w:cs="Times New Roman"/>
                <w:b w:val="0"/>
                <w:bCs w:val="0"/>
                <w:sz w:val="18"/>
                <w:szCs w:val="18"/>
                <w:lang w:eastAsia="en-US"/>
              </w:rPr>
              <w:t>Política de seguridad de la información</w:t>
            </w:r>
          </w:p>
        </w:tc>
        <w:tc>
          <w:tcPr>
            <w:tcW w:w="4955" w:type="dxa"/>
            <w:noWrap/>
          </w:tcPr>
          <w:p w14:paraId="20C16F7B" w14:textId="79A07C52" w:rsidR="00D9687E" w:rsidRPr="00561A62" w:rsidRDefault="00D9687E" w:rsidP="00585D44">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n-US"/>
              </w:rPr>
            </w:pPr>
            <w:r w:rsidRPr="00D9687E">
              <w:rPr>
                <w:rFonts w:eastAsia="Times New Roman" w:cs="Times New Roman"/>
                <w:sz w:val="18"/>
                <w:szCs w:val="18"/>
                <w:lang w:eastAsia="en-US"/>
              </w:rPr>
              <w:t xml:space="preserve">Fundación para la Investigación y Desarrollo en Transporte y Energía- </w:t>
            </w:r>
            <w:proofErr w:type="spellStart"/>
            <w:r w:rsidRPr="00D9687E">
              <w:rPr>
                <w:rFonts w:eastAsia="Times New Roman" w:cs="Times New Roman"/>
                <w:sz w:val="18"/>
                <w:szCs w:val="18"/>
                <w:lang w:eastAsia="en-US"/>
              </w:rPr>
              <w:t>Cidaut</w:t>
            </w:r>
            <w:proofErr w:type="spellEnd"/>
            <w:r w:rsidR="00074537">
              <w:rPr>
                <w:rFonts w:eastAsia="Times New Roman" w:cs="Times New Roman"/>
                <w:sz w:val="18"/>
                <w:szCs w:val="18"/>
                <w:lang w:eastAsia="en-US"/>
              </w:rPr>
              <w:t xml:space="preserve">, </w:t>
            </w:r>
            <w:r w:rsidR="00074537" w:rsidRPr="00074537">
              <w:rPr>
                <w:rFonts w:eastAsia="Times New Roman" w:cs="Times New Roman"/>
                <w:sz w:val="18"/>
                <w:szCs w:val="18"/>
                <w:lang w:eastAsia="en-US"/>
              </w:rPr>
              <w:t>Eroski</w:t>
            </w:r>
          </w:p>
        </w:tc>
      </w:tr>
      <w:tr w:rsidR="00B145B8" w:rsidRPr="00561A62" w14:paraId="2F41A961" w14:textId="77777777" w:rsidTr="00585D44">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106" w:type="dxa"/>
            <w:noWrap/>
          </w:tcPr>
          <w:p w14:paraId="442C2EAD" w14:textId="21E2DF79" w:rsidR="00B145B8" w:rsidRPr="00B145B8" w:rsidRDefault="00B145B8" w:rsidP="00585D44">
            <w:pPr>
              <w:rPr>
                <w:rFonts w:eastAsia="Times New Roman" w:cs="Times New Roman"/>
                <w:b w:val="0"/>
                <w:bCs w:val="0"/>
                <w:sz w:val="18"/>
                <w:szCs w:val="18"/>
                <w:lang w:eastAsia="en-US"/>
              </w:rPr>
            </w:pPr>
            <w:r w:rsidRPr="00B145B8">
              <w:rPr>
                <w:rFonts w:eastAsia="Times New Roman" w:cs="Times New Roman"/>
                <w:b w:val="0"/>
                <w:bCs w:val="0"/>
                <w:sz w:val="18"/>
                <w:szCs w:val="18"/>
                <w:lang w:eastAsia="en-US"/>
              </w:rPr>
              <w:t>Protocolo frente a acoso</w:t>
            </w:r>
          </w:p>
        </w:tc>
        <w:tc>
          <w:tcPr>
            <w:tcW w:w="4955" w:type="dxa"/>
            <w:noWrap/>
          </w:tcPr>
          <w:p w14:paraId="6E0775DE" w14:textId="530B6101" w:rsidR="00B145B8" w:rsidRPr="00561A62" w:rsidRDefault="00B145B8" w:rsidP="00585D44">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n-US"/>
              </w:rPr>
            </w:pPr>
            <w:r w:rsidRPr="00B145B8">
              <w:rPr>
                <w:rFonts w:eastAsia="Times New Roman" w:cs="Times New Roman"/>
                <w:sz w:val="18"/>
                <w:szCs w:val="18"/>
                <w:lang w:eastAsia="en-US"/>
              </w:rPr>
              <w:t xml:space="preserve">Fundación Carmen Pardo </w:t>
            </w:r>
            <w:proofErr w:type="spellStart"/>
            <w:r w:rsidRPr="00B145B8">
              <w:rPr>
                <w:rFonts w:eastAsia="Times New Roman" w:cs="Times New Roman"/>
                <w:sz w:val="18"/>
                <w:szCs w:val="18"/>
                <w:lang w:eastAsia="en-US"/>
              </w:rPr>
              <w:t>Valcarce</w:t>
            </w:r>
            <w:proofErr w:type="spellEnd"/>
            <w:r w:rsidR="00964825">
              <w:rPr>
                <w:rFonts w:eastAsia="Times New Roman" w:cs="Times New Roman"/>
                <w:sz w:val="18"/>
                <w:szCs w:val="18"/>
                <w:lang w:eastAsia="en-US"/>
              </w:rPr>
              <w:t xml:space="preserve">, </w:t>
            </w:r>
            <w:r w:rsidR="00C51CAE" w:rsidRPr="00C51CAE">
              <w:rPr>
                <w:rFonts w:eastAsia="Times New Roman" w:cs="Times New Roman"/>
                <w:sz w:val="18"/>
                <w:szCs w:val="18"/>
                <w:lang w:eastAsia="en-US"/>
              </w:rPr>
              <w:t>Fundación Solidaridad Amaranta</w:t>
            </w:r>
            <w:r w:rsidR="00C51CAE">
              <w:rPr>
                <w:rFonts w:eastAsia="Times New Roman" w:cs="Times New Roman"/>
                <w:sz w:val="18"/>
                <w:szCs w:val="18"/>
                <w:lang w:eastAsia="en-US"/>
              </w:rPr>
              <w:t xml:space="preserve">, </w:t>
            </w:r>
            <w:r w:rsidR="00964825" w:rsidRPr="00964825">
              <w:rPr>
                <w:rFonts w:eastAsia="Times New Roman" w:cs="Times New Roman"/>
                <w:sz w:val="18"/>
                <w:szCs w:val="18"/>
                <w:lang w:eastAsia="en-US"/>
              </w:rPr>
              <w:t>Cemex España Operaciones</w:t>
            </w:r>
            <w:r w:rsidR="00964825">
              <w:rPr>
                <w:rFonts w:eastAsia="Times New Roman" w:cs="Times New Roman"/>
                <w:sz w:val="18"/>
                <w:szCs w:val="18"/>
                <w:lang w:eastAsia="en-US"/>
              </w:rPr>
              <w:t xml:space="preserve">, </w:t>
            </w:r>
            <w:r w:rsidR="00AD4833" w:rsidRPr="00AD4833">
              <w:rPr>
                <w:rFonts w:eastAsia="Times New Roman" w:cs="Times New Roman"/>
                <w:sz w:val="18"/>
                <w:szCs w:val="18"/>
                <w:lang w:eastAsia="en-US"/>
              </w:rPr>
              <w:t>Real Federación Española de</w:t>
            </w:r>
            <w:r w:rsidR="00AD4833">
              <w:rPr>
                <w:rFonts w:eastAsia="Times New Roman" w:cs="Times New Roman"/>
                <w:sz w:val="18"/>
                <w:szCs w:val="18"/>
                <w:lang w:eastAsia="en-US"/>
              </w:rPr>
              <w:t xml:space="preserve"> Piragüismo, </w:t>
            </w:r>
            <w:r w:rsidR="000864E4" w:rsidRPr="00AD4833">
              <w:rPr>
                <w:rFonts w:eastAsia="Times New Roman" w:cs="Times New Roman"/>
                <w:sz w:val="18"/>
                <w:szCs w:val="18"/>
                <w:lang w:eastAsia="en-US"/>
              </w:rPr>
              <w:t xml:space="preserve">Federación Española de </w:t>
            </w:r>
            <w:r w:rsidR="000864E4">
              <w:rPr>
                <w:rFonts w:eastAsia="Times New Roman" w:cs="Times New Roman"/>
                <w:sz w:val="18"/>
                <w:szCs w:val="18"/>
                <w:lang w:eastAsia="en-US"/>
              </w:rPr>
              <w:t xml:space="preserve">Baloncesto, </w:t>
            </w:r>
            <w:r w:rsidR="000864E4" w:rsidRPr="000864E4">
              <w:rPr>
                <w:rFonts w:eastAsia="Times New Roman" w:cs="Times New Roman"/>
                <w:sz w:val="18"/>
                <w:szCs w:val="18"/>
                <w:lang w:eastAsia="en-US"/>
              </w:rPr>
              <w:t>Real Federación Española de Hockey,</w:t>
            </w:r>
            <w:r w:rsidR="002F054B">
              <w:rPr>
                <w:rFonts w:eastAsia="Times New Roman" w:cs="Times New Roman"/>
                <w:sz w:val="18"/>
                <w:szCs w:val="18"/>
                <w:lang w:eastAsia="en-US"/>
              </w:rPr>
              <w:t xml:space="preserve"> </w:t>
            </w:r>
            <w:r w:rsidR="002F054B" w:rsidRPr="002F054B">
              <w:rPr>
                <w:rFonts w:eastAsia="Times New Roman" w:cs="Times New Roman"/>
                <w:sz w:val="18"/>
                <w:szCs w:val="18"/>
                <w:lang w:eastAsia="en-US"/>
              </w:rPr>
              <w:t>Federación Española de Remo</w:t>
            </w:r>
            <w:r w:rsidR="002F054B">
              <w:rPr>
                <w:rFonts w:eastAsia="Times New Roman" w:cs="Times New Roman"/>
                <w:sz w:val="18"/>
                <w:szCs w:val="18"/>
                <w:lang w:eastAsia="en-US"/>
              </w:rPr>
              <w:t xml:space="preserve">, </w:t>
            </w:r>
            <w:r w:rsidR="00C67A61" w:rsidRPr="00C67A61">
              <w:rPr>
                <w:rFonts w:eastAsia="Times New Roman" w:cs="Times New Roman"/>
                <w:sz w:val="18"/>
                <w:szCs w:val="18"/>
                <w:lang w:eastAsia="en-US"/>
              </w:rPr>
              <w:t>Real Federación Española de Esgrima</w:t>
            </w:r>
          </w:p>
        </w:tc>
      </w:tr>
      <w:tr w:rsidR="00CF2EA3" w:rsidRPr="00561A62" w14:paraId="01FF72DA" w14:textId="77777777" w:rsidTr="00585D44">
        <w:trPr>
          <w:trHeight w:val="407"/>
        </w:trPr>
        <w:tc>
          <w:tcPr>
            <w:cnfStyle w:val="001000000000" w:firstRow="0" w:lastRow="0" w:firstColumn="1" w:lastColumn="0" w:oddVBand="0" w:evenVBand="0" w:oddHBand="0" w:evenHBand="0" w:firstRowFirstColumn="0" w:firstRowLastColumn="0" w:lastRowFirstColumn="0" w:lastRowLastColumn="0"/>
            <w:tcW w:w="4106" w:type="dxa"/>
            <w:noWrap/>
          </w:tcPr>
          <w:p w14:paraId="59114F2D" w14:textId="2E157DB0" w:rsidR="00CF2EA3" w:rsidRPr="00CF2EA3" w:rsidRDefault="00CF2EA3" w:rsidP="00585D44">
            <w:pPr>
              <w:rPr>
                <w:rFonts w:eastAsia="Times New Roman" w:cs="Times New Roman"/>
                <w:b w:val="0"/>
                <w:bCs w:val="0"/>
                <w:sz w:val="18"/>
                <w:szCs w:val="18"/>
                <w:lang w:eastAsia="en-US"/>
              </w:rPr>
            </w:pPr>
            <w:r w:rsidRPr="00CF2EA3">
              <w:rPr>
                <w:rFonts w:eastAsia="Times New Roman" w:cs="Times New Roman"/>
                <w:b w:val="0"/>
                <w:bCs w:val="0"/>
                <w:sz w:val="18"/>
                <w:szCs w:val="18"/>
                <w:lang w:eastAsia="en-US"/>
              </w:rPr>
              <w:t>Ofertas de empleo</w:t>
            </w:r>
          </w:p>
        </w:tc>
        <w:tc>
          <w:tcPr>
            <w:tcW w:w="4955" w:type="dxa"/>
            <w:noWrap/>
          </w:tcPr>
          <w:p w14:paraId="08175408" w14:textId="3C00A769" w:rsidR="00CF2EA3" w:rsidRPr="00CF2EA3" w:rsidRDefault="00CF2EA3" w:rsidP="00585D44">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n-US"/>
              </w:rPr>
            </w:pPr>
            <w:r w:rsidRPr="00CF2EA3">
              <w:rPr>
                <w:rFonts w:eastAsia="Times New Roman" w:cs="Times New Roman"/>
                <w:sz w:val="18"/>
                <w:szCs w:val="18"/>
                <w:lang w:eastAsia="en-US"/>
              </w:rPr>
              <w:t>Fundación Universitaria San Pablo CEU</w:t>
            </w:r>
            <w:r w:rsidR="000F7EF9">
              <w:rPr>
                <w:rFonts w:eastAsia="Times New Roman" w:cs="Times New Roman"/>
                <w:sz w:val="18"/>
                <w:szCs w:val="18"/>
                <w:lang w:eastAsia="en-US"/>
              </w:rPr>
              <w:t xml:space="preserve">, </w:t>
            </w:r>
            <w:r w:rsidR="000F7EF9" w:rsidRPr="000F7EF9">
              <w:rPr>
                <w:rFonts w:eastAsia="Times New Roman" w:cs="Times New Roman"/>
                <w:sz w:val="18"/>
                <w:szCs w:val="18"/>
                <w:lang w:eastAsia="en-US"/>
              </w:rPr>
              <w:t>Fundación Universidad Loyola Andalucía</w:t>
            </w:r>
            <w:r w:rsidR="005414A4">
              <w:rPr>
                <w:rFonts w:eastAsia="Times New Roman" w:cs="Times New Roman"/>
                <w:sz w:val="18"/>
                <w:szCs w:val="18"/>
                <w:lang w:eastAsia="en-US"/>
              </w:rPr>
              <w:t xml:space="preserve">, </w:t>
            </w:r>
            <w:r w:rsidR="005414A4" w:rsidRPr="005414A4">
              <w:rPr>
                <w:rFonts w:eastAsia="Times New Roman" w:cs="Times New Roman"/>
                <w:sz w:val="18"/>
                <w:szCs w:val="18"/>
                <w:lang w:eastAsia="en-US"/>
              </w:rPr>
              <w:t>SEAT, SA</w:t>
            </w:r>
            <w:r w:rsidR="005414A4">
              <w:rPr>
                <w:rFonts w:eastAsia="Times New Roman" w:cs="Times New Roman"/>
                <w:sz w:val="18"/>
                <w:szCs w:val="18"/>
                <w:lang w:eastAsia="en-US"/>
              </w:rPr>
              <w:t xml:space="preserve">, </w:t>
            </w:r>
            <w:r w:rsidR="005414A4" w:rsidRPr="005414A4">
              <w:rPr>
                <w:rFonts w:eastAsia="Times New Roman" w:cs="Times New Roman"/>
                <w:sz w:val="18"/>
                <w:szCs w:val="18"/>
                <w:lang w:eastAsia="en-US"/>
              </w:rPr>
              <w:t>Iberdrola Generación, S.A.U.</w:t>
            </w:r>
            <w:r w:rsidR="005414A4">
              <w:rPr>
                <w:rFonts w:eastAsia="Times New Roman" w:cs="Times New Roman"/>
                <w:sz w:val="18"/>
                <w:szCs w:val="18"/>
                <w:lang w:eastAsia="en-US"/>
              </w:rPr>
              <w:t xml:space="preserve">, </w:t>
            </w:r>
            <w:r w:rsidR="00074537" w:rsidRPr="00074537">
              <w:rPr>
                <w:rFonts w:eastAsia="Times New Roman" w:cs="Times New Roman"/>
                <w:sz w:val="18"/>
                <w:szCs w:val="18"/>
                <w:lang w:eastAsia="en-US"/>
              </w:rPr>
              <w:t>Eroski</w:t>
            </w:r>
            <w:r w:rsidR="00074537">
              <w:rPr>
                <w:rFonts w:eastAsia="Times New Roman" w:cs="Times New Roman"/>
                <w:sz w:val="18"/>
                <w:szCs w:val="18"/>
                <w:lang w:eastAsia="en-US"/>
              </w:rPr>
              <w:t xml:space="preserve">, </w:t>
            </w:r>
            <w:r w:rsidR="00074537" w:rsidRPr="00074537">
              <w:rPr>
                <w:rFonts w:eastAsia="Times New Roman" w:cs="Times New Roman"/>
                <w:sz w:val="18"/>
                <w:szCs w:val="18"/>
                <w:lang w:eastAsia="en-US"/>
              </w:rPr>
              <w:t>Cosentino</w:t>
            </w:r>
            <w:r w:rsidR="00074537">
              <w:rPr>
                <w:rFonts w:eastAsia="Times New Roman" w:cs="Times New Roman"/>
                <w:sz w:val="18"/>
                <w:szCs w:val="18"/>
                <w:lang w:eastAsia="en-US"/>
              </w:rPr>
              <w:t xml:space="preserve">, </w:t>
            </w:r>
            <w:proofErr w:type="spellStart"/>
            <w:r w:rsidR="003A15BB" w:rsidRPr="003A15BB">
              <w:rPr>
                <w:rFonts w:eastAsia="Times New Roman" w:cs="Times New Roman"/>
                <w:sz w:val="18"/>
                <w:szCs w:val="18"/>
                <w:lang w:eastAsia="en-US"/>
              </w:rPr>
              <w:t>Colorobbia</w:t>
            </w:r>
            <w:proofErr w:type="spellEnd"/>
            <w:r w:rsidR="003A15BB" w:rsidRPr="003A15BB">
              <w:rPr>
                <w:rFonts w:eastAsia="Times New Roman" w:cs="Times New Roman"/>
                <w:sz w:val="18"/>
                <w:szCs w:val="18"/>
                <w:lang w:eastAsia="en-US"/>
              </w:rPr>
              <w:t xml:space="preserve"> España</w:t>
            </w:r>
            <w:r w:rsidR="003A15BB">
              <w:rPr>
                <w:rFonts w:eastAsia="Times New Roman" w:cs="Times New Roman"/>
                <w:sz w:val="18"/>
                <w:szCs w:val="18"/>
                <w:lang w:eastAsia="en-US"/>
              </w:rPr>
              <w:t xml:space="preserve">, </w:t>
            </w:r>
            <w:proofErr w:type="spellStart"/>
            <w:r w:rsidR="00964825" w:rsidRPr="00964825">
              <w:rPr>
                <w:rFonts w:eastAsia="Times New Roman" w:cs="Times New Roman"/>
                <w:sz w:val="18"/>
                <w:szCs w:val="18"/>
                <w:lang w:eastAsia="en-US"/>
              </w:rPr>
              <w:t>Naturgy</w:t>
            </w:r>
            <w:proofErr w:type="spellEnd"/>
            <w:r w:rsidR="00964825">
              <w:rPr>
                <w:rFonts w:eastAsia="Times New Roman" w:cs="Times New Roman"/>
                <w:sz w:val="18"/>
                <w:szCs w:val="18"/>
                <w:lang w:eastAsia="en-US"/>
              </w:rPr>
              <w:t xml:space="preserve">, </w:t>
            </w:r>
            <w:r w:rsidR="00964825" w:rsidRPr="00964825">
              <w:rPr>
                <w:rFonts w:eastAsia="Times New Roman" w:cs="Times New Roman"/>
                <w:sz w:val="18"/>
                <w:szCs w:val="18"/>
                <w:lang w:eastAsia="en-US"/>
              </w:rPr>
              <w:t>Cemex España Operaciones</w:t>
            </w:r>
            <w:r w:rsidR="00477F12">
              <w:rPr>
                <w:rFonts w:eastAsia="Times New Roman" w:cs="Times New Roman"/>
                <w:sz w:val="18"/>
                <w:szCs w:val="18"/>
                <w:lang w:eastAsia="en-US"/>
              </w:rPr>
              <w:t xml:space="preserve">, </w:t>
            </w:r>
            <w:r w:rsidR="00477F12" w:rsidRPr="00477F12">
              <w:rPr>
                <w:rFonts w:eastAsia="Times New Roman" w:cs="Times New Roman"/>
                <w:sz w:val="18"/>
                <w:szCs w:val="18"/>
                <w:lang w:eastAsia="en-US"/>
              </w:rPr>
              <w:t xml:space="preserve">Fundación San </w:t>
            </w:r>
            <w:r w:rsidR="00477F12" w:rsidRPr="00477F12">
              <w:rPr>
                <w:rFonts w:eastAsia="Times New Roman" w:cs="Times New Roman"/>
                <w:sz w:val="18"/>
                <w:szCs w:val="18"/>
                <w:lang w:eastAsia="en-US"/>
              </w:rPr>
              <w:lastRenderedPageBreak/>
              <w:t>Valero</w:t>
            </w:r>
            <w:r w:rsidR="00AD4833">
              <w:rPr>
                <w:rFonts w:eastAsia="Times New Roman" w:cs="Times New Roman"/>
                <w:sz w:val="18"/>
                <w:szCs w:val="18"/>
                <w:lang w:eastAsia="en-US"/>
              </w:rPr>
              <w:t xml:space="preserve">, </w:t>
            </w:r>
            <w:proofErr w:type="spellStart"/>
            <w:r w:rsidR="00AD4833" w:rsidRPr="00AD4833">
              <w:rPr>
                <w:rFonts w:eastAsia="Times New Roman" w:cs="Times New Roman"/>
                <w:sz w:val="18"/>
                <w:szCs w:val="18"/>
                <w:lang w:eastAsia="en-US"/>
              </w:rPr>
              <w:t>Euroarce</w:t>
            </w:r>
            <w:proofErr w:type="spellEnd"/>
            <w:r w:rsidR="00AD4833" w:rsidRPr="00AD4833">
              <w:rPr>
                <w:rFonts w:eastAsia="Times New Roman" w:cs="Times New Roman"/>
                <w:sz w:val="18"/>
                <w:szCs w:val="18"/>
                <w:lang w:eastAsia="en-US"/>
              </w:rPr>
              <w:t xml:space="preserve"> Minería,</w:t>
            </w:r>
            <w:r w:rsidR="00AD4833">
              <w:rPr>
                <w:rFonts w:eastAsia="Times New Roman" w:cs="Times New Roman"/>
                <w:sz w:val="18"/>
                <w:szCs w:val="18"/>
                <w:lang w:eastAsia="en-US"/>
              </w:rPr>
              <w:t xml:space="preserve"> </w:t>
            </w:r>
            <w:r w:rsidR="000864E4">
              <w:rPr>
                <w:rFonts w:eastAsia="Times New Roman" w:cs="Times New Roman"/>
                <w:sz w:val="18"/>
                <w:szCs w:val="18"/>
                <w:lang w:eastAsia="en-US"/>
              </w:rPr>
              <w:t>CTNC</w:t>
            </w:r>
            <w:r w:rsidR="00375D31">
              <w:rPr>
                <w:rFonts w:eastAsia="Times New Roman" w:cs="Times New Roman"/>
                <w:sz w:val="18"/>
                <w:szCs w:val="18"/>
                <w:lang w:eastAsia="en-US"/>
              </w:rPr>
              <w:t xml:space="preserve">, In Género, </w:t>
            </w:r>
            <w:r w:rsidR="002F054B" w:rsidRPr="002F054B">
              <w:rPr>
                <w:rFonts w:eastAsia="Times New Roman" w:cs="Times New Roman"/>
                <w:sz w:val="18"/>
                <w:szCs w:val="18"/>
                <w:lang w:eastAsia="en-US"/>
              </w:rPr>
              <w:t>Federación Española de Remo</w:t>
            </w:r>
          </w:p>
        </w:tc>
      </w:tr>
      <w:tr w:rsidR="00CF2EA3" w:rsidRPr="00561A62" w14:paraId="26BC5D6F" w14:textId="77777777" w:rsidTr="00585D44">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106" w:type="dxa"/>
            <w:noWrap/>
          </w:tcPr>
          <w:p w14:paraId="3FE5D4A9" w14:textId="73AEE9C5" w:rsidR="00CF2EA3" w:rsidRPr="00AD4833" w:rsidRDefault="00AD4833" w:rsidP="00585D44">
            <w:pPr>
              <w:rPr>
                <w:rFonts w:eastAsia="Times New Roman" w:cs="Times New Roman"/>
                <w:b w:val="0"/>
                <w:bCs w:val="0"/>
                <w:sz w:val="18"/>
                <w:szCs w:val="18"/>
                <w:lang w:eastAsia="en-US"/>
              </w:rPr>
            </w:pPr>
            <w:r w:rsidRPr="00AD4833">
              <w:rPr>
                <w:rFonts w:eastAsia="Times New Roman" w:cs="Times New Roman"/>
                <w:b w:val="0"/>
                <w:bCs w:val="0"/>
                <w:sz w:val="18"/>
                <w:szCs w:val="18"/>
                <w:lang w:eastAsia="en-US"/>
              </w:rPr>
              <w:lastRenderedPageBreak/>
              <w:t>Informe de buen gobierno</w:t>
            </w:r>
            <w:r>
              <w:rPr>
                <w:rFonts w:eastAsia="Times New Roman" w:cs="Times New Roman"/>
                <w:b w:val="0"/>
                <w:bCs w:val="0"/>
                <w:sz w:val="18"/>
                <w:szCs w:val="18"/>
                <w:lang w:eastAsia="en-US"/>
              </w:rPr>
              <w:t>/ Balance Social</w:t>
            </w:r>
          </w:p>
        </w:tc>
        <w:tc>
          <w:tcPr>
            <w:tcW w:w="4955" w:type="dxa"/>
            <w:noWrap/>
          </w:tcPr>
          <w:p w14:paraId="6F1C2B77" w14:textId="51CEBF7B" w:rsidR="00CF2EA3" w:rsidRPr="00561A62" w:rsidRDefault="00AD4833" w:rsidP="00585D44">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n-US"/>
              </w:rPr>
            </w:pPr>
            <w:r w:rsidRPr="00AD4833">
              <w:rPr>
                <w:rFonts w:eastAsia="Times New Roman" w:cs="Times New Roman"/>
                <w:sz w:val="18"/>
                <w:szCs w:val="18"/>
                <w:lang w:eastAsia="en-US"/>
              </w:rPr>
              <w:t>Real Federación Española de Piragüismo,</w:t>
            </w:r>
            <w:r>
              <w:rPr>
                <w:rFonts w:eastAsia="Times New Roman" w:cs="Times New Roman"/>
                <w:sz w:val="18"/>
                <w:szCs w:val="18"/>
                <w:lang w:eastAsia="en-US"/>
              </w:rPr>
              <w:t xml:space="preserve"> </w:t>
            </w:r>
            <w:r w:rsidRPr="00AD4833">
              <w:rPr>
                <w:rFonts w:eastAsia="Times New Roman" w:cs="Times New Roman"/>
                <w:sz w:val="18"/>
                <w:szCs w:val="18"/>
                <w:lang w:eastAsia="en-US"/>
              </w:rPr>
              <w:t xml:space="preserve">Real Federación Española de </w:t>
            </w:r>
            <w:r>
              <w:rPr>
                <w:rFonts w:eastAsia="Times New Roman" w:cs="Times New Roman"/>
                <w:sz w:val="18"/>
                <w:szCs w:val="18"/>
                <w:lang w:eastAsia="en-US"/>
              </w:rPr>
              <w:t xml:space="preserve">Atletismo, </w:t>
            </w:r>
            <w:r w:rsidRPr="00AD4833">
              <w:rPr>
                <w:rFonts w:eastAsia="Times New Roman" w:cs="Times New Roman"/>
                <w:sz w:val="18"/>
                <w:szCs w:val="18"/>
                <w:lang w:eastAsia="en-US"/>
              </w:rPr>
              <w:t>Fundación Prode</w:t>
            </w:r>
            <w:r>
              <w:rPr>
                <w:rFonts w:eastAsia="Times New Roman" w:cs="Times New Roman"/>
                <w:sz w:val="18"/>
                <w:szCs w:val="18"/>
                <w:lang w:eastAsia="en-US"/>
              </w:rPr>
              <w:t xml:space="preserve">, </w:t>
            </w:r>
            <w:r w:rsidR="000864E4" w:rsidRPr="00AD4833">
              <w:rPr>
                <w:rFonts w:eastAsia="Times New Roman" w:cs="Times New Roman"/>
                <w:sz w:val="18"/>
                <w:szCs w:val="18"/>
                <w:lang w:eastAsia="en-US"/>
              </w:rPr>
              <w:t xml:space="preserve">Federación Española de </w:t>
            </w:r>
            <w:r w:rsidR="000864E4">
              <w:rPr>
                <w:rFonts w:eastAsia="Times New Roman" w:cs="Times New Roman"/>
                <w:sz w:val="18"/>
                <w:szCs w:val="18"/>
                <w:lang w:eastAsia="en-US"/>
              </w:rPr>
              <w:t>Baloncesto</w:t>
            </w:r>
          </w:p>
        </w:tc>
      </w:tr>
      <w:tr w:rsidR="00D15F0F" w:rsidRPr="00561A62" w14:paraId="461D6056" w14:textId="77777777" w:rsidTr="00585D44">
        <w:trPr>
          <w:trHeight w:val="480"/>
        </w:trPr>
        <w:tc>
          <w:tcPr>
            <w:cnfStyle w:val="001000000000" w:firstRow="0" w:lastRow="0" w:firstColumn="1" w:lastColumn="0" w:oddVBand="0" w:evenVBand="0" w:oddHBand="0" w:evenHBand="0" w:firstRowFirstColumn="0" w:firstRowLastColumn="0" w:lastRowFirstColumn="0" w:lastRowLastColumn="0"/>
            <w:tcW w:w="4106" w:type="dxa"/>
            <w:noWrap/>
            <w:hideMark/>
          </w:tcPr>
          <w:p w14:paraId="713B9D27" w14:textId="77777777" w:rsidR="00D15F0F" w:rsidRPr="00561A62" w:rsidRDefault="00D15F0F" w:rsidP="00585D44">
            <w:pPr>
              <w:rPr>
                <w:rFonts w:eastAsia="Times New Roman" w:cs="Times New Roman"/>
                <w:b w:val="0"/>
                <w:bCs w:val="0"/>
                <w:sz w:val="18"/>
                <w:szCs w:val="18"/>
                <w:lang w:eastAsia="en-US"/>
              </w:rPr>
            </w:pPr>
            <w:r w:rsidRPr="00561A62">
              <w:rPr>
                <w:rFonts w:eastAsia="Times New Roman" w:cs="Times New Roman"/>
                <w:b w:val="0"/>
                <w:bCs w:val="0"/>
                <w:sz w:val="18"/>
                <w:szCs w:val="18"/>
                <w:lang w:eastAsia="en-US"/>
              </w:rPr>
              <w:t>Convenio Colectivo</w:t>
            </w:r>
          </w:p>
        </w:tc>
        <w:tc>
          <w:tcPr>
            <w:tcW w:w="4955" w:type="dxa"/>
            <w:noWrap/>
            <w:hideMark/>
          </w:tcPr>
          <w:p w14:paraId="1708C294" w14:textId="60E5F338" w:rsidR="00D15F0F" w:rsidRPr="00561A62" w:rsidRDefault="001B7097" w:rsidP="00585D44">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n-US"/>
              </w:rPr>
            </w:pPr>
            <w:r>
              <w:rPr>
                <w:rFonts w:eastAsia="Times New Roman" w:cs="Times New Roman"/>
                <w:sz w:val="18"/>
                <w:szCs w:val="18"/>
                <w:lang w:eastAsia="en-US"/>
              </w:rPr>
              <w:t>Fundación Secretariado Gitano</w:t>
            </w:r>
            <w:r w:rsidR="007E1BD6">
              <w:rPr>
                <w:rFonts w:eastAsia="Times New Roman" w:cs="Times New Roman"/>
                <w:sz w:val="18"/>
                <w:szCs w:val="18"/>
                <w:lang w:eastAsia="en-US"/>
              </w:rPr>
              <w:t xml:space="preserve">, </w:t>
            </w:r>
            <w:r w:rsidR="007E1BD6" w:rsidRPr="00477F12">
              <w:rPr>
                <w:rFonts w:eastAsia="Times New Roman" w:cs="Times New Roman"/>
                <w:sz w:val="18"/>
                <w:szCs w:val="18"/>
                <w:lang w:eastAsia="en-US"/>
              </w:rPr>
              <w:t>Fundación San Valero</w:t>
            </w:r>
          </w:p>
        </w:tc>
      </w:tr>
    </w:tbl>
    <w:p w14:paraId="7005A266" w14:textId="77777777" w:rsidR="00D15F0F" w:rsidRPr="00561A62" w:rsidRDefault="00D15F0F" w:rsidP="00D15F0F"/>
    <w:p w14:paraId="37302436" w14:textId="793051E4" w:rsidR="00C65B81" w:rsidRPr="00D8384C" w:rsidRDefault="00D15F0F" w:rsidP="00C65B81">
      <w:pPr>
        <w:pStyle w:val="Ttulo1"/>
        <w:rPr>
          <w:lang w:eastAsia="en-US"/>
        </w:rPr>
      </w:pPr>
      <w:r w:rsidRPr="00561A62">
        <w:br w:type="page"/>
      </w:r>
      <w:bookmarkStart w:id="61" w:name="_Toc219463066"/>
      <w:r w:rsidR="00C65B81" w:rsidRPr="00D8384C">
        <w:rPr>
          <w:lang w:eastAsia="en-US"/>
        </w:rPr>
        <w:lastRenderedPageBreak/>
        <w:t>Anexo IV: Buenas prácticas en las entidades evaluadas por primera vez en 202</w:t>
      </w:r>
      <w:r w:rsidR="00C65B81">
        <w:rPr>
          <w:lang w:eastAsia="en-US"/>
        </w:rPr>
        <w:t>5</w:t>
      </w:r>
      <w:bookmarkEnd w:id="61"/>
    </w:p>
    <w:tbl>
      <w:tblPr>
        <w:tblStyle w:val="Tabladelista3-nfasis2"/>
        <w:tblW w:w="9209" w:type="dxa"/>
        <w:tblLook w:val="04A0" w:firstRow="1" w:lastRow="0" w:firstColumn="1" w:lastColumn="0" w:noHBand="0" w:noVBand="1"/>
      </w:tblPr>
      <w:tblGrid>
        <w:gridCol w:w="4390"/>
        <w:gridCol w:w="4819"/>
      </w:tblGrid>
      <w:tr w:rsidR="00C65B81" w:rsidRPr="005031A5" w14:paraId="494ABDBC" w14:textId="77777777" w:rsidTr="00BC7D8F">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4390" w:type="dxa"/>
            <w:noWrap/>
            <w:hideMark/>
          </w:tcPr>
          <w:p w14:paraId="4CEA00A9" w14:textId="77777777" w:rsidR="00C65B81" w:rsidRPr="005031A5" w:rsidRDefault="00C65B81" w:rsidP="00BC7D8F">
            <w:pPr>
              <w:jc w:val="center"/>
              <w:rPr>
                <w:rFonts w:eastAsia="Times New Roman" w:cs="Calibri"/>
                <w:color w:val="FFFFFF"/>
                <w:sz w:val="18"/>
                <w:szCs w:val="18"/>
              </w:rPr>
            </w:pPr>
            <w:r w:rsidRPr="005031A5">
              <w:rPr>
                <w:rFonts w:eastAsia="Times New Roman" w:cs="Calibri"/>
                <w:color w:val="FFFFFF"/>
                <w:sz w:val="18"/>
                <w:szCs w:val="18"/>
              </w:rPr>
              <w:t>Buena Práctica</w:t>
            </w:r>
          </w:p>
        </w:tc>
        <w:tc>
          <w:tcPr>
            <w:tcW w:w="4819" w:type="dxa"/>
            <w:noWrap/>
            <w:hideMark/>
          </w:tcPr>
          <w:p w14:paraId="48283374" w14:textId="77777777" w:rsidR="00C65B81" w:rsidRPr="005031A5" w:rsidRDefault="00C65B81" w:rsidP="00BC7D8F">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8"/>
                <w:szCs w:val="18"/>
              </w:rPr>
            </w:pPr>
            <w:r w:rsidRPr="005031A5">
              <w:rPr>
                <w:rFonts w:eastAsia="Times New Roman" w:cs="Calibri"/>
                <w:color w:val="FFFFFF"/>
                <w:sz w:val="18"/>
                <w:szCs w:val="18"/>
              </w:rPr>
              <w:t>Entidades</w:t>
            </w:r>
          </w:p>
        </w:tc>
      </w:tr>
      <w:tr w:rsidR="00C65B81" w:rsidRPr="005031A5" w14:paraId="3B4677F2" w14:textId="77777777" w:rsidTr="00BC7D8F">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390" w:type="dxa"/>
            <w:noWrap/>
            <w:hideMark/>
          </w:tcPr>
          <w:p w14:paraId="1FB596CA" w14:textId="77777777" w:rsidR="00C65B81" w:rsidRPr="005031A5" w:rsidRDefault="00C65B81" w:rsidP="00BC7D8F">
            <w:pPr>
              <w:rPr>
                <w:rFonts w:eastAsia="Times New Roman" w:cs="Calibri"/>
                <w:b w:val="0"/>
                <w:bCs w:val="0"/>
                <w:color w:val="000000"/>
                <w:sz w:val="18"/>
                <w:szCs w:val="18"/>
              </w:rPr>
            </w:pPr>
            <w:r w:rsidRPr="005031A5">
              <w:rPr>
                <w:rFonts w:eastAsia="Times New Roman" w:cs="Calibri"/>
                <w:b w:val="0"/>
                <w:bCs w:val="0"/>
                <w:color w:val="000000"/>
                <w:sz w:val="18"/>
                <w:szCs w:val="18"/>
              </w:rPr>
              <w:t>Inclusión de referencias a las fechas en que se actualizan los contenidos del Portal</w:t>
            </w:r>
          </w:p>
        </w:tc>
        <w:tc>
          <w:tcPr>
            <w:tcW w:w="4819" w:type="dxa"/>
            <w:noWrap/>
            <w:hideMark/>
          </w:tcPr>
          <w:p w14:paraId="14667FEE" w14:textId="64E1DFE5" w:rsidR="00C65B81" w:rsidRPr="005031A5" w:rsidRDefault="005414A4" w:rsidP="00BC7D8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5031A5">
              <w:rPr>
                <w:rFonts w:eastAsia="Times New Roman" w:cs="Calibri"/>
                <w:color w:val="000000"/>
                <w:sz w:val="18"/>
                <w:szCs w:val="18"/>
              </w:rPr>
              <w:t xml:space="preserve">Ford España, </w:t>
            </w:r>
            <w:r w:rsidR="005031A5" w:rsidRPr="005031A5">
              <w:rPr>
                <w:rFonts w:eastAsia="Times New Roman" w:cs="Calibri"/>
                <w:color w:val="000000"/>
                <w:sz w:val="18"/>
                <w:szCs w:val="18"/>
              </w:rPr>
              <w:t>Consejo de la Juventud de España</w:t>
            </w:r>
          </w:p>
        </w:tc>
      </w:tr>
      <w:tr w:rsidR="00C65B81" w:rsidRPr="005031A5" w14:paraId="0D53A7F6" w14:textId="77777777" w:rsidTr="00BC7D8F">
        <w:trPr>
          <w:trHeight w:val="546"/>
        </w:trPr>
        <w:tc>
          <w:tcPr>
            <w:cnfStyle w:val="001000000000" w:firstRow="0" w:lastRow="0" w:firstColumn="1" w:lastColumn="0" w:oddVBand="0" w:evenVBand="0" w:oddHBand="0" w:evenHBand="0" w:firstRowFirstColumn="0" w:firstRowLastColumn="0" w:lastRowFirstColumn="0" w:lastRowLastColumn="0"/>
            <w:tcW w:w="4390" w:type="dxa"/>
            <w:noWrap/>
            <w:hideMark/>
          </w:tcPr>
          <w:p w14:paraId="19745862" w14:textId="77777777" w:rsidR="00C65B81" w:rsidRPr="005031A5" w:rsidRDefault="00C65B81" w:rsidP="00BC7D8F">
            <w:pPr>
              <w:rPr>
                <w:rFonts w:eastAsia="Times New Roman" w:cs="Calibri"/>
                <w:b w:val="0"/>
                <w:bCs w:val="0"/>
                <w:color w:val="000000"/>
                <w:sz w:val="18"/>
                <w:szCs w:val="18"/>
              </w:rPr>
            </w:pPr>
            <w:r w:rsidRPr="005031A5">
              <w:rPr>
                <w:rFonts w:eastAsia="Times New Roman" w:cs="Calibri"/>
                <w:b w:val="0"/>
                <w:bCs w:val="0"/>
                <w:color w:val="000000"/>
                <w:sz w:val="18"/>
                <w:szCs w:val="18"/>
              </w:rPr>
              <w:t>Habilitación de un espacio para la presentación de solicitudes de acceso a información o consultas</w:t>
            </w:r>
          </w:p>
        </w:tc>
        <w:tc>
          <w:tcPr>
            <w:tcW w:w="4819" w:type="dxa"/>
            <w:noWrap/>
            <w:hideMark/>
          </w:tcPr>
          <w:p w14:paraId="1F6F566F" w14:textId="51012DB8" w:rsidR="00C65B81" w:rsidRPr="005031A5" w:rsidRDefault="005031A5" w:rsidP="00BC7D8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5031A5">
              <w:rPr>
                <w:rFonts w:eastAsia="Times New Roman" w:cs="Times New Roman"/>
                <w:sz w:val="18"/>
                <w:szCs w:val="18"/>
                <w:lang w:eastAsia="en-US"/>
              </w:rPr>
              <w:t>Consejo de la Juventud de España</w:t>
            </w:r>
            <w:r w:rsidR="000864E4">
              <w:rPr>
                <w:rFonts w:eastAsia="Times New Roman" w:cs="Times New Roman"/>
                <w:sz w:val="18"/>
                <w:szCs w:val="18"/>
                <w:lang w:eastAsia="en-US"/>
              </w:rPr>
              <w:t xml:space="preserve">, </w:t>
            </w:r>
            <w:r w:rsidR="000864E4" w:rsidRPr="000864E4">
              <w:rPr>
                <w:rFonts w:eastAsia="Times New Roman" w:cs="Times New Roman"/>
                <w:sz w:val="18"/>
                <w:szCs w:val="18"/>
                <w:lang w:eastAsia="en-US"/>
              </w:rPr>
              <w:t>Asoc</w:t>
            </w:r>
            <w:r w:rsidR="000864E4">
              <w:rPr>
                <w:rFonts w:eastAsia="Times New Roman" w:cs="Times New Roman"/>
                <w:sz w:val="18"/>
                <w:szCs w:val="18"/>
                <w:lang w:eastAsia="en-US"/>
              </w:rPr>
              <w:t>iación</w:t>
            </w:r>
            <w:r w:rsidR="000864E4" w:rsidRPr="000864E4">
              <w:rPr>
                <w:rFonts w:eastAsia="Times New Roman" w:cs="Times New Roman"/>
                <w:sz w:val="18"/>
                <w:szCs w:val="18"/>
                <w:lang w:eastAsia="en-US"/>
              </w:rPr>
              <w:t xml:space="preserve"> Mujeres </w:t>
            </w:r>
            <w:r w:rsidR="000864E4">
              <w:rPr>
                <w:rFonts w:eastAsia="Times New Roman" w:cs="Times New Roman"/>
                <w:sz w:val="18"/>
                <w:szCs w:val="18"/>
                <w:lang w:eastAsia="en-US"/>
              </w:rPr>
              <w:t>e</w:t>
            </w:r>
            <w:r w:rsidR="000864E4" w:rsidRPr="000864E4">
              <w:rPr>
                <w:rFonts w:eastAsia="Times New Roman" w:cs="Times New Roman"/>
                <w:sz w:val="18"/>
                <w:szCs w:val="18"/>
                <w:lang w:eastAsia="en-US"/>
              </w:rPr>
              <w:t xml:space="preserve">n Zona </w:t>
            </w:r>
            <w:r w:rsidR="000864E4">
              <w:rPr>
                <w:rFonts w:eastAsia="Times New Roman" w:cs="Times New Roman"/>
                <w:sz w:val="18"/>
                <w:szCs w:val="18"/>
                <w:lang w:eastAsia="en-US"/>
              </w:rPr>
              <w:t>d</w:t>
            </w:r>
            <w:r w:rsidR="000864E4" w:rsidRPr="000864E4">
              <w:rPr>
                <w:rFonts w:eastAsia="Times New Roman" w:cs="Times New Roman"/>
                <w:sz w:val="18"/>
                <w:szCs w:val="18"/>
                <w:lang w:eastAsia="en-US"/>
              </w:rPr>
              <w:t>e Conflicto</w:t>
            </w:r>
          </w:p>
        </w:tc>
      </w:tr>
      <w:tr w:rsidR="00C65B81" w:rsidRPr="005031A5" w14:paraId="71D26467" w14:textId="77777777" w:rsidTr="00BC7D8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390" w:type="dxa"/>
            <w:noWrap/>
          </w:tcPr>
          <w:p w14:paraId="608A1C2A" w14:textId="5E16574D" w:rsidR="00C65B81" w:rsidRPr="005031A5" w:rsidRDefault="00C65B81" w:rsidP="00BC7D8F">
            <w:pPr>
              <w:rPr>
                <w:rFonts w:eastAsia="Times New Roman" w:cs="Calibri"/>
                <w:color w:val="000000"/>
                <w:sz w:val="18"/>
                <w:szCs w:val="18"/>
              </w:rPr>
            </w:pPr>
            <w:r w:rsidRPr="005031A5">
              <w:rPr>
                <w:rFonts w:eastAsia="Times New Roman" w:cs="Calibri"/>
                <w:b w:val="0"/>
                <w:bCs w:val="0"/>
                <w:color w:val="000000"/>
                <w:sz w:val="18"/>
                <w:szCs w:val="18"/>
              </w:rPr>
              <w:t>Identificación de los responsables de las unidades que integran la estructura organizativa</w:t>
            </w:r>
          </w:p>
        </w:tc>
        <w:tc>
          <w:tcPr>
            <w:tcW w:w="4819" w:type="dxa"/>
            <w:noWrap/>
          </w:tcPr>
          <w:p w14:paraId="2D675FC9" w14:textId="58702252" w:rsidR="00C65B81" w:rsidRPr="005031A5" w:rsidRDefault="00C65B81" w:rsidP="00BC7D8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5031A5">
              <w:rPr>
                <w:rFonts w:eastAsia="Times New Roman" w:cs="Calibri"/>
                <w:color w:val="000000"/>
                <w:sz w:val="18"/>
                <w:szCs w:val="18"/>
              </w:rPr>
              <w:t>Fundación Secretariado Gitano</w:t>
            </w:r>
            <w:r w:rsidR="004B31A9" w:rsidRPr="005031A5">
              <w:rPr>
                <w:rFonts w:eastAsia="Times New Roman" w:cs="Calibri"/>
                <w:color w:val="000000"/>
                <w:sz w:val="18"/>
                <w:szCs w:val="18"/>
              </w:rPr>
              <w:t>, Fundación Amigó</w:t>
            </w:r>
          </w:p>
        </w:tc>
      </w:tr>
      <w:tr w:rsidR="00CF2EA3" w:rsidRPr="005031A5" w14:paraId="63567167" w14:textId="77777777" w:rsidTr="00BC7D8F">
        <w:trPr>
          <w:trHeight w:val="284"/>
        </w:trPr>
        <w:tc>
          <w:tcPr>
            <w:cnfStyle w:val="001000000000" w:firstRow="0" w:lastRow="0" w:firstColumn="1" w:lastColumn="0" w:oddVBand="0" w:evenVBand="0" w:oddHBand="0" w:evenHBand="0" w:firstRowFirstColumn="0" w:firstRowLastColumn="0" w:lastRowFirstColumn="0" w:lastRowLastColumn="0"/>
            <w:tcW w:w="4390" w:type="dxa"/>
            <w:noWrap/>
          </w:tcPr>
          <w:p w14:paraId="13F100C8" w14:textId="3E16A199" w:rsidR="00CF2EA3" w:rsidRPr="005031A5" w:rsidRDefault="00CF2EA3" w:rsidP="00BC7D8F">
            <w:pPr>
              <w:rPr>
                <w:rFonts w:eastAsia="Times New Roman" w:cs="Calibri"/>
                <w:color w:val="000000"/>
                <w:sz w:val="18"/>
                <w:szCs w:val="18"/>
              </w:rPr>
            </w:pPr>
            <w:r w:rsidRPr="005031A5">
              <w:rPr>
                <w:rFonts w:eastAsia="Times New Roman" w:cs="Calibri"/>
                <w:b w:val="0"/>
                <w:bCs w:val="0"/>
                <w:color w:val="000000"/>
                <w:sz w:val="18"/>
                <w:szCs w:val="18"/>
              </w:rPr>
              <w:t>Publicación de un documento específico sobre Transparencia en la gestión de fondos de las Administraciones Públicas</w:t>
            </w:r>
          </w:p>
        </w:tc>
        <w:tc>
          <w:tcPr>
            <w:tcW w:w="4819" w:type="dxa"/>
            <w:noWrap/>
          </w:tcPr>
          <w:p w14:paraId="1FB7A58A" w14:textId="027136A0" w:rsidR="00CF2EA3" w:rsidRPr="005031A5" w:rsidRDefault="00107A32" w:rsidP="00BC7D8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5031A5">
              <w:rPr>
                <w:rFonts w:eastAsia="Times New Roman" w:cs="Calibri"/>
                <w:color w:val="000000"/>
                <w:sz w:val="18"/>
                <w:szCs w:val="18"/>
              </w:rPr>
              <w:t>Fundación Solidaridad Amaranta</w:t>
            </w:r>
          </w:p>
        </w:tc>
      </w:tr>
      <w:tr w:rsidR="00C65B81" w:rsidRPr="005031A5" w14:paraId="5B61F0D0" w14:textId="77777777" w:rsidTr="00BC7D8F">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4390" w:type="dxa"/>
            <w:noWrap/>
            <w:hideMark/>
          </w:tcPr>
          <w:p w14:paraId="3129C252" w14:textId="397C1AF7" w:rsidR="00C65B81" w:rsidRPr="005031A5" w:rsidRDefault="00C65B81" w:rsidP="00BC7D8F">
            <w:pPr>
              <w:rPr>
                <w:rFonts w:eastAsia="Times New Roman" w:cs="Calibri"/>
                <w:b w:val="0"/>
                <w:bCs w:val="0"/>
                <w:color w:val="000000"/>
                <w:sz w:val="18"/>
                <w:szCs w:val="18"/>
              </w:rPr>
            </w:pPr>
            <w:r w:rsidRPr="005031A5">
              <w:rPr>
                <w:rFonts w:eastAsia="Times New Roman" w:cs="Calibri"/>
                <w:b w:val="0"/>
                <w:bCs w:val="0"/>
                <w:color w:val="000000"/>
                <w:sz w:val="18"/>
                <w:szCs w:val="18"/>
              </w:rPr>
              <w:t xml:space="preserve">Incorporación de textos descriptivos </w:t>
            </w:r>
            <w:r w:rsidR="00AC6216">
              <w:rPr>
                <w:rFonts w:eastAsia="Times New Roman" w:cs="Calibri"/>
                <w:b w:val="0"/>
                <w:bCs w:val="0"/>
                <w:color w:val="000000"/>
                <w:sz w:val="18"/>
                <w:szCs w:val="18"/>
              </w:rPr>
              <w:t xml:space="preserve">o aclaratorios </w:t>
            </w:r>
            <w:r w:rsidRPr="005031A5">
              <w:rPr>
                <w:rFonts w:eastAsia="Times New Roman" w:cs="Calibri"/>
                <w:b w:val="0"/>
                <w:bCs w:val="0"/>
                <w:color w:val="000000"/>
                <w:sz w:val="18"/>
                <w:szCs w:val="18"/>
              </w:rPr>
              <w:t>de los contenidos del Portal</w:t>
            </w:r>
          </w:p>
        </w:tc>
        <w:tc>
          <w:tcPr>
            <w:tcW w:w="4819" w:type="dxa"/>
            <w:noWrap/>
            <w:hideMark/>
          </w:tcPr>
          <w:p w14:paraId="2A10A3A0" w14:textId="2B9D1262" w:rsidR="00C65B81" w:rsidRPr="005031A5" w:rsidRDefault="00C65B81" w:rsidP="00BC7D8F">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5031A5">
              <w:rPr>
                <w:sz w:val="18"/>
                <w:szCs w:val="18"/>
              </w:rPr>
              <w:t>Fundación Ecología y Desarrollo</w:t>
            </w:r>
            <w:r w:rsidR="000864E4">
              <w:rPr>
                <w:sz w:val="18"/>
                <w:szCs w:val="18"/>
              </w:rPr>
              <w:t xml:space="preserve">, </w:t>
            </w:r>
            <w:r w:rsidR="000864E4" w:rsidRPr="000864E4">
              <w:rPr>
                <w:rFonts w:eastAsia="Times New Roman" w:cs="Times New Roman"/>
                <w:sz w:val="18"/>
                <w:szCs w:val="18"/>
                <w:lang w:eastAsia="en-US"/>
              </w:rPr>
              <w:t>Asoc</w:t>
            </w:r>
            <w:r w:rsidR="000864E4">
              <w:rPr>
                <w:rFonts w:eastAsia="Times New Roman" w:cs="Times New Roman"/>
                <w:sz w:val="18"/>
                <w:szCs w:val="18"/>
                <w:lang w:eastAsia="en-US"/>
              </w:rPr>
              <w:t>iación</w:t>
            </w:r>
            <w:r w:rsidR="000864E4" w:rsidRPr="000864E4">
              <w:rPr>
                <w:rFonts w:eastAsia="Times New Roman" w:cs="Times New Roman"/>
                <w:sz w:val="18"/>
                <w:szCs w:val="18"/>
                <w:lang w:eastAsia="en-US"/>
              </w:rPr>
              <w:t xml:space="preserve"> Mujeres </w:t>
            </w:r>
            <w:r w:rsidR="000864E4">
              <w:rPr>
                <w:rFonts w:eastAsia="Times New Roman" w:cs="Times New Roman"/>
                <w:sz w:val="18"/>
                <w:szCs w:val="18"/>
                <w:lang w:eastAsia="en-US"/>
              </w:rPr>
              <w:t>e</w:t>
            </w:r>
            <w:r w:rsidR="000864E4" w:rsidRPr="000864E4">
              <w:rPr>
                <w:rFonts w:eastAsia="Times New Roman" w:cs="Times New Roman"/>
                <w:sz w:val="18"/>
                <w:szCs w:val="18"/>
                <w:lang w:eastAsia="en-US"/>
              </w:rPr>
              <w:t xml:space="preserve">n Zona </w:t>
            </w:r>
            <w:r w:rsidR="000864E4">
              <w:rPr>
                <w:rFonts w:eastAsia="Times New Roman" w:cs="Times New Roman"/>
                <w:sz w:val="18"/>
                <w:szCs w:val="18"/>
                <w:lang w:eastAsia="en-US"/>
              </w:rPr>
              <w:t>d</w:t>
            </w:r>
            <w:r w:rsidR="000864E4" w:rsidRPr="000864E4">
              <w:rPr>
                <w:rFonts w:eastAsia="Times New Roman" w:cs="Times New Roman"/>
                <w:sz w:val="18"/>
                <w:szCs w:val="18"/>
                <w:lang w:eastAsia="en-US"/>
              </w:rPr>
              <w:t>e Conflicto</w:t>
            </w:r>
            <w:r w:rsidR="00AC6216">
              <w:rPr>
                <w:rFonts w:eastAsia="Times New Roman" w:cs="Times New Roman"/>
                <w:sz w:val="18"/>
                <w:szCs w:val="18"/>
                <w:lang w:eastAsia="en-US"/>
              </w:rPr>
              <w:t xml:space="preserve">, </w:t>
            </w:r>
            <w:proofErr w:type="spellStart"/>
            <w:r w:rsidR="00AC6216">
              <w:rPr>
                <w:rFonts w:eastAsia="Times New Roman" w:cs="Times New Roman"/>
                <w:sz w:val="18"/>
                <w:szCs w:val="18"/>
                <w:lang w:eastAsia="en-US"/>
              </w:rPr>
              <w:t>Asufin</w:t>
            </w:r>
            <w:proofErr w:type="spellEnd"/>
            <w:r w:rsidR="00AC6216">
              <w:rPr>
                <w:rFonts w:eastAsia="Times New Roman" w:cs="Times New Roman"/>
                <w:sz w:val="18"/>
                <w:szCs w:val="18"/>
                <w:lang w:eastAsia="en-US"/>
              </w:rPr>
              <w:t xml:space="preserve">, </w:t>
            </w:r>
            <w:r w:rsidR="00AC6216" w:rsidRPr="00AC6216">
              <w:rPr>
                <w:rFonts w:eastAsia="Times New Roman" w:cs="Times New Roman"/>
                <w:sz w:val="18"/>
                <w:szCs w:val="18"/>
                <w:lang w:eastAsia="en-US"/>
              </w:rPr>
              <w:t>Real Federación Española de Piragüismo</w:t>
            </w:r>
          </w:p>
        </w:tc>
      </w:tr>
    </w:tbl>
    <w:p w14:paraId="57604489" w14:textId="77777777" w:rsidR="00C65B81" w:rsidRPr="00561A62" w:rsidRDefault="00C65B81" w:rsidP="00C65B81"/>
    <w:p w14:paraId="2334171F" w14:textId="0CE34999" w:rsidR="00D15F0F" w:rsidRPr="00561A62" w:rsidRDefault="00D15F0F" w:rsidP="00D15F0F">
      <w:pPr>
        <w:jc w:val="left"/>
      </w:pPr>
    </w:p>
    <w:sectPr w:rsidR="00D15F0F" w:rsidRPr="00561A62" w:rsidSect="00AE1BAF">
      <w:footerReference w:type="even" r:id="rId21"/>
      <w:footerReference w:type="default" r:id="rId22"/>
      <w:pgSz w:w="11907" w:h="16839"/>
      <w:pgMar w:top="1440" w:right="1418" w:bottom="1440" w:left="1418"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14B1C" w14:textId="77777777" w:rsidR="00CE2AF5" w:rsidRDefault="00CE2AF5">
      <w:pPr>
        <w:spacing w:after="0" w:line="240" w:lineRule="auto"/>
      </w:pPr>
      <w:r>
        <w:separator/>
      </w:r>
    </w:p>
  </w:endnote>
  <w:endnote w:type="continuationSeparator" w:id="0">
    <w:p w14:paraId="0E27EF6C" w14:textId="77777777" w:rsidR="00CE2AF5" w:rsidRDefault="00CE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lish">
    <w:panose1 w:val="00000000000000000000"/>
    <w:charset w:val="00"/>
    <w:family w:val="auto"/>
    <w:pitch w:val="variable"/>
    <w:sig w:usb0="A00002FF" w:usb1="5000204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20598"/>
      <w:docPartObj>
        <w:docPartGallery w:val="Page Numbers (Bottom of Page)"/>
        <w:docPartUnique/>
      </w:docPartObj>
    </w:sdtPr>
    <w:sdtEndPr/>
    <w:sdtContent>
      <w:p w14:paraId="5C5F07B4" w14:textId="4ACEE1C9" w:rsidR="00AE1BAF" w:rsidRDefault="00AE1BAF">
        <w:pPr>
          <w:pStyle w:val="Piedepgina"/>
          <w:jc w:val="center"/>
        </w:pPr>
        <w:r>
          <w:fldChar w:fldCharType="begin"/>
        </w:r>
        <w:r>
          <w:instrText>PAGE   \* MERGEFORMAT</w:instrText>
        </w:r>
        <w:r>
          <w:fldChar w:fldCharType="separate"/>
        </w:r>
        <w:r>
          <w:t>2</w:t>
        </w:r>
        <w:r>
          <w:fldChar w:fldCharType="end"/>
        </w:r>
      </w:p>
    </w:sdtContent>
  </w:sdt>
  <w:p w14:paraId="2365F5F5" w14:textId="77777777" w:rsidR="00AE1BAF" w:rsidRDefault="00AE1B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716322"/>
      <w:docPartObj>
        <w:docPartGallery w:val="Page Numbers (Bottom of Page)"/>
        <w:docPartUnique/>
      </w:docPartObj>
    </w:sdtPr>
    <w:sdtEndPr/>
    <w:sdtContent>
      <w:p w14:paraId="2E94B5A8" w14:textId="56B2E912" w:rsidR="00AE1BAF" w:rsidRDefault="00AE1BAF" w:rsidP="00AE1BAF">
        <w:pPr>
          <w:pStyle w:val="Piedep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D0C8" w14:textId="77777777" w:rsidR="00CE2AF5" w:rsidRDefault="00CE2AF5">
      <w:pPr>
        <w:spacing w:after="0" w:line="240" w:lineRule="auto"/>
      </w:pPr>
      <w:r>
        <w:separator/>
      </w:r>
    </w:p>
  </w:footnote>
  <w:footnote w:type="continuationSeparator" w:id="0">
    <w:p w14:paraId="7B8BACD2" w14:textId="77777777" w:rsidR="00CE2AF5" w:rsidRDefault="00CE2AF5">
      <w:pPr>
        <w:spacing w:after="0" w:line="240" w:lineRule="auto"/>
      </w:pPr>
      <w:r>
        <w:continuationSeparator/>
      </w:r>
    </w:p>
  </w:footnote>
  <w:footnote w:id="1">
    <w:p w14:paraId="56DF113C" w14:textId="77777777" w:rsidR="00015DB5" w:rsidRPr="007578DA" w:rsidRDefault="00015DB5" w:rsidP="00015DB5">
      <w:pPr>
        <w:pStyle w:val="Textonotapie"/>
        <w:rPr>
          <w:sz w:val="16"/>
          <w:szCs w:val="16"/>
        </w:rPr>
      </w:pPr>
      <w:r>
        <w:rPr>
          <w:rStyle w:val="Refdenotaalpie"/>
        </w:rPr>
        <w:footnoteRef/>
      </w:r>
      <w:r>
        <w:t xml:space="preserve"> </w:t>
      </w:r>
      <w:r w:rsidRPr="007578DA">
        <w:rPr>
          <w:sz w:val="16"/>
          <w:szCs w:val="16"/>
        </w:rPr>
        <w:t>Metodología de Evaluación y Seguimiento de la Transparencia en la Actividad Pública</w:t>
      </w:r>
    </w:p>
  </w:footnote>
  <w:footnote w:id="2">
    <w:p w14:paraId="1E368CA6" w14:textId="74BA03F3" w:rsidR="00D15F0F" w:rsidRPr="00FF3BD9" w:rsidRDefault="00D15F0F" w:rsidP="00D15F0F">
      <w:pPr>
        <w:pStyle w:val="Textonotapie"/>
        <w:rPr>
          <w:sz w:val="16"/>
          <w:szCs w:val="16"/>
        </w:rPr>
      </w:pPr>
      <w:r w:rsidRPr="00212B2C">
        <w:rPr>
          <w:rStyle w:val="Refdenotaalpie"/>
          <w:sz w:val="16"/>
          <w:szCs w:val="16"/>
        </w:rPr>
        <w:footnoteRef/>
      </w:r>
      <w:r w:rsidRPr="00212B2C">
        <w:rPr>
          <w:sz w:val="16"/>
          <w:szCs w:val="16"/>
        </w:rPr>
        <w:t xml:space="preserve"> </w:t>
      </w:r>
      <w:r w:rsidRPr="00FF3BD9">
        <w:rPr>
          <w:sz w:val="16"/>
          <w:szCs w:val="16"/>
        </w:rPr>
        <w:t>Este epígrafe se refiere exclusivamente a las entidades evaluadas por primera vez en 202</w:t>
      </w:r>
      <w:r w:rsidR="005E54AE">
        <w:rPr>
          <w:sz w:val="16"/>
          <w:szCs w:val="16"/>
        </w:rPr>
        <w:t>5</w:t>
      </w:r>
      <w:r w:rsidRPr="00FF3BD9">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8" type="#_x0000_t75" style="width:11.25pt;height:11.25pt" o:bullet="t">
        <v:imagedata r:id="rId1" o:title="BD14529_"/>
      </v:shape>
    </w:pict>
  </w:numPicBullet>
  <w:numPicBullet w:numPicBulletId="1">
    <w:pict>
      <v:shape id="_x0000_i1239" type="#_x0000_t75" style="width:11.25pt;height:11.25pt" o:bullet="t">
        <v:imagedata r:id="rId2" o:title="BD14529_"/>
      </v:shape>
    </w:pict>
  </w:numPicBullet>
  <w:abstractNum w:abstractNumId="0" w15:restartNumberingAfterBreak="0">
    <w:nsid w:val="FFFFFF89"/>
    <w:multiLevelType w:val="singleLevel"/>
    <w:tmpl w:val="4FD4F5F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24B7CF1"/>
    <w:multiLevelType w:val="multilevel"/>
    <w:tmpl w:val="7AC6A14E"/>
    <w:styleLink w:val="Listanumeradaurbana"/>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2" w15:restartNumberingAfterBreak="0">
    <w:nsid w:val="12796372"/>
    <w:multiLevelType w:val="hybridMultilevel"/>
    <w:tmpl w:val="386E4C60"/>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550593"/>
    <w:multiLevelType w:val="hybridMultilevel"/>
    <w:tmpl w:val="D2D863D2"/>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9C46A3"/>
    <w:multiLevelType w:val="multilevel"/>
    <w:tmpl w:val="33B056D0"/>
    <w:styleLink w:val="Listaconvietasurbana"/>
    <w:lvl w:ilvl="0">
      <w:start w:val="1"/>
      <w:numFmt w:val="bullet"/>
      <w:pStyle w:val="Vieta1"/>
      <w:lvlText w:val=""/>
      <w:lvlJc w:val="left"/>
      <w:pPr>
        <w:ind w:left="216" w:hanging="216"/>
      </w:pPr>
      <w:rPr>
        <w:rFonts w:ascii="Symbol" w:hAnsi="Symbol" w:hint="default"/>
        <w:b w:val="0"/>
        <w:i w:val="0"/>
        <w:color w:val="A04DA3" w:themeColor="accent3"/>
        <w:sz w:val="18"/>
      </w:rPr>
    </w:lvl>
    <w:lvl w:ilvl="1">
      <w:start w:val="1"/>
      <w:numFmt w:val="bullet"/>
      <w:pStyle w:val="Vieta2"/>
      <w:lvlText w:val=""/>
      <w:lvlJc w:val="left"/>
      <w:pPr>
        <w:ind w:left="461" w:hanging="216"/>
      </w:pPr>
      <w:rPr>
        <w:rFonts w:ascii="Wingdings" w:hAnsi="Wingdings" w:hint="default"/>
        <w:b w:val="0"/>
        <w:i w:val="0"/>
        <w:color w:val="438086" w:themeColor="accent2"/>
        <w:sz w:val="12"/>
      </w:rPr>
    </w:lvl>
    <w:lvl w:ilvl="2">
      <w:start w:val="1"/>
      <w:numFmt w:val="bullet"/>
      <w:pStyle w:val="Vieta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5" w15:restartNumberingAfterBreak="0">
    <w:nsid w:val="43303F17"/>
    <w:multiLevelType w:val="hybridMultilevel"/>
    <w:tmpl w:val="4000B040"/>
    <w:lvl w:ilvl="0" w:tplc="A6C4533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F4C1FC0"/>
    <w:multiLevelType w:val="hybridMultilevel"/>
    <w:tmpl w:val="152EF1B4"/>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0C70A48"/>
    <w:multiLevelType w:val="hybridMultilevel"/>
    <w:tmpl w:val="60F65B56"/>
    <w:lvl w:ilvl="0" w:tplc="59F6C5FA">
      <w:start w:val="5"/>
      <w:numFmt w:val="upperRoman"/>
      <w:lvlText w:val="%1."/>
      <w:lvlJc w:val="left"/>
      <w:pPr>
        <w:ind w:left="1146"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33505FE"/>
    <w:multiLevelType w:val="hybridMultilevel"/>
    <w:tmpl w:val="DA3CC5C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8120CBC"/>
    <w:multiLevelType w:val="hybridMultilevel"/>
    <w:tmpl w:val="58AA0882"/>
    <w:lvl w:ilvl="0" w:tplc="487414DE">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4"/>
  </w:num>
  <w:num w:numId="5">
    <w:abstractNumId w:val="3"/>
  </w:num>
  <w:num w:numId="6">
    <w:abstractNumId w:val="2"/>
  </w:num>
  <w:num w:numId="7">
    <w:abstractNumId w:val="8"/>
  </w:num>
  <w:num w:numId="8">
    <w:abstractNumId w:val="7"/>
  </w:num>
  <w:num w:numId="9">
    <w:abstractNumId w:val="5"/>
  </w:num>
  <w:num w:numId="10">
    <w:abstractNumId w:val="6"/>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characterSpacingControl w:val="doNotCompress"/>
  <w:hdrShapeDefaults>
    <o:shapedefaults v:ext="edit" spidmax="2049" fillcolor="white">
      <v:fill color="white"/>
      <o:colormru v:ext="edit" colors="#334c4f,#79b5b0,#b77851,#d1e1e3,#066,#7ea8ac,#4e767a,#293d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B2"/>
    <w:rsid w:val="0000250A"/>
    <w:rsid w:val="00004C5D"/>
    <w:rsid w:val="00015DB5"/>
    <w:rsid w:val="000200DB"/>
    <w:rsid w:val="00020673"/>
    <w:rsid w:val="00022692"/>
    <w:rsid w:val="0002440D"/>
    <w:rsid w:val="00026A1D"/>
    <w:rsid w:val="00026FF9"/>
    <w:rsid w:val="000302F6"/>
    <w:rsid w:val="00032714"/>
    <w:rsid w:val="00033C6B"/>
    <w:rsid w:val="000405C4"/>
    <w:rsid w:val="00040795"/>
    <w:rsid w:val="00043C70"/>
    <w:rsid w:val="000449CB"/>
    <w:rsid w:val="0004614D"/>
    <w:rsid w:val="000467A9"/>
    <w:rsid w:val="00047055"/>
    <w:rsid w:val="00047DDB"/>
    <w:rsid w:val="00047ECA"/>
    <w:rsid w:val="00053BF4"/>
    <w:rsid w:val="00071369"/>
    <w:rsid w:val="00071449"/>
    <w:rsid w:val="00074537"/>
    <w:rsid w:val="00076C85"/>
    <w:rsid w:val="00077CDF"/>
    <w:rsid w:val="0008061C"/>
    <w:rsid w:val="000864E4"/>
    <w:rsid w:val="00090A3E"/>
    <w:rsid w:val="000938A3"/>
    <w:rsid w:val="00095E18"/>
    <w:rsid w:val="000B0ADB"/>
    <w:rsid w:val="000B1D92"/>
    <w:rsid w:val="000B5A54"/>
    <w:rsid w:val="000C0689"/>
    <w:rsid w:val="000C1605"/>
    <w:rsid w:val="000C37F6"/>
    <w:rsid w:val="000C4A0A"/>
    <w:rsid w:val="000C69CB"/>
    <w:rsid w:val="000D057F"/>
    <w:rsid w:val="000D2D73"/>
    <w:rsid w:val="000D2D9C"/>
    <w:rsid w:val="000D5243"/>
    <w:rsid w:val="000E0645"/>
    <w:rsid w:val="000E1511"/>
    <w:rsid w:val="000E4EEE"/>
    <w:rsid w:val="000F02B2"/>
    <w:rsid w:val="000F22B5"/>
    <w:rsid w:val="000F3CFB"/>
    <w:rsid w:val="000F5663"/>
    <w:rsid w:val="000F5FB1"/>
    <w:rsid w:val="000F6C27"/>
    <w:rsid w:val="000F7251"/>
    <w:rsid w:val="000F7EF9"/>
    <w:rsid w:val="00100FDC"/>
    <w:rsid w:val="001015E0"/>
    <w:rsid w:val="001048E0"/>
    <w:rsid w:val="00107A32"/>
    <w:rsid w:val="00115E70"/>
    <w:rsid w:val="001160A2"/>
    <w:rsid w:val="00120441"/>
    <w:rsid w:val="00124108"/>
    <w:rsid w:val="001244CA"/>
    <w:rsid w:val="00124764"/>
    <w:rsid w:val="00131645"/>
    <w:rsid w:val="00141DBA"/>
    <w:rsid w:val="0014410F"/>
    <w:rsid w:val="00144B18"/>
    <w:rsid w:val="00144DA6"/>
    <w:rsid w:val="00146232"/>
    <w:rsid w:val="00146504"/>
    <w:rsid w:val="0014740D"/>
    <w:rsid w:val="00152FBA"/>
    <w:rsid w:val="00153CEA"/>
    <w:rsid w:val="001551A7"/>
    <w:rsid w:val="00162C20"/>
    <w:rsid w:val="00164758"/>
    <w:rsid w:val="00167E4C"/>
    <w:rsid w:val="001712BA"/>
    <w:rsid w:val="00174861"/>
    <w:rsid w:val="00181303"/>
    <w:rsid w:val="00183185"/>
    <w:rsid w:val="001832B6"/>
    <w:rsid w:val="00190E00"/>
    <w:rsid w:val="0019120F"/>
    <w:rsid w:val="001929B5"/>
    <w:rsid w:val="00195B99"/>
    <w:rsid w:val="001963A1"/>
    <w:rsid w:val="00196E57"/>
    <w:rsid w:val="001B45B7"/>
    <w:rsid w:val="001B7097"/>
    <w:rsid w:val="001C07E7"/>
    <w:rsid w:val="001C0ECE"/>
    <w:rsid w:val="001C5432"/>
    <w:rsid w:val="001D364C"/>
    <w:rsid w:val="001D5FAD"/>
    <w:rsid w:val="001E40D9"/>
    <w:rsid w:val="001E62B5"/>
    <w:rsid w:val="001E7F43"/>
    <w:rsid w:val="001F1CC9"/>
    <w:rsid w:val="001F3339"/>
    <w:rsid w:val="001F3962"/>
    <w:rsid w:val="00200544"/>
    <w:rsid w:val="00200705"/>
    <w:rsid w:val="00202863"/>
    <w:rsid w:val="00205084"/>
    <w:rsid w:val="00207254"/>
    <w:rsid w:val="002136D7"/>
    <w:rsid w:val="00216D63"/>
    <w:rsid w:val="0021736B"/>
    <w:rsid w:val="0021780C"/>
    <w:rsid w:val="0021793D"/>
    <w:rsid w:val="0022471D"/>
    <w:rsid w:val="002313A7"/>
    <w:rsid w:val="00234B35"/>
    <w:rsid w:val="00235A5B"/>
    <w:rsid w:val="00240AA1"/>
    <w:rsid w:val="00241544"/>
    <w:rsid w:val="002456B0"/>
    <w:rsid w:val="00246847"/>
    <w:rsid w:val="00247E8E"/>
    <w:rsid w:val="00252F68"/>
    <w:rsid w:val="0025449D"/>
    <w:rsid w:val="00255EC4"/>
    <w:rsid w:val="0026084F"/>
    <w:rsid w:val="0026153E"/>
    <w:rsid w:val="002652DB"/>
    <w:rsid w:val="00265B07"/>
    <w:rsid w:val="0027311B"/>
    <w:rsid w:val="00274C6A"/>
    <w:rsid w:val="002752D5"/>
    <w:rsid w:val="00277C4C"/>
    <w:rsid w:val="00283DCC"/>
    <w:rsid w:val="00286259"/>
    <w:rsid w:val="0028680F"/>
    <w:rsid w:val="002B3243"/>
    <w:rsid w:val="002B5A11"/>
    <w:rsid w:val="002B5BB5"/>
    <w:rsid w:val="002C5AAC"/>
    <w:rsid w:val="002D321E"/>
    <w:rsid w:val="002D79CB"/>
    <w:rsid w:val="002D79EE"/>
    <w:rsid w:val="002F054B"/>
    <w:rsid w:val="002F2CAA"/>
    <w:rsid w:val="002F4D73"/>
    <w:rsid w:val="002F71A3"/>
    <w:rsid w:val="003005AA"/>
    <w:rsid w:val="0030286C"/>
    <w:rsid w:val="0031069C"/>
    <w:rsid w:val="0031284F"/>
    <w:rsid w:val="003220BF"/>
    <w:rsid w:val="003256DE"/>
    <w:rsid w:val="003258B3"/>
    <w:rsid w:val="00337289"/>
    <w:rsid w:val="00337E80"/>
    <w:rsid w:val="00341355"/>
    <w:rsid w:val="00342EA2"/>
    <w:rsid w:val="0034357D"/>
    <w:rsid w:val="0034381D"/>
    <w:rsid w:val="00345ABD"/>
    <w:rsid w:val="00347B88"/>
    <w:rsid w:val="0035203D"/>
    <w:rsid w:val="00352180"/>
    <w:rsid w:val="003530A1"/>
    <w:rsid w:val="00354765"/>
    <w:rsid w:val="003549D0"/>
    <w:rsid w:val="00355C81"/>
    <w:rsid w:val="00355F1A"/>
    <w:rsid w:val="00360C44"/>
    <w:rsid w:val="00367D1A"/>
    <w:rsid w:val="0037448E"/>
    <w:rsid w:val="00375B00"/>
    <w:rsid w:val="00375D31"/>
    <w:rsid w:val="0037618E"/>
    <w:rsid w:val="00377787"/>
    <w:rsid w:val="00381193"/>
    <w:rsid w:val="00384774"/>
    <w:rsid w:val="00391F22"/>
    <w:rsid w:val="00395F26"/>
    <w:rsid w:val="003A15BB"/>
    <w:rsid w:val="003A5C81"/>
    <w:rsid w:val="003A61D2"/>
    <w:rsid w:val="003A6B5E"/>
    <w:rsid w:val="003B18E0"/>
    <w:rsid w:val="003C3FCE"/>
    <w:rsid w:val="003C4162"/>
    <w:rsid w:val="003D0372"/>
    <w:rsid w:val="003D5691"/>
    <w:rsid w:val="003E0D12"/>
    <w:rsid w:val="003E4333"/>
    <w:rsid w:val="003E4C36"/>
    <w:rsid w:val="003E5190"/>
    <w:rsid w:val="003E71A0"/>
    <w:rsid w:val="003F10D6"/>
    <w:rsid w:val="003F1417"/>
    <w:rsid w:val="004013A1"/>
    <w:rsid w:val="0040196E"/>
    <w:rsid w:val="00405141"/>
    <w:rsid w:val="00406C3D"/>
    <w:rsid w:val="00406DDA"/>
    <w:rsid w:val="004076A8"/>
    <w:rsid w:val="00412C7A"/>
    <w:rsid w:val="00413C4E"/>
    <w:rsid w:val="00415CDA"/>
    <w:rsid w:val="00416CC3"/>
    <w:rsid w:val="00417966"/>
    <w:rsid w:val="00444142"/>
    <w:rsid w:val="004452FC"/>
    <w:rsid w:val="004518F0"/>
    <w:rsid w:val="00454377"/>
    <w:rsid w:val="00460288"/>
    <w:rsid w:val="0046145E"/>
    <w:rsid w:val="00463BE8"/>
    <w:rsid w:val="00470683"/>
    <w:rsid w:val="0047212C"/>
    <w:rsid w:val="00473D85"/>
    <w:rsid w:val="00475A84"/>
    <w:rsid w:val="00477F12"/>
    <w:rsid w:val="004822FF"/>
    <w:rsid w:val="00483ABF"/>
    <w:rsid w:val="00483CD4"/>
    <w:rsid w:val="00484A60"/>
    <w:rsid w:val="004856CF"/>
    <w:rsid w:val="004861C1"/>
    <w:rsid w:val="00497839"/>
    <w:rsid w:val="004A60E2"/>
    <w:rsid w:val="004B18BF"/>
    <w:rsid w:val="004B31A9"/>
    <w:rsid w:val="004B360B"/>
    <w:rsid w:val="004B39EF"/>
    <w:rsid w:val="004B5A06"/>
    <w:rsid w:val="004B5C13"/>
    <w:rsid w:val="004C195D"/>
    <w:rsid w:val="004C21D3"/>
    <w:rsid w:val="004C520E"/>
    <w:rsid w:val="004C740B"/>
    <w:rsid w:val="004C792C"/>
    <w:rsid w:val="004C7E3A"/>
    <w:rsid w:val="004D2478"/>
    <w:rsid w:val="004E0D63"/>
    <w:rsid w:val="004E5A5D"/>
    <w:rsid w:val="004E63FC"/>
    <w:rsid w:val="004E7A7C"/>
    <w:rsid w:val="004F4188"/>
    <w:rsid w:val="004F6249"/>
    <w:rsid w:val="005031A5"/>
    <w:rsid w:val="00513EC7"/>
    <w:rsid w:val="005140D7"/>
    <w:rsid w:val="0051614E"/>
    <w:rsid w:val="0051764C"/>
    <w:rsid w:val="00520912"/>
    <w:rsid w:val="00521D14"/>
    <w:rsid w:val="0052794A"/>
    <w:rsid w:val="0053007B"/>
    <w:rsid w:val="0053157A"/>
    <w:rsid w:val="00535CD6"/>
    <w:rsid w:val="0053625D"/>
    <w:rsid w:val="005414A4"/>
    <w:rsid w:val="0054337E"/>
    <w:rsid w:val="005447E3"/>
    <w:rsid w:val="00547E59"/>
    <w:rsid w:val="00550FCC"/>
    <w:rsid w:val="00554816"/>
    <w:rsid w:val="00554AE4"/>
    <w:rsid w:val="0055528E"/>
    <w:rsid w:val="00561567"/>
    <w:rsid w:val="00561E73"/>
    <w:rsid w:val="00563729"/>
    <w:rsid w:val="005646C3"/>
    <w:rsid w:val="00570F7A"/>
    <w:rsid w:val="005718D7"/>
    <w:rsid w:val="00573518"/>
    <w:rsid w:val="00582DA3"/>
    <w:rsid w:val="005915F6"/>
    <w:rsid w:val="00591E4A"/>
    <w:rsid w:val="005957ED"/>
    <w:rsid w:val="00596EDD"/>
    <w:rsid w:val="005A1673"/>
    <w:rsid w:val="005A1B1B"/>
    <w:rsid w:val="005A2346"/>
    <w:rsid w:val="005B5D62"/>
    <w:rsid w:val="005B7C64"/>
    <w:rsid w:val="005C4D90"/>
    <w:rsid w:val="005C5DC1"/>
    <w:rsid w:val="005C658E"/>
    <w:rsid w:val="005C74FB"/>
    <w:rsid w:val="005E54AE"/>
    <w:rsid w:val="005E6AD8"/>
    <w:rsid w:val="005F0168"/>
    <w:rsid w:val="005F01D8"/>
    <w:rsid w:val="005F0A2F"/>
    <w:rsid w:val="005F586A"/>
    <w:rsid w:val="00600127"/>
    <w:rsid w:val="00604BD2"/>
    <w:rsid w:val="00607780"/>
    <w:rsid w:val="00607FDA"/>
    <w:rsid w:val="00617CB7"/>
    <w:rsid w:val="006205CF"/>
    <w:rsid w:val="006219DA"/>
    <w:rsid w:val="006256A9"/>
    <w:rsid w:val="0062716C"/>
    <w:rsid w:val="00632B6E"/>
    <w:rsid w:val="006350B7"/>
    <w:rsid w:val="0063705B"/>
    <w:rsid w:val="00643A29"/>
    <w:rsid w:val="00645A97"/>
    <w:rsid w:val="00646612"/>
    <w:rsid w:val="006469F3"/>
    <w:rsid w:val="00651737"/>
    <w:rsid w:val="00652855"/>
    <w:rsid w:val="0065420F"/>
    <w:rsid w:val="006546D3"/>
    <w:rsid w:val="00656CBC"/>
    <w:rsid w:val="00670C8C"/>
    <w:rsid w:val="006754EF"/>
    <w:rsid w:val="006831C1"/>
    <w:rsid w:val="00683852"/>
    <w:rsid w:val="0068668B"/>
    <w:rsid w:val="00686D63"/>
    <w:rsid w:val="006A1047"/>
    <w:rsid w:val="006A2316"/>
    <w:rsid w:val="006A3E8B"/>
    <w:rsid w:val="006A42D4"/>
    <w:rsid w:val="006A6F5D"/>
    <w:rsid w:val="006A7B1F"/>
    <w:rsid w:val="006B2D03"/>
    <w:rsid w:val="006B577E"/>
    <w:rsid w:val="006C0613"/>
    <w:rsid w:val="006C216F"/>
    <w:rsid w:val="006C3C82"/>
    <w:rsid w:val="006C4499"/>
    <w:rsid w:val="006D0307"/>
    <w:rsid w:val="006D7EE4"/>
    <w:rsid w:val="006E01D9"/>
    <w:rsid w:val="006E749A"/>
    <w:rsid w:val="007009D5"/>
    <w:rsid w:val="00702E60"/>
    <w:rsid w:val="00707457"/>
    <w:rsid w:val="007109F5"/>
    <w:rsid w:val="007160E2"/>
    <w:rsid w:val="007175CC"/>
    <w:rsid w:val="00723C9E"/>
    <w:rsid w:val="007320EA"/>
    <w:rsid w:val="007378D4"/>
    <w:rsid w:val="00743995"/>
    <w:rsid w:val="007462DD"/>
    <w:rsid w:val="00746B31"/>
    <w:rsid w:val="00752870"/>
    <w:rsid w:val="0075372C"/>
    <w:rsid w:val="00757000"/>
    <w:rsid w:val="007601C2"/>
    <w:rsid w:val="00764E7A"/>
    <w:rsid w:val="00765F43"/>
    <w:rsid w:val="00770643"/>
    <w:rsid w:val="0077256F"/>
    <w:rsid w:val="00776989"/>
    <w:rsid w:val="00777DE9"/>
    <w:rsid w:val="007825C7"/>
    <w:rsid w:val="00790AF9"/>
    <w:rsid w:val="00794A50"/>
    <w:rsid w:val="007A39F3"/>
    <w:rsid w:val="007A7474"/>
    <w:rsid w:val="007B30CF"/>
    <w:rsid w:val="007B668E"/>
    <w:rsid w:val="007C0566"/>
    <w:rsid w:val="007C4A7A"/>
    <w:rsid w:val="007C562B"/>
    <w:rsid w:val="007D7BE3"/>
    <w:rsid w:val="007E1A62"/>
    <w:rsid w:val="007E1A7A"/>
    <w:rsid w:val="007E1BD6"/>
    <w:rsid w:val="00801472"/>
    <w:rsid w:val="00802233"/>
    <w:rsid w:val="008072B3"/>
    <w:rsid w:val="00810757"/>
    <w:rsid w:val="00811B08"/>
    <w:rsid w:val="00815D72"/>
    <w:rsid w:val="008176A6"/>
    <w:rsid w:val="0082042E"/>
    <w:rsid w:val="00821554"/>
    <w:rsid w:val="008220D7"/>
    <w:rsid w:val="00822D40"/>
    <w:rsid w:val="008234D9"/>
    <w:rsid w:val="00824061"/>
    <w:rsid w:val="00826BEB"/>
    <w:rsid w:val="00827F78"/>
    <w:rsid w:val="00834870"/>
    <w:rsid w:val="00841717"/>
    <w:rsid w:val="00841A00"/>
    <w:rsid w:val="008469AD"/>
    <w:rsid w:val="0085057F"/>
    <w:rsid w:val="00853853"/>
    <w:rsid w:val="0085543A"/>
    <w:rsid w:val="0085636B"/>
    <w:rsid w:val="008568F0"/>
    <w:rsid w:val="00864097"/>
    <w:rsid w:val="00887629"/>
    <w:rsid w:val="008876B2"/>
    <w:rsid w:val="00890296"/>
    <w:rsid w:val="008929EF"/>
    <w:rsid w:val="00893D4A"/>
    <w:rsid w:val="008A7D3B"/>
    <w:rsid w:val="008B425E"/>
    <w:rsid w:val="008B610F"/>
    <w:rsid w:val="008B6C8E"/>
    <w:rsid w:val="008D3144"/>
    <w:rsid w:val="008D32D8"/>
    <w:rsid w:val="008D5C46"/>
    <w:rsid w:val="008D5F41"/>
    <w:rsid w:val="008D6AB4"/>
    <w:rsid w:val="008E0D35"/>
    <w:rsid w:val="008F03C4"/>
    <w:rsid w:val="008F0A3A"/>
    <w:rsid w:val="008F59E8"/>
    <w:rsid w:val="009005BB"/>
    <w:rsid w:val="00900909"/>
    <w:rsid w:val="00901E5F"/>
    <w:rsid w:val="00902A11"/>
    <w:rsid w:val="00904C1B"/>
    <w:rsid w:val="00905443"/>
    <w:rsid w:val="00925637"/>
    <w:rsid w:val="00925B4F"/>
    <w:rsid w:val="00931024"/>
    <w:rsid w:val="009318F3"/>
    <w:rsid w:val="00933B4C"/>
    <w:rsid w:val="009348AA"/>
    <w:rsid w:val="009417A3"/>
    <w:rsid w:val="0094287C"/>
    <w:rsid w:val="00942FF5"/>
    <w:rsid w:val="009505E3"/>
    <w:rsid w:val="00952C72"/>
    <w:rsid w:val="00954BE4"/>
    <w:rsid w:val="00954EA4"/>
    <w:rsid w:val="00956AEB"/>
    <w:rsid w:val="00961C65"/>
    <w:rsid w:val="00962B08"/>
    <w:rsid w:val="00964825"/>
    <w:rsid w:val="00967D72"/>
    <w:rsid w:val="00971688"/>
    <w:rsid w:val="00973C9C"/>
    <w:rsid w:val="00976AE5"/>
    <w:rsid w:val="009832A4"/>
    <w:rsid w:val="00984881"/>
    <w:rsid w:val="009851BC"/>
    <w:rsid w:val="0098783A"/>
    <w:rsid w:val="009879FC"/>
    <w:rsid w:val="00990975"/>
    <w:rsid w:val="00990C33"/>
    <w:rsid w:val="009A0015"/>
    <w:rsid w:val="009A150C"/>
    <w:rsid w:val="009A1DDA"/>
    <w:rsid w:val="009A60E3"/>
    <w:rsid w:val="009B165E"/>
    <w:rsid w:val="009B1C94"/>
    <w:rsid w:val="009B2880"/>
    <w:rsid w:val="009B4CF8"/>
    <w:rsid w:val="009B529F"/>
    <w:rsid w:val="009B59FC"/>
    <w:rsid w:val="009C1436"/>
    <w:rsid w:val="009C49B0"/>
    <w:rsid w:val="009C7B1E"/>
    <w:rsid w:val="009D7EB3"/>
    <w:rsid w:val="009E1A33"/>
    <w:rsid w:val="009E3455"/>
    <w:rsid w:val="009E5841"/>
    <w:rsid w:val="009E5F7C"/>
    <w:rsid w:val="009F1F97"/>
    <w:rsid w:val="009F2E34"/>
    <w:rsid w:val="009F4C6A"/>
    <w:rsid w:val="009F51A6"/>
    <w:rsid w:val="009F5AAA"/>
    <w:rsid w:val="00A0382A"/>
    <w:rsid w:val="00A06568"/>
    <w:rsid w:val="00A07AF5"/>
    <w:rsid w:val="00A222AC"/>
    <w:rsid w:val="00A239A9"/>
    <w:rsid w:val="00A24896"/>
    <w:rsid w:val="00A25618"/>
    <w:rsid w:val="00A301DD"/>
    <w:rsid w:val="00A32599"/>
    <w:rsid w:val="00A331DE"/>
    <w:rsid w:val="00A36403"/>
    <w:rsid w:val="00A375F8"/>
    <w:rsid w:val="00A46120"/>
    <w:rsid w:val="00A526BF"/>
    <w:rsid w:val="00A527C1"/>
    <w:rsid w:val="00A5659C"/>
    <w:rsid w:val="00A61B8E"/>
    <w:rsid w:val="00A65AC3"/>
    <w:rsid w:val="00A71EA9"/>
    <w:rsid w:val="00A73F3F"/>
    <w:rsid w:val="00A83A56"/>
    <w:rsid w:val="00A8796B"/>
    <w:rsid w:val="00A92200"/>
    <w:rsid w:val="00A93C3D"/>
    <w:rsid w:val="00AA2D83"/>
    <w:rsid w:val="00AA4B11"/>
    <w:rsid w:val="00AB0ABE"/>
    <w:rsid w:val="00AB5A48"/>
    <w:rsid w:val="00AB6E2B"/>
    <w:rsid w:val="00AC149D"/>
    <w:rsid w:val="00AC6216"/>
    <w:rsid w:val="00AC680F"/>
    <w:rsid w:val="00AC7031"/>
    <w:rsid w:val="00AD4833"/>
    <w:rsid w:val="00AD6D80"/>
    <w:rsid w:val="00AE1BAF"/>
    <w:rsid w:val="00AE32D7"/>
    <w:rsid w:val="00AF02EB"/>
    <w:rsid w:val="00AF2115"/>
    <w:rsid w:val="00AF32A5"/>
    <w:rsid w:val="00AF44BF"/>
    <w:rsid w:val="00AF627B"/>
    <w:rsid w:val="00AF6549"/>
    <w:rsid w:val="00AF7CFE"/>
    <w:rsid w:val="00B0067A"/>
    <w:rsid w:val="00B044F3"/>
    <w:rsid w:val="00B057CB"/>
    <w:rsid w:val="00B1253D"/>
    <w:rsid w:val="00B13AD7"/>
    <w:rsid w:val="00B144A5"/>
    <w:rsid w:val="00B145B8"/>
    <w:rsid w:val="00B14C7B"/>
    <w:rsid w:val="00B15BB6"/>
    <w:rsid w:val="00B17F38"/>
    <w:rsid w:val="00B305DD"/>
    <w:rsid w:val="00B352C0"/>
    <w:rsid w:val="00B40BAD"/>
    <w:rsid w:val="00B529FF"/>
    <w:rsid w:val="00B56352"/>
    <w:rsid w:val="00B5699D"/>
    <w:rsid w:val="00B64350"/>
    <w:rsid w:val="00B654C0"/>
    <w:rsid w:val="00B7117C"/>
    <w:rsid w:val="00B725B8"/>
    <w:rsid w:val="00B72CBE"/>
    <w:rsid w:val="00B7453A"/>
    <w:rsid w:val="00B82CC0"/>
    <w:rsid w:val="00B842CF"/>
    <w:rsid w:val="00B86CD2"/>
    <w:rsid w:val="00BA20CA"/>
    <w:rsid w:val="00BA54C2"/>
    <w:rsid w:val="00BB55B0"/>
    <w:rsid w:val="00BB5FFF"/>
    <w:rsid w:val="00BB66BB"/>
    <w:rsid w:val="00BC6A56"/>
    <w:rsid w:val="00BD35D5"/>
    <w:rsid w:val="00BD3DF5"/>
    <w:rsid w:val="00BD4A9E"/>
    <w:rsid w:val="00BD4F6E"/>
    <w:rsid w:val="00BE1CCD"/>
    <w:rsid w:val="00BE3AF4"/>
    <w:rsid w:val="00BE52F3"/>
    <w:rsid w:val="00BE68CD"/>
    <w:rsid w:val="00BE7255"/>
    <w:rsid w:val="00BF08C1"/>
    <w:rsid w:val="00BF3DBE"/>
    <w:rsid w:val="00BF3F82"/>
    <w:rsid w:val="00BF557E"/>
    <w:rsid w:val="00C02989"/>
    <w:rsid w:val="00C02ADF"/>
    <w:rsid w:val="00C05C6E"/>
    <w:rsid w:val="00C060B9"/>
    <w:rsid w:val="00C12FE5"/>
    <w:rsid w:val="00C227BE"/>
    <w:rsid w:val="00C3034E"/>
    <w:rsid w:val="00C31F9B"/>
    <w:rsid w:val="00C326DD"/>
    <w:rsid w:val="00C32933"/>
    <w:rsid w:val="00C46EF1"/>
    <w:rsid w:val="00C51CAE"/>
    <w:rsid w:val="00C65B81"/>
    <w:rsid w:val="00C6614F"/>
    <w:rsid w:val="00C67A61"/>
    <w:rsid w:val="00C7332E"/>
    <w:rsid w:val="00C7373A"/>
    <w:rsid w:val="00C773FD"/>
    <w:rsid w:val="00C92FE8"/>
    <w:rsid w:val="00C95495"/>
    <w:rsid w:val="00CA11C5"/>
    <w:rsid w:val="00CA1FF0"/>
    <w:rsid w:val="00CA722F"/>
    <w:rsid w:val="00CB2499"/>
    <w:rsid w:val="00CB65E7"/>
    <w:rsid w:val="00CB6D6C"/>
    <w:rsid w:val="00CC0BA5"/>
    <w:rsid w:val="00CC3142"/>
    <w:rsid w:val="00CC4021"/>
    <w:rsid w:val="00CD2143"/>
    <w:rsid w:val="00CD4050"/>
    <w:rsid w:val="00CD6E1B"/>
    <w:rsid w:val="00CE0AAA"/>
    <w:rsid w:val="00CE1E32"/>
    <w:rsid w:val="00CE2AF5"/>
    <w:rsid w:val="00CE43A8"/>
    <w:rsid w:val="00CE6190"/>
    <w:rsid w:val="00CE75D5"/>
    <w:rsid w:val="00CF138A"/>
    <w:rsid w:val="00CF2EA3"/>
    <w:rsid w:val="00CF325D"/>
    <w:rsid w:val="00D001DB"/>
    <w:rsid w:val="00D01F89"/>
    <w:rsid w:val="00D10882"/>
    <w:rsid w:val="00D15F0F"/>
    <w:rsid w:val="00D17499"/>
    <w:rsid w:val="00D1755C"/>
    <w:rsid w:val="00D2076E"/>
    <w:rsid w:val="00D21232"/>
    <w:rsid w:val="00D23563"/>
    <w:rsid w:val="00D2461E"/>
    <w:rsid w:val="00D24B74"/>
    <w:rsid w:val="00D33380"/>
    <w:rsid w:val="00D3350E"/>
    <w:rsid w:val="00D438E9"/>
    <w:rsid w:val="00D46714"/>
    <w:rsid w:val="00D55EB5"/>
    <w:rsid w:val="00D57B84"/>
    <w:rsid w:val="00D602C6"/>
    <w:rsid w:val="00D631CC"/>
    <w:rsid w:val="00D67951"/>
    <w:rsid w:val="00D74601"/>
    <w:rsid w:val="00D7656F"/>
    <w:rsid w:val="00D80341"/>
    <w:rsid w:val="00D836EF"/>
    <w:rsid w:val="00D8384C"/>
    <w:rsid w:val="00D85775"/>
    <w:rsid w:val="00D956D2"/>
    <w:rsid w:val="00D95A3D"/>
    <w:rsid w:val="00D9687E"/>
    <w:rsid w:val="00D97EF9"/>
    <w:rsid w:val="00DA7486"/>
    <w:rsid w:val="00DA75A9"/>
    <w:rsid w:val="00DB52E9"/>
    <w:rsid w:val="00DB5307"/>
    <w:rsid w:val="00DB7E89"/>
    <w:rsid w:val="00DE07FC"/>
    <w:rsid w:val="00DE364B"/>
    <w:rsid w:val="00DE5408"/>
    <w:rsid w:val="00DE6A8A"/>
    <w:rsid w:val="00DF01E0"/>
    <w:rsid w:val="00DF1B4C"/>
    <w:rsid w:val="00DF323D"/>
    <w:rsid w:val="00DF7C00"/>
    <w:rsid w:val="00E1247F"/>
    <w:rsid w:val="00E12B1A"/>
    <w:rsid w:val="00E1322B"/>
    <w:rsid w:val="00E21B76"/>
    <w:rsid w:val="00E41BEC"/>
    <w:rsid w:val="00E664A9"/>
    <w:rsid w:val="00E67260"/>
    <w:rsid w:val="00E719EF"/>
    <w:rsid w:val="00E72C72"/>
    <w:rsid w:val="00E74D60"/>
    <w:rsid w:val="00E750B6"/>
    <w:rsid w:val="00E831C5"/>
    <w:rsid w:val="00E838E6"/>
    <w:rsid w:val="00E84BCE"/>
    <w:rsid w:val="00E85B6F"/>
    <w:rsid w:val="00E924EF"/>
    <w:rsid w:val="00E947F5"/>
    <w:rsid w:val="00EA0FD2"/>
    <w:rsid w:val="00EA1027"/>
    <w:rsid w:val="00EA669A"/>
    <w:rsid w:val="00EB1F5F"/>
    <w:rsid w:val="00EB204B"/>
    <w:rsid w:val="00EB34FA"/>
    <w:rsid w:val="00EB5F00"/>
    <w:rsid w:val="00EC330A"/>
    <w:rsid w:val="00EC5048"/>
    <w:rsid w:val="00EC5B11"/>
    <w:rsid w:val="00EC677C"/>
    <w:rsid w:val="00EE04EB"/>
    <w:rsid w:val="00EE20F1"/>
    <w:rsid w:val="00EE3066"/>
    <w:rsid w:val="00EE3C20"/>
    <w:rsid w:val="00EF3A76"/>
    <w:rsid w:val="00EF4390"/>
    <w:rsid w:val="00EF50AC"/>
    <w:rsid w:val="00F07996"/>
    <w:rsid w:val="00F10784"/>
    <w:rsid w:val="00F121B4"/>
    <w:rsid w:val="00F16D98"/>
    <w:rsid w:val="00F20DF6"/>
    <w:rsid w:val="00F222E8"/>
    <w:rsid w:val="00F22E36"/>
    <w:rsid w:val="00F23958"/>
    <w:rsid w:val="00F23B80"/>
    <w:rsid w:val="00F23BD7"/>
    <w:rsid w:val="00F245CD"/>
    <w:rsid w:val="00F2504E"/>
    <w:rsid w:val="00F279CA"/>
    <w:rsid w:val="00F27CB0"/>
    <w:rsid w:val="00F30A2C"/>
    <w:rsid w:val="00F358D1"/>
    <w:rsid w:val="00F422E6"/>
    <w:rsid w:val="00F43FB5"/>
    <w:rsid w:val="00F446FB"/>
    <w:rsid w:val="00F4617C"/>
    <w:rsid w:val="00F4624F"/>
    <w:rsid w:val="00F47130"/>
    <w:rsid w:val="00F53FD2"/>
    <w:rsid w:val="00F53FF2"/>
    <w:rsid w:val="00F54A2D"/>
    <w:rsid w:val="00F55B07"/>
    <w:rsid w:val="00F62A7C"/>
    <w:rsid w:val="00F64886"/>
    <w:rsid w:val="00F664B6"/>
    <w:rsid w:val="00F73923"/>
    <w:rsid w:val="00F920A1"/>
    <w:rsid w:val="00F931F3"/>
    <w:rsid w:val="00F95BEE"/>
    <w:rsid w:val="00F95EE9"/>
    <w:rsid w:val="00F96677"/>
    <w:rsid w:val="00FA377A"/>
    <w:rsid w:val="00FA5D07"/>
    <w:rsid w:val="00FB32A8"/>
    <w:rsid w:val="00FB4BBF"/>
    <w:rsid w:val="00FB7457"/>
    <w:rsid w:val="00FC3BD8"/>
    <w:rsid w:val="00FC70AB"/>
    <w:rsid w:val="00FD588F"/>
    <w:rsid w:val="00FD6CC6"/>
    <w:rsid w:val="00FE11BD"/>
    <w:rsid w:val="00FE1478"/>
    <w:rsid w:val="00FF20A2"/>
    <w:rsid w:val="00FF5B42"/>
    <w:rsid w:val="00FF5F43"/>
    <w:rsid w:val="00FF72DE"/>
  </w:rsids>
  <m:mathPr>
    <m:mathFont m:val="Cambria Math"/>
    <m:brkBin m:val="before"/>
    <m:brkBinSub m:val="--"/>
    <m:smallFrac m:val="0"/>
    <m:dispDef/>
    <m:lMargin m:val="1440"/>
    <m:rMargin m:val="144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colormru v:ext="edit" colors="#334c4f,#79b5b0,#b77851,#d1e1e3,#066,#7ea8ac,#4e767a,#293d3f"/>
    </o:shapedefaults>
    <o:shapelayout v:ext="edit">
      <o:idmap v:ext="edit" data="1"/>
    </o:shapelayout>
  </w:shapeDefaults>
  <w:decimalSymbol w:val=","/>
  <w:listSeparator w:val=";"/>
  <w14:docId w14:val="79FAED52"/>
  <w15:docId w15:val="{9D4EE1FB-0A58-46FF-928E-BEB4EA7F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C4"/>
    <w:pPr>
      <w:jc w:val="both"/>
    </w:pPr>
    <w:rPr>
      <w:rFonts w:ascii="Mulish" w:hAnsi="Mulish"/>
      <w:szCs w:val="20"/>
    </w:rPr>
  </w:style>
  <w:style w:type="paragraph" w:styleId="Ttulo1">
    <w:name w:val="heading 1"/>
    <w:basedOn w:val="Normal"/>
    <w:next w:val="Normal"/>
    <w:link w:val="Ttulo1Car"/>
    <w:uiPriority w:val="9"/>
    <w:qFormat/>
    <w:rsid w:val="008B6C8E"/>
    <w:pPr>
      <w:pBdr>
        <w:bottom w:val="single" w:sz="4" w:space="1" w:color="438086" w:themeColor="accent2"/>
      </w:pBdr>
      <w:spacing w:before="360" w:after="80"/>
      <w:outlineLvl w:val="0"/>
    </w:pPr>
    <w:rPr>
      <w:b/>
      <w:color w:val="3C8378"/>
      <w:sz w:val="32"/>
      <w:szCs w:val="32"/>
    </w:rPr>
  </w:style>
  <w:style w:type="paragraph" w:styleId="Ttulo2">
    <w:name w:val="heading 2"/>
    <w:basedOn w:val="Normal"/>
    <w:next w:val="Normal"/>
    <w:link w:val="Ttulo2Car"/>
    <w:uiPriority w:val="9"/>
    <w:qFormat/>
    <w:rsid w:val="008B6C8E"/>
    <w:pPr>
      <w:spacing w:after="0"/>
      <w:outlineLvl w:val="1"/>
    </w:pPr>
    <w:rPr>
      <w:b/>
      <w:color w:val="3C8378"/>
      <w:sz w:val="28"/>
      <w:szCs w:val="28"/>
    </w:rPr>
  </w:style>
  <w:style w:type="paragraph" w:styleId="Ttulo3">
    <w:name w:val="heading 3"/>
    <w:basedOn w:val="Normal"/>
    <w:next w:val="Normal"/>
    <w:link w:val="Ttulo3Car"/>
    <w:uiPriority w:val="9"/>
    <w:qFormat/>
    <w:rsid w:val="008B6C8E"/>
    <w:pPr>
      <w:spacing w:after="0"/>
      <w:outlineLvl w:val="2"/>
    </w:pPr>
    <w:rPr>
      <w:b/>
      <w:color w:val="3C8378"/>
      <w:szCs w:val="24"/>
    </w:rPr>
  </w:style>
  <w:style w:type="paragraph" w:styleId="Ttulo4">
    <w:name w:val="heading 4"/>
    <w:basedOn w:val="Normal"/>
    <w:next w:val="Normal"/>
    <w:link w:val="Ttulo4Car"/>
    <w:uiPriority w:val="9"/>
    <w:unhideWhenUsed/>
    <w:qFormat/>
    <w:rsid w:val="008B6C8E"/>
    <w:pPr>
      <w:spacing w:after="0"/>
      <w:outlineLvl w:val="3"/>
    </w:pPr>
    <w:rPr>
      <w:b/>
      <w:i/>
      <w:color w:val="3C8378"/>
      <w:szCs w:val="22"/>
    </w:rPr>
  </w:style>
  <w:style w:type="paragraph" w:styleId="Ttulo5">
    <w:name w:val="heading 5"/>
    <w:basedOn w:val="Normal"/>
    <w:next w:val="Normal"/>
    <w:link w:val="Ttulo5Car"/>
    <w:uiPriority w:val="9"/>
    <w:unhideWhenUsed/>
    <w:qFormat/>
    <w:rsid w:val="008B6C8E"/>
    <w:pPr>
      <w:spacing w:after="0"/>
      <w:outlineLvl w:val="4"/>
    </w:pPr>
    <w:rPr>
      <w:b/>
      <w:color w:val="3C8378"/>
    </w:rPr>
  </w:style>
  <w:style w:type="paragraph" w:styleId="Ttulo6">
    <w:name w:val="heading 6"/>
    <w:basedOn w:val="Normal"/>
    <w:next w:val="Normal"/>
    <w:link w:val="Ttulo6Car"/>
    <w:uiPriority w:val="9"/>
    <w:unhideWhenUsed/>
    <w:qFormat/>
    <w:rsid w:val="00582DA3"/>
    <w:pPr>
      <w:spacing w:after="0"/>
      <w:outlineLvl w:val="5"/>
    </w:pPr>
    <w:rPr>
      <w:b/>
      <w:i/>
      <w:color w:val="3C8378"/>
    </w:rPr>
  </w:style>
  <w:style w:type="paragraph" w:styleId="Ttulo7">
    <w:name w:val="heading 7"/>
    <w:basedOn w:val="Normal"/>
    <w:next w:val="Normal"/>
    <w:link w:val="Ttulo7Car"/>
    <w:uiPriority w:val="9"/>
    <w:semiHidden/>
    <w:unhideWhenUsed/>
    <w:qFormat/>
    <w:pPr>
      <w:spacing w:after="0"/>
      <w:outlineLvl w:val="6"/>
    </w:pPr>
    <w:rPr>
      <w:rFonts w:asciiTheme="majorHAnsi" w:hAnsiTheme="majorHAnsi"/>
      <w:b/>
      <w:color w:val="53548A" w:themeColor="accent1"/>
    </w:rPr>
  </w:style>
  <w:style w:type="paragraph" w:styleId="Ttulo8">
    <w:name w:val="heading 8"/>
    <w:basedOn w:val="Normal"/>
    <w:next w:val="Normal"/>
    <w:link w:val="Ttulo8Car"/>
    <w:uiPriority w:val="9"/>
    <w:semiHidden/>
    <w:unhideWhenUsed/>
    <w:qFormat/>
    <w:pPr>
      <w:spacing w:after="0"/>
      <w:outlineLvl w:val="7"/>
    </w:pPr>
    <w:rPr>
      <w:rFonts w:asciiTheme="majorHAnsi" w:hAnsiTheme="majorHAnsi"/>
      <w:b/>
      <w:i/>
      <w:color w:val="53548A" w:themeColor="accent1"/>
    </w:rPr>
  </w:style>
  <w:style w:type="paragraph" w:styleId="Ttulo9">
    <w:name w:val="heading 9"/>
    <w:basedOn w:val="Normal"/>
    <w:next w:val="Normal"/>
    <w:link w:val="Ttulo9Car"/>
    <w:uiPriority w:val="9"/>
    <w:semiHidden/>
    <w:unhideWhenUsed/>
    <w:qFormat/>
    <w:pPr>
      <w:spacing w:after="0"/>
      <w:outlineLvl w:val="8"/>
    </w:pPr>
    <w:rPr>
      <w:rFonts w:asciiTheme="majorHAnsi" w:hAnsiTheme="majorHAnsi"/>
      <w:b/>
      <w:color w:val="313240" w:themeColor="text2"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ar"/>
    <w:uiPriority w:val="10"/>
    <w:qFormat/>
    <w:rsid w:val="000405C4"/>
    <w:pPr>
      <w:spacing w:before="400"/>
    </w:pPr>
    <w:rPr>
      <w:color w:val="3E3E67" w:themeColor="accent1" w:themeShade="BF"/>
      <w:sz w:val="56"/>
      <w:szCs w:val="56"/>
    </w:rPr>
  </w:style>
  <w:style w:type="character" w:customStyle="1" w:styleId="TtuloCar">
    <w:name w:val="Título Car"/>
    <w:basedOn w:val="Fuentedeprrafopredeter"/>
    <w:link w:val="Ttulo"/>
    <w:uiPriority w:val="10"/>
    <w:rsid w:val="000405C4"/>
    <w:rPr>
      <w:rFonts w:ascii="Mulish" w:hAnsi="Mulish"/>
      <w:color w:val="3E3E67" w:themeColor="accent1" w:themeShade="BF"/>
      <w:sz w:val="56"/>
      <w:szCs w:val="56"/>
    </w:rPr>
  </w:style>
  <w:style w:type="paragraph" w:styleId="Subttulo">
    <w:name w:val="Subtitle"/>
    <w:basedOn w:val="Normal"/>
    <w:link w:val="SubttuloCar"/>
    <w:uiPriority w:val="11"/>
    <w:qFormat/>
    <w:pPr>
      <w:spacing w:after="480"/>
    </w:pPr>
    <w:rPr>
      <w:i/>
      <w:color w:val="424456" w:themeColor="text2"/>
      <w:szCs w:val="24"/>
    </w:rPr>
  </w:style>
  <w:style w:type="character" w:customStyle="1" w:styleId="SubttuloCar">
    <w:name w:val="Subtítulo Car"/>
    <w:basedOn w:val="Fuentedeprrafopredeter"/>
    <w:link w:val="Subttulo"/>
    <w:uiPriority w:val="11"/>
    <w:rPr>
      <w:i/>
      <w:color w:val="424456" w:themeColor="text2"/>
      <w:sz w:val="24"/>
      <w:szCs w:val="24"/>
    </w:rPr>
  </w:style>
  <w:style w:type="character" w:styleId="nfasisintenso">
    <w:name w:val="Intense Emphasis"/>
    <w:basedOn w:val="Fuentedeprrafopredeter"/>
    <w:uiPriority w:val="21"/>
    <w:qFormat/>
    <w:rsid w:val="008B6C8E"/>
    <w:rPr>
      <w:rFonts w:ascii="Mulish" w:hAnsi="Mulish" w:cstheme="minorBidi"/>
      <w:b/>
      <w:i/>
      <w:caps/>
      <w:color w:val="3C8378"/>
      <w:spacing w:val="5"/>
    </w:rPr>
  </w:style>
  <w:style w:type="character" w:customStyle="1" w:styleId="Ttulo1Car">
    <w:name w:val="Título 1 Car"/>
    <w:basedOn w:val="Fuentedeprrafopredeter"/>
    <w:link w:val="Ttulo1"/>
    <w:uiPriority w:val="9"/>
    <w:rsid w:val="008B6C8E"/>
    <w:rPr>
      <w:rFonts w:ascii="Mulish" w:hAnsi="Mulish"/>
      <w:b/>
      <w:color w:val="3C8378"/>
      <w:sz w:val="32"/>
      <w:szCs w:val="32"/>
    </w:rPr>
  </w:style>
  <w:style w:type="character" w:customStyle="1" w:styleId="Ttulo2Car">
    <w:name w:val="Título 2 Car"/>
    <w:basedOn w:val="Fuentedeprrafopredeter"/>
    <w:link w:val="Ttulo2"/>
    <w:uiPriority w:val="9"/>
    <w:rsid w:val="008B6C8E"/>
    <w:rPr>
      <w:rFonts w:ascii="Mulish" w:hAnsi="Mulish"/>
      <w:b/>
      <w:color w:val="3C8378"/>
      <w:sz w:val="28"/>
      <w:szCs w:val="28"/>
    </w:rPr>
  </w:style>
  <w:style w:type="character" w:customStyle="1" w:styleId="Ttulo3Car">
    <w:name w:val="Título 3 Car"/>
    <w:basedOn w:val="Fuentedeprrafopredeter"/>
    <w:link w:val="Ttulo3"/>
    <w:uiPriority w:val="9"/>
    <w:rsid w:val="008B6C8E"/>
    <w:rPr>
      <w:rFonts w:ascii="Mulish" w:hAnsi="Mulish"/>
      <w:b/>
      <w:color w:val="3C8378"/>
      <w:szCs w:val="24"/>
    </w:rPr>
  </w:style>
  <w:style w:type="character" w:customStyle="1" w:styleId="Ttulo4Car">
    <w:name w:val="Título 4 Car"/>
    <w:basedOn w:val="Fuentedeprrafopredeter"/>
    <w:link w:val="Ttulo4"/>
    <w:uiPriority w:val="9"/>
    <w:rsid w:val="008B6C8E"/>
    <w:rPr>
      <w:rFonts w:ascii="Mulish" w:hAnsi="Mulish"/>
      <w:b/>
      <w:i/>
      <w:color w:val="3C8378"/>
    </w:rPr>
  </w:style>
  <w:style w:type="character" w:customStyle="1" w:styleId="Ttulo5Car">
    <w:name w:val="Título 5 Car"/>
    <w:basedOn w:val="Fuentedeprrafopredeter"/>
    <w:link w:val="Ttulo5"/>
    <w:uiPriority w:val="9"/>
    <w:rsid w:val="008B6C8E"/>
    <w:rPr>
      <w:rFonts w:ascii="Mulish" w:hAnsi="Mulish"/>
      <w:b/>
      <w:color w:val="3C8378"/>
      <w:szCs w:val="20"/>
    </w:rPr>
  </w:style>
  <w:style w:type="character" w:customStyle="1" w:styleId="Ttulo6Car">
    <w:name w:val="Título 6 Car"/>
    <w:basedOn w:val="Fuentedeprrafopredeter"/>
    <w:link w:val="Ttulo6"/>
    <w:uiPriority w:val="9"/>
    <w:rsid w:val="00582DA3"/>
    <w:rPr>
      <w:rFonts w:ascii="Mulish" w:hAnsi="Mulish"/>
      <w:b/>
      <w:i/>
      <w:color w:val="3C8378"/>
      <w:szCs w:val="20"/>
    </w:rPr>
  </w:style>
  <w:style w:type="character" w:customStyle="1" w:styleId="Ttulo7Car">
    <w:name w:val="Título 7 Car"/>
    <w:basedOn w:val="Fuentedeprrafopredeter"/>
    <w:link w:val="Ttulo7"/>
    <w:uiPriority w:val="9"/>
    <w:semiHidden/>
    <w:rPr>
      <w:rFonts w:asciiTheme="majorHAnsi" w:hAnsiTheme="majorHAnsi"/>
      <w:b/>
      <w:color w:val="53548A" w:themeColor="accent1"/>
      <w:sz w:val="20"/>
      <w:szCs w:val="20"/>
    </w:rPr>
  </w:style>
  <w:style w:type="character" w:customStyle="1" w:styleId="Ttulo8Car">
    <w:name w:val="Título 8 Car"/>
    <w:basedOn w:val="Fuentedeprrafopredeter"/>
    <w:link w:val="Ttulo8"/>
    <w:uiPriority w:val="9"/>
    <w:semiHidden/>
    <w:rPr>
      <w:rFonts w:asciiTheme="majorHAnsi" w:hAnsiTheme="majorHAnsi"/>
      <w:b/>
      <w:i/>
      <w:color w:val="53548A" w:themeColor="accent1"/>
      <w:sz w:val="20"/>
      <w:szCs w:val="20"/>
    </w:rPr>
  </w:style>
  <w:style w:type="character" w:customStyle="1" w:styleId="Ttulo9Car">
    <w:name w:val="Título 9 Car"/>
    <w:basedOn w:val="Fuentedeprrafopredeter"/>
    <w:link w:val="Ttulo9"/>
    <w:uiPriority w:val="9"/>
    <w:semiHidden/>
    <w:rPr>
      <w:rFonts w:asciiTheme="majorHAnsi" w:hAnsiTheme="majorHAnsi"/>
      <w:b/>
      <w:color w:val="313240" w:themeColor="text2" w:themeShade="BF"/>
      <w:sz w:val="20"/>
      <w:szCs w:val="20"/>
    </w:rPr>
  </w:style>
  <w:style w:type="character" w:styleId="Textoennegrita">
    <w:name w:val="Strong"/>
    <w:basedOn w:val="Fuentedeprrafopredeter"/>
    <w:uiPriority w:val="22"/>
    <w:qFormat/>
    <w:rsid w:val="000405C4"/>
    <w:rPr>
      <w:rFonts w:ascii="Mulish" w:hAnsi="Mulish"/>
      <w:b/>
      <w:bCs/>
    </w:rPr>
  </w:style>
  <w:style w:type="paragraph" w:styleId="Textodebloque">
    <w:name w:val="Block Text"/>
    <w:basedOn w:val="Normal"/>
    <w:uiPriority w:val="3"/>
    <w:semiHidden/>
    <w:unhideWhenUsed/>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rFonts w:eastAsiaTheme="minorEastAsia"/>
      <w:i/>
      <w:iCs/>
      <w:color w:val="53548A" w:themeColor="accent1"/>
    </w:rPr>
  </w:style>
  <w:style w:type="character" w:styleId="nfasissutil">
    <w:name w:val="Subtle Emphasis"/>
    <w:basedOn w:val="Fuentedeprrafopredeter"/>
    <w:uiPriority w:val="19"/>
    <w:qFormat/>
    <w:rsid w:val="008B6C8E"/>
    <w:rPr>
      <w:rFonts w:ascii="Mulish" w:hAnsi="Mulish"/>
      <w:i/>
      <w:color w:val="3C8378"/>
    </w:rPr>
  </w:style>
  <w:style w:type="character" w:styleId="Referenciaintensa">
    <w:name w:val="Intense Reference"/>
    <w:basedOn w:val="Fuentedeprrafopredeter"/>
    <w:uiPriority w:val="32"/>
    <w:qFormat/>
    <w:rsid w:val="000405C4"/>
    <w:rPr>
      <w:rFonts w:ascii="Mulish" w:hAnsi="Mulish" w:cs="Times New Roman"/>
      <w:b/>
      <w:i/>
      <w:caps/>
      <w:color w:val="4E4F89"/>
      <w:spacing w:val="5"/>
    </w:rPr>
  </w:style>
  <w:style w:type="character" w:styleId="Referenciasutil">
    <w:name w:val="Subtle Reference"/>
    <w:basedOn w:val="Fuentedeprrafopredeter"/>
    <w:uiPriority w:val="31"/>
    <w:qFormat/>
    <w:rsid w:val="000405C4"/>
    <w:rPr>
      <w:rFonts w:ascii="Mulish" w:hAnsi="Mulish" w:cs="Times New Roman"/>
      <w:i/>
      <w:color w:val="4E4F89"/>
    </w:rPr>
  </w:style>
  <w:style w:type="character" w:styleId="nfasis">
    <w:name w:val="Emphasis"/>
    <w:uiPriority w:val="20"/>
    <w:qFormat/>
    <w:rsid w:val="008B6C8E"/>
    <w:rPr>
      <w:rFonts w:ascii="Mulish" w:hAnsi="Mulish"/>
      <w:b/>
      <w:color w:val="3C8378"/>
      <w:spacing w:val="10"/>
    </w:rPr>
  </w:style>
  <w:style w:type="character" w:styleId="Ttulodellibro">
    <w:name w:val="Book Title"/>
    <w:basedOn w:val="Fuentedeprrafopredeter"/>
    <w:uiPriority w:val="33"/>
    <w:qFormat/>
    <w:rsid w:val="000405C4"/>
    <w:rPr>
      <w:rFonts w:ascii="Mulish" w:hAnsi="Mulish" w:cs="Times New Roman"/>
      <w:i/>
      <w:color w:val="000000"/>
      <w:sz w:val="20"/>
      <w:szCs w:val="20"/>
    </w:rPr>
  </w:style>
  <w:style w:type="paragraph" w:styleId="Encabezado">
    <w:name w:val="header"/>
    <w:basedOn w:val="Normal"/>
    <w:link w:val="EncabezadoCar"/>
    <w:uiPriority w:val="99"/>
    <w:unhideWhenUsed/>
    <w:pPr>
      <w:tabs>
        <w:tab w:val="center" w:pos="4320"/>
        <w:tab w:val="right" w:pos="8640"/>
      </w:tabs>
    </w:pPr>
  </w:style>
  <w:style w:type="character" w:customStyle="1" w:styleId="EncabezadoCar">
    <w:name w:val="Encabezado Car"/>
    <w:basedOn w:val="Fuentedeprrafopredeter"/>
    <w:link w:val="Encabezado"/>
    <w:uiPriority w:val="99"/>
    <w:rPr>
      <w:sz w:val="20"/>
      <w:szCs w:val="20"/>
    </w:rPr>
  </w:style>
  <w:style w:type="paragraph" w:styleId="Piedepgina">
    <w:name w:val="footer"/>
    <w:basedOn w:val="Normal"/>
    <w:link w:val="PiedepginaCar"/>
    <w:uiPriority w:val="99"/>
    <w:unhideWhenUsed/>
    <w:pPr>
      <w:tabs>
        <w:tab w:val="center" w:pos="4320"/>
        <w:tab w:val="right" w:pos="8640"/>
      </w:tabs>
    </w:pPr>
  </w:style>
  <w:style w:type="character" w:customStyle="1" w:styleId="PiedepginaCar">
    <w:name w:val="Pie de página Car"/>
    <w:basedOn w:val="Fuentedeprrafopredeter"/>
    <w:link w:val="Piedepgina"/>
    <w:uiPriority w:val="99"/>
    <w:rPr>
      <w:sz w:val="20"/>
      <w:szCs w:val="20"/>
    </w:rPr>
  </w:style>
  <w:style w:type="paragraph" w:styleId="Sangranormal">
    <w:name w:val="Normal Indent"/>
    <w:basedOn w:val="Normal"/>
    <w:uiPriority w:val="99"/>
    <w:unhideWhenUsed/>
    <w:pPr>
      <w:ind w:left="720"/>
      <w:contextualSpacing/>
    </w:pPr>
  </w:style>
  <w:style w:type="paragraph" w:styleId="Citadestacada">
    <w:name w:val="Intense Quote"/>
    <w:basedOn w:val="Normal"/>
    <w:uiPriority w:val="30"/>
    <w:qFormat/>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Cs w:val="22"/>
    </w:rPr>
  </w:style>
  <w:style w:type="numbering" w:customStyle="1" w:styleId="Listaconvietasurbana">
    <w:name w:val="Lista con viñetas urbana"/>
    <w:uiPriority w:val="99"/>
    <w:pPr>
      <w:numPr>
        <w:numId w:val="2"/>
      </w:numPr>
    </w:pPr>
  </w:style>
  <w:style w:type="numbering" w:customStyle="1" w:styleId="Listanumeradaurbana">
    <w:name w:val="Lista numerada urbana"/>
    <w:uiPriority w:val="99"/>
    <w:pPr>
      <w:numPr>
        <w:numId w:val="3"/>
      </w:numPr>
    </w:pPr>
  </w:style>
  <w:style w:type="paragraph" w:styleId="Prrafodelista">
    <w:name w:val="List Paragraph"/>
    <w:basedOn w:val="Normal"/>
    <w:uiPriority w:val="34"/>
    <w:unhideWhenUsed/>
    <w:qFormat/>
    <w:pPr>
      <w:ind w:left="720"/>
      <w:contextualSpacing/>
    </w:pPr>
  </w:style>
  <w:style w:type="paragraph" w:styleId="Sinespaciado">
    <w:name w:val="No Spacing"/>
    <w:basedOn w:val="Normal"/>
    <w:uiPriority w:val="1"/>
    <w:qFormat/>
    <w:pPr>
      <w:spacing w:after="0" w:line="240" w:lineRule="auto"/>
    </w:pPr>
    <w:rPr>
      <w:szCs w:val="32"/>
    </w:rPr>
  </w:style>
  <w:style w:type="character" w:styleId="Textodelmarcadordeposicin">
    <w:name w:val="Placeholder Text"/>
    <w:basedOn w:val="Fuentedeprrafopredeter"/>
    <w:uiPriority w:val="99"/>
    <w:unhideWhenUsed/>
    <w:rPr>
      <w:color w:val="808080"/>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customStyle="1" w:styleId="Vieta1">
    <w:name w:val="Viñeta 1"/>
    <w:basedOn w:val="Prrafodelista"/>
    <w:uiPriority w:val="38"/>
    <w:qFormat/>
    <w:pPr>
      <w:numPr>
        <w:numId w:val="4"/>
      </w:numPr>
      <w:spacing w:after="0"/>
    </w:pPr>
  </w:style>
  <w:style w:type="paragraph" w:customStyle="1" w:styleId="Vieta2">
    <w:name w:val="Viñeta 2"/>
    <w:basedOn w:val="Prrafodelista"/>
    <w:uiPriority w:val="38"/>
    <w:qFormat/>
    <w:pPr>
      <w:numPr>
        <w:ilvl w:val="1"/>
        <w:numId w:val="4"/>
      </w:numPr>
      <w:spacing w:after="0"/>
    </w:pPr>
  </w:style>
  <w:style w:type="paragraph" w:customStyle="1" w:styleId="Vieta3">
    <w:name w:val="Viñeta 3"/>
    <w:basedOn w:val="Prrafodelista"/>
    <w:uiPriority w:val="38"/>
    <w:qFormat/>
    <w:pPr>
      <w:numPr>
        <w:ilvl w:val="2"/>
        <w:numId w:val="4"/>
      </w:numPr>
      <w:spacing w:after="0"/>
    </w:pPr>
  </w:style>
  <w:style w:type="paragraph" w:customStyle="1" w:styleId="MarcadorDePosicinPredeterminadoAsunto10">
    <w:name w:val="MarcadorDePosiciónPredeterminado_Asunto10"/>
    <w:uiPriority w:val="39"/>
    <w:rPr>
      <w:i/>
      <w:color w:val="424456" w:themeColor="text2"/>
      <w:sz w:val="24"/>
      <w:szCs w:val="24"/>
    </w:rPr>
  </w:style>
  <w:style w:type="paragraph" w:customStyle="1" w:styleId="Encabezadopar">
    <w:name w:val="Encabezado par"/>
    <w:basedOn w:val="Encabezado"/>
    <w:uiPriority w:val="39"/>
    <w:pPr>
      <w:pBdr>
        <w:bottom w:val="single" w:sz="4" w:space="1" w:color="auto"/>
      </w:pBdr>
    </w:pPr>
  </w:style>
  <w:style w:type="paragraph" w:customStyle="1" w:styleId="Encabezadoimpar">
    <w:name w:val="Encabezado impar"/>
    <w:basedOn w:val="Encabezado"/>
    <w:uiPriority w:val="39"/>
    <w:pPr>
      <w:pBdr>
        <w:bottom w:val="single" w:sz="4" w:space="1" w:color="auto"/>
      </w:pBdr>
      <w:jc w:val="right"/>
    </w:pPr>
  </w:style>
  <w:style w:type="paragraph" w:customStyle="1" w:styleId="Categora">
    <w:name w:val="Categoría"/>
    <w:basedOn w:val="Normal"/>
    <w:uiPriority w:val="39"/>
    <w:qFormat/>
    <w:pPr>
      <w:framePr w:hSpace="187" w:wrap="around" w:hAnchor="margin" w:xAlign="center" w:y="721"/>
      <w:spacing w:after="0" w:line="240" w:lineRule="auto"/>
    </w:pPr>
    <w:rPr>
      <w:caps/>
      <w:szCs w:val="22"/>
    </w:rPr>
  </w:style>
  <w:style w:type="paragraph" w:customStyle="1" w:styleId="Comentarios">
    <w:name w:val="Comentarios"/>
    <w:basedOn w:val="Normal"/>
    <w:uiPriority w:val="39"/>
    <w:qFormat/>
    <w:pPr>
      <w:spacing w:after="120" w:line="240" w:lineRule="auto"/>
    </w:pPr>
    <w:rPr>
      <w:b/>
      <w:szCs w:val="22"/>
    </w:rPr>
  </w:style>
  <w:style w:type="paragraph" w:customStyle="1" w:styleId="Textodecomentarios">
    <w:name w:val="Texto de comentarios"/>
    <w:basedOn w:val="Normal"/>
    <w:uiPriority w:val="39"/>
    <w:qFormat/>
    <w:pPr>
      <w:spacing w:after="120" w:line="288" w:lineRule="auto"/>
    </w:pPr>
    <w:rPr>
      <w:szCs w:val="22"/>
    </w:rPr>
  </w:style>
  <w:style w:type="character" w:styleId="Hipervnculo">
    <w:name w:val="Hyperlink"/>
    <w:basedOn w:val="Fuentedeprrafopredeter"/>
    <w:uiPriority w:val="99"/>
    <w:unhideWhenUsed/>
    <w:rPr>
      <w:color w:val="67AFBD" w:themeColor="hyperlink"/>
      <w:u w:val="single"/>
    </w:rPr>
  </w:style>
  <w:style w:type="paragraph" w:styleId="TDC1">
    <w:name w:val="toc 1"/>
    <w:basedOn w:val="Normal"/>
    <w:next w:val="Normal"/>
    <w:autoRedefine/>
    <w:uiPriority w:val="39"/>
    <w:unhideWhenUsed/>
    <w:qFormat/>
    <w:rsid w:val="00C32933"/>
    <w:pPr>
      <w:tabs>
        <w:tab w:val="right" w:pos="9061"/>
      </w:tabs>
    </w:pPr>
    <w:rPr>
      <w:rFonts w:eastAsiaTheme="minorEastAsia"/>
      <w:szCs w:val="24"/>
    </w:rPr>
  </w:style>
  <w:style w:type="paragraph" w:styleId="TDC2">
    <w:name w:val="toc 2"/>
    <w:basedOn w:val="Normal"/>
    <w:next w:val="Normal"/>
    <w:autoRedefine/>
    <w:uiPriority w:val="39"/>
    <w:unhideWhenUsed/>
    <w:qFormat/>
    <w:rsid w:val="00C32933"/>
    <w:pPr>
      <w:tabs>
        <w:tab w:val="right" w:pos="9061"/>
      </w:tabs>
      <w:ind w:left="284"/>
    </w:pPr>
    <w:rPr>
      <w:rFonts w:eastAsiaTheme="minorEastAsia"/>
      <w:szCs w:val="24"/>
    </w:rPr>
  </w:style>
  <w:style w:type="paragraph" w:styleId="TDC3">
    <w:name w:val="toc 3"/>
    <w:basedOn w:val="Normal"/>
    <w:next w:val="Normal"/>
    <w:autoRedefine/>
    <w:uiPriority w:val="39"/>
    <w:unhideWhenUsed/>
    <w:qFormat/>
    <w:rsid w:val="004C195D"/>
    <w:pPr>
      <w:tabs>
        <w:tab w:val="right" w:pos="9061"/>
      </w:tabs>
      <w:spacing w:after="100"/>
      <w:ind w:left="400"/>
      <w:jc w:val="left"/>
    </w:pPr>
  </w:style>
  <w:style w:type="paragraph" w:styleId="Descripcin">
    <w:name w:val="caption"/>
    <w:basedOn w:val="Normal"/>
    <w:next w:val="Normal"/>
    <w:uiPriority w:val="35"/>
    <w:unhideWhenUsed/>
    <w:qFormat/>
    <w:pPr>
      <w:spacing w:line="240" w:lineRule="auto"/>
    </w:pPr>
    <w:rPr>
      <w:b/>
      <w:bCs/>
      <w:color w:val="53548A" w:themeColor="accent1"/>
      <w:sz w:val="18"/>
      <w:szCs w:val="18"/>
    </w:rPr>
  </w:style>
  <w:style w:type="paragraph" w:styleId="Textonotapie">
    <w:name w:val="footnote text"/>
    <w:basedOn w:val="Normal"/>
    <w:link w:val="TextonotapieCar"/>
    <w:uiPriority w:val="99"/>
    <w:semiHidden/>
    <w:unhideWhenUsed/>
    <w:rsid w:val="00E1322B"/>
    <w:pPr>
      <w:spacing w:after="0" w:line="240" w:lineRule="auto"/>
    </w:pPr>
    <w:rPr>
      <w:sz w:val="20"/>
    </w:rPr>
  </w:style>
  <w:style w:type="character" w:customStyle="1" w:styleId="TextonotapieCar">
    <w:name w:val="Texto nota pie Car"/>
    <w:basedOn w:val="Fuentedeprrafopredeter"/>
    <w:link w:val="Textonotapie"/>
    <w:uiPriority w:val="99"/>
    <w:semiHidden/>
    <w:rsid w:val="00E1322B"/>
    <w:rPr>
      <w:rFonts w:ascii="Century Gothic" w:hAnsi="Century Gothic"/>
      <w:sz w:val="20"/>
      <w:szCs w:val="20"/>
    </w:rPr>
  </w:style>
  <w:style w:type="character" w:styleId="Refdenotaalpie">
    <w:name w:val="footnote reference"/>
    <w:basedOn w:val="Fuentedeprrafopredeter"/>
    <w:uiPriority w:val="99"/>
    <w:semiHidden/>
    <w:unhideWhenUsed/>
    <w:rsid w:val="00E1322B"/>
    <w:rPr>
      <w:vertAlign w:val="superscript"/>
    </w:rPr>
  </w:style>
  <w:style w:type="paragraph" w:styleId="TtuloTDC">
    <w:name w:val="TOC Heading"/>
    <w:basedOn w:val="Ttulo1"/>
    <w:next w:val="Normal"/>
    <w:uiPriority w:val="39"/>
    <w:unhideWhenUsed/>
    <w:qFormat/>
    <w:rsid w:val="00E924EF"/>
    <w:pPr>
      <w:keepNext/>
      <w:keepLines/>
      <w:pBdr>
        <w:bottom w:val="none" w:sz="0" w:space="0" w:color="auto"/>
      </w:pBdr>
      <w:spacing w:before="480" w:after="0"/>
      <w:jc w:val="left"/>
      <w:outlineLvl w:val="9"/>
    </w:pPr>
    <w:rPr>
      <w:rFonts w:eastAsiaTheme="majorEastAsia" w:cstheme="majorBidi"/>
      <w:bCs/>
      <w:color w:val="3E3E67" w:themeColor="accent1" w:themeShade="BF"/>
      <w:sz w:val="28"/>
      <w:szCs w:val="28"/>
    </w:rPr>
  </w:style>
  <w:style w:type="paragraph" w:styleId="Tabladeilustraciones">
    <w:name w:val="table of figures"/>
    <w:basedOn w:val="Normal"/>
    <w:next w:val="Normal"/>
    <w:uiPriority w:val="99"/>
    <w:unhideWhenUsed/>
    <w:rsid w:val="00E924EF"/>
    <w:pPr>
      <w:spacing w:after="0"/>
      <w:ind w:left="440" w:hanging="440"/>
      <w:jc w:val="left"/>
    </w:pPr>
    <w:rPr>
      <w:rFonts w:asciiTheme="minorHAnsi" w:hAnsiTheme="minorHAnsi"/>
      <w:b/>
      <w:bCs/>
      <w:sz w:val="20"/>
    </w:rPr>
  </w:style>
  <w:style w:type="table" w:styleId="Listavistosa-nfasis2">
    <w:name w:val="Colorful List Accent 2"/>
    <w:basedOn w:val="Tablanormal"/>
    <w:uiPriority w:val="42"/>
    <w:rsid w:val="0008061C"/>
    <w:pPr>
      <w:spacing w:after="0" w:line="240" w:lineRule="auto"/>
    </w:pPr>
    <w:rPr>
      <w:color w:val="000000" w:themeColor="text1"/>
    </w:rPr>
    <w:tblPr>
      <w:tblStyleRowBandSize w:val="1"/>
      <w:tblStyleColBandSize w:val="1"/>
    </w:tblPr>
    <w:tcPr>
      <w:shd w:val="clear" w:color="auto" w:fill="EAF4F5" w:themeFill="accent2" w:themeFillTint="19"/>
    </w:tcPr>
    <w:tblStylePr w:type="firstRow">
      <w:rPr>
        <w:b/>
        <w:bCs/>
        <w:color w:val="FFFFFF" w:themeColor="background1"/>
      </w:rPr>
      <w:tblPr/>
      <w:tcPr>
        <w:tcBorders>
          <w:bottom w:val="single" w:sz="12" w:space="0" w:color="FFFFFF" w:themeColor="background1"/>
        </w:tcBorders>
        <w:shd w:val="clear" w:color="auto" w:fill="35666B" w:themeFill="accent2" w:themeFillShade="CC"/>
      </w:tcPr>
    </w:tblStylePr>
    <w:tblStylePr w:type="lastRow">
      <w:rPr>
        <w:b/>
        <w:bCs/>
        <w:color w:val="3566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3E5" w:themeFill="accent2" w:themeFillTint="3F"/>
      </w:tcPr>
    </w:tblStylePr>
    <w:tblStylePr w:type="band1Horz">
      <w:tblPr/>
      <w:tcPr>
        <w:shd w:val="clear" w:color="auto" w:fill="D5E8EA" w:themeFill="accent2" w:themeFillTint="33"/>
      </w:tcPr>
    </w:tblStylePr>
  </w:style>
  <w:style w:type="table" w:customStyle="1" w:styleId="Tablaconcuadrcula1">
    <w:name w:val="Tabla con cuadrícula1"/>
    <w:basedOn w:val="Tablanormal"/>
    <w:next w:val="Tablaconcuadrcula"/>
    <w:uiPriority w:val="59"/>
    <w:rsid w:val="00F931F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1D364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535CD6"/>
    <w:rPr>
      <w:sz w:val="16"/>
      <w:szCs w:val="16"/>
    </w:rPr>
  </w:style>
  <w:style w:type="paragraph" w:styleId="Textocomentario">
    <w:name w:val="annotation text"/>
    <w:basedOn w:val="Normal"/>
    <w:link w:val="TextocomentarioCar"/>
    <w:uiPriority w:val="99"/>
    <w:unhideWhenUsed/>
    <w:rsid w:val="00535CD6"/>
    <w:pPr>
      <w:spacing w:line="240" w:lineRule="auto"/>
    </w:pPr>
    <w:rPr>
      <w:sz w:val="20"/>
    </w:rPr>
  </w:style>
  <w:style w:type="character" w:customStyle="1" w:styleId="TextocomentarioCar">
    <w:name w:val="Texto comentario Car"/>
    <w:basedOn w:val="Fuentedeprrafopredeter"/>
    <w:link w:val="Textocomentario"/>
    <w:uiPriority w:val="99"/>
    <w:rsid w:val="00535CD6"/>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5CD6"/>
    <w:rPr>
      <w:b/>
      <w:bCs/>
    </w:rPr>
  </w:style>
  <w:style w:type="character" w:customStyle="1" w:styleId="AsuntodelcomentarioCar">
    <w:name w:val="Asunto del comentario Car"/>
    <w:basedOn w:val="TextocomentarioCar"/>
    <w:link w:val="Asuntodelcomentario"/>
    <w:uiPriority w:val="99"/>
    <w:semiHidden/>
    <w:rsid w:val="00535CD6"/>
    <w:rPr>
      <w:rFonts w:ascii="Century Gothic" w:hAnsi="Century Gothic"/>
      <w:b/>
      <w:bCs/>
      <w:sz w:val="20"/>
      <w:szCs w:val="20"/>
    </w:rPr>
  </w:style>
  <w:style w:type="paragraph" w:styleId="Listaconvietas">
    <w:name w:val="List Bullet"/>
    <w:basedOn w:val="Normal"/>
    <w:uiPriority w:val="99"/>
    <w:unhideWhenUsed/>
    <w:rsid w:val="00D74601"/>
    <w:pPr>
      <w:numPr>
        <w:numId w:val="1"/>
      </w:numPr>
      <w:contextualSpacing/>
    </w:pPr>
  </w:style>
  <w:style w:type="table" w:styleId="Listaclara-nfasis2">
    <w:name w:val="Light List Accent 2"/>
    <w:basedOn w:val="Tablanormal"/>
    <w:uiPriority w:val="42"/>
    <w:rsid w:val="00141DBA"/>
    <w:pPr>
      <w:spacing w:after="0" w:line="240" w:lineRule="auto"/>
    </w:pPr>
    <w:tblPr>
      <w:tblStyleRowBandSize w:val="1"/>
      <w:tblStyleColBandSize w:val="1"/>
      <w:tblBorders>
        <w:top w:val="single" w:sz="8" w:space="0" w:color="438086" w:themeColor="accent2"/>
        <w:left w:val="single" w:sz="8" w:space="0" w:color="438086" w:themeColor="accent2"/>
        <w:bottom w:val="single" w:sz="8" w:space="0" w:color="438086" w:themeColor="accent2"/>
        <w:right w:val="single" w:sz="8" w:space="0" w:color="438086" w:themeColor="accent2"/>
      </w:tblBorders>
    </w:tblPr>
    <w:tblStylePr w:type="firstRow">
      <w:pPr>
        <w:spacing w:before="0" w:after="0" w:line="240" w:lineRule="auto"/>
      </w:pPr>
      <w:rPr>
        <w:b/>
        <w:bCs/>
        <w:color w:val="FFFFFF" w:themeColor="background1"/>
      </w:rPr>
      <w:tblPr/>
      <w:tcPr>
        <w:shd w:val="clear" w:color="auto" w:fill="438086" w:themeFill="accent2"/>
      </w:tcPr>
    </w:tblStylePr>
    <w:tblStylePr w:type="lastRow">
      <w:pPr>
        <w:spacing w:before="0" w:after="0" w:line="240" w:lineRule="auto"/>
      </w:pPr>
      <w:rPr>
        <w:b/>
        <w:bCs/>
      </w:rPr>
      <w:tblPr/>
      <w:tcPr>
        <w:tcBorders>
          <w:top w:val="double" w:sz="6" w:space="0" w:color="438086" w:themeColor="accent2"/>
          <w:left w:val="single" w:sz="8" w:space="0" w:color="438086" w:themeColor="accent2"/>
          <w:bottom w:val="single" w:sz="8" w:space="0" w:color="438086" w:themeColor="accent2"/>
          <w:right w:val="single" w:sz="8" w:space="0" w:color="438086" w:themeColor="accent2"/>
        </w:tcBorders>
      </w:tcPr>
    </w:tblStylePr>
    <w:tblStylePr w:type="firstCol">
      <w:rPr>
        <w:b/>
        <w:bCs/>
      </w:rPr>
    </w:tblStylePr>
    <w:tblStylePr w:type="lastCol">
      <w:rPr>
        <w:b/>
        <w:bCs/>
      </w:rPr>
    </w:tblStylePr>
    <w:tblStylePr w:type="band1Vert">
      <w:tblPr/>
      <w:tcPr>
        <w:tcBorders>
          <w:top w:val="single" w:sz="8" w:space="0" w:color="438086" w:themeColor="accent2"/>
          <w:left w:val="single" w:sz="8" w:space="0" w:color="438086" w:themeColor="accent2"/>
          <w:bottom w:val="single" w:sz="8" w:space="0" w:color="438086" w:themeColor="accent2"/>
          <w:right w:val="single" w:sz="8" w:space="0" w:color="438086" w:themeColor="accent2"/>
        </w:tcBorders>
      </w:tcPr>
    </w:tblStylePr>
    <w:tblStylePr w:type="band1Horz">
      <w:tblPr/>
      <w:tcPr>
        <w:tcBorders>
          <w:top w:val="single" w:sz="8" w:space="0" w:color="438086" w:themeColor="accent2"/>
          <w:left w:val="single" w:sz="8" w:space="0" w:color="438086" w:themeColor="accent2"/>
          <w:bottom w:val="single" w:sz="8" w:space="0" w:color="438086" w:themeColor="accent2"/>
          <w:right w:val="single" w:sz="8" w:space="0" w:color="438086" w:themeColor="accent2"/>
        </w:tcBorders>
      </w:tcPr>
    </w:tblStylePr>
  </w:style>
  <w:style w:type="paragraph" w:styleId="Textonotaalfinal">
    <w:name w:val="endnote text"/>
    <w:basedOn w:val="Normal"/>
    <w:link w:val="TextonotaalfinalCar"/>
    <w:uiPriority w:val="99"/>
    <w:semiHidden/>
    <w:unhideWhenUsed/>
    <w:rsid w:val="00360C44"/>
    <w:pPr>
      <w:spacing w:after="0" w:line="240" w:lineRule="auto"/>
    </w:pPr>
    <w:rPr>
      <w:sz w:val="20"/>
    </w:rPr>
  </w:style>
  <w:style w:type="character" w:customStyle="1" w:styleId="TextonotaalfinalCar">
    <w:name w:val="Texto nota al final Car"/>
    <w:basedOn w:val="Fuentedeprrafopredeter"/>
    <w:link w:val="Textonotaalfinal"/>
    <w:uiPriority w:val="99"/>
    <w:semiHidden/>
    <w:rsid w:val="00360C44"/>
    <w:rPr>
      <w:rFonts w:ascii="Century Gothic" w:hAnsi="Century Gothic"/>
      <w:sz w:val="20"/>
      <w:szCs w:val="20"/>
    </w:rPr>
  </w:style>
  <w:style w:type="character" w:styleId="Refdenotaalfinal">
    <w:name w:val="endnote reference"/>
    <w:basedOn w:val="Fuentedeprrafopredeter"/>
    <w:uiPriority w:val="99"/>
    <w:semiHidden/>
    <w:unhideWhenUsed/>
    <w:rsid w:val="00360C44"/>
    <w:rPr>
      <w:vertAlign w:val="superscript"/>
    </w:rPr>
  </w:style>
  <w:style w:type="table" w:styleId="Cuadrculamedia3-nfasis2">
    <w:name w:val="Medium Grid 3 Accent 2"/>
    <w:basedOn w:val="Tablanormal"/>
    <w:uiPriority w:val="42"/>
    <w:rsid w:val="00AB5A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3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3808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3808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3808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3808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C7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C7CB" w:themeFill="accent2" w:themeFillTint="7F"/>
      </w:tcPr>
    </w:tblStylePr>
  </w:style>
  <w:style w:type="table" w:customStyle="1" w:styleId="Sombreadomedio1-nfasis51">
    <w:name w:val="Sombreado medio 1 - Énfasis 51"/>
    <w:basedOn w:val="Tablanormal"/>
    <w:next w:val="Sombreadomedio1-nfasis5"/>
    <w:uiPriority w:val="63"/>
    <w:rsid w:val="00632B6E"/>
    <w:pPr>
      <w:spacing w:after="0" w:line="240" w:lineRule="auto"/>
    </w:pPr>
    <w:rPr>
      <w:lang w:eastAsia="en-US"/>
    </w:rPr>
    <w:tblPr>
      <w:tblStyleRowBandSize w:val="1"/>
      <w:tblStyleColBandSize w:val="1"/>
      <w:tblBorders>
        <w:top w:val="single" w:sz="8" w:space="0" w:color="226860"/>
        <w:left w:val="single" w:sz="8" w:space="0" w:color="226860"/>
        <w:bottom w:val="single" w:sz="8" w:space="0" w:color="226860"/>
        <w:right w:val="single" w:sz="8" w:space="0" w:color="226860"/>
        <w:insideH w:val="single" w:sz="8" w:space="0" w:color="226860"/>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5">
    <w:name w:val="Medium Shading 1 Accent 5"/>
    <w:basedOn w:val="Tablanormal"/>
    <w:uiPriority w:val="45"/>
    <w:rsid w:val="00632B6E"/>
    <w:pPr>
      <w:spacing w:after="0" w:line="240" w:lineRule="auto"/>
    </w:pPr>
    <w:tblPr>
      <w:tblStyleRowBandSize w:val="1"/>
      <w:tblStyleColBandSize w:val="1"/>
      <w:tblBorders>
        <w:top w:val="single" w:sz="8" w:space="0" w:color="B8825D" w:themeColor="accent5" w:themeTint="BF"/>
        <w:left w:val="single" w:sz="8" w:space="0" w:color="B8825D" w:themeColor="accent5" w:themeTint="BF"/>
        <w:bottom w:val="single" w:sz="8" w:space="0" w:color="B8825D" w:themeColor="accent5" w:themeTint="BF"/>
        <w:right w:val="single" w:sz="8" w:space="0" w:color="B8825D" w:themeColor="accent5" w:themeTint="BF"/>
        <w:insideH w:val="single" w:sz="8" w:space="0" w:color="B8825D" w:themeColor="accent5" w:themeTint="BF"/>
      </w:tblBorders>
    </w:tblPr>
    <w:tblStylePr w:type="firstRow">
      <w:pPr>
        <w:spacing w:before="0" w:after="0" w:line="240" w:lineRule="auto"/>
      </w:pPr>
      <w:rPr>
        <w:b/>
        <w:bCs/>
        <w:color w:val="FFFFFF" w:themeColor="background1"/>
      </w:rPr>
      <w:tblPr/>
      <w:tcPr>
        <w:tcBorders>
          <w:top w:val="single" w:sz="8" w:space="0" w:color="B8825D" w:themeColor="accent5" w:themeTint="BF"/>
          <w:left w:val="single" w:sz="8" w:space="0" w:color="B8825D" w:themeColor="accent5" w:themeTint="BF"/>
          <w:bottom w:val="single" w:sz="8" w:space="0" w:color="B8825D" w:themeColor="accent5" w:themeTint="BF"/>
          <w:right w:val="single" w:sz="8" w:space="0" w:color="B8825D" w:themeColor="accent5" w:themeTint="BF"/>
          <w:insideH w:val="nil"/>
          <w:insideV w:val="nil"/>
        </w:tcBorders>
        <w:shd w:val="clear" w:color="auto" w:fill="8B5D3D" w:themeFill="accent5"/>
      </w:tcPr>
    </w:tblStylePr>
    <w:tblStylePr w:type="lastRow">
      <w:pPr>
        <w:spacing w:before="0" w:after="0" w:line="240" w:lineRule="auto"/>
      </w:pPr>
      <w:rPr>
        <w:b/>
        <w:bCs/>
      </w:rPr>
      <w:tblPr/>
      <w:tcPr>
        <w:tcBorders>
          <w:top w:val="double" w:sz="6" w:space="0" w:color="B8825D" w:themeColor="accent5" w:themeTint="BF"/>
          <w:left w:val="single" w:sz="8" w:space="0" w:color="B8825D" w:themeColor="accent5" w:themeTint="BF"/>
          <w:bottom w:val="single" w:sz="8" w:space="0" w:color="B8825D" w:themeColor="accent5" w:themeTint="BF"/>
          <w:right w:val="single" w:sz="8" w:space="0" w:color="B882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D5C9" w:themeFill="accent5" w:themeFillTint="3F"/>
      </w:tcPr>
    </w:tblStylePr>
    <w:tblStylePr w:type="band1Horz">
      <w:tblPr/>
      <w:tcPr>
        <w:tcBorders>
          <w:insideH w:val="nil"/>
          <w:insideV w:val="nil"/>
        </w:tcBorders>
        <w:shd w:val="clear" w:color="auto" w:fill="E7D5C9" w:themeFill="accent5" w:themeFillTint="3F"/>
      </w:tcPr>
    </w:tblStylePr>
    <w:tblStylePr w:type="band2Horz">
      <w:tblPr/>
      <w:tcPr>
        <w:tcBorders>
          <w:insideH w:val="nil"/>
          <w:insideV w:val="nil"/>
        </w:tcBorders>
      </w:tcPr>
    </w:tblStylePr>
  </w:style>
  <w:style w:type="table" w:styleId="Tabladelista3-nfasis2">
    <w:name w:val="List Table 3 Accent 2"/>
    <w:basedOn w:val="Tablanormal"/>
    <w:uiPriority w:val="48"/>
    <w:rsid w:val="00D15F0F"/>
    <w:pPr>
      <w:spacing w:after="0" w:line="240" w:lineRule="auto"/>
    </w:pPr>
    <w:tblPr>
      <w:tblStyleRowBandSize w:val="1"/>
      <w:tblStyleColBandSize w:val="1"/>
      <w:tblBorders>
        <w:top w:val="single" w:sz="4" w:space="0" w:color="438086" w:themeColor="accent2"/>
        <w:left w:val="single" w:sz="4" w:space="0" w:color="438086" w:themeColor="accent2"/>
        <w:bottom w:val="single" w:sz="4" w:space="0" w:color="438086" w:themeColor="accent2"/>
        <w:right w:val="single" w:sz="4" w:space="0" w:color="438086" w:themeColor="accent2"/>
      </w:tblBorders>
    </w:tblPr>
    <w:tblStylePr w:type="firstRow">
      <w:rPr>
        <w:b/>
        <w:bCs/>
        <w:color w:val="FFFFFF" w:themeColor="background1"/>
      </w:rPr>
      <w:tblPr/>
      <w:tcPr>
        <w:shd w:val="clear" w:color="auto" w:fill="438086" w:themeFill="accent2"/>
      </w:tcPr>
    </w:tblStylePr>
    <w:tblStylePr w:type="lastRow">
      <w:rPr>
        <w:b/>
        <w:bCs/>
      </w:rPr>
      <w:tblPr/>
      <w:tcPr>
        <w:tcBorders>
          <w:top w:val="double" w:sz="4" w:space="0" w:color="43808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8086" w:themeColor="accent2"/>
          <w:right w:val="single" w:sz="4" w:space="0" w:color="438086" w:themeColor="accent2"/>
        </w:tcBorders>
      </w:tcPr>
    </w:tblStylePr>
    <w:tblStylePr w:type="band1Horz">
      <w:tblPr/>
      <w:tcPr>
        <w:tcBorders>
          <w:top w:val="single" w:sz="4" w:space="0" w:color="438086" w:themeColor="accent2"/>
          <w:bottom w:val="single" w:sz="4" w:space="0" w:color="43808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8086" w:themeColor="accent2"/>
          <w:left w:val="nil"/>
        </w:tcBorders>
      </w:tcPr>
    </w:tblStylePr>
    <w:tblStylePr w:type="swCell">
      <w:tblPr/>
      <w:tcPr>
        <w:tcBorders>
          <w:top w:val="double" w:sz="4" w:space="0" w:color="438086" w:themeColor="accent2"/>
          <w:right w:val="nil"/>
        </w:tcBorders>
      </w:tcPr>
    </w:tblStylePr>
  </w:style>
  <w:style w:type="table" w:styleId="Tablaconcuadrcula4-nfasis2">
    <w:name w:val="Grid Table 4 Accent 2"/>
    <w:basedOn w:val="Tablanormal"/>
    <w:uiPriority w:val="49"/>
    <w:rsid w:val="00D15F0F"/>
    <w:pPr>
      <w:spacing w:after="0" w:line="240" w:lineRule="auto"/>
    </w:pPr>
    <w:tblPr>
      <w:tblStyleRowBandSize w:val="1"/>
      <w:tblStyleColBandSize w:val="1"/>
      <w:tblBorders>
        <w:top w:val="single" w:sz="4" w:space="0" w:color="83BBC1" w:themeColor="accent2" w:themeTint="99"/>
        <w:left w:val="single" w:sz="4" w:space="0" w:color="83BBC1" w:themeColor="accent2" w:themeTint="99"/>
        <w:bottom w:val="single" w:sz="4" w:space="0" w:color="83BBC1" w:themeColor="accent2" w:themeTint="99"/>
        <w:right w:val="single" w:sz="4" w:space="0" w:color="83BBC1" w:themeColor="accent2" w:themeTint="99"/>
        <w:insideH w:val="single" w:sz="4" w:space="0" w:color="83BBC1" w:themeColor="accent2" w:themeTint="99"/>
        <w:insideV w:val="single" w:sz="4" w:space="0" w:color="83BBC1" w:themeColor="accent2" w:themeTint="99"/>
      </w:tblBorders>
    </w:tblPr>
    <w:tblStylePr w:type="firstRow">
      <w:rPr>
        <w:b/>
        <w:bCs/>
        <w:color w:val="FFFFFF" w:themeColor="background1"/>
      </w:rPr>
      <w:tblPr/>
      <w:tcPr>
        <w:tcBorders>
          <w:top w:val="single" w:sz="4" w:space="0" w:color="438086" w:themeColor="accent2"/>
          <w:left w:val="single" w:sz="4" w:space="0" w:color="438086" w:themeColor="accent2"/>
          <w:bottom w:val="single" w:sz="4" w:space="0" w:color="438086" w:themeColor="accent2"/>
          <w:right w:val="single" w:sz="4" w:space="0" w:color="438086" w:themeColor="accent2"/>
          <w:insideH w:val="nil"/>
          <w:insideV w:val="nil"/>
        </w:tcBorders>
        <w:shd w:val="clear" w:color="auto" w:fill="438086" w:themeFill="accent2"/>
      </w:tcPr>
    </w:tblStylePr>
    <w:tblStylePr w:type="lastRow">
      <w:rPr>
        <w:b/>
        <w:bCs/>
      </w:rPr>
      <w:tblPr/>
      <w:tcPr>
        <w:tcBorders>
          <w:top w:val="double" w:sz="4" w:space="0" w:color="438086" w:themeColor="accent2"/>
        </w:tcBorders>
      </w:tcPr>
    </w:tblStylePr>
    <w:tblStylePr w:type="firstCol">
      <w:rPr>
        <w:b/>
        <w:bCs/>
      </w:rPr>
    </w:tblStylePr>
    <w:tblStylePr w:type="lastCol">
      <w:rPr>
        <w:b/>
        <w:bCs/>
      </w:rPr>
    </w:tblStylePr>
    <w:tblStylePr w:type="band1Vert">
      <w:tblPr/>
      <w:tcPr>
        <w:shd w:val="clear" w:color="auto" w:fill="D5E8EA" w:themeFill="accent2" w:themeFillTint="33"/>
      </w:tcPr>
    </w:tblStylePr>
    <w:tblStylePr w:type="band1Horz">
      <w:tblPr/>
      <w:tcPr>
        <w:shd w:val="clear" w:color="auto" w:fill="D5E8EA"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00059">
      <w:bodyDiv w:val="1"/>
      <w:marLeft w:val="0"/>
      <w:marRight w:val="0"/>
      <w:marTop w:val="0"/>
      <w:marBottom w:val="0"/>
      <w:divBdr>
        <w:top w:val="none" w:sz="0" w:space="0" w:color="auto"/>
        <w:left w:val="none" w:sz="0" w:space="0" w:color="auto"/>
        <w:bottom w:val="none" w:sz="0" w:space="0" w:color="auto"/>
        <w:right w:val="none" w:sz="0" w:space="0" w:color="auto"/>
      </w:divBdr>
    </w:div>
    <w:div w:id="328563262">
      <w:bodyDiv w:val="1"/>
      <w:marLeft w:val="0"/>
      <w:marRight w:val="0"/>
      <w:marTop w:val="0"/>
      <w:marBottom w:val="0"/>
      <w:divBdr>
        <w:top w:val="none" w:sz="0" w:space="0" w:color="auto"/>
        <w:left w:val="none" w:sz="0" w:space="0" w:color="auto"/>
        <w:bottom w:val="none" w:sz="0" w:space="0" w:color="auto"/>
        <w:right w:val="none" w:sz="0" w:space="0" w:color="auto"/>
      </w:divBdr>
    </w:div>
    <w:div w:id="390009668">
      <w:bodyDiv w:val="1"/>
      <w:marLeft w:val="0"/>
      <w:marRight w:val="0"/>
      <w:marTop w:val="0"/>
      <w:marBottom w:val="0"/>
      <w:divBdr>
        <w:top w:val="none" w:sz="0" w:space="0" w:color="auto"/>
        <w:left w:val="none" w:sz="0" w:space="0" w:color="auto"/>
        <w:bottom w:val="none" w:sz="0" w:space="0" w:color="auto"/>
        <w:right w:val="none" w:sz="0" w:space="0" w:color="auto"/>
      </w:divBdr>
    </w:div>
    <w:div w:id="446237854">
      <w:bodyDiv w:val="1"/>
      <w:marLeft w:val="0"/>
      <w:marRight w:val="0"/>
      <w:marTop w:val="0"/>
      <w:marBottom w:val="0"/>
      <w:divBdr>
        <w:top w:val="none" w:sz="0" w:space="0" w:color="auto"/>
        <w:left w:val="none" w:sz="0" w:space="0" w:color="auto"/>
        <w:bottom w:val="none" w:sz="0" w:space="0" w:color="auto"/>
        <w:right w:val="none" w:sz="0" w:space="0" w:color="auto"/>
      </w:divBdr>
    </w:div>
    <w:div w:id="498038257">
      <w:bodyDiv w:val="1"/>
      <w:marLeft w:val="0"/>
      <w:marRight w:val="0"/>
      <w:marTop w:val="0"/>
      <w:marBottom w:val="0"/>
      <w:divBdr>
        <w:top w:val="none" w:sz="0" w:space="0" w:color="auto"/>
        <w:left w:val="none" w:sz="0" w:space="0" w:color="auto"/>
        <w:bottom w:val="none" w:sz="0" w:space="0" w:color="auto"/>
        <w:right w:val="none" w:sz="0" w:space="0" w:color="auto"/>
      </w:divBdr>
    </w:div>
    <w:div w:id="500042847">
      <w:bodyDiv w:val="1"/>
      <w:marLeft w:val="0"/>
      <w:marRight w:val="0"/>
      <w:marTop w:val="0"/>
      <w:marBottom w:val="0"/>
      <w:divBdr>
        <w:top w:val="none" w:sz="0" w:space="0" w:color="auto"/>
        <w:left w:val="none" w:sz="0" w:space="0" w:color="auto"/>
        <w:bottom w:val="none" w:sz="0" w:space="0" w:color="auto"/>
        <w:right w:val="none" w:sz="0" w:space="0" w:color="auto"/>
      </w:divBdr>
    </w:div>
    <w:div w:id="579994062">
      <w:bodyDiv w:val="1"/>
      <w:marLeft w:val="0"/>
      <w:marRight w:val="0"/>
      <w:marTop w:val="0"/>
      <w:marBottom w:val="0"/>
      <w:divBdr>
        <w:top w:val="none" w:sz="0" w:space="0" w:color="auto"/>
        <w:left w:val="none" w:sz="0" w:space="0" w:color="auto"/>
        <w:bottom w:val="none" w:sz="0" w:space="0" w:color="auto"/>
        <w:right w:val="none" w:sz="0" w:space="0" w:color="auto"/>
      </w:divBdr>
    </w:div>
    <w:div w:id="688065234">
      <w:bodyDiv w:val="1"/>
      <w:marLeft w:val="0"/>
      <w:marRight w:val="0"/>
      <w:marTop w:val="0"/>
      <w:marBottom w:val="0"/>
      <w:divBdr>
        <w:top w:val="none" w:sz="0" w:space="0" w:color="auto"/>
        <w:left w:val="none" w:sz="0" w:space="0" w:color="auto"/>
        <w:bottom w:val="none" w:sz="0" w:space="0" w:color="auto"/>
        <w:right w:val="none" w:sz="0" w:space="0" w:color="auto"/>
      </w:divBdr>
    </w:div>
    <w:div w:id="794954288">
      <w:bodyDiv w:val="1"/>
      <w:marLeft w:val="0"/>
      <w:marRight w:val="0"/>
      <w:marTop w:val="0"/>
      <w:marBottom w:val="0"/>
      <w:divBdr>
        <w:top w:val="none" w:sz="0" w:space="0" w:color="auto"/>
        <w:left w:val="none" w:sz="0" w:space="0" w:color="auto"/>
        <w:bottom w:val="none" w:sz="0" w:space="0" w:color="auto"/>
        <w:right w:val="none" w:sz="0" w:space="0" w:color="auto"/>
      </w:divBdr>
    </w:div>
    <w:div w:id="1011882995">
      <w:bodyDiv w:val="1"/>
      <w:marLeft w:val="0"/>
      <w:marRight w:val="0"/>
      <w:marTop w:val="0"/>
      <w:marBottom w:val="0"/>
      <w:divBdr>
        <w:top w:val="none" w:sz="0" w:space="0" w:color="auto"/>
        <w:left w:val="none" w:sz="0" w:space="0" w:color="auto"/>
        <w:bottom w:val="none" w:sz="0" w:space="0" w:color="auto"/>
        <w:right w:val="none" w:sz="0" w:space="0" w:color="auto"/>
      </w:divBdr>
    </w:div>
    <w:div w:id="1629160165">
      <w:bodyDiv w:val="1"/>
      <w:marLeft w:val="0"/>
      <w:marRight w:val="0"/>
      <w:marTop w:val="0"/>
      <w:marBottom w:val="0"/>
      <w:divBdr>
        <w:top w:val="none" w:sz="0" w:space="0" w:color="auto"/>
        <w:left w:val="none" w:sz="0" w:space="0" w:color="auto"/>
        <w:bottom w:val="none" w:sz="0" w:space="0" w:color="auto"/>
        <w:right w:val="none" w:sz="0" w:space="0" w:color="auto"/>
      </w:divBdr>
    </w:div>
    <w:div w:id="177590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chart" Target="charts/chart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4.xm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UrbanReport.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Gr&#225;fico%20en%20Microsoft%20Word"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gonzalo.gomez\Documents\SGTBG\Evaluaciones\2025\Privados\Informe%20agregado\Gr&#225;fico%203%20en%20Microsoft%20Word_2025.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2"/>
          <c:order val="0"/>
          <c:invertIfNegative val="0"/>
          <c:dPt>
            <c:idx val="0"/>
            <c:invertIfNegative val="0"/>
            <c:bubble3D val="0"/>
            <c:spPr>
              <a:solidFill>
                <a:srgbClr val="438086"/>
              </a:solidFill>
            </c:spPr>
            <c:extLst>
              <c:ext xmlns:c16="http://schemas.microsoft.com/office/drawing/2014/chart" uri="{C3380CC4-5D6E-409C-BE32-E72D297353CC}">
                <c16:uniqueId val="{00000001-AE00-465F-8A8F-118E8B1EE6CA}"/>
              </c:ext>
            </c:extLst>
          </c:dPt>
          <c:dPt>
            <c:idx val="2"/>
            <c:invertIfNegative val="0"/>
            <c:bubble3D val="0"/>
            <c:spPr>
              <a:solidFill>
                <a:srgbClr val="438086"/>
              </a:solidFill>
            </c:spPr>
            <c:extLst>
              <c:ext xmlns:c16="http://schemas.microsoft.com/office/drawing/2014/chart" uri="{C3380CC4-5D6E-409C-BE32-E72D297353CC}">
                <c16:uniqueId val="{00000002-AE00-465F-8A8F-118E8B1EE6CA}"/>
              </c:ext>
            </c:extLst>
          </c:dPt>
          <c:dPt>
            <c:idx val="4"/>
            <c:invertIfNegative val="0"/>
            <c:bubble3D val="0"/>
            <c:spPr>
              <a:solidFill>
                <a:srgbClr val="438086"/>
              </a:solidFill>
            </c:spPr>
            <c:extLst>
              <c:ext xmlns:c16="http://schemas.microsoft.com/office/drawing/2014/chart" uri="{C3380CC4-5D6E-409C-BE32-E72D297353CC}">
                <c16:uniqueId val="{00000003-AE00-465F-8A8F-118E8B1EE6CA}"/>
              </c:ext>
            </c:extLst>
          </c:dPt>
          <c:dPt>
            <c:idx val="5"/>
            <c:invertIfNegative val="0"/>
            <c:bubble3D val="0"/>
            <c:spPr>
              <a:solidFill>
                <a:srgbClr val="438086"/>
              </a:solidFill>
            </c:spPr>
            <c:extLst>
              <c:ext xmlns:c16="http://schemas.microsoft.com/office/drawing/2014/chart" uri="{C3380CC4-5D6E-409C-BE32-E72D297353CC}">
                <c16:uniqueId val="{00000004-AE00-465F-8A8F-118E8B1EE6CA}"/>
              </c:ext>
            </c:extLst>
          </c:dPt>
          <c:dPt>
            <c:idx val="6"/>
            <c:invertIfNegative val="0"/>
            <c:bubble3D val="0"/>
            <c:spPr>
              <a:solidFill>
                <a:srgbClr val="438086"/>
              </a:solidFill>
            </c:spPr>
            <c:extLst>
              <c:ext xmlns:c16="http://schemas.microsoft.com/office/drawing/2014/chart" uri="{C3380CC4-5D6E-409C-BE32-E72D297353CC}">
                <c16:uniqueId val="{00000005-AE00-465F-8A8F-118E8B1EE6CA}"/>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'[Gráfico en Microsoft Word]Hoja1'!$J$3:$J$9</c:f>
              <c:strCache>
                <c:ptCount val="7"/>
                <c:pt idx="0">
                  <c:v>100%</c:v>
                </c:pt>
                <c:pt idx="1">
                  <c:v>80-99,9%</c:v>
                </c:pt>
                <c:pt idx="2">
                  <c:v>60-79,9%</c:v>
                </c:pt>
                <c:pt idx="3">
                  <c:v>40-59,9%</c:v>
                </c:pt>
                <c:pt idx="4">
                  <c:v>20-39,9%</c:v>
                </c:pt>
                <c:pt idx="5">
                  <c:v>1-19,9%</c:v>
                </c:pt>
                <c:pt idx="6">
                  <c:v>0%</c:v>
                </c:pt>
              </c:strCache>
            </c:strRef>
          </c:cat>
          <c:val>
            <c:numRef>
              <c:f>'[Gráfico en Microsoft Word]Hoja1'!$L$3:$L$9</c:f>
              <c:numCache>
                <c:formatCode>0.0%</c:formatCode>
                <c:ptCount val="7"/>
                <c:pt idx="0">
                  <c:v>9.0909090909090912E-2</c:v>
                </c:pt>
                <c:pt idx="1">
                  <c:v>0</c:v>
                </c:pt>
                <c:pt idx="2">
                  <c:v>9.0909090909090912E-2</c:v>
                </c:pt>
                <c:pt idx="3">
                  <c:v>0</c:v>
                </c:pt>
                <c:pt idx="4">
                  <c:v>0.27272727272727271</c:v>
                </c:pt>
                <c:pt idx="5">
                  <c:v>0.18181818181818182</c:v>
                </c:pt>
                <c:pt idx="6">
                  <c:v>0.36363636363636365</c:v>
                </c:pt>
              </c:numCache>
            </c:numRef>
          </c:val>
          <c:extLst>
            <c:ext xmlns:c16="http://schemas.microsoft.com/office/drawing/2014/chart" uri="{C3380CC4-5D6E-409C-BE32-E72D297353CC}">
              <c16:uniqueId val="{00000000-AE00-465F-8A8F-118E8B1EE6CA}"/>
            </c:ext>
          </c:extLst>
        </c:ser>
        <c:dLbls>
          <c:showLegendKey val="0"/>
          <c:showVal val="0"/>
          <c:showCatName val="0"/>
          <c:showSerName val="0"/>
          <c:showPercent val="0"/>
          <c:showBubbleSize val="0"/>
        </c:dLbls>
        <c:gapWidth val="150"/>
        <c:axId val="174788992"/>
        <c:axId val="233445632"/>
      </c:barChart>
      <c:catAx>
        <c:axId val="174788992"/>
        <c:scaling>
          <c:orientation val="minMax"/>
        </c:scaling>
        <c:delete val="0"/>
        <c:axPos val="b"/>
        <c:title>
          <c:tx>
            <c:rich>
              <a:bodyPr/>
              <a:lstStyle/>
              <a:p>
                <a:pPr>
                  <a:defRPr/>
                </a:pPr>
                <a:r>
                  <a:rPr lang="es-ES"/>
                  <a:t>% de recomendaciones aplicadas</a:t>
                </a:r>
              </a:p>
            </c:rich>
          </c:tx>
          <c:overlay val="0"/>
        </c:title>
        <c:numFmt formatCode="General" sourceLinked="0"/>
        <c:majorTickMark val="out"/>
        <c:minorTickMark val="none"/>
        <c:tickLblPos val="nextTo"/>
        <c:crossAx val="233445632"/>
        <c:crosses val="autoZero"/>
        <c:auto val="1"/>
        <c:lblAlgn val="ctr"/>
        <c:lblOffset val="100"/>
        <c:noMultiLvlLbl val="0"/>
      </c:catAx>
      <c:valAx>
        <c:axId val="233445632"/>
        <c:scaling>
          <c:orientation val="minMax"/>
        </c:scaling>
        <c:delete val="1"/>
        <c:axPos val="l"/>
        <c:title>
          <c:tx>
            <c:rich>
              <a:bodyPr rot="-5400000" vert="horz"/>
              <a:lstStyle/>
              <a:p>
                <a:pPr>
                  <a:defRPr/>
                </a:pPr>
                <a:r>
                  <a:rPr lang="es-ES" b="1"/>
                  <a:t>% d</a:t>
                </a:r>
                <a:r>
                  <a:rPr lang="es-ES"/>
                  <a:t>e entidades</a:t>
                </a:r>
              </a:p>
            </c:rich>
          </c:tx>
          <c:layout>
            <c:manualLayout>
              <c:xMode val="edge"/>
              <c:yMode val="edge"/>
              <c:x val="3.6111111111111108E-2"/>
              <c:y val="0.26545895304753575"/>
            </c:manualLayout>
          </c:layout>
          <c:overlay val="0"/>
        </c:title>
        <c:numFmt formatCode="#,##0" sourceLinked="0"/>
        <c:majorTickMark val="out"/>
        <c:minorTickMark val="none"/>
        <c:tickLblPos val="nextTo"/>
        <c:crossAx val="174788992"/>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c:spPr>
          <c:invertIfNegative val="0"/>
          <c:dPt>
            <c:idx val="0"/>
            <c:invertIfNegative val="0"/>
            <c:bubble3D val="0"/>
            <c:spPr>
              <a:solidFill>
                <a:srgbClr val="438086"/>
              </a:solidFill>
            </c:spPr>
            <c:extLst>
              <c:ext xmlns:c16="http://schemas.microsoft.com/office/drawing/2014/chart" uri="{C3380CC4-5D6E-409C-BE32-E72D297353CC}">
                <c16:uniqueId val="{00000001-537D-4023-97A8-519730ED86EE}"/>
              </c:ext>
            </c:extLst>
          </c:dPt>
          <c:dPt>
            <c:idx val="1"/>
            <c:invertIfNegative val="0"/>
            <c:bubble3D val="0"/>
            <c:spPr>
              <a:solidFill>
                <a:srgbClr val="438086"/>
              </a:solidFill>
            </c:spPr>
            <c:extLst>
              <c:ext xmlns:c16="http://schemas.microsoft.com/office/drawing/2014/chart" uri="{C3380CC4-5D6E-409C-BE32-E72D297353CC}">
                <c16:uniqueId val="{00000003-537D-4023-97A8-519730ED86EE}"/>
              </c:ext>
            </c:extLst>
          </c:dPt>
          <c:dPt>
            <c:idx val="2"/>
            <c:invertIfNegative val="0"/>
            <c:bubble3D val="0"/>
            <c:spPr>
              <a:solidFill>
                <a:srgbClr val="438086">
                  <a:lumMod val="60000"/>
                  <a:lumOff val="40000"/>
                </a:srgbClr>
              </a:solidFill>
            </c:spPr>
            <c:extLst>
              <c:ext xmlns:c16="http://schemas.microsoft.com/office/drawing/2014/chart" uri="{C3380CC4-5D6E-409C-BE32-E72D297353CC}">
                <c16:uniqueId val="{00000005-537D-4023-97A8-519730ED86EE}"/>
              </c:ext>
            </c:extLst>
          </c:dPt>
          <c:dPt>
            <c:idx val="3"/>
            <c:invertIfNegative val="0"/>
            <c:bubble3D val="0"/>
            <c:spPr>
              <a:solidFill>
                <a:srgbClr val="438086">
                  <a:lumMod val="40000"/>
                  <a:lumOff val="60000"/>
                </a:srgbClr>
              </a:solidFill>
            </c:spPr>
            <c:extLst>
              <c:ext xmlns:c16="http://schemas.microsoft.com/office/drawing/2014/chart" uri="{C3380CC4-5D6E-409C-BE32-E72D297353CC}">
                <c16:uniqueId val="{00000007-537D-4023-97A8-519730ED86EE}"/>
              </c:ext>
            </c:extLst>
          </c:dPt>
          <c:dPt>
            <c:idx val="4"/>
            <c:invertIfNegative val="0"/>
            <c:bubble3D val="0"/>
            <c:spPr>
              <a:pattFill prst="wdUpDiag">
                <a:fgClr>
                  <a:srgbClr val="438086"/>
                </a:fgClr>
                <a:bgClr>
                  <a:sysClr val="window" lastClr="FFFFFF"/>
                </a:bgClr>
              </a:pattFill>
            </c:spPr>
            <c:extLst>
              <c:ext xmlns:c16="http://schemas.microsoft.com/office/drawing/2014/chart" uri="{C3380CC4-5D6E-409C-BE32-E72D297353CC}">
                <c16:uniqueId val="{00000009-537D-4023-97A8-519730ED86EE}"/>
              </c:ext>
            </c:extLst>
          </c:dPt>
          <c:dPt>
            <c:idx val="5"/>
            <c:invertIfNegative val="0"/>
            <c:bubble3D val="0"/>
            <c:spPr>
              <a:solidFill>
                <a:srgbClr val="438086">
                  <a:lumMod val="20000"/>
                  <a:lumOff val="80000"/>
                </a:srgbClr>
              </a:solidFill>
            </c:spPr>
            <c:extLst>
              <c:ext xmlns:c16="http://schemas.microsoft.com/office/drawing/2014/chart" uri="{C3380CC4-5D6E-409C-BE32-E72D297353CC}">
                <c16:uniqueId val="{0000000B-537D-4023-97A8-519730ED86EE}"/>
              </c:ext>
            </c:extLst>
          </c:dPt>
          <c:dLbls>
            <c:dLbl>
              <c:idx val="2"/>
              <c:tx>
                <c:rich>
                  <a:bodyPr/>
                  <a:lstStyle/>
                  <a:p>
                    <a:r>
                      <a:rPr lang="en-US"/>
                      <a:t>33,95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37D-4023-97A8-519730ED86EE}"/>
                </c:ext>
              </c:extLst>
            </c:dLbl>
            <c:dLbl>
              <c:idx val="4"/>
              <c:tx>
                <c:rich>
                  <a:bodyPr/>
                  <a:lstStyle/>
                  <a:p>
                    <a:r>
                      <a:rPr lang="en-US"/>
                      <a:t>34,4%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37D-4023-97A8-519730ED86EE}"/>
                </c:ext>
              </c:extLst>
            </c:dLbl>
            <c:dLbl>
              <c:idx val="5"/>
              <c:tx>
                <c:rich>
                  <a:bodyPr/>
                  <a:lstStyle/>
                  <a:p>
                    <a:r>
                      <a:rPr lang="en-US"/>
                      <a:t>19,8%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37D-4023-97A8-519730ED86E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Hoja2!$A$83:$A$88</c:f>
              <c:strCache>
                <c:ptCount val="6"/>
                <c:pt idx="0">
                  <c:v>ONG</c:v>
                </c:pt>
                <c:pt idx="1">
                  <c:v>Federación Deportiva</c:v>
                </c:pt>
                <c:pt idx="2">
                  <c:v>Asociación</c:v>
                </c:pt>
                <c:pt idx="3">
                  <c:v>Fundación Privada</c:v>
                </c:pt>
                <c:pt idx="4">
                  <c:v>Total Sujetos privados</c:v>
                </c:pt>
                <c:pt idx="5">
                  <c:v>Empresa</c:v>
                </c:pt>
              </c:strCache>
            </c:strRef>
          </c:cat>
          <c:val>
            <c:numRef>
              <c:f>Hoja2!$B$83:$B$88</c:f>
              <c:numCache>
                <c:formatCode>0.0%</c:formatCode>
                <c:ptCount val="6"/>
                <c:pt idx="0">
                  <c:v>0.71660000000000001</c:v>
                </c:pt>
                <c:pt idx="1">
                  <c:v>0.56699999999999995</c:v>
                </c:pt>
                <c:pt idx="2">
                  <c:v>0.35160000000000002</c:v>
                </c:pt>
                <c:pt idx="3">
                  <c:v>0.32619999999999999</c:v>
                </c:pt>
                <c:pt idx="4">
                  <c:v>0.34300000000000003</c:v>
                </c:pt>
                <c:pt idx="5">
                  <c:v>0.1988</c:v>
                </c:pt>
              </c:numCache>
            </c:numRef>
          </c:val>
          <c:extLst>
            <c:ext xmlns:c16="http://schemas.microsoft.com/office/drawing/2014/chart" uri="{C3380CC4-5D6E-409C-BE32-E72D297353CC}">
              <c16:uniqueId val="{0000000C-537D-4023-97A8-519730ED86EE}"/>
            </c:ext>
          </c:extLst>
        </c:ser>
        <c:dLbls>
          <c:showLegendKey val="0"/>
          <c:showVal val="0"/>
          <c:showCatName val="0"/>
          <c:showSerName val="0"/>
          <c:showPercent val="0"/>
          <c:showBubbleSize val="0"/>
        </c:dLbls>
        <c:gapWidth val="150"/>
        <c:axId val="238056192"/>
        <c:axId val="238057728"/>
      </c:barChart>
      <c:catAx>
        <c:axId val="238056192"/>
        <c:scaling>
          <c:orientation val="minMax"/>
        </c:scaling>
        <c:delete val="0"/>
        <c:axPos val="b"/>
        <c:numFmt formatCode="General" sourceLinked="1"/>
        <c:majorTickMark val="out"/>
        <c:minorTickMark val="none"/>
        <c:tickLblPos val="nextTo"/>
        <c:crossAx val="238057728"/>
        <c:crosses val="autoZero"/>
        <c:auto val="1"/>
        <c:lblAlgn val="ctr"/>
        <c:lblOffset val="100"/>
        <c:noMultiLvlLbl val="0"/>
      </c:catAx>
      <c:valAx>
        <c:axId val="238057728"/>
        <c:scaling>
          <c:orientation val="minMax"/>
          <c:max val="1"/>
        </c:scaling>
        <c:delete val="0"/>
        <c:axPos val="l"/>
        <c:numFmt formatCode="0%" sourceLinked="0"/>
        <c:majorTickMark val="out"/>
        <c:minorTickMark val="none"/>
        <c:tickLblPos val="nextTo"/>
        <c:crossAx val="238056192"/>
        <c:crosses val="autoZero"/>
        <c:crossBetween val="between"/>
        <c:majorUnit val="0.2"/>
      </c:valAx>
    </c:plotArea>
    <c:plotVisOnly val="1"/>
    <c:dispBlanksAs val="gap"/>
    <c:showDLblsOverMax val="0"/>
  </c:chart>
  <c:txPr>
    <a:bodyPr/>
    <a:lstStyle/>
    <a:p>
      <a:pPr>
        <a:defRPr>
          <a:latin typeface="Mulish" pitchFamily="2" charset="0"/>
        </a:defRPr>
      </a:pPr>
      <a:endParaRPr lang="es-E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Hoja1!$A$3</c:f>
              <c:strCache>
                <c:ptCount val="1"/>
                <c:pt idx="0">
                  <c:v>cump_IOP_cont</c:v>
                </c:pt>
              </c:strCache>
            </c:strRef>
          </c:tx>
          <c:invertIfNegative val="0"/>
          <c:dPt>
            <c:idx val="0"/>
            <c:invertIfNegative val="0"/>
            <c:bubble3D val="0"/>
            <c:spPr>
              <a:solidFill>
                <a:schemeClr val="accent5">
                  <a:lumMod val="75000"/>
                </a:schemeClr>
              </a:solidFill>
            </c:spPr>
            <c:extLst>
              <c:ext xmlns:c16="http://schemas.microsoft.com/office/drawing/2014/chart" uri="{C3380CC4-5D6E-409C-BE32-E72D297353CC}">
                <c16:uniqueId val="{00000001-7512-4C01-9135-D8E6BD3F0C73}"/>
              </c:ext>
            </c:extLst>
          </c:dPt>
          <c:dPt>
            <c:idx val="1"/>
            <c:invertIfNegative val="0"/>
            <c:bubble3D val="0"/>
            <c:spPr>
              <a:solidFill>
                <a:schemeClr val="accent5">
                  <a:lumMod val="20000"/>
                  <a:lumOff val="80000"/>
                </a:schemeClr>
              </a:solidFill>
            </c:spPr>
            <c:extLst>
              <c:ext xmlns:c16="http://schemas.microsoft.com/office/drawing/2014/chart" uri="{C3380CC4-5D6E-409C-BE32-E72D297353CC}">
                <c16:uniqueId val="{00000003-7512-4C01-9135-D8E6BD3F0C73}"/>
              </c:ext>
            </c:extLst>
          </c:dPt>
          <c:dPt>
            <c:idx val="2"/>
            <c:invertIfNegative val="0"/>
            <c:bubble3D val="0"/>
            <c:spPr>
              <a:pattFill prst="wdDnDiag">
                <a:fgClr>
                  <a:schemeClr val="accent5"/>
                </a:fgClr>
                <a:bgClr>
                  <a:schemeClr val="bg1"/>
                </a:bgClr>
              </a:pattFill>
            </c:spPr>
            <c:extLst>
              <c:ext xmlns:c16="http://schemas.microsoft.com/office/drawing/2014/chart" uri="{C3380CC4-5D6E-409C-BE32-E72D297353CC}">
                <c16:uniqueId val="{00000005-7512-4C01-9135-D8E6BD3F0C73}"/>
              </c:ext>
            </c:extLst>
          </c:dPt>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Hoja1!$B$2:$D$2</c:f>
              <c:strCache>
                <c:ptCount val="3"/>
                <c:pt idx="0">
                  <c:v>Evaluadas 2024</c:v>
                </c:pt>
                <c:pt idx="1">
                  <c:v>Evaluadas 2025</c:v>
                </c:pt>
                <c:pt idx="2">
                  <c:v>Total</c:v>
                </c:pt>
              </c:strCache>
            </c:strRef>
          </c:cat>
          <c:val>
            <c:numRef>
              <c:f>Hoja1!$B$3:$D$3</c:f>
              <c:numCache>
                <c:formatCode>###0.00</c:formatCode>
                <c:ptCount val="3"/>
                <c:pt idx="0">
                  <c:v>0.64119999999999999</c:v>
                </c:pt>
                <c:pt idx="1">
                  <c:v>0.54569999999999996</c:v>
                </c:pt>
                <c:pt idx="2" formatCode="General">
                  <c:v>0.5706</c:v>
                </c:pt>
              </c:numCache>
            </c:numRef>
          </c:val>
          <c:extLst>
            <c:ext xmlns:c16="http://schemas.microsoft.com/office/drawing/2014/chart" uri="{C3380CC4-5D6E-409C-BE32-E72D297353CC}">
              <c16:uniqueId val="{00000006-7512-4C01-9135-D8E6BD3F0C73}"/>
            </c:ext>
          </c:extLst>
        </c:ser>
        <c:dLbls>
          <c:showLegendKey val="0"/>
          <c:showVal val="0"/>
          <c:showCatName val="0"/>
          <c:showSerName val="0"/>
          <c:showPercent val="0"/>
          <c:showBubbleSize val="0"/>
        </c:dLbls>
        <c:gapWidth val="150"/>
        <c:axId val="228682752"/>
        <c:axId val="228688640"/>
      </c:barChart>
      <c:catAx>
        <c:axId val="228682752"/>
        <c:scaling>
          <c:orientation val="minMax"/>
        </c:scaling>
        <c:delete val="0"/>
        <c:axPos val="b"/>
        <c:numFmt formatCode="General" sourceLinked="0"/>
        <c:majorTickMark val="out"/>
        <c:minorTickMark val="none"/>
        <c:tickLblPos val="nextTo"/>
        <c:crossAx val="228688640"/>
        <c:crosses val="autoZero"/>
        <c:auto val="1"/>
        <c:lblAlgn val="ctr"/>
        <c:lblOffset val="100"/>
        <c:noMultiLvlLbl val="0"/>
      </c:catAx>
      <c:valAx>
        <c:axId val="228688640"/>
        <c:scaling>
          <c:orientation val="minMax"/>
          <c:max val="1"/>
        </c:scaling>
        <c:delete val="0"/>
        <c:axPos val="l"/>
        <c:numFmt formatCode="0%" sourceLinked="0"/>
        <c:majorTickMark val="out"/>
        <c:minorTickMark val="none"/>
        <c:tickLblPos val="nextTo"/>
        <c:crossAx val="22868275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0"/>
            <c:invertIfNegative val="0"/>
            <c:bubble3D val="0"/>
            <c:spPr>
              <a:solidFill>
                <a:srgbClr val="438086"/>
              </a:solidFill>
            </c:spPr>
            <c:extLst>
              <c:ext xmlns:c16="http://schemas.microsoft.com/office/drawing/2014/chart" uri="{C3380CC4-5D6E-409C-BE32-E72D297353CC}">
                <c16:uniqueId val="{00000001-4871-4CD2-8824-FE6C90BB3767}"/>
              </c:ext>
            </c:extLst>
          </c:dPt>
          <c:dPt>
            <c:idx val="1"/>
            <c:invertIfNegative val="0"/>
            <c:bubble3D val="0"/>
            <c:spPr>
              <a:solidFill>
                <a:srgbClr val="438086"/>
              </a:solidFill>
            </c:spPr>
            <c:extLst>
              <c:ext xmlns:c16="http://schemas.microsoft.com/office/drawing/2014/chart" uri="{C3380CC4-5D6E-409C-BE32-E72D297353CC}">
                <c16:uniqueId val="{00000003-4871-4CD2-8824-FE6C90BB3767}"/>
              </c:ext>
            </c:extLst>
          </c:dPt>
          <c:dPt>
            <c:idx val="2"/>
            <c:invertIfNegative val="0"/>
            <c:bubble3D val="0"/>
            <c:spPr>
              <a:solidFill>
                <a:srgbClr val="438086">
                  <a:lumMod val="60000"/>
                  <a:lumOff val="40000"/>
                </a:srgbClr>
              </a:solidFill>
            </c:spPr>
            <c:extLst>
              <c:ext xmlns:c16="http://schemas.microsoft.com/office/drawing/2014/chart" uri="{C3380CC4-5D6E-409C-BE32-E72D297353CC}">
                <c16:uniqueId val="{00000005-4871-4CD2-8824-FE6C90BB3767}"/>
              </c:ext>
            </c:extLst>
          </c:dPt>
          <c:dPt>
            <c:idx val="3"/>
            <c:invertIfNegative val="0"/>
            <c:bubble3D val="0"/>
            <c:spPr>
              <a:solidFill>
                <a:srgbClr val="438086">
                  <a:lumMod val="60000"/>
                  <a:lumOff val="40000"/>
                </a:srgbClr>
              </a:solidFill>
            </c:spPr>
            <c:extLst>
              <c:ext xmlns:c16="http://schemas.microsoft.com/office/drawing/2014/chart" uri="{C3380CC4-5D6E-409C-BE32-E72D297353CC}">
                <c16:uniqueId val="{00000007-4871-4CD2-8824-FE6C90BB3767}"/>
              </c:ext>
            </c:extLst>
          </c:dPt>
          <c:dPt>
            <c:idx val="4"/>
            <c:invertIfNegative val="0"/>
            <c:bubble3D val="0"/>
            <c:spPr>
              <a:pattFill prst="wdDnDiag">
                <a:fgClr>
                  <a:srgbClr val="438086"/>
                </a:fgClr>
                <a:bgClr>
                  <a:sysClr val="window" lastClr="FFFFFF"/>
                </a:bgClr>
              </a:pattFill>
            </c:spPr>
            <c:extLst>
              <c:ext xmlns:c16="http://schemas.microsoft.com/office/drawing/2014/chart" uri="{C3380CC4-5D6E-409C-BE32-E72D297353CC}">
                <c16:uniqueId val="{00000009-4871-4CD2-8824-FE6C90BB3767}"/>
              </c:ext>
            </c:extLst>
          </c:dPt>
          <c:dPt>
            <c:idx val="5"/>
            <c:invertIfNegative val="0"/>
            <c:bubble3D val="0"/>
            <c:spPr>
              <a:solidFill>
                <a:srgbClr val="438086">
                  <a:lumMod val="20000"/>
                  <a:lumOff val="80000"/>
                </a:srgbClr>
              </a:solidFill>
            </c:spPr>
            <c:extLst>
              <c:ext xmlns:c16="http://schemas.microsoft.com/office/drawing/2014/chart" uri="{C3380CC4-5D6E-409C-BE32-E72D297353CC}">
                <c16:uniqueId val="{0000000B-4871-4CD2-8824-FE6C90BB3767}"/>
              </c:ext>
            </c:extLst>
          </c:dPt>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'IOP por tipo entidad'!$B$20:$B$25</c:f>
              <c:strCache>
                <c:ptCount val="6"/>
                <c:pt idx="0">
                  <c:v>Federación Deportiva</c:v>
                </c:pt>
                <c:pt idx="1">
                  <c:v>ONG</c:v>
                </c:pt>
                <c:pt idx="2">
                  <c:v>Asociación</c:v>
                </c:pt>
                <c:pt idx="3">
                  <c:v>Fundación Privada</c:v>
                </c:pt>
                <c:pt idx="4">
                  <c:v>Total</c:v>
                </c:pt>
                <c:pt idx="5">
                  <c:v>Empresa</c:v>
                </c:pt>
              </c:strCache>
            </c:strRef>
          </c:cat>
          <c:val>
            <c:numRef>
              <c:f>'IOP por tipo entidad'!$C$20:$C$25</c:f>
              <c:numCache>
                <c:formatCode>###0.00</c:formatCode>
                <c:ptCount val="6"/>
                <c:pt idx="0">
                  <c:v>0.76670000000000005</c:v>
                </c:pt>
                <c:pt idx="1">
                  <c:v>0.83333332999999998</c:v>
                </c:pt>
                <c:pt idx="2">
                  <c:v>0.54169999999999996</c:v>
                </c:pt>
                <c:pt idx="3">
                  <c:v>0.70089999999999997</c:v>
                </c:pt>
                <c:pt idx="4" formatCode="0.0%">
                  <c:v>0.57099999999999995</c:v>
                </c:pt>
                <c:pt idx="5">
                  <c:v>0.3846</c:v>
                </c:pt>
              </c:numCache>
            </c:numRef>
          </c:val>
          <c:extLst>
            <c:ext xmlns:c16="http://schemas.microsoft.com/office/drawing/2014/chart" uri="{C3380CC4-5D6E-409C-BE32-E72D297353CC}">
              <c16:uniqueId val="{0000000C-4871-4CD2-8824-FE6C90BB3767}"/>
            </c:ext>
          </c:extLst>
        </c:ser>
        <c:dLbls>
          <c:showLegendKey val="0"/>
          <c:showVal val="0"/>
          <c:showCatName val="0"/>
          <c:showSerName val="0"/>
          <c:showPercent val="0"/>
          <c:showBubbleSize val="0"/>
        </c:dLbls>
        <c:gapWidth val="150"/>
        <c:axId val="238327296"/>
        <c:axId val="238328832"/>
      </c:barChart>
      <c:catAx>
        <c:axId val="238327296"/>
        <c:scaling>
          <c:orientation val="minMax"/>
        </c:scaling>
        <c:delete val="0"/>
        <c:axPos val="b"/>
        <c:numFmt formatCode="General" sourceLinked="0"/>
        <c:majorTickMark val="out"/>
        <c:minorTickMark val="none"/>
        <c:tickLblPos val="nextTo"/>
        <c:crossAx val="238328832"/>
        <c:crosses val="autoZero"/>
        <c:auto val="1"/>
        <c:lblAlgn val="ctr"/>
        <c:lblOffset val="100"/>
        <c:noMultiLvlLbl val="0"/>
      </c:catAx>
      <c:valAx>
        <c:axId val="238328832"/>
        <c:scaling>
          <c:orientation val="minMax"/>
          <c:max val="1"/>
        </c:scaling>
        <c:delete val="0"/>
        <c:axPos val="l"/>
        <c:numFmt formatCode="0%" sourceLinked="0"/>
        <c:majorTickMark val="out"/>
        <c:minorTickMark val="none"/>
        <c:tickLblPos val="nextTo"/>
        <c:crossAx val="238327296"/>
        <c:crosses val="autoZero"/>
        <c:crossBetween val="between"/>
        <c:majorUnit val="0.2"/>
      </c:valAx>
    </c:plotArea>
    <c:plotVisOnly val="1"/>
    <c:dispBlanksAs val="gap"/>
    <c:showDLblsOverMax val="0"/>
  </c:chart>
  <c:txPr>
    <a:bodyPr/>
    <a:lstStyle/>
    <a:p>
      <a:pPr>
        <a:defRPr>
          <a:latin typeface="Mulish" pitchFamily="2" charset="0"/>
        </a:defRPr>
      </a:pPr>
      <a:endParaRPr lang="es-E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pattFill prst="wdDnDiag">
              <a:fgClr>
                <a:srgbClr val="438086"/>
              </a:fgClr>
              <a:bgClr>
                <a:sysClr val="window" lastClr="FFFFFF"/>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total!$M$34:$T$34</c:f>
              <c:strCache>
                <c:ptCount val="8"/>
                <c:pt idx="0">
                  <c:v>CONTENIDO </c:v>
                </c:pt>
                <c:pt idx="1">
                  <c:v>FORMA </c:v>
                </c:pt>
                <c:pt idx="2">
                  <c:v>ESTRUCTURACIÓN </c:v>
                </c:pt>
                <c:pt idx="3">
                  <c:v>ACCESIBILIDAD </c:v>
                </c:pt>
                <c:pt idx="4">
                  <c:v>CLARIDAD </c:v>
                </c:pt>
                <c:pt idx="5">
                  <c:v>REUTILIZACIÓN </c:v>
                </c:pt>
                <c:pt idx="6">
                  <c:v>ACTUALIZACIÓN </c:v>
                </c:pt>
                <c:pt idx="7">
                  <c:v>TOTAL</c:v>
                </c:pt>
              </c:strCache>
            </c:strRef>
          </c:cat>
          <c:val>
            <c:numRef>
              <c:f>total!$M$35:$T$35</c:f>
              <c:numCache>
                <c:formatCode>0.0%</c:formatCode>
                <c:ptCount val="8"/>
                <c:pt idx="0">
                  <c:v>0.55500000000000005</c:v>
                </c:pt>
                <c:pt idx="1">
                  <c:v>0.55600000000000005</c:v>
                </c:pt>
                <c:pt idx="2">
                  <c:v>0.55600000000000005</c:v>
                </c:pt>
                <c:pt idx="3">
                  <c:v>0.55200000000000005</c:v>
                </c:pt>
                <c:pt idx="4">
                  <c:v>0.55600000000000005</c:v>
                </c:pt>
                <c:pt idx="5">
                  <c:v>0.51900000000000002</c:v>
                </c:pt>
                <c:pt idx="6">
                  <c:v>0.11</c:v>
                </c:pt>
                <c:pt idx="7">
                  <c:v>0.47699999999999998</c:v>
                </c:pt>
              </c:numCache>
            </c:numRef>
          </c:val>
          <c:extLst>
            <c:ext xmlns:c16="http://schemas.microsoft.com/office/drawing/2014/chart" uri="{C3380CC4-5D6E-409C-BE32-E72D297353CC}">
              <c16:uniqueId val="{00000000-3586-4742-A77D-3FEB620754B2}"/>
            </c:ext>
          </c:extLst>
        </c:ser>
        <c:dLbls>
          <c:showLegendKey val="0"/>
          <c:showVal val="0"/>
          <c:showCatName val="0"/>
          <c:showSerName val="0"/>
          <c:showPercent val="0"/>
          <c:showBubbleSize val="0"/>
        </c:dLbls>
        <c:gapWidth val="150"/>
        <c:axId val="226445952"/>
        <c:axId val="226451840"/>
      </c:barChart>
      <c:catAx>
        <c:axId val="226445952"/>
        <c:scaling>
          <c:orientation val="minMax"/>
        </c:scaling>
        <c:delete val="0"/>
        <c:axPos val="b"/>
        <c:numFmt formatCode="General" sourceLinked="0"/>
        <c:majorTickMark val="out"/>
        <c:minorTickMark val="none"/>
        <c:tickLblPos val="nextTo"/>
        <c:crossAx val="226451840"/>
        <c:crosses val="autoZero"/>
        <c:auto val="1"/>
        <c:lblAlgn val="ctr"/>
        <c:lblOffset val="100"/>
        <c:noMultiLvlLbl val="0"/>
      </c:catAx>
      <c:valAx>
        <c:axId val="226451840"/>
        <c:scaling>
          <c:orientation val="minMax"/>
          <c:max val="1"/>
          <c:min val="0"/>
        </c:scaling>
        <c:delete val="0"/>
        <c:axPos val="l"/>
        <c:numFmt formatCode="0%" sourceLinked="0"/>
        <c:majorTickMark val="out"/>
        <c:minorTickMark val="none"/>
        <c:tickLblPos val="nextTo"/>
        <c:crossAx val="226445952"/>
        <c:crosses val="autoZero"/>
        <c:crossBetween val="between"/>
        <c:majorUnit val="0.2"/>
      </c:valAx>
    </c:plotArea>
    <c:plotVisOnly val="1"/>
    <c:dispBlanksAs val="gap"/>
    <c:showDLblsOverMax val="0"/>
  </c:chart>
  <c:txPr>
    <a:bodyPr/>
    <a:lstStyle/>
    <a:p>
      <a:pPr>
        <a:defRPr>
          <a:latin typeface="Mulish" pitchFamily="2" charset="0"/>
        </a:defRPr>
      </a:pPr>
      <a:endParaRPr lang="es-E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c:spPr>
          <c:invertIfNegative val="0"/>
          <c:dPt>
            <c:idx val="0"/>
            <c:invertIfNegative val="0"/>
            <c:bubble3D val="0"/>
            <c:spPr>
              <a:solidFill>
                <a:srgbClr val="438086"/>
              </a:solidFill>
            </c:spPr>
            <c:extLst>
              <c:ext xmlns:c16="http://schemas.microsoft.com/office/drawing/2014/chart" uri="{C3380CC4-5D6E-409C-BE32-E72D297353CC}">
                <c16:uniqueId val="{00000001-1F08-486F-97C2-332C8A90463B}"/>
              </c:ext>
            </c:extLst>
          </c:dPt>
          <c:dPt>
            <c:idx val="1"/>
            <c:invertIfNegative val="0"/>
            <c:bubble3D val="0"/>
            <c:spPr>
              <a:solidFill>
                <a:srgbClr val="438086"/>
              </a:solidFill>
            </c:spPr>
            <c:extLst>
              <c:ext xmlns:c16="http://schemas.microsoft.com/office/drawing/2014/chart" uri="{C3380CC4-5D6E-409C-BE32-E72D297353CC}">
                <c16:uniqueId val="{00000003-1F08-486F-97C2-332C8A90463B}"/>
              </c:ext>
            </c:extLst>
          </c:dPt>
          <c:dPt>
            <c:idx val="2"/>
            <c:invertIfNegative val="0"/>
            <c:bubble3D val="0"/>
            <c:spPr>
              <a:solidFill>
                <a:srgbClr val="438086">
                  <a:lumMod val="60000"/>
                  <a:lumOff val="40000"/>
                </a:srgbClr>
              </a:solidFill>
            </c:spPr>
            <c:extLst>
              <c:ext xmlns:c16="http://schemas.microsoft.com/office/drawing/2014/chart" uri="{C3380CC4-5D6E-409C-BE32-E72D297353CC}">
                <c16:uniqueId val="{00000005-1F08-486F-97C2-332C8A90463B}"/>
              </c:ext>
            </c:extLst>
          </c:dPt>
          <c:dPt>
            <c:idx val="3"/>
            <c:invertIfNegative val="0"/>
            <c:bubble3D val="0"/>
            <c:spPr>
              <a:solidFill>
                <a:srgbClr val="438086">
                  <a:lumMod val="60000"/>
                  <a:lumOff val="40000"/>
                </a:srgbClr>
              </a:solidFill>
            </c:spPr>
            <c:extLst>
              <c:ext xmlns:c16="http://schemas.microsoft.com/office/drawing/2014/chart" uri="{C3380CC4-5D6E-409C-BE32-E72D297353CC}">
                <c16:uniqueId val="{00000007-1F08-486F-97C2-332C8A90463B}"/>
              </c:ext>
            </c:extLst>
          </c:dPt>
          <c:dPt>
            <c:idx val="4"/>
            <c:invertIfNegative val="0"/>
            <c:bubble3D val="0"/>
            <c:spPr>
              <a:pattFill prst="wdDnDiag">
                <a:fgClr>
                  <a:srgbClr val="438086"/>
                </a:fgClr>
                <a:bgClr>
                  <a:sysClr val="window" lastClr="FFFFFF"/>
                </a:bgClr>
              </a:pattFill>
            </c:spPr>
            <c:extLst>
              <c:ext xmlns:c16="http://schemas.microsoft.com/office/drawing/2014/chart" uri="{C3380CC4-5D6E-409C-BE32-E72D297353CC}">
                <c16:uniqueId val="{00000009-1F08-486F-97C2-332C8A90463B}"/>
              </c:ext>
            </c:extLst>
          </c:dPt>
          <c:dPt>
            <c:idx val="5"/>
            <c:invertIfNegative val="0"/>
            <c:bubble3D val="0"/>
            <c:spPr>
              <a:solidFill>
                <a:srgbClr val="438086">
                  <a:lumMod val="20000"/>
                  <a:lumOff val="80000"/>
                </a:srgbClr>
              </a:solidFill>
            </c:spPr>
            <c:extLst>
              <c:ext xmlns:c16="http://schemas.microsoft.com/office/drawing/2014/chart" uri="{C3380CC4-5D6E-409C-BE32-E72D297353CC}">
                <c16:uniqueId val="{0000000B-1F08-486F-97C2-332C8A90463B}"/>
              </c:ext>
            </c:extLst>
          </c:dPt>
          <c:dLbls>
            <c:dLbl>
              <c:idx val="4"/>
              <c:tx>
                <c:rich>
                  <a:bodyPr/>
                  <a:lstStyle/>
                  <a:p>
                    <a:r>
                      <a:rPr lang="en-US"/>
                      <a:t>47,7%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1F08-486F-97C2-332C8A90463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Hoja2!$B$33:$B$38</c:f>
              <c:strCache>
                <c:ptCount val="6"/>
                <c:pt idx="0">
                  <c:v>ONG</c:v>
                </c:pt>
                <c:pt idx="1">
                  <c:v>Federación Deportiva</c:v>
                </c:pt>
                <c:pt idx="2">
                  <c:v>Asociación</c:v>
                </c:pt>
                <c:pt idx="3">
                  <c:v>Fundación Privada</c:v>
                </c:pt>
                <c:pt idx="4">
                  <c:v>Total Sujetos privados</c:v>
                </c:pt>
                <c:pt idx="5">
                  <c:v>Empresa</c:v>
                </c:pt>
              </c:strCache>
            </c:strRef>
          </c:cat>
          <c:val>
            <c:numRef>
              <c:f>Hoja2!$C$33:$C$38</c:f>
              <c:numCache>
                <c:formatCode>0.0%</c:formatCode>
                <c:ptCount val="6"/>
                <c:pt idx="0">
                  <c:v>0.75239999999999996</c:v>
                </c:pt>
                <c:pt idx="1">
                  <c:v>0.68320000000000003</c:v>
                </c:pt>
                <c:pt idx="2">
                  <c:v>0.44500000000000001</c:v>
                </c:pt>
                <c:pt idx="3">
                  <c:v>0.56969999999999998</c:v>
                </c:pt>
                <c:pt idx="4">
                  <c:v>0.4773</c:v>
                </c:pt>
                <c:pt idx="5">
                  <c:v>0.30549999999999999</c:v>
                </c:pt>
              </c:numCache>
            </c:numRef>
          </c:val>
          <c:extLst>
            <c:ext xmlns:c16="http://schemas.microsoft.com/office/drawing/2014/chart" uri="{C3380CC4-5D6E-409C-BE32-E72D297353CC}">
              <c16:uniqueId val="{0000000C-1F08-486F-97C2-332C8A90463B}"/>
            </c:ext>
          </c:extLst>
        </c:ser>
        <c:dLbls>
          <c:showLegendKey val="0"/>
          <c:showVal val="0"/>
          <c:showCatName val="0"/>
          <c:showSerName val="0"/>
          <c:showPercent val="0"/>
          <c:showBubbleSize val="0"/>
        </c:dLbls>
        <c:gapWidth val="150"/>
        <c:axId val="238056192"/>
        <c:axId val="238057728"/>
      </c:barChart>
      <c:catAx>
        <c:axId val="238056192"/>
        <c:scaling>
          <c:orientation val="minMax"/>
        </c:scaling>
        <c:delete val="0"/>
        <c:axPos val="b"/>
        <c:numFmt formatCode="General" sourceLinked="1"/>
        <c:majorTickMark val="out"/>
        <c:minorTickMark val="none"/>
        <c:tickLblPos val="nextTo"/>
        <c:crossAx val="238057728"/>
        <c:crosses val="autoZero"/>
        <c:auto val="1"/>
        <c:lblAlgn val="ctr"/>
        <c:lblOffset val="100"/>
        <c:noMultiLvlLbl val="0"/>
      </c:catAx>
      <c:valAx>
        <c:axId val="238057728"/>
        <c:scaling>
          <c:orientation val="minMax"/>
        </c:scaling>
        <c:delete val="0"/>
        <c:axPos val="l"/>
        <c:numFmt formatCode="0%" sourceLinked="0"/>
        <c:majorTickMark val="out"/>
        <c:minorTickMark val="none"/>
        <c:tickLblPos val="nextTo"/>
        <c:crossAx val="238056192"/>
        <c:crosses val="autoZero"/>
        <c:crossBetween val="between"/>
        <c:majorUnit val="0.2"/>
      </c:valAx>
    </c:plotArea>
    <c:plotVisOnly val="1"/>
    <c:dispBlanksAs val="gap"/>
    <c:showDLblsOverMax val="0"/>
  </c:chart>
  <c:txPr>
    <a:bodyPr/>
    <a:lstStyle/>
    <a:p>
      <a:pPr>
        <a:defRPr>
          <a:latin typeface="Mulish" pitchFamily="2" charset="0"/>
        </a:defRPr>
      </a:pPr>
      <a:endParaRPr lang="es-E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c:spPr>
          <c:invertIfNegative val="0"/>
          <c:dPt>
            <c:idx val="0"/>
            <c:invertIfNegative val="0"/>
            <c:bubble3D val="0"/>
            <c:spPr>
              <a:solidFill>
                <a:srgbClr val="438086"/>
              </a:solidFill>
            </c:spPr>
            <c:extLst>
              <c:ext xmlns:c16="http://schemas.microsoft.com/office/drawing/2014/chart" uri="{C3380CC4-5D6E-409C-BE32-E72D297353CC}">
                <c16:uniqueId val="{00000001-F658-4B06-8479-DA7764ECC2BA}"/>
              </c:ext>
            </c:extLst>
          </c:dPt>
          <c:dPt>
            <c:idx val="1"/>
            <c:invertIfNegative val="0"/>
            <c:bubble3D val="0"/>
            <c:spPr>
              <a:solidFill>
                <a:srgbClr val="438086"/>
              </a:solidFill>
            </c:spPr>
            <c:extLst>
              <c:ext xmlns:c16="http://schemas.microsoft.com/office/drawing/2014/chart" uri="{C3380CC4-5D6E-409C-BE32-E72D297353CC}">
                <c16:uniqueId val="{00000003-F658-4B06-8479-DA7764ECC2BA}"/>
              </c:ext>
            </c:extLst>
          </c:dPt>
          <c:dPt>
            <c:idx val="2"/>
            <c:invertIfNegative val="0"/>
            <c:bubble3D val="0"/>
            <c:spPr>
              <a:solidFill>
                <a:srgbClr val="438086">
                  <a:lumMod val="60000"/>
                  <a:lumOff val="40000"/>
                </a:srgbClr>
              </a:solidFill>
            </c:spPr>
            <c:extLst>
              <c:ext xmlns:c16="http://schemas.microsoft.com/office/drawing/2014/chart" uri="{C3380CC4-5D6E-409C-BE32-E72D297353CC}">
                <c16:uniqueId val="{00000005-F658-4B06-8479-DA7764ECC2BA}"/>
              </c:ext>
            </c:extLst>
          </c:dPt>
          <c:dPt>
            <c:idx val="3"/>
            <c:invertIfNegative val="0"/>
            <c:bubble3D val="0"/>
            <c:spPr>
              <a:solidFill>
                <a:srgbClr val="438086">
                  <a:lumMod val="40000"/>
                  <a:lumOff val="60000"/>
                </a:srgbClr>
              </a:solidFill>
            </c:spPr>
            <c:extLst>
              <c:ext xmlns:c16="http://schemas.microsoft.com/office/drawing/2014/chart" uri="{C3380CC4-5D6E-409C-BE32-E72D297353CC}">
                <c16:uniqueId val="{00000007-F658-4B06-8479-DA7764ECC2BA}"/>
              </c:ext>
            </c:extLst>
          </c:dPt>
          <c:dPt>
            <c:idx val="4"/>
            <c:invertIfNegative val="0"/>
            <c:bubble3D val="0"/>
            <c:spPr>
              <a:pattFill prst="wdDnDiag">
                <a:fgClr>
                  <a:srgbClr val="438086"/>
                </a:fgClr>
                <a:bgClr>
                  <a:sysClr val="window" lastClr="FFFFFF"/>
                </a:bgClr>
              </a:pattFill>
            </c:spPr>
            <c:extLst>
              <c:ext xmlns:c16="http://schemas.microsoft.com/office/drawing/2014/chart" uri="{C3380CC4-5D6E-409C-BE32-E72D297353CC}">
                <c16:uniqueId val="{00000009-F658-4B06-8479-DA7764ECC2BA}"/>
              </c:ext>
            </c:extLst>
          </c:dPt>
          <c:dPt>
            <c:idx val="5"/>
            <c:invertIfNegative val="0"/>
            <c:bubble3D val="0"/>
            <c:spPr>
              <a:solidFill>
                <a:srgbClr val="438086">
                  <a:lumMod val="20000"/>
                  <a:lumOff val="80000"/>
                </a:srgbClr>
              </a:solidFill>
            </c:spPr>
            <c:extLst>
              <c:ext xmlns:c16="http://schemas.microsoft.com/office/drawing/2014/chart" uri="{C3380CC4-5D6E-409C-BE32-E72D297353CC}">
                <c16:uniqueId val="{0000000B-F658-4B06-8479-DA7764ECC2BA}"/>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Hoja2!$A$42:$A$47</c:f>
              <c:strCache>
                <c:ptCount val="6"/>
                <c:pt idx="0">
                  <c:v>ONG</c:v>
                </c:pt>
                <c:pt idx="1">
                  <c:v>Federación Deportiva</c:v>
                </c:pt>
                <c:pt idx="2">
                  <c:v>Asociación</c:v>
                </c:pt>
                <c:pt idx="3">
                  <c:v>Fundación Privada</c:v>
                </c:pt>
                <c:pt idx="4">
                  <c:v>Total Sujetos privados</c:v>
                </c:pt>
                <c:pt idx="5">
                  <c:v>Empresa</c:v>
                </c:pt>
              </c:strCache>
            </c:strRef>
          </c:cat>
          <c:val>
            <c:numRef>
              <c:f>Hoja2!$B$42:$B$47</c:f>
              <c:numCache>
                <c:formatCode>0.0%</c:formatCode>
                <c:ptCount val="6"/>
                <c:pt idx="0">
                  <c:v>0.51259999999999994</c:v>
                </c:pt>
                <c:pt idx="1">
                  <c:v>0.47320000000000001</c:v>
                </c:pt>
                <c:pt idx="2">
                  <c:v>0.42370000000000002</c:v>
                </c:pt>
                <c:pt idx="3">
                  <c:v>0.30430000000000001</c:v>
                </c:pt>
                <c:pt idx="4">
                  <c:v>0.28061188811188809</c:v>
                </c:pt>
                <c:pt idx="5">
                  <c:v>0.1883</c:v>
                </c:pt>
              </c:numCache>
            </c:numRef>
          </c:val>
          <c:extLst>
            <c:ext xmlns:c16="http://schemas.microsoft.com/office/drawing/2014/chart" uri="{C3380CC4-5D6E-409C-BE32-E72D297353CC}">
              <c16:uniqueId val="{0000000C-F658-4B06-8479-DA7764ECC2BA}"/>
            </c:ext>
          </c:extLst>
        </c:ser>
        <c:dLbls>
          <c:showLegendKey val="0"/>
          <c:showVal val="0"/>
          <c:showCatName val="0"/>
          <c:showSerName val="0"/>
          <c:showPercent val="0"/>
          <c:showBubbleSize val="0"/>
        </c:dLbls>
        <c:gapWidth val="150"/>
        <c:axId val="238056192"/>
        <c:axId val="238057728"/>
      </c:barChart>
      <c:catAx>
        <c:axId val="238056192"/>
        <c:scaling>
          <c:orientation val="minMax"/>
        </c:scaling>
        <c:delete val="0"/>
        <c:axPos val="b"/>
        <c:numFmt formatCode="General" sourceLinked="1"/>
        <c:majorTickMark val="out"/>
        <c:minorTickMark val="none"/>
        <c:tickLblPos val="nextTo"/>
        <c:crossAx val="238057728"/>
        <c:crosses val="autoZero"/>
        <c:auto val="1"/>
        <c:lblAlgn val="ctr"/>
        <c:lblOffset val="100"/>
        <c:noMultiLvlLbl val="0"/>
      </c:catAx>
      <c:valAx>
        <c:axId val="238057728"/>
        <c:scaling>
          <c:orientation val="minMax"/>
          <c:max val="1"/>
        </c:scaling>
        <c:delete val="0"/>
        <c:axPos val="l"/>
        <c:numFmt formatCode="0%" sourceLinked="0"/>
        <c:majorTickMark val="out"/>
        <c:minorTickMark val="none"/>
        <c:tickLblPos val="nextTo"/>
        <c:crossAx val="238056192"/>
        <c:crosses val="autoZero"/>
        <c:crossBetween val="between"/>
        <c:majorUnit val="0.2"/>
      </c:valAx>
    </c:plotArea>
    <c:plotVisOnly val="1"/>
    <c:dispBlanksAs val="gap"/>
    <c:showDLblsOverMax val="0"/>
  </c:chart>
  <c:txPr>
    <a:bodyPr/>
    <a:lstStyle/>
    <a:p>
      <a:pPr>
        <a:defRPr>
          <a:latin typeface="Mulish" pitchFamily="2" charset="0"/>
        </a:defRPr>
      </a:pPr>
      <a:endParaRPr lang="es-E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pattFill prst="wdDnDiag">
              <a:fgClr>
                <a:srgbClr val="438086"/>
              </a:fgClr>
              <a:bgClr>
                <a:sysClr val="window" lastClr="FFFFFF"/>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total!$M$34:$T$34</c:f>
              <c:strCache>
                <c:ptCount val="8"/>
                <c:pt idx="0">
                  <c:v>CONTENIDO </c:v>
                </c:pt>
                <c:pt idx="1">
                  <c:v>FORMA </c:v>
                </c:pt>
                <c:pt idx="2">
                  <c:v>ESTRUCTURACIÓN </c:v>
                </c:pt>
                <c:pt idx="3">
                  <c:v>ACCESIBILIDAD </c:v>
                </c:pt>
                <c:pt idx="4">
                  <c:v>CLARIDAD </c:v>
                </c:pt>
                <c:pt idx="5">
                  <c:v>REUTILIZACIÓN </c:v>
                </c:pt>
                <c:pt idx="6">
                  <c:v>ACTUALIZACIÓN </c:v>
                </c:pt>
                <c:pt idx="7">
                  <c:v>TOTAL</c:v>
                </c:pt>
              </c:strCache>
            </c:strRef>
          </c:cat>
          <c:val>
            <c:numRef>
              <c:f>total!$M$35:$T$35</c:f>
              <c:numCache>
                <c:formatCode>0.0%</c:formatCode>
                <c:ptCount val="8"/>
                <c:pt idx="0">
                  <c:v>0.23860000000000001</c:v>
                </c:pt>
                <c:pt idx="1">
                  <c:v>0.23699999999999999</c:v>
                </c:pt>
                <c:pt idx="2">
                  <c:v>0.24099999999999999</c:v>
                </c:pt>
                <c:pt idx="3">
                  <c:v>0.23499999999999999</c:v>
                </c:pt>
                <c:pt idx="4">
                  <c:v>0.24099999999999999</c:v>
                </c:pt>
                <c:pt idx="5">
                  <c:v>0.187</c:v>
                </c:pt>
                <c:pt idx="6">
                  <c:v>0.19800000000000001</c:v>
                </c:pt>
                <c:pt idx="7">
                  <c:v>0.20899999999999999</c:v>
                </c:pt>
              </c:numCache>
            </c:numRef>
          </c:val>
          <c:extLst>
            <c:ext xmlns:c16="http://schemas.microsoft.com/office/drawing/2014/chart" uri="{C3380CC4-5D6E-409C-BE32-E72D297353CC}">
              <c16:uniqueId val="{00000000-2EC8-4A7E-8FB0-098DEAD5FBA2}"/>
            </c:ext>
          </c:extLst>
        </c:ser>
        <c:dLbls>
          <c:showLegendKey val="0"/>
          <c:showVal val="0"/>
          <c:showCatName val="0"/>
          <c:showSerName val="0"/>
          <c:showPercent val="0"/>
          <c:showBubbleSize val="0"/>
        </c:dLbls>
        <c:gapWidth val="150"/>
        <c:axId val="226445952"/>
        <c:axId val="226451840"/>
      </c:barChart>
      <c:catAx>
        <c:axId val="226445952"/>
        <c:scaling>
          <c:orientation val="minMax"/>
        </c:scaling>
        <c:delete val="0"/>
        <c:axPos val="b"/>
        <c:numFmt formatCode="General" sourceLinked="0"/>
        <c:majorTickMark val="out"/>
        <c:minorTickMark val="none"/>
        <c:tickLblPos val="nextTo"/>
        <c:crossAx val="226451840"/>
        <c:crosses val="autoZero"/>
        <c:auto val="1"/>
        <c:lblAlgn val="ctr"/>
        <c:lblOffset val="100"/>
        <c:noMultiLvlLbl val="0"/>
      </c:catAx>
      <c:valAx>
        <c:axId val="226451840"/>
        <c:scaling>
          <c:orientation val="minMax"/>
          <c:max val="1"/>
          <c:min val="0"/>
        </c:scaling>
        <c:delete val="0"/>
        <c:axPos val="l"/>
        <c:numFmt formatCode="0%" sourceLinked="0"/>
        <c:majorTickMark val="out"/>
        <c:minorTickMark val="none"/>
        <c:tickLblPos val="nextTo"/>
        <c:crossAx val="226445952"/>
        <c:crosses val="autoZero"/>
        <c:crossBetween val="between"/>
        <c:majorUnit val="0.2"/>
      </c:valAx>
    </c:plotArea>
    <c:plotVisOnly val="1"/>
    <c:dispBlanksAs val="gap"/>
    <c:showDLblsOverMax val="0"/>
  </c:chart>
  <c:txPr>
    <a:bodyPr/>
    <a:lstStyle/>
    <a:p>
      <a:pPr>
        <a:defRPr>
          <a:latin typeface="Mulish" pitchFamily="2" charset="0"/>
        </a:defRPr>
      </a:pPr>
      <a:endParaRPr lang="es-E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c:spPr>
          <c:invertIfNegative val="0"/>
          <c:dPt>
            <c:idx val="0"/>
            <c:invertIfNegative val="0"/>
            <c:bubble3D val="0"/>
            <c:spPr>
              <a:solidFill>
                <a:srgbClr val="438086"/>
              </a:solidFill>
            </c:spPr>
            <c:extLst>
              <c:ext xmlns:c16="http://schemas.microsoft.com/office/drawing/2014/chart" uri="{C3380CC4-5D6E-409C-BE32-E72D297353CC}">
                <c16:uniqueId val="{00000001-2D9A-474C-B724-7CE6BBF29457}"/>
              </c:ext>
            </c:extLst>
          </c:dPt>
          <c:dPt>
            <c:idx val="1"/>
            <c:invertIfNegative val="0"/>
            <c:bubble3D val="0"/>
            <c:spPr>
              <a:solidFill>
                <a:srgbClr val="438086">
                  <a:lumMod val="60000"/>
                  <a:lumOff val="40000"/>
                </a:srgbClr>
              </a:solidFill>
            </c:spPr>
            <c:extLst>
              <c:ext xmlns:c16="http://schemas.microsoft.com/office/drawing/2014/chart" uri="{C3380CC4-5D6E-409C-BE32-E72D297353CC}">
                <c16:uniqueId val="{00000003-2D9A-474C-B724-7CE6BBF29457}"/>
              </c:ext>
            </c:extLst>
          </c:dPt>
          <c:dPt>
            <c:idx val="2"/>
            <c:invertIfNegative val="0"/>
            <c:bubble3D val="0"/>
            <c:spPr>
              <a:solidFill>
                <a:srgbClr val="438086">
                  <a:lumMod val="60000"/>
                  <a:lumOff val="40000"/>
                </a:srgbClr>
              </a:solidFill>
            </c:spPr>
            <c:extLst>
              <c:ext xmlns:c16="http://schemas.microsoft.com/office/drawing/2014/chart" uri="{C3380CC4-5D6E-409C-BE32-E72D297353CC}">
                <c16:uniqueId val="{00000005-2D9A-474C-B724-7CE6BBF29457}"/>
              </c:ext>
            </c:extLst>
          </c:dPt>
          <c:dPt>
            <c:idx val="3"/>
            <c:invertIfNegative val="0"/>
            <c:bubble3D val="0"/>
            <c:spPr>
              <a:solidFill>
                <a:srgbClr val="438086">
                  <a:lumMod val="40000"/>
                  <a:lumOff val="60000"/>
                </a:srgbClr>
              </a:solidFill>
            </c:spPr>
            <c:extLst>
              <c:ext xmlns:c16="http://schemas.microsoft.com/office/drawing/2014/chart" uri="{C3380CC4-5D6E-409C-BE32-E72D297353CC}">
                <c16:uniqueId val="{00000007-2D9A-474C-B724-7CE6BBF29457}"/>
              </c:ext>
            </c:extLst>
          </c:dPt>
          <c:dPt>
            <c:idx val="4"/>
            <c:invertIfNegative val="0"/>
            <c:bubble3D val="0"/>
            <c:spPr>
              <a:pattFill prst="wdDnDiag">
                <a:fgClr>
                  <a:srgbClr val="438086"/>
                </a:fgClr>
                <a:bgClr>
                  <a:sysClr val="window" lastClr="FFFFFF"/>
                </a:bgClr>
              </a:pattFill>
            </c:spPr>
            <c:extLst>
              <c:ext xmlns:c16="http://schemas.microsoft.com/office/drawing/2014/chart" uri="{C3380CC4-5D6E-409C-BE32-E72D297353CC}">
                <c16:uniqueId val="{00000009-2D9A-474C-B724-7CE6BBF29457}"/>
              </c:ext>
            </c:extLst>
          </c:dPt>
          <c:dPt>
            <c:idx val="5"/>
            <c:invertIfNegative val="0"/>
            <c:bubble3D val="0"/>
            <c:spPr>
              <a:solidFill>
                <a:srgbClr val="438086">
                  <a:lumMod val="20000"/>
                  <a:lumOff val="80000"/>
                </a:srgbClr>
              </a:solidFill>
            </c:spPr>
            <c:extLst>
              <c:ext xmlns:c16="http://schemas.microsoft.com/office/drawing/2014/chart" uri="{C3380CC4-5D6E-409C-BE32-E72D297353CC}">
                <c16:uniqueId val="{0000000B-2D9A-474C-B724-7CE6BBF29457}"/>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Hoja2!$A$68:$A$73</c:f>
              <c:strCache>
                <c:ptCount val="6"/>
                <c:pt idx="0">
                  <c:v>ONG</c:v>
                </c:pt>
                <c:pt idx="1">
                  <c:v>Federación Deportiva</c:v>
                </c:pt>
                <c:pt idx="2">
                  <c:v>Asociación</c:v>
                </c:pt>
                <c:pt idx="3">
                  <c:v>Fundación Privada</c:v>
                </c:pt>
                <c:pt idx="4">
                  <c:v>Total Sujetos privados</c:v>
                </c:pt>
                <c:pt idx="5">
                  <c:v>Empresa</c:v>
                </c:pt>
              </c:strCache>
            </c:strRef>
          </c:cat>
          <c:val>
            <c:numRef>
              <c:f>Hoja2!$B$68:$B$73</c:f>
              <c:numCache>
                <c:formatCode>0.0%</c:formatCode>
                <c:ptCount val="6"/>
                <c:pt idx="0">
                  <c:v>0.66100000000000003</c:v>
                </c:pt>
                <c:pt idx="1">
                  <c:v>0.46679999999999999</c:v>
                </c:pt>
                <c:pt idx="2">
                  <c:v>0.19980000000000001</c:v>
                </c:pt>
                <c:pt idx="3">
                  <c:v>0.13730000000000001</c:v>
                </c:pt>
                <c:pt idx="4">
                  <c:v>0.20910000000000001</c:v>
                </c:pt>
                <c:pt idx="5">
                  <c:v>7.3700000000000002E-2</c:v>
                </c:pt>
              </c:numCache>
            </c:numRef>
          </c:val>
          <c:extLst>
            <c:ext xmlns:c16="http://schemas.microsoft.com/office/drawing/2014/chart" uri="{C3380CC4-5D6E-409C-BE32-E72D297353CC}">
              <c16:uniqueId val="{0000000C-2D9A-474C-B724-7CE6BBF29457}"/>
            </c:ext>
          </c:extLst>
        </c:ser>
        <c:dLbls>
          <c:showLegendKey val="0"/>
          <c:showVal val="0"/>
          <c:showCatName val="0"/>
          <c:showSerName val="0"/>
          <c:showPercent val="0"/>
          <c:showBubbleSize val="0"/>
        </c:dLbls>
        <c:gapWidth val="150"/>
        <c:axId val="238056192"/>
        <c:axId val="238057728"/>
      </c:barChart>
      <c:catAx>
        <c:axId val="238056192"/>
        <c:scaling>
          <c:orientation val="minMax"/>
        </c:scaling>
        <c:delete val="0"/>
        <c:axPos val="b"/>
        <c:numFmt formatCode="General" sourceLinked="1"/>
        <c:majorTickMark val="out"/>
        <c:minorTickMark val="none"/>
        <c:tickLblPos val="nextTo"/>
        <c:crossAx val="238057728"/>
        <c:crosses val="autoZero"/>
        <c:auto val="1"/>
        <c:lblAlgn val="ctr"/>
        <c:lblOffset val="100"/>
        <c:noMultiLvlLbl val="0"/>
      </c:catAx>
      <c:valAx>
        <c:axId val="238057728"/>
        <c:scaling>
          <c:orientation val="minMax"/>
          <c:max val="1"/>
        </c:scaling>
        <c:delete val="0"/>
        <c:axPos val="l"/>
        <c:numFmt formatCode="0%" sourceLinked="0"/>
        <c:majorTickMark val="out"/>
        <c:minorTickMark val="none"/>
        <c:tickLblPos val="nextTo"/>
        <c:crossAx val="238056192"/>
        <c:crosses val="autoZero"/>
        <c:crossBetween val="between"/>
        <c:majorUnit val="0.2"/>
      </c:valAx>
    </c:plotArea>
    <c:plotVisOnly val="1"/>
    <c:dispBlanksAs val="gap"/>
    <c:showDLblsOverMax val="0"/>
  </c:chart>
  <c:txPr>
    <a:bodyPr/>
    <a:lstStyle/>
    <a:p>
      <a:pPr>
        <a:defRPr>
          <a:latin typeface="Mulish" pitchFamily="2" charset="0"/>
        </a:defRPr>
      </a:pPr>
      <a:endParaRPr lang="es-E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pattFill prst="wdDnDiag">
              <a:fgClr>
                <a:srgbClr val="438086"/>
              </a:fgClr>
              <a:bgClr>
                <a:sysClr val="window" lastClr="FFFFFF"/>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total!$B$21:$I$21</c:f>
              <c:strCache>
                <c:ptCount val="8"/>
                <c:pt idx="0">
                  <c:v>CONTENIDO </c:v>
                </c:pt>
                <c:pt idx="1">
                  <c:v>FORMA </c:v>
                </c:pt>
                <c:pt idx="2">
                  <c:v>ESTRUCTURACIÓN </c:v>
                </c:pt>
                <c:pt idx="3">
                  <c:v>ACCESIBILIDAD </c:v>
                </c:pt>
                <c:pt idx="4">
                  <c:v>CLARIDAD </c:v>
                </c:pt>
                <c:pt idx="5">
                  <c:v>REUTILIZACIÓN </c:v>
                </c:pt>
                <c:pt idx="6">
                  <c:v>ACTUALIZACIÓN </c:v>
                </c:pt>
                <c:pt idx="7">
                  <c:v>TOTAL</c:v>
                </c:pt>
              </c:strCache>
            </c:strRef>
          </c:cat>
          <c:val>
            <c:numRef>
              <c:f>total!$B$22:$I$22</c:f>
              <c:numCache>
                <c:formatCode>0.0%</c:formatCode>
                <c:ptCount val="8"/>
                <c:pt idx="0">
                  <c:v>0.39700000000000002</c:v>
                </c:pt>
                <c:pt idx="1">
                  <c:v>0.39660000000000001</c:v>
                </c:pt>
                <c:pt idx="2">
                  <c:v>0.39860000000000001</c:v>
                </c:pt>
                <c:pt idx="3">
                  <c:v>0.39369999999999999</c:v>
                </c:pt>
                <c:pt idx="4">
                  <c:v>0.39860000000000001</c:v>
                </c:pt>
                <c:pt idx="5">
                  <c:v>0.35289999999999999</c:v>
                </c:pt>
                <c:pt idx="6">
                  <c:v>0.15379999999999999</c:v>
                </c:pt>
                <c:pt idx="7">
                  <c:v>0.34399999999999997</c:v>
                </c:pt>
              </c:numCache>
            </c:numRef>
          </c:val>
          <c:extLst>
            <c:ext xmlns:c16="http://schemas.microsoft.com/office/drawing/2014/chart" uri="{C3380CC4-5D6E-409C-BE32-E72D297353CC}">
              <c16:uniqueId val="{00000000-1E47-4CB5-A61B-BD0A8F6CD4D5}"/>
            </c:ext>
          </c:extLst>
        </c:ser>
        <c:dLbls>
          <c:showLegendKey val="0"/>
          <c:showVal val="0"/>
          <c:showCatName val="0"/>
          <c:showSerName val="0"/>
          <c:showPercent val="0"/>
          <c:showBubbleSize val="0"/>
        </c:dLbls>
        <c:gapWidth val="150"/>
        <c:axId val="226476032"/>
        <c:axId val="226477568"/>
      </c:barChart>
      <c:catAx>
        <c:axId val="226476032"/>
        <c:scaling>
          <c:orientation val="minMax"/>
        </c:scaling>
        <c:delete val="0"/>
        <c:axPos val="b"/>
        <c:numFmt formatCode="General" sourceLinked="0"/>
        <c:majorTickMark val="out"/>
        <c:minorTickMark val="none"/>
        <c:tickLblPos val="nextTo"/>
        <c:crossAx val="226477568"/>
        <c:crosses val="autoZero"/>
        <c:auto val="1"/>
        <c:lblAlgn val="ctr"/>
        <c:lblOffset val="100"/>
        <c:noMultiLvlLbl val="0"/>
      </c:catAx>
      <c:valAx>
        <c:axId val="226477568"/>
        <c:scaling>
          <c:orientation val="minMax"/>
          <c:max val="1"/>
        </c:scaling>
        <c:delete val="0"/>
        <c:axPos val="l"/>
        <c:numFmt formatCode="0%" sourceLinked="0"/>
        <c:majorTickMark val="out"/>
        <c:minorTickMark val="none"/>
        <c:tickLblPos val="nextTo"/>
        <c:crossAx val="226476032"/>
        <c:crosses val="autoZero"/>
        <c:crossBetween val="between"/>
        <c:majorUnit val="0.2"/>
      </c:valAx>
    </c:plotArea>
    <c:plotVisOnly val="1"/>
    <c:dispBlanksAs val="gap"/>
    <c:showDLblsOverMax val="0"/>
  </c:chart>
  <c:txPr>
    <a:bodyPr/>
    <a:lstStyle/>
    <a:p>
      <a:pPr>
        <a:defRPr>
          <a:latin typeface="Mulish" pitchFamily="2" charset="0"/>
        </a:defRPr>
      </a:pPr>
      <a:endParaRPr lang="es-ES"/>
    </a:p>
  </c:txPr>
  <c:externalData r:id="rId2">
    <c:autoUpdate val="0"/>
  </c:externalData>
</c:chartSpace>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7A615-CB6E-4AEB-A69D-52C1FBCA7A33}">
  <ds:schemaRefs>
    <ds:schemaRef ds:uri="http://schemas.microsoft.com/sharepoint/v3/contenttype/forms"/>
  </ds:schemaRefs>
</ds:datastoreItem>
</file>

<file path=customXml/itemProps2.xml><?xml version="1.0" encoding="utf-8"?>
<ds:datastoreItem xmlns:ds="http://schemas.openxmlformats.org/officeDocument/2006/customXml" ds:itemID="{BB12CF13-A6E2-4B52-A065-C287D308AFEB}">
  <ds:schemaRefs>
    <ds:schemaRef ds:uri="http://schemas.microsoft.com/office/2009/outspace/metadata"/>
  </ds:schemaRefs>
</ds:datastoreItem>
</file>

<file path=customXml/itemProps3.xml><?xml version="1.0" encoding="utf-8"?>
<ds:datastoreItem xmlns:ds="http://schemas.openxmlformats.org/officeDocument/2006/customXml" ds:itemID="{96E3655B-F08D-4CF1-BCAC-B317BAAA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UrbanReport.dotx</Template>
  <TotalTime>1</TotalTime>
  <Pages>28</Pages>
  <Words>6769</Words>
  <Characters>37233</Characters>
  <Application>Microsoft Office Word</Application>
  <DocSecurity>0</DocSecurity>
  <Lines>310</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SGAD</Company>
  <LinksUpToDate>false</LinksUpToDate>
  <CharactersWithSpaces>43915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Evaluaciones 2023.CTBG</dc:subject>
  <dc:creator>Consejo de Transparencia y Buen Gobierno.</dc:creator>
  <cp:lastModifiedBy>PILAR FERRANDEZ FACI</cp:lastModifiedBy>
  <cp:revision>2</cp:revision>
  <dcterms:created xsi:type="dcterms:W3CDTF">2026-01-16T12:44:00Z</dcterms:created>
  <dcterms:modified xsi:type="dcterms:W3CDTF">2026-01-16T12:44:00Z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TC017730899991</vt:lpwstr>
  </property>
</Properties>
</file>