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71"/>
      </w:tblGrid>
      <w:tr w:rsidR="005E61F8" w:rsidRPr="005E61F8" w14:paraId="730216F0" w14:textId="77777777" w:rsidTr="001D2884">
        <w:trPr>
          <w:trHeight w:val="205"/>
        </w:trPr>
        <w:tc>
          <w:tcPr>
            <w:tcW w:w="3599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871" w:type="dxa"/>
            <w:shd w:val="clear" w:color="auto" w:fill="auto"/>
          </w:tcPr>
          <w:p w14:paraId="53DA2674" w14:textId="1BAA7E98" w:rsidR="005E61F8" w:rsidRPr="005E61F8" w:rsidRDefault="00BE2801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SUMAR</w:t>
            </w:r>
          </w:p>
        </w:tc>
      </w:tr>
      <w:tr w:rsidR="005E61F8" w:rsidRPr="005E61F8" w14:paraId="04DA6659" w14:textId="77777777" w:rsidTr="001D2884">
        <w:trPr>
          <w:trHeight w:val="411"/>
        </w:trPr>
        <w:tc>
          <w:tcPr>
            <w:tcW w:w="3599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871" w:type="dxa"/>
            <w:shd w:val="clear" w:color="auto" w:fill="auto"/>
          </w:tcPr>
          <w:p w14:paraId="0E2EF73C" w14:textId="6D2864A9" w:rsidR="00C34846" w:rsidRDefault="00200F6F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Agosto 2025</w:t>
            </w:r>
          </w:p>
          <w:p w14:paraId="65799873" w14:textId="0DE6361A" w:rsidR="005E61F8" w:rsidRPr="005E61F8" w:rsidRDefault="005E61F8" w:rsidP="0061302F">
            <w:pPr>
              <w:rPr>
                <w:rFonts w:ascii="Mulish" w:hAnsi="Mulish"/>
                <w:sz w:val="24"/>
              </w:rPr>
            </w:pPr>
            <w:r w:rsidRPr="005E61F8">
              <w:rPr>
                <w:rFonts w:ascii="Mulish" w:hAnsi="Mulish"/>
                <w:sz w:val="24"/>
              </w:rPr>
              <w:t xml:space="preserve">Segunda revisión: </w:t>
            </w:r>
            <w:r w:rsidR="00165DB2">
              <w:rPr>
                <w:rFonts w:ascii="Mulish" w:hAnsi="Mulish"/>
                <w:sz w:val="24"/>
              </w:rPr>
              <w:t>n</w:t>
            </w:r>
            <w:r w:rsidR="00200F6F">
              <w:rPr>
                <w:rFonts w:ascii="Mulish" w:hAnsi="Mulish"/>
                <w:sz w:val="24"/>
              </w:rPr>
              <w:t>oviembre 2025</w:t>
            </w:r>
          </w:p>
        </w:tc>
      </w:tr>
      <w:tr w:rsidR="005E61F8" w:rsidRPr="005E61F8" w14:paraId="1E39768D" w14:textId="77777777" w:rsidTr="00EA11EF">
        <w:trPr>
          <w:trHeight w:val="443"/>
        </w:trPr>
        <w:tc>
          <w:tcPr>
            <w:tcW w:w="3599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3CEE54D6" w14:textId="662D64D1" w:rsidR="00980ADC" w:rsidRPr="00EA11EF" w:rsidRDefault="005252B2" w:rsidP="00EA11EF">
            <w:pPr>
              <w:rPr>
                <w:rFonts w:ascii="Mulish" w:hAnsi="Mulish"/>
              </w:rPr>
            </w:pPr>
            <w:hyperlink r:id="rId17" w:history="1">
              <w:r w:rsidRPr="0076791A">
                <w:rPr>
                  <w:rStyle w:val="Hipervnculo"/>
                  <w:rFonts w:ascii="Mulish" w:hAnsi="Mulish"/>
                </w:rPr>
                <w:t>https://movimientosumar.es</w:t>
              </w:r>
            </w:hyperlink>
            <w:r>
              <w:rPr>
                <w:rFonts w:ascii="Mulish" w:hAnsi="Mulish"/>
              </w:rPr>
              <w:t xml:space="preserve"> 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5252B2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661"/>
        <w:gridCol w:w="5395"/>
        <w:gridCol w:w="1444"/>
        <w:gridCol w:w="2268"/>
      </w:tblGrid>
      <w:tr w:rsidR="00A249BB" w:rsidRPr="005E61F8" w14:paraId="20B915EC" w14:textId="77777777" w:rsidTr="00E81516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839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26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E81516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1444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3C8378"/>
            </w:tcBorders>
          </w:tcPr>
          <w:p w14:paraId="179BC7F3" w14:textId="58602359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E81516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1444" w:type="dxa"/>
            <w:vAlign w:val="center"/>
          </w:tcPr>
          <w:p w14:paraId="2006F714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E81516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1444" w:type="dxa"/>
            <w:vAlign w:val="center"/>
          </w:tcPr>
          <w:p w14:paraId="2D6648DC" w14:textId="77777777" w:rsidR="00D77D83" w:rsidRPr="00ED029E" w:rsidRDefault="00D77D83" w:rsidP="00ED029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E81516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1444" w:type="dxa"/>
            <w:vAlign w:val="center"/>
          </w:tcPr>
          <w:p w14:paraId="4E246E94" w14:textId="469E9AE6" w:rsidR="00D77D83" w:rsidRPr="00ED029E" w:rsidRDefault="00D77D83" w:rsidP="00ED029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6B3143B" w14:textId="7B38F4CE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E81516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31B0483F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1444" w:type="dxa"/>
          </w:tcPr>
          <w:p w14:paraId="32BE8DB6" w14:textId="7A83614B" w:rsidR="005B11B3" w:rsidRPr="00E81516" w:rsidRDefault="005B11B3" w:rsidP="00E81516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4F585B" w14:textId="2139C20C" w:rsidR="005B11B3" w:rsidRPr="005E61F8" w:rsidRDefault="00E81516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han incluido las leyes orgánicas</w:t>
            </w:r>
          </w:p>
        </w:tc>
      </w:tr>
      <w:tr w:rsidR="00F361B3" w:rsidRPr="005E61F8" w14:paraId="7F8723A8" w14:textId="77777777" w:rsidTr="00E81516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60DD5E3" w14:textId="39EB7864" w:rsidR="00F361B3" w:rsidRPr="00E81516" w:rsidRDefault="00F361B3" w:rsidP="00E8151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D32D8C" w14:textId="4226692D" w:rsidR="00F361B3" w:rsidRPr="005E61F8" w:rsidRDefault="00DA77CA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A la baja. </w:t>
            </w:r>
            <w:r w:rsidR="00356D80">
              <w:rPr>
                <w:rFonts w:ascii="Mulish" w:hAnsi="Mulish"/>
                <w:sz w:val="18"/>
                <w:szCs w:val="18"/>
              </w:rPr>
              <w:t>No se publican las</w:t>
            </w:r>
            <w:r w:rsidR="00E81516">
              <w:rPr>
                <w:rFonts w:ascii="Mulish" w:hAnsi="Mulish"/>
                <w:sz w:val="18"/>
                <w:szCs w:val="18"/>
              </w:rPr>
              <w:t xml:space="preserve"> funciones</w:t>
            </w:r>
          </w:p>
        </w:tc>
      </w:tr>
      <w:tr w:rsidR="00F361B3" w:rsidRPr="005E61F8" w14:paraId="3E7A1C26" w14:textId="77777777" w:rsidTr="00E81516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1444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E81516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1444" w:type="dxa"/>
          </w:tcPr>
          <w:p w14:paraId="4A565035" w14:textId="10330651" w:rsidR="00F361B3" w:rsidRPr="00116C2C" w:rsidRDefault="00F361B3" w:rsidP="00116C2C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4FEECC" w14:textId="7DF9C43F" w:rsidR="00F361B3" w:rsidRPr="005E61F8" w:rsidRDefault="00116C2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A la baja, hay un espacio que se llama Estructura y Órganos, pero </w:t>
            </w:r>
            <w:r w:rsidR="00356D80">
              <w:rPr>
                <w:rFonts w:ascii="Mulish" w:hAnsi="Mulish"/>
                <w:sz w:val="18"/>
                <w:szCs w:val="18"/>
              </w:rPr>
              <w:t>que remite a la información de</w:t>
            </w:r>
            <w:r>
              <w:rPr>
                <w:rFonts w:ascii="Mulish" w:hAnsi="Mulish"/>
                <w:sz w:val="18"/>
                <w:szCs w:val="18"/>
              </w:rPr>
              <w:t xml:space="preserve"> los Estatutos</w:t>
            </w:r>
          </w:p>
        </w:tc>
      </w:tr>
      <w:tr w:rsidR="00F361B3" w:rsidRPr="005E61F8" w14:paraId="0E100D74" w14:textId="77777777" w:rsidTr="00E81516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1444" w:type="dxa"/>
          </w:tcPr>
          <w:p w14:paraId="1B30813B" w14:textId="77777777" w:rsidR="00F361B3" w:rsidRPr="00481203" w:rsidRDefault="00F361B3" w:rsidP="00481203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DA76E5" w14:textId="1210105B" w:rsidR="00F361B3" w:rsidRPr="005E61F8" w:rsidRDefault="00F361B3" w:rsidP="001D2884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E81516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1444" w:type="dxa"/>
          </w:tcPr>
          <w:p w14:paraId="37BA24B8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1F88FF" w14:textId="305C1EC4" w:rsidR="00F361B3" w:rsidRPr="005E61F8" w:rsidRDefault="00116C2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Actualizado 2025</w:t>
            </w:r>
          </w:p>
        </w:tc>
      </w:tr>
      <w:tr w:rsidR="00F361B3" w:rsidRPr="005E61F8" w14:paraId="01720E37" w14:textId="77777777" w:rsidTr="00E81516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536926B" w14:textId="77777777" w:rsidR="00F361B3" w:rsidRPr="00E81516" w:rsidRDefault="00F361B3" w:rsidP="00E81516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9C04D4" w14:textId="7D87462A" w:rsidR="00F361B3" w:rsidRPr="005E61F8" w:rsidRDefault="00116C2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Actualizado 2025</w:t>
            </w:r>
          </w:p>
        </w:tc>
      </w:tr>
      <w:tr w:rsidR="00F361B3" w:rsidRPr="005E61F8" w14:paraId="7C1D17D4" w14:textId="77777777" w:rsidTr="00200F6F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200F6F">
              <w:rPr>
                <w:rFonts w:ascii="Mulish" w:hAnsi="Mulish"/>
                <w:sz w:val="18"/>
                <w:szCs w:val="18"/>
              </w:rPr>
              <w:t>Planes y Programas</w:t>
            </w:r>
            <w:r w:rsidRPr="005E61F8">
              <w:rPr>
                <w:rFonts w:ascii="Mulish" w:hAnsi="Mulish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shd w:val="clear" w:color="auto" w:fill="9BBEB7"/>
          </w:tcPr>
          <w:p w14:paraId="7E2850CE" w14:textId="77777777" w:rsidR="00F361B3" w:rsidRPr="00200F6F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6BB0E3B9" w14:textId="7209E763" w:rsidR="00F361B3" w:rsidRPr="00200F6F" w:rsidRDefault="00F361B3" w:rsidP="002E1A55">
            <w:pPr>
              <w:rPr>
                <w:rFonts w:ascii="Mulish" w:hAnsi="Mulish"/>
                <w:b/>
                <w:bCs/>
                <w:sz w:val="18"/>
                <w:szCs w:val="18"/>
              </w:rPr>
            </w:pPr>
          </w:p>
        </w:tc>
      </w:tr>
      <w:tr w:rsidR="00F361B3" w:rsidRPr="005E61F8" w14:paraId="0EA6C8C5" w14:textId="77777777" w:rsidTr="00E81516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1444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E81516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E81516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1444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662EF724" w14:textId="77777777" w:rsidTr="00E81516">
        <w:tc>
          <w:tcPr>
            <w:tcW w:w="1661" w:type="dxa"/>
            <w:vMerge/>
            <w:vAlign w:val="center"/>
          </w:tcPr>
          <w:p w14:paraId="6C09071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1630621" w14:textId="3B3C25EF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1444" w:type="dxa"/>
            <w:shd w:val="clear" w:color="auto" w:fill="9BBEB7"/>
          </w:tcPr>
          <w:p w14:paraId="3EEF001F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1E480D2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16C149B" w14:textId="77777777" w:rsidTr="00E81516">
        <w:tc>
          <w:tcPr>
            <w:tcW w:w="1661" w:type="dxa"/>
            <w:vMerge/>
            <w:vAlign w:val="center"/>
          </w:tcPr>
          <w:p w14:paraId="7FFF3A4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D6BDAA2" w14:textId="2FFB339F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1444" w:type="dxa"/>
            <w:shd w:val="clear" w:color="auto" w:fill="9BBEB7"/>
          </w:tcPr>
          <w:p w14:paraId="2DAF6A12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D84F9B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D91FD29" w14:textId="77777777" w:rsidTr="00E81516">
        <w:tc>
          <w:tcPr>
            <w:tcW w:w="1661" w:type="dxa"/>
            <w:vMerge/>
            <w:vAlign w:val="center"/>
          </w:tcPr>
          <w:p w14:paraId="0E813E6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43D135" w14:textId="7031C16D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1444" w:type="dxa"/>
            <w:shd w:val="clear" w:color="auto" w:fill="9BBEB7"/>
          </w:tcPr>
          <w:p w14:paraId="37BDA54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17AC2DB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7FCBC45C" w14:textId="77777777" w:rsidTr="00E81516">
        <w:tc>
          <w:tcPr>
            <w:tcW w:w="1661" w:type="dxa"/>
            <w:vMerge/>
            <w:vAlign w:val="center"/>
          </w:tcPr>
          <w:p w14:paraId="70A31C9F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C8DE8A9" w14:textId="6661AFE6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B54E5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1444" w:type="dxa"/>
            <w:shd w:val="clear" w:color="auto" w:fill="9BBEB7"/>
          </w:tcPr>
          <w:p w14:paraId="2B2380A0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C0A3CD1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E81516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1444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116C2C">
        <w:trPr>
          <w:trHeight w:val="1370"/>
        </w:trPr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54E1CFA" w14:textId="77777777" w:rsidR="00F361B3" w:rsidRPr="00116C2C" w:rsidRDefault="00F361B3" w:rsidP="00116C2C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BA9922" w14:textId="7EAA62C8" w:rsidR="00F361B3" w:rsidRPr="005E61F8" w:rsidRDefault="00E81516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NA. Se indica expresamente que Sumar no </w:t>
            </w:r>
            <w:r w:rsidR="00F81B7E">
              <w:rPr>
                <w:rFonts w:ascii="Mulish" w:hAnsi="Mulish"/>
                <w:sz w:val="18"/>
                <w:szCs w:val="18"/>
              </w:rPr>
              <w:t>tiene contratos adjudicados por AAPP.</w:t>
            </w:r>
          </w:p>
        </w:tc>
      </w:tr>
      <w:tr w:rsidR="00F361B3" w:rsidRPr="005E61F8" w14:paraId="7E530259" w14:textId="77777777" w:rsidTr="00E81516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1444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E81516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1444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E81516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1444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E81516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1444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E81516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1444" w:type="dxa"/>
          </w:tcPr>
          <w:p w14:paraId="64EC4E78" w14:textId="77777777" w:rsidR="00F361B3" w:rsidRPr="00116C2C" w:rsidRDefault="00F361B3" w:rsidP="00116C2C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8B2B22" w14:textId="52187BC6" w:rsidR="00F361B3" w:rsidRPr="005E61F8" w:rsidRDefault="00F81B7E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NA. Se indica expresamente que Sumar no tiene contratos menores adjudicados por AAPP</w:t>
            </w:r>
          </w:p>
        </w:tc>
      </w:tr>
      <w:tr w:rsidR="00F361B3" w:rsidRPr="005E61F8" w14:paraId="6E9F2F8F" w14:textId="77777777" w:rsidTr="00E81516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B4BEFCA" w14:textId="77777777" w:rsidR="00F361B3" w:rsidRPr="00116C2C" w:rsidRDefault="00F361B3" w:rsidP="00116C2C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3AECE8" w14:textId="4E59C881" w:rsidR="00F361B3" w:rsidRPr="005E61F8" w:rsidRDefault="00F81B7E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NA. Se indica expresamente que Sumar no suscribe convenios con AAPP</w:t>
            </w:r>
          </w:p>
        </w:tc>
      </w:tr>
      <w:tr w:rsidR="00F361B3" w:rsidRPr="005E61F8" w14:paraId="3F1DD625" w14:textId="77777777" w:rsidTr="00E81516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1444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E81516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1444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E81516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1444" w:type="dxa"/>
          </w:tcPr>
          <w:p w14:paraId="24AE29F5" w14:textId="77777777" w:rsidR="00F361B3" w:rsidRPr="00F81B7E" w:rsidRDefault="00F361B3" w:rsidP="00F81B7E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8C6BE1" w14:textId="62D32ABA" w:rsidR="00F361B3" w:rsidRPr="005E61F8" w:rsidRDefault="00116C2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Del 2024, pero actualizado en 2025</w:t>
            </w:r>
          </w:p>
        </w:tc>
      </w:tr>
      <w:tr w:rsidR="00F361B3" w:rsidRPr="005E61F8" w14:paraId="48BA35CC" w14:textId="77777777" w:rsidTr="00E81516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3DA87F7" w14:textId="36A3077E" w:rsidR="00F361B3" w:rsidRPr="00F81B7E" w:rsidRDefault="00F361B3" w:rsidP="00F81B7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9EEB6C" w14:textId="38EFB7C2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E81516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1444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567A5B7" w14:textId="77777777" w:rsidTr="00E81516">
        <w:tc>
          <w:tcPr>
            <w:tcW w:w="1661" w:type="dxa"/>
            <w:vMerge/>
            <w:vAlign w:val="center"/>
          </w:tcPr>
          <w:p w14:paraId="509BDB7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63F62F0" w14:textId="179FAAD8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1444" w:type="dxa"/>
            <w:shd w:val="clear" w:color="auto" w:fill="9BBEB7"/>
          </w:tcPr>
          <w:p w14:paraId="48C34A9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711153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E6A4C89" w14:textId="77777777" w:rsidTr="00E81516">
        <w:tc>
          <w:tcPr>
            <w:tcW w:w="1661" w:type="dxa"/>
            <w:vMerge/>
            <w:vAlign w:val="center"/>
          </w:tcPr>
          <w:p w14:paraId="056A6A1C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E7559DC" w14:textId="5443F993" w:rsidR="00B54E53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1444" w:type="dxa"/>
            <w:shd w:val="clear" w:color="auto" w:fill="9BBEB7"/>
          </w:tcPr>
          <w:p w14:paraId="570534C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DC6605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E81516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1444" w:type="dxa"/>
          </w:tcPr>
          <w:p w14:paraId="25E615DE" w14:textId="77777777" w:rsidR="00F361B3" w:rsidRPr="004B5CC4" w:rsidRDefault="00F361B3" w:rsidP="004B5CC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E1AB8F" w14:textId="03E3166F" w:rsidR="00F361B3" w:rsidRPr="005E61F8" w:rsidRDefault="00116C2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Del 2024, actualizadas</w:t>
            </w:r>
          </w:p>
        </w:tc>
      </w:tr>
      <w:tr w:rsidR="00F361B3" w:rsidRPr="005E61F8" w14:paraId="77D5A25D" w14:textId="77777777" w:rsidTr="00E81516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1AFAF89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CA0DFD">
              <w:rPr>
                <w:rFonts w:ascii="Mulish" w:hAnsi="Mulish"/>
                <w:sz w:val="18"/>
                <w:szCs w:val="18"/>
              </w:rPr>
              <w:t>fiscalización externa</w:t>
            </w:r>
          </w:p>
        </w:tc>
        <w:tc>
          <w:tcPr>
            <w:tcW w:w="1444" w:type="dxa"/>
          </w:tcPr>
          <w:p w14:paraId="15AD2699" w14:textId="77777777" w:rsidR="00F361B3" w:rsidRPr="00A05CAA" w:rsidRDefault="00F361B3" w:rsidP="00F201D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AE829E" w14:textId="11908C5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E81516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ECD55FD" w14:textId="77777777" w:rsidR="00F361B3" w:rsidRPr="00F943CA" w:rsidRDefault="00F361B3" w:rsidP="00F943CA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E81516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1444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E81516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1444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E81516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1444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032A6B4C" w14:textId="77777777" w:rsidTr="00E81516">
        <w:tc>
          <w:tcPr>
            <w:tcW w:w="1661" w:type="dxa"/>
            <w:vMerge/>
            <w:vAlign w:val="center"/>
          </w:tcPr>
          <w:p w14:paraId="428BFA15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05E062" w14:textId="1DA7E64A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1444" w:type="dxa"/>
            <w:shd w:val="clear" w:color="auto" w:fill="9BBEB7"/>
          </w:tcPr>
          <w:p w14:paraId="6F7DC087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464FEC56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1F74E00" w14:textId="77777777" w:rsidTr="00E81516">
        <w:tc>
          <w:tcPr>
            <w:tcW w:w="1661" w:type="dxa"/>
            <w:vMerge/>
            <w:vAlign w:val="center"/>
          </w:tcPr>
          <w:p w14:paraId="09B9DCF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5FB119" w14:textId="68FA2287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1444" w:type="dxa"/>
            <w:shd w:val="clear" w:color="auto" w:fill="9BBEB7"/>
          </w:tcPr>
          <w:p w14:paraId="0419E81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0E9BCA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1757693" w14:textId="77777777" w:rsidTr="00E81516">
        <w:tc>
          <w:tcPr>
            <w:tcW w:w="1661" w:type="dxa"/>
            <w:vMerge/>
            <w:vAlign w:val="center"/>
          </w:tcPr>
          <w:p w14:paraId="09AB6AF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1444" w:type="dxa"/>
            <w:shd w:val="clear" w:color="auto" w:fill="9BBEB7"/>
          </w:tcPr>
          <w:p w14:paraId="7B2E459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9306A9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51DCB43" w14:textId="77777777" w:rsidTr="00E81516">
        <w:tc>
          <w:tcPr>
            <w:tcW w:w="1661" w:type="dxa"/>
            <w:vMerge/>
            <w:vAlign w:val="center"/>
          </w:tcPr>
          <w:p w14:paraId="6252B1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1444" w:type="dxa"/>
            <w:shd w:val="clear" w:color="auto" w:fill="9BBEB7"/>
          </w:tcPr>
          <w:p w14:paraId="6A03701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0F1538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38C8CDA" w14:textId="77777777" w:rsidTr="00E81516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1444" w:type="dxa"/>
            <w:vAlign w:val="center"/>
          </w:tcPr>
          <w:p w14:paraId="04C81643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0AAC9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7E99D04C" w14:textId="77777777" w:rsidTr="00E81516">
        <w:tc>
          <w:tcPr>
            <w:tcW w:w="1661" w:type="dxa"/>
            <w:vMerge/>
          </w:tcPr>
          <w:p w14:paraId="3204592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1444" w:type="dxa"/>
            <w:vAlign w:val="center"/>
          </w:tcPr>
          <w:p w14:paraId="2EBDF36C" w14:textId="77777777" w:rsidR="00A249BB" w:rsidRPr="004B5CC4" w:rsidRDefault="00A249BB" w:rsidP="004B5CC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30437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36DEA3E" w14:textId="77777777" w:rsidTr="00E81516">
        <w:tc>
          <w:tcPr>
            <w:tcW w:w="1661" w:type="dxa"/>
            <w:vMerge/>
          </w:tcPr>
          <w:p w14:paraId="6DD8F528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1444" w:type="dxa"/>
            <w:vAlign w:val="center"/>
          </w:tcPr>
          <w:p w14:paraId="7A52DD29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FB6C13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0A1D485" w14:textId="77777777" w:rsidTr="00E81516">
        <w:tc>
          <w:tcPr>
            <w:tcW w:w="1661" w:type="dxa"/>
            <w:vMerge/>
          </w:tcPr>
          <w:p w14:paraId="0AC0487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1444" w:type="dxa"/>
            <w:vAlign w:val="center"/>
          </w:tcPr>
          <w:p w14:paraId="128E8926" w14:textId="77777777" w:rsidR="00A249BB" w:rsidRPr="004B5CC4" w:rsidRDefault="00A249BB" w:rsidP="00F201D6">
            <w:pPr>
              <w:pStyle w:val="Prrafodelista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302FA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43E9693" w14:textId="77777777" w:rsidTr="00E81516">
        <w:tc>
          <w:tcPr>
            <w:tcW w:w="1661" w:type="dxa"/>
            <w:vMerge/>
          </w:tcPr>
          <w:p w14:paraId="4B62AF89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1444" w:type="dxa"/>
            <w:vAlign w:val="center"/>
          </w:tcPr>
          <w:p w14:paraId="059F9A29" w14:textId="77777777" w:rsidR="00A249BB" w:rsidRPr="00D00609" w:rsidRDefault="00A249BB" w:rsidP="00D0060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E9D934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2F13D281" w14:textId="77777777" w:rsidTr="00E81516">
        <w:tc>
          <w:tcPr>
            <w:tcW w:w="7056" w:type="dxa"/>
            <w:gridSpan w:val="2"/>
          </w:tcPr>
          <w:p w14:paraId="50237AD0" w14:textId="77777777" w:rsidR="00A249BB" w:rsidRPr="005E61F8" w:rsidRDefault="00A249BB" w:rsidP="002E1A55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sz w:val="18"/>
                <w:szCs w:val="18"/>
              </w:rPr>
              <w:t>Total Recomendaciones</w:t>
            </w:r>
          </w:p>
        </w:tc>
        <w:tc>
          <w:tcPr>
            <w:tcW w:w="1444" w:type="dxa"/>
            <w:vAlign w:val="center"/>
          </w:tcPr>
          <w:p w14:paraId="7C2B6F9A" w14:textId="24674530" w:rsidR="00A249BB" w:rsidRPr="005E61F8" w:rsidRDefault="004B5CC4" w:rsidP="002E1A55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</w:t>
            </w:r>
            <w:r w:rsidR="00F201D6">
              <w:rPr>
                <w:rFonts w:ascii="Mulish" w:hAnsi="Mulish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9655252" w14:textId="77777777" w:rsidR="00A249BB" w:rsidRPr="005E61F8" w:rsidRDefault="00A249BB" w:rsidP="002E1A55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1F2CA34B" w:rsidR="00BA4354" w:rsidRPr="005E61F8" w:rsidRDefault="00116C2C" w:rsidP="00DF56A7">
      <w:pPr>
        <w:jc w:val="both"/>
        <w:rPr>
          <w:rFonts w:ascii="Mulish" w:hAnsi="Mulish"/>
        </w:rPr>
      </w:pPr>
      <w:r>
        <w:rPr>
          <w:rFonts w:ascii="Mulish" w:hAnsi="Mulish"/>
        </w:rPr>
        <w:t>Sumar</w:t>
      </w:r>
      <w:r w:rsidR="004B5CC4">
        <w:rPr>
          <w:rFonts w:ascii="Mulish" w:hAnsi="Mulish"/>
        </w:rPr>
        <w:t xml:space="preserve"> ha aplicado </w:t>
      </w:r>
      <w:r>
        <w:rPr>
          <w:rFonts w:ascii="Mulish" w:hAnsi="Mulish"/>
        </w:rPr>
        <w:t>cinco</w:t>
      </w:r>
      <w:r w:rsidR="004B5CC4">
        <w:rPr>
          <w:rFonts w:ascii="Mulish" w:hAnsi="Mulish"/>
        </w:rPr>
        <w:t xml:space="preserve"> de</w:t>
      </w:r>
      <w:r w:rsidR="00C52EE5" w:rsidRPr="005E61F8">
        <w:rPr>
          <w:rFonts w:ascii="Mulish" w:hAnsi="Mulish"/>
        </w:rPr>
        <w:t xml:space="preserve"> las recomendaciones derivadas de la evaluación realizada en 202</w:t>
      </w:r>
      <w:r w:rsidR="00BC7CBA">
        <w:rPr>
          <w:rFonts w:ascii="Mulish" w:hAnsi="Mulish"/>
        </w:rPr>
        <w:t>4</w:t>
      </w:r>
      <w:r w:rsidR="00C52EE5" w:rsidRPr="005E61F8">
        <w:rPr>
          <w:rFonts w:ascii="Mulish" w:hAnsi="Mulish"/>
        </w:rPr>
        <w:t>.</w:t>
      </w:r>
    </w:p>
    <w:bookmarkEnd w:id="1"/>
    <w:p w14:paraId="244BCCCC" w14:textId="0AFC79B7" w:rsidR="000D5B48" w:rsidRDefault="000D5B48" w:rsidP="00AC4A6F">
      <w:pPr>
        <w:rPr>
          <w:rFonts w:ascii="Mulish" w:hAnsi="Mulish"/>
          <w:color w:val="3C8378"/>
        </w:rPr>
      </w:pPr>
    </w:p>
    <w:p w14:paraId="12D61F86" w14:textId="3A2A9674" w:rsidR="000D5B48" w:rsidRDefault="000D5B48" w:rsidP="00AC4A6F">
      <w:pPr>
        <w:rPr>
          <w:rFonts w:ascii="Mulish" w:hAnsi="Mulish"/>
          <w:color w:val="3C8378"/>
        </w:rPr>
      </w:pPr>
    </w:p>
    <w:p w14:paraId="0EDAB8EF" w14:textId="77F565AA" w:rsidR="005040C5" w:rsidRDefault="005040C5" w:rsidP="00AC4A6F">
      <w:pPr>
        <w:rPr>
          <w:rFonts w:ascii="Mulish" w:hAnsi="Mulish"/>
          <w:color w:val="3C8378"/>
        </w:rPr>
      </w:pPr>
    </w:p>
    <w:p w14:paraId="1C4A177B" w14:textId="617392BD" w:rsidR="005040C5" w:rsidRDefault="005040C5" w:rsidP="00AC4A6F">
      <w:pPr>
        <w:rPr>
          <w:rFonts w:ascii="Mulish" w:hAnsi="Mulish"/>
          <w:color w:val="3C8378"/>
        </w:rPr>
      </w:pPr>
    </w:p>
    <w:p w14:paraId="41DBEFCC" w14:textId="2D8B4671" w:rsidR="005040C5" w:rsidRDefault="005040C5" w:rsidP="00AC4A6F">
      <w:pPr>
        <w:rPr>
          <w:rFonts w:ascii="Mulish" w:hAnsi="Mulish"/>
          <w:color w:val="3C8378"/>
        </w:rPr>
      </w:pPr>
    </w:p>
    <w:p w14:paraId="2EBFAC45" w14:textId="77777777" w:rsidR="005040C5" w:rsidRPr="00AF443D" w:rsidRDefault="005040C5" w:rsidP="00AC4A6F">
      <w:pPr>
        <w:rPr>
          <w:rFonts w:ascii="Mulish" w:hAnsi="Mulish"/>
          <w:color w:val="3C8378"/>
        </w:rPr>
      </w:pPr>
    </w:p>
    <w:p w14:paraId="5868F869" w14:textId="33B7AAD7" w:rsidR="001E1494" w:rsidRPr="00287137" w:rsidRDefault="005252B2" w:rsidP="00DF2896">
      <w:pPr>
        <w:pStyle w:val="Cuerpodelboletn"/>
        <w:numPr>
          <w:ilvl w:val="0"/>
          <w:numId w:val="2"/>
        </w:numPr>
        <w:tabs>
          <w:tab w:val="left" w:pos="426"/>
        </w:tabs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287137">
            <w:rPr>
              <w:rFonts w:ascii="Mulish" w:hAnsi="Mulish"/>
              <w:b/>
              <w:color w:val="3C8378"/>
              <w:sz w:val="30"/>
              <w:szCs w:val="30"/>
            </w:rPr>
            <w:t>Valoració</w:t>
          </w:r>
          <w:r w:rsidR="003A1694" w:rsidRPr="00DF2896">
            <w:rPr>
              <w:rFonts w:ascii="Mulish" w:hAnsi="Mulish"/>
              <w:b/>
              <w:color w:val="3C8378"/>
              <w:sz w:val="30"/>
              <w:szCs w:val="30"/>
            </w:rPr>
            <w:t xml:space="preserve">n del grado de cumplimiento de las obligaciones de publicidad </w:t>
          </w:r>
          <w:r w:rsidR="003A1694" w:rsidRPr="00287137">
            <w:rPr>
              <w:rFonts w:ascii="Mulish" w:hAnsi="Mulish"/>
              <w:b/>
              <w:color w:val="3C8378"/>
              <w:sz w:val="30"/>
              <w:szCs w:val="30"/>
            </w:rPr>
            <w:t>activa</w:t>
          </w:r>
          <w:r w:rsidR="00032D8A" w:rsidRPr="00287137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09B58086" w14:textId="3BA2279D" w:rsidR="00233F44" w:rsidRDefault="00233F44" w:rsidP="00F05E2C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3"/>
        <w:gridCol w:w="783"/>
        <w:gridCol w:w="783"/>
        <w:gridCol w:w="783"/>
        <w:gridCol w:w="783"/>
        <w:gridCol w:w="783"/>
        <w:gridCol w:w="784"/>
        <w:gridCol w:w="776"/>
      </w:tblGrid>
      <w:tr w:rsidR="00233F44" w:rsidRPr="00233F44" w14:paraId="3339CD7B" w14:textId="77777777" w:rsidTr="00233F44">
        <w:trPr>
          <w:trHeight w:val="1995"/>
        </w:trPr>
        <w:tc>
          <w:tcPr>
            <w:tcW w:w="1740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D6787A0" w14:textId="087EF624" w:rsidR="00233F44" w:rsidRPr="00233F44" w:rsidRDefault="00233F44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7CAE2C8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D6B14CF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00A104E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D2068A3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F5B090F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277681A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9E19D9C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F6866BB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233F44" w:rsidRPr="00233F44" w14:paraId="0F4AA98F" w14:textId="77777777" w:rsidTr="00233F44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B8CAE57" w14:textId="77777777" w:rsidR="00233F44" w:rsidRPr="00233F44" w:rsidRDefault="00233F44" w:rsidP="00233F44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092475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C88913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3F7F62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306B881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E107E7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F8F6FF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C285274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F0005D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48,8</w:t>
            </w:r>
          </w:p>
        </w:tc>
      </w:tr>
      <w:tr w:rsidR="00233F44" w:rsidRPr="00233F44" w14:paraId="2CDA0ED6" w14:textId="77777777" w:rsidTr="00233F44">
        <w:trPr>
          <w:trHeight w:val="45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E578826" w14:textId="77777777" w:rsidR="00233F44" w:rsidRPr="00233F44" w:rsidRDefault="00233F44" w:rsidP="00233F44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F24C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14F1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3865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422D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76C3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FC72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6094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EC54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233F44" w:rsidRPr="00233F44" w14:paraId="59CD9AD5" w14:textId="77777777" w:rsidTr="00233F44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77E3AF" w14:textId="77777777" w:rsidR="00233F44" w:rsidRPr="00233F44" w:rsidRDefault="00233F44" w:rsidP="00233F44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669667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A4C17C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9FAA9C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60E01C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829046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E5C23F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59A542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259B8F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40,0</w:t>
            </w:r>
          </w:p>
        </w:tc>
      </w:tr>
      <w:tr w:rsidR="00233F44" w:rsidRPr="00233F44" w14:paraId="0ADCA806" w14:textId="77777777" w:rsidTr="00233F44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FB9CE12" w14:textId="77777777" w:rsidR="00233F44" w:rsidRPr="00233F44" w:rsidRDefault="00233F44" w:rsidP="00233F44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6992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E87F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1D8A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02F7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6A50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5BD3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828B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06FB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233F44" w:rsidRPr="00233F44" w14:paraId="1BE1C2CC" w14:textId="77777777" w:rsidTr="00233F44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E26A3AE" w14:textId="77777777" w:rsidR="00233F44" w:rsidRPr="00233F44" w:rsidRDefault="00233F44" w:rsidP="00233F44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621836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45,5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D47ACD4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45,5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1BE195C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45,5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4DF97D0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45,5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D00C03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45,5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69ACD4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45,5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917FD68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40,9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61680F" w14:textId="77777777" w:rsidR="00233F44" w:rsidRPr="00233F44" w:rsidRDefault="00233F44" w:rsidP="00233F44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33F44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46,1</w:t>
            </w:r>
          </w:p>
        </w:tc>
      </w:tr>
    </w:tbl>
    <w:p w14:paraId="57A1FB7F" w14:textId="69A2C42E" w:rsidR="00DF2896" w:rsidRPr="00287137" w:rsidRDefault="00DF2896" w:rsidP="00F05E2C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p w14:paraId="659D7B6C" w14:textId="7E3433E4" w:rsidR="00EB68A3" w:rsidRDefault="004061BC" w:rsidP="002F79C6">
      <w:pPr>
        <w:pStyle w:val="Cuerpodelboletn"/>
        <w:rPr>
          <w:rFonts w:ascii="Mulish" w:hAnsi="Mulish"/>
          <w:lang w:bidi="es-ES"/>
        </w:rPr>
      </w:pPr>
      <w:r w:rsidRPr="00DF2896">
        <w:rPr>
          <w:rFonts w:ascii="Mulish" w:hAnsi="Mulish"/>
          <w:lang w:bidi="es-ES"/>
        </w:rPr>
        <w:t>El Índice de Cumplimiento de la Información Obligatoria (ICIO) se sitúa en el</w:t>
      </w:r>
      <w:r w:rsidR="000D5B48" w:rsidRPr="00DF2896">
        <w:rPr>
          <w:rFonts w:ascii="Mulish" w:hAnsi="Mulish"/>
          <w:lang w:bidi="es-ES"/>
        </w:rPr>
        <w:t xml:space="preserve"> </w:t>
      </w:r>
      <w:r w:rsidR="00233F44">
        <w:rPr>
          <w:rFonts w:ascii="Mulish" w:hAnsi="Mulish"/>
          <w:lang w:bidi="es-ES"/>
        </w:rPr>
        <w:t>46,1</w:t>
      </w:r>
      <w:r w:rsidRPr="00DF2896">
        <w:rPr>
          <w:rFonts w:ascii="Mulish" w:hAnsi="Mulish"/>
          <w:lang w:bidi="es-ES"/>
        </w:rPr>
        <w:t>%.</w:t>
      </w:r>
      <w:r w:rsidR="00BB3652" w:rsidRPr="00DF2896">
        <w:rPr>
          <w:rFonts w:ascii="Mulish" w:hAnsi="Mulish"/>
          <w:lang w:bidi="es-ES"/>
        </w:rPr>
        <w:t xml:space="preserve"> Respecto de 202</w:t>
      </w:r>
      <w:r w:rsidR="000D5B48" w:rsidRPr="00DF2896">
        <w:rPr>
          <w:rFonts w:ascii="Mulish" w:hAnsi="Mulish"/>
          <w:lang w:bidi="es-ES"/>
        </w:rPr>
        <w:t>4</w:t>
      </w:r>
      <w:r w:rsidR="00BB3652" w:rsidRPr="00DF2896">
        <w:rPr>
          <w:rFonts w:ascii="Mulish" w:hAnsi="Mulish"/>
          <w:lang w:bidi="es-ES"/>
        </w:rPr>
        <w:t xml:space="preserve"> se produce un incremento de</w:t>
      </w:r>
      <w:r w:rsidR="000D5B48" w:rsidRPr="00DF2896">
        <w:rPr>
          <w:rFonts w:ascii="Mulish" w:hAnsi="Mulish"/>
          <w:lang w:bidi="es-ES"/>
        </w:rPr>
        <w:t xml:space="preserve"> </w:t>
      </w:r>
      <w:r w:rsidR="00233F44">
        <w:rPr>
          <w:rFonts w:ascii="Mulish" w:hAnsi="Mulish"/>
          <w:lang w:bidi="es-ES"/>
        </w:rPr>
        <w:t>7,3</w:t>
      </w:r>
      <w:r w:rsidR="00BB3652" w:rsidRPr="00DF2896">
        <w:rPr>
          <w:rFonts w:ascii="Mulish" w:hAnsi="Mulish"/>
          <w:lang w:bidi="es-ES"/>
        </w:rPr>
        <w:t xml:space="preserve"> puntos porcentuales atribuible</w:t>
      </w:r>
      <w:r w:rsidR="0076567C" w:rsidRPr="00DF2896">
        <w:rPr>
          <w:rFonts w:ascii="Mulish" w:hAnsi="Mulish"/>
          <w:lang w:bidi="es-ES"/>
        </w:rPr>
        <w:t xml:space="preserve">s a la aplicación de </w:t>
      </w:r>
      <w:r w:rsidR="00FA7947">
        <w:rPr>
          <w:rFonts w:ascii="Mulish" w:hAnsi="Mulish"/>
          <w:lang w:bidi="es-ES"/>
        </w:rPr>
        <w:t>cinco</w:t>
      </w:r>
      <w:r w:rsidR="0076567C" w:rsidRPr="00DF2896">
        <w:rPr>
          <w:rFonts w:ascii="Mulish" w:hAnsi="Mulish"/>
          <w:lang w:bidi="es-ES"/>
        </w:rPr>
        <w:t xml:space="preserve"> de las </w:t>
      </w:r>
      <w:r w:rsidR="00FA7947">
        <w:rPr>
          <w:rFonts w:ascii="Mulish" w:hAnsi="Mulish"/>
          <w:lang w:bidi="es-ES"/>
        </w:rPr>
        <w:t xml:space="preserve">trece </w:t>
      </w:r>
      <w:r w:rsidR="0076567C" w:rsidRPr="00DF2896">
        <w:rPr>
          <w:rFonts w:ascii="Mulish" w:hAnsi="Mulish"/>
          <w:lang w:bidi="es-ES"/>
        </w:rPr>
        <w:t>recomendaciones efectuadas en 202</w:t>
      </w:r>
      <w:r w:rsidR="000D5B48" w:rsidRPr="00DF2896">
        <w:rPr>
          <w:rFonts w:ascii="Mulish" w:hAnsi="Mulish"/>
          <w:lang w:bidi="es-ES"/>
        </w:rPr>
        <w:t>4</w:t>
      </w:r>
      <w:r w:rsidR="001E1494" w:rsidRPr="00DF2896">
        <w:rPr>
          <w:rFonts w:ascii="Mulish" w:hAnsi="Mulish"/>
          <w:lang w:bidi="es-ES"/>
        </w:rPr>
        <w:t>.</w:t>
      </w:r>
    </w:p>
    <w:p w14:paraId="0D52DF61" w14:textId="3723F4CD" w:rsidR="00AF443D" w:rsidRDefault="007E2D7C" w:rsidP="00356D80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</w:rPr>
        <w:t>Por otra parte</w:t>
      </w:r>
      <w:r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se ha revisado a la baja el cumplimiento de la obligación “</w:t>
      </w:r>
      <w:r w:rsidR="00130608">
        <w:rPr>
          <w:rFonts w:ascii="Mulish" w:hAnsi="Mulish"/>
        </w:rPr>
        <w:t>funciones</w:t>
      </w:r>
      <w:r w:rsidRPr="005E61F8">
        <w:rPr>
          <w:rFonts w:ascii="Mulish" w:hAnsi="Mulish"/>
        </w:rPr>
        <w:t xml:space="preserve">” </w:t>
      </w:r>
      <w:r w:rsidR="00FA7947">
        <w:rPr>
          <w:rFonts w:ascii="Mulish" w:hAnsi="Mulish"/>
        </w:rPr>
        <w:t xml:space="preserve">y “descripción de la estructura organizativa” </w:t>
      </w:r>
      <w:r w:rsidRPr="005E61F8">
        <w:rPr>
          <w:rFonts w:ascii="Mulish" w:hAnsi="Mulish"/>
        </w:rPr>
        <w:t xml:space="preserve">dado que </w:t>
      </w:r>
      <w:r w:rsidR="00130608">
        <w:rPr>
          <w:rFonts w:ascii="Mulish" w:hAnsi="Mulish"/>
        </w:rPr>
        <w:t>en la revisión actual de 2025 no se encuentra</w:t>
      </w:r>
      <w:r w:rsidR="00233F44">
        <w:rPr>
          <w:rFonts w:ascii="Mulish" w:hAnsi="Mulish"/>
        </w:rPr>
        <w:t>n</w:t>
      </w:r>
      <w:r w:rsidR="00130608">
        <w:rPr>
          <w:rFonts w:ascii="Mulish" w:hAnsi="Mulish"/>
        </w:rPr>
        <w:t xml:space="preserve"> publicada</w:t>
      </w:r>
      <w:r w:rsidR="00233F44">
        <w:rPr>
          <w:rFonts w:ascii="Mulish" w:hAnsi="Mulish"/>
        </w:rPr>
        <w:t>s</w:t>
      </w:r>
      <w:r w:rsidR="00130608">
        <w:rPr>
          <w:rFonts w:ascii="Mulish" w:hAnsi="Mulish"/>
        </w:rPr>
        <w:t xml:space="preserve"> dicha</w:t>
      </w:r>
      <w:r w:rsidR="00233F44">
        <w:rPr>
          <w:rFonts w:ascii="Mulish" w:hAnsi="Mulish"/>
        </w:rPr>
        <w:t>s</w:t>
      </w:r>
      <w:r w:rsidR="00130608">
        <w:rPr>
          <w:rFonts w:ascii="Mulish" w:hAnsi="Mulish"/>
        </w:rPr>
        <w:t xml:space="preserve"> obligaci</w:t>
      </w:r>
      <w:r w:rsidR="00233F44">
        <w:rPr>
          <w:rFonts w:ascii="Mulish" w:hAnsi="Mulish"/>
        </w:rPr>
        <w:t>ones</w:t>
      </w:r>
      <w:r w:rsidR="00130608">
        <w:rPr>
          <w:rFonts w:ascii="Mulish" w:hAnsi="Mulish"/>
        </w:rPr>
        <w:t xml:space="preserve">, </w:t>
      </w:r>
      <w:r w:rsidR="00356D80">
        <w:rPr>
          <w:rFonts w:ascii="Mulish" w:hAnsi="Mulish"/>
        </w:rPr>
        <w:t>cuando</w:t>
      </w:r>
      <w:r w:rsidR="00130608">
        <w:rPr>
          <w:rFonts w:ascii="Mulish" w:hAnsi="Mulish"/>
        </w:rPr>
        <w:t xml:space="preserve"> s</w:t>
      </w:r>
      <w:r w:rsidR="00FA7947">
        <w:rPr>
          <w:rFonts w:ascii="Mulish" w:hAnsi="Mulish"/>
        </w:rPr>
        <w:t>í</w:t>
      </w:r>
      <w:r w:rsidR="00356D80">
        <w:rPr>
          <w:rFonts w:ascii="Mulish" w:hAnsi="Mulish"/>
        </w:rPr>
        <w:t xml:space="preserve"> lo</w:t>
      </w:r>
      <w:r w:rsidR="00130608">
        <w:rPr>
          <w:rFonts w:ascii="Mulish" w:hAnsi="Mulish"/>
        </w:rPr>
        <w:t xml:space="preserve"> estaba</w:t>
      </w:r>
      <w:r w:rsidR="00233F44">
        <w:rPr>
          <w:rFonts w:ascii="Mulish" w:hAnsi="Mulish"/>
        </w:rPr>
        <w:t>n</w:t>
      </w:r>
      <w:r w:rsidR="00130608">
        <w:rPr>
          <w:rFonts w:ascii="Mulish" w:hAnsi="Mulish"/>
        </w:rPr>
        <w:t xml:space="preserve"> en 2024.</w:t>
      </w:r>
    </w:p>
    <w:p w14:paraId="7C3DA671" w14:textId="77777777" w:rsidR="00130608" w:rsidRDefault="00130608" w:rsidP="00F05E2C">
      <w:pPr>
        <w:pStyle w:val="Cuerpodelboletn"/>
        <w:rPr>
          <w:rFonts w:ascii="Mulish" w:hAnsi="Mulish"/>
        </w:rPr>
      </w:pPr>
    </w:p>
    <w:p w14:paraId="6B9B75B4" w14:textId="6E13EC08" w:rsidR="00DF2896" w:rsidRPr="005E61F8" w:rsidRDefault="00DF2896" w:rsidP="00F05E2C">
      <w:pPr>
        <w:pStyle w:val="Cuerpodelboletn"/>
        <w:rPr>
          <w:rFonts w:ascii="Mulish" w:hAnsi="Mulish"/>
        </w:rPr>
        <w:sectPr w:rsidR="00DF2896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1763F8">
          <w:pPr>
            <w:pStyle w:val="Cuerpodelboletn"/>
            <w:numPr>
              <w:ilvl w:val="0"/>
              <w:numId w:val="2"/>
            </w:numPr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5F42D12B" w:rsidR="00BB3652" w:rsidRPr="005E61F8" w:rsidRDefault="00BB3652" w:rsidP="00356D80">
      <w:pPr>
        <w:pStyle w:val="Cuerpodelboletn"/>
        <w:spacing w:before="120" w:after="120" w:line="276" w:lineRule="auto"/>
        <w:rPr>
          <w:rFonts w:ascii="Mulish" w:hAnsi="Mulish"/>
        </w:rPr>
      </w:pPr>
      <w:r w:rsidRPr="008D3B6F">
        <w:rPr>
          <w:rFonts w:ascii="Mulish" w:hAnsi="Mulish"/>
        </w:rPr>
        <w:t xml:space="preserve">Este </w:t>
      </w:r>
      <w:r w:rsidR="0035293F">
        <w:rPr>
          <w:rFonts w:ascii="Mulish" w:hAnsi="Mulish"/>
        </w:rPr>
        <w:t>Consejo</w:t>
      </w:r>
      <w:r w:rsidRPr="008D3B6F">
        <w:rPr>
          <w:rFonts w:ascii="Mulish" w:hAnsi="Mulish"/>
        </w:rPr>
        <w:t xml:space="preserve"> </w:t>
      </w:r>
      <w:r w:rsidRPr="008D3B6F">
        <w:rPr>
          <w:rFonts w:ascii="Mulish" w:hAnsi="Mulish"/>
          <w:b/>
        </w:rPr>
        <w:t xml:space="preserve">valora </w:t>
      </w:r>
      <w:r w:rsidR="00233F44">
        <w:rPr>
          <w:rFonts w:ascii="Mulish" w:hAnsi="Mulish"/>
          <w:b/>
        </w:rPr>
        <w:t>posi</w:t>
      </w:r>
      <w:r w:rsidR="001E1494" w:rsidRPr="008D3B6F">
        <w:rPr>
          <w:rFonts w:ascii="Mulish" w:hAnsi="Mulish"/>
          <w:b/>
        </w:rPr>
        <w:t xml:space="preserve">tivamente </w:t>
      </w:r>
      <w:r w:rsidRPr="008D3B6F">
        <w:rPr>
          <w:rFonts w:ascii="Mulish" w:hAnsi="Mulish"/>
        </w:rPr>
        <w:t>la evolución del cumplimiento de las obligaciones de publicidad activa por parte de</w:t>
      </w:r>
      <w:r w:rsidR="000D5B48" w:rsidRPr="008D3B6F">
        <w:rPr>
          <w:rFonts w:ascii="Mulish" w:hAnsi="Mulish"/>
        </w:rPr>
        <w:t xml:space="preserve"> </w:t>
      </w:r>
      <w:r w:rsidR="00F201D6">
        <w:rPr>
          <w:rFonts w:ascii="Mulish" w:hAnsi="Mulish"/>
        </w:rPr>
        <w:t>Sumar</w:t>
      </w:r>
      <w:r w:rsidR="008D3B6F" w:rsidRPr="008D3B6F">
        <w:rPr>
          <w:rFonts w:ascii="Mulish" w:hAnsi="Mulish"/>
        </w:rPr>
        <w:t>.</w:t>
      </w:r>
      <w:r w:rsidR="00AC15F2" w:rsidRPr="008D3B6F">
        <w:rPr>
          <w:rFonts w:ascii="Mulish" w:hAnsi="Mulish"/>
        </w:rPr>
        <w:t xml:space="preserve"> </w:t>
      </w:r>
      <w:r w:rsidR="0035293F">
        <w:rPr>
          <w:rFonts w:ascii="Mulish" w:hAnsi="Mulish"/>
        </w:rPr>
        <w:t xml:space="preserve">No obstante, existe </w:t>
      </w:r>
      <w:r w:rsidR="002F79C6">
        <w:rPr>
          <w:rFonts w:ascii="Mulish" w:hAnsi="Mulish"/>
        </w:rPr>
        <w:t xml:space="preserve">un amplio </w:t>
      </w:r>
      <w:r w:rsidR="0035293F">
        <w:rPr>
          <w:rFonts w:ascii="Mulish" w:hAnsi="Mulish"/>
        </w:rPr>
        <w:t>margen de mejora al no haberse aplicado ocho</w:t>
      </w:r>
      <w:r w:rsidR="00F87CBA">
        <w:rPr>
          <w:rFonts w:ascii="Mulish" w:hAnsi="Mulish"/>
        </w:rPr>
        <w:t xml:space="preserve"> de las</w:t>
      </w:r>
      <w:r w:rsidRPr="008D3B6F">
        <w:rPr>
          <w:rFonts w:ascii="Mulish" w:hAnsi="Mulish"/>
        </w:rPr>
        <w:t xml:space="preserve"> </w:t>
      </w:r>
      <w:r w:rsidR="00F87CBA">
        <w:rPr>
          <w:rFonts w:ascii="Mulish" w:hAnsi="Mulish"/>
        </w:rPr>
        <w:t xml:space="preserve">trece </w:t>
      </w:r>
      <w:r w:rsidRPr="008D3B6F">
        <w:rPr>
          <w:rFonts w:ascii="Mulish" w:hAnsi="Mulish"/>
        </w:rPr>
        <w:t>recomendaciones efectuadas</w:t>
      </w:r>
      <w:r w:rsidR="0035293F">
        <w:rPr>
          <w:rFonts w:ascii="Mulish" w:hAnsi="Mulish"/>
        </w:rPr>
        <w:t xml:space="preserve"> en </w:t>
      </w:r>
      <w:r w:rsidRPr="008D3B6F">
        <w:rPr>
          <w:rFonts w:ascii="Mulish" w:hAnsi="Mulish"/>
        </w:rPr>
        <w:t>la evaluación realizada en 202</w:t>
      </w:r>
      <w:r w:rsidR="000D5B48" w:rsidRPr="008D3B6F">
        <w:rPr>
          <w:rFonts w:ascii="Mulish" w:hAnsi="Mulish"/>
        </w:rPr>
        <w:t>4</w:t>
      </w:r>
      <w:r w:rsidRPr="008D3B6F">
        <w:rPr>
          <w:rFonts w:ascii="Mulish" w:hAnsi="Mulish"/>
        </w:rPr>
        <w:t>.</w:t>
      </w:r>
    </w:p>
    <w:p w14:paraId="7D8CA51C" w14:textId="77777777" w:rsidR="004061BC" w:rsidRPr="005E61F8" w:rsidRDefault="00BB3652" w:rsidP="00356D80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5787094C" w:rsidR="00A670E9" w:rsidRDefault="0076567C" w:rsidP="00356D80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</w:t>
      </w:r>
      <w:r w:rsidR="00F201D6">
        <w:rPr>
          <w:rFonts w:ascii="Mulish" w:hAnsi="Mulish"/>
        </w:rPr>
        <w:t>.</w:t>
      </w:r>
    </w:p>
    <w:p w14:paraId="236AB41D" w14:textId="77777777" w:rsidR="004D4B3E" w:rsidRPr="003127E7" w:rsidRDefault="004061BC" w:rsidP="00356D80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8FE0770" w14:textId="08062ABA" w:rsidR="00B1791F" w:rsidRPr="00B1791F" w:rsidRDefault="00A670E9" w:rsidP="00356D80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B1791F">
        <w:rPr>
          <w:rFonts w:ascii="Mulish" w:hAnsi="Mulish"/>
        </w:rPr>
        <w:t>Dentro del bloque de información Institucional y Organizativa:</w:t>
      </w:r>
      <w:r w:rsidR="00B1791F" w:rsidRPr="00B1791F">
        <w:rPr>
          <w:rFonts w:ascii="Mulish" w:hAnsi="Mulish"/>
        </w:rPr>
        <w:t xml:space="preserve"> </w:t>
      </w:r>
      <w:r w:rsidR="00F201D6">
        <w:rPr>
          <w:rFonts w:ascii="Mulish" w:hAnsi="Mulish"/>
        </w:rPr>
        <w:t xml:space="preserve">han quitado las funciones </w:t>
      </w:r>
      <w:r w:rsidR="00233F44">
        <w:rPr>
          <w:rFonts w:ascii="Mulish" w:hAnsi="Mulish"/>
        </w:rPr>
        <w:t xml:space="preserve">y la descripción de la estructura organizativa </w:t>
      </w:r>
      <w:r w:rsidR="00F201D6">
        <w:rPr>
          <w:rFonts w:ascii="Mulish" w:hAnsi="Mulish"/>
        </w:rPr>
        <w:t>y falta</w:t>
      </w:r>
      <w:r w:rsidR="008D3B6F">
        <w:rPr>
          <w:rFonts w:ascii="Mulish" w:hAnsi="Mulish"/>
        </w:rPr>
        <w:t xml:space="preserve"> </w:t>
      </w:r>
      <w:r w:rsidR="00130608">
        <w:rPr>
          <w:rFonts w:ascii="Mulish" w:hAnsi="Mulish"/>
        </w:rPr>
        <w:t xml:space="preserve">publicar </w:t>
      </w:r>
      <w:r w:rsidR="008D3B6F">
        <w:rPr>
          <w:rFonts w:ascii="Mulish" w:hAnsi="Mulish"/>
        </w:rPr>
        <w:t>el organigrama</w:t>
      </w:r>
      <w:r w:rsidR="00F201D6">
        <w:rPr>
          <w:rFonts w:ascii="Mulish" w:hAnsi="Mulish"/>
        </w:rPr>
        <w:t>.</w:t>
      </w:r>
    </w:p>
    <w:p w14:paraId="1A8B41CE" w14:textId="3F854D6A" w:rsidR="004D4B3E" w:rsidRPr="003127E7" w:rsidRDefault="00C52EE5" w:rsidP="00356D80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>En el bloque de información económica no se publica</w:t>
      </w:r>
      <w:r w:rsidR="008D3B6F">
        <w:rPr>
          <w:rFonts w:ascii="Mulish" w:hAnsi="Mulish"/>
        </w:rPr>
        <w:t xml:space="preserve">n los </w:t>
      </w:r>
      <w:r w:rsidR="001304AB">
        <w:rPr>
          <w:rFonts w:ascii="Mulish" w:hAnsi="Mulish"/>
        </w:rPr>
        <w:t>presupuestos, los informes de fiscalización elaborados por el Tribunal de Cuentas y las retribuciones de los máximos responsables del partido.</w:t>
      </w:r>
    </w:p>
    <w:p w14:paraId="6B683860" w14:textId="77777777" w:rsidR="00C52EE5" w:rsidRPr="005E61F8" w:rsidRDefault="00C52EE5" w:rsidP="00356D80">
      <w:pPr>
        <w:pStyle w:val="Sinespaciado"/>
        <w:spacing w:before="120" w:after="120" w:line="276" w:lineRule="auto"/>
        <w:ind w:left="1440"/>
        <w:jc w:val="both"/>
        <w:rPr>
          <w:rFonts w:ascii="Mulish" w:hAnsi="Mulish"/>
        </w:rPr>
      </w:pPr>
    </w:p>
    <w:p w14:paraId="24DA619C" w14:textId="4E4D1BC3" w:rsidR="001E1494" w:rsidRDefault="000F0DA5" w:rsidP="00356D80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FA7947">
        <w:rPr>
          <w:rFonts w:ascii="Mulish" w:hAnsi="Mulish"/>
        </w:rPr>
        <w:t>Respecto del cumplimiento de los</w:t>
      </w:r>
      <w:r w:rsidR="00C52EE5" w:rsidRPr="00FA7947">
        <w:rPr>
          <w:rFonts w:ascii="Mulish" w:hAnsi="Mulish"/>
        </w:rPr>
        <w:t xml:space="preserve"> </w:t>
      </w:r>
      <w:r w:rsidRPr="00FA7947">
        <w:rPr>
          <w:rFonts w:ascii="Mulish" w:hAnsi="Mulish"/>
        </w:rPr>
        <w:t>criterios de calidad en la publicación de la información,</w:t>
      </w:r>
      <w:r w:rsidR="0076567C" w:rsidRPr="00FA7947">
        <w:rPr>
          <w:rFonts w:ascii="Mulish" w:hAnsi="Mulish"/>
        </w:rPr>
        <w:t xml:space="preserve"> parte de la información no está datada</w:t>
      </w:r>
      <w:r w:rsidR="00233F44">
        <w:rPr>
          <w:rFonts w:ascii="Mulish" w:hAnsi="Mulish"/>
        </w:rPr>
        <w:t xml:space="preserve"> ni se publica la fecha de la última revisión o actualización de la información en el bloque de Información Institucional y Organizativa.</w:t>
      </w:r>
    </w:p>
    <w:p w14:paraId="154D99F2" w14:textId="77777777" w:rsidR="00FA7947" w:rsidRDefault="00FA7947" w:rsidP="00356D80">
      <w:pPr>
        <w:pStyle w:val="Sinespaciado"/>
        <w:spacing w:before="120" w:after="120" w:line="276" w:lineRule="auto"/>
        <w:jc w:val="right"/>
        <w:rPr>
          <w:rFonts w:ascii="Mulish" w:hAnsi="Mulish"/>
        </w:rPr>
      </w:pPr>
    </w:p>
    <w:p w14:paraId="22317092" w14:textId="16F0E89A" w:rsidR="004061BC" w:rsidRPr="005E61F8" w:rsidRDefault="004061BC" w:rsidP="00356D80">
      <w:pPr>
        <w:pStyle w:val="Sinespaciado"/>
        <w:spacing w:before="120" w:after="120"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>Madrid,</w:t>
      </w:r>
      <w:r w:rsidR="00233F44">
        <w:rPr>
          <w:rFonts w:ascii="Mulish" w:hAnsi="Mulish"/>
        </w:rPr>
        <w:t xml:space="preserve"> </w:t>
      </w:r>
      <w:r w:rsidR="002F79C6">
        <w:rPr>
          <w:rFonts w:ascii="Mulish" w:hAnsi="Mulish"/>
        </w:rPr>
        <w:t>noviembre</w:t>
      </w:r>
      <w:r w:rsidR="005040C5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202</w:t>
      </w:r>
      <w:r w:rsidR="005040C5">
        <w:rPr>
          <w:rFonts w:ascii="Mulish" w:hAnsi="Mulish"/>
        </w:rPr>
        <w:t>5</w:t>
      </w:r>
    </w:p>
    <w:p w14:paraId="5DB8548C" w14:textId="5B9AFC73" w:rsidR="002077C0" w:rsidRDefault="002077C0">
      <w:pPr>
        <w:rPr>
          <w:rFonts w:ascii="Mulish" w:hAnsi="Mulish"/>
          <w:color w:val="000000"/>
        </w:rPr>
      </w:pPr>
      <w:r>
        <w:rPr>
          <w:rFonts w:ascii="Mulish" w:hAnsi="Mulish"/>
        </w:rPr>
        <w:br w:type="page"/>
      </w:r>
    </w:p>
    <w:p w14:paraId="63D3BACA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7F0C3F9A" w14:textId="77777777" w:rsidR="000579E1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59767A">
            <w:rPr>
              <w:rFonts w:ascii="Mulish" w:hAnsi="Mulish"/>
              <w:b/>
              <w:color w:val="00806F"/>
              <w:sz w:val="30"/>
              <w:szCs w:val="30"/>
            </w:rPr>
            <w:t>Anexo: Criterios de medición de los atributos de la información</w:t>
          </w:r>
        </w:p>
        <w:p w14:paraId="0449542E" w14:textId="78A5787D" w:rsidR="009654DA" w:rsidRPr="0059767A" w:rsidRDefault="005252B2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C3863E5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88DE" w14:textId="77777777" w:rsidR="008240B4" w:rsidRDefault="008240B4" w:rsidP="00F31BC3">
      <w:r>
        <w:separator/>
      </w:r>
    </w:p>
  </w:endnote>
  <w:endnote w:type="continuationSeparator" w:id="0">
    <w:p w14:paraId="7BB69110" w14:textId="77777777" w:rsidR="008240B4" w:rsidRDefault="008240B4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D9" w14:textId="77777777" w:rsidR="00DE70BE" w:rsidRDefault="00DE70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468"/>
      <w:docPartObj>
        <w:docPartGallery w:val="Page Numbers (Bottom of Page)"/>
        <w:docPartUnique/>
      </w:docPartObj>
    </w:sdtPr>
    <w:sdtEndPr/>
    <w:sdtContent>
      <w:p w14:paraId="21EACC60" w14:textId="3BB38A18" w:rsidR="00275584" w:rsidRDefault="002755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03057CF" wp14:editId="235770E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56967" w14:textId="77777777" w:rsidR="00275584" w:rsidRPr="00275584" w:rsidRDefault="002755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27558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27558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275584">
                                <w:rPr>
                                  <w:color w:val="3C8378"/>
                                </w:rPr>
                                <w:t>2</w: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3057CF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79A56967" w14:textId="77777777" w:rsidR="00275584" w:rsidRPr="00275584" w:rsidRDefault="002755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275584">
                          <w:rPr>
                            <w:color w:val="3C8378"/>
                          </w:rPr>
                          <w:fldChar w:fldCharType="begin"/>
                        </w:r>
                        <w:r w:rsidRPr="00275584">
                          <w:rPr>
                            <w:color w:val="3C8378"/>
                          </w:rPr>
                          <w:instrText>PAGE   \* MERGEFORMAT</w:instrText>
                        </w:r>
                        <w:r w:rsidRPr="00275584">
                          <w:rPr>
                            <w:color w:val="3C8378"/>
                          </w:rPr>
                          <w:fldChar w:fldCharType="separate"/>
                        </w:r>
                        <w:r w:rsidRPr="00275584">
                          <w:rPr>
                            <w:color w:val="3C8378"/>
                          </w:rPr>
                          <w:t>2</w:t>
                        </w:r>
                        <w:r w:rsidRPr="0027558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6C02" w14:textId="77777777" w:rsidR="00DE70BE" w:rsidRDefault="00DE70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561D" w14:textId="77777777" w:rsidR="008240B4" w:rsidRDefault="008240B4" w:rsidP="00F31BC3">
      <w:r>
        <w:separator/>
      </w:r>
    </w:p>
  </w:footnote>
  <w:footnote w:type="continuationSeparator" w:id="0">
    <w:p w14:paraId="6306F920" w14:textId="77777777" w:rsidR="008240B4" w:rsidRDefault="008240B4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4A4D25EE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0CB500EB" w:rsidR="00307FC9" w:rsidRPr="00967865" w:rsidRDefault="001342AA">
    <w:pPr>
      <w:pStyle w:val="Encabezado"/>
      <w:rPr>
        <w:b/>
      </w:rPr>
    </w:pPr>
    <w:r w:rsidRPr="00DE70BE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52B02375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E70BE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347" type="#_x0000_t75" style="width:9pt;height:9pt" o:bullet="t">
        <v:imagedata r:id="rId1" o:title="BD14533_"/>
      </v:shape>
    </w:pict>
  </w:numPicBullet>
  <w:numPicBullet w:numPicBulletId="1">
    <w:pict>
      <v:shape id="_x0000_i5348" type="#_x0000_t75" style="width:11.25pt;height:11.25pt" o:bullet="t">
        <v:imagedata r:id="rId2" o:title="BD14654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0D4D1C"/>
    <w:multiLevelType w:val="hybridMultilevel"/>
    <w:tmpl w:val="FF6EEB8E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732EF"/>
    <w:multiLevelType w:val="hybridMultilevel"/>
    <w:tmpl w:val="2EFE33CE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6FF9"/>
    <w:multiLevelType w:val="hybridMultilevel"/>
    <w:tmpl w:val="5D68E004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063E7"/>
    <w:multiLevelType w:val="hybridMultilevel"/>
    <w:tmpl w:val="78FE48BC"/>
    <w:lvl w:ilvl="0" w:tplc="3B10691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6670"/>
    <w:multiLevelType w:val="hybridMultilevel"/>
    <w:tmpl w:val="67906D4A"/>
    <w:lvl w:ilvl="0" w:tplc="0964C3FA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54217"/>
    <w:multiLevelType w:val="hybridMultilevel"/>
    <w:tmpl w:val="59301556"/>
    <w:lvl w:ilvl="0" w:tplc="6B1A30D8">
      <w:start w:val="2"/>
      <w:numFmt w:val="bullet"/>
      <w:lvlText w:val=""/>
      <w:lvlJc w:val="left"/>
      <w:pPr>
        <w:ind w:left="1515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7" w15:restartNumberingAfterBreak="0">
    <w:nsid w:val="359144AB"/>
    <w:multiLevelType w:val="hybridMultilevel"/>
    <w:tmpl w:val="8A661338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B35B7"/>
    <w:multiLevelType w:val="hybridMultilevel"/>
    <w:tmpl w:val="EA0456A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644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B4E8D"/>
    <w:multiLevelType w:val="hybridMultilevel"/>
    <w:tmpl w:val="73B8DC0A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0"/>
  </w:num>
  <w:num w:numId="5">
    <w:abstractNumId w:val="25"/>
  </w:num>
  <w:num w:numId="6">
    <w:abstractNumId w:val="27"/>
  </w:num>
  <w:num w:numId="7">
    <w:abstractNumId w:val="23"/>
  </w:num>
  <w:num w:numId="8">
    <w:abstractNumId w:val="1"/>
  </w:num>
  <w:num w:numId="9">
    <w:abstractNumId w:val="6"/>
  </w:num>
  <w:num w:numId="10">
    <w:abstractNumId w:val="3"/>
  </w:num>
  <w:num w:numId="11">
    <w:abstractNumId w:val="30"/>
  </w:num>
  <w:num w:numId="12">
    <w:abstractNumId w:val="19"/>
  </w:num>
  <w:num w:numId="13">
    <w:abstractNumId w:val="14"/>
  </w:num>
  <w:num w:numId="14">
    <w:abstractNumId w:val="31"/>
  </w:num>
  <w:num w:numId="15">
    <w:abstractNumId w:val="2"/>
  </w:num>
  <w:num w:numId="16">
    <w:abstractNumId w:val="32"/>
  </w:num>
  <w:num w:numId="17">
    <w:abstractNumId w:val="18"/>
  </w:num>
  <w:num w:numId="18">
    <w:abstractNumId w:val="12"/>
  </w:num>
  <w:num w:numId="19">
    <w:abstractNumId w:val="9"/>
  </w:num>
  <w:num w:numId="20">
    <w:abstractNumId w:val="26"/>
  </w:num>
  <w:num w:numId="21">
    <w:abstractNumId w:val="10"/>
  </w:num>
  <w:num w:numId="22">
    <w:abstractNumId w:val="22"/>
  </w:num>
  <w:num w:numId="23">
    <w:abstractNumId w:val="20"/>
  </w:num>
  <w:num w:numId="24">
    <w:abstractNumId w:val="21"/>
  </w:num>
  <w:num w:numId="25">
    <w:abstractNumId w:val="24"/>
  </w:num>
  <w:num w:numId="26">
    <w:abstractNumId w:val="7"/>
  </w:num>
  <w:num w:numId="27">
    <w:abstractNumId w:val="11"/>
  </w:num>
  <w:num w:numId="28">
    <w:abstractNumId w:val="17"/>
  </w:num>
  <w:num w:numId="29">
    <w:abstractNumId w:val="8"/>
  </w:num>
  <w:num w:numId="30">
    <w:abstractNumId w:val="29"/>
  </w:num>
  <w:num w:numId="31">
    <w:abstractNumId w:val="4"/>
  </w:num>
  <w:num w:numId="32">
    <w:abstractNumId w:val="1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32D8A"/>
    <w:rsid w:val="00040AF4"/>
    <w:rsid w:val="00053A0E"/>
    <w:rsid w:val="0005642F"/>
    <w:rsid w:val="000579E1"/>
    <w:rsid w:val="00072B7E"/>
    <w:rsid w:val="000775A5"/>
    <w:rsid w:val="00085C93"/>
    <w:rsid w:val="000A77F5"/>
    <w:rsid w:val="000D3907"/>
    <w:rsid w:val="000D5417"/>
    <w:rsid w:val="000D5B48"/>
    <w:rsid w:val="000E0A9E"/>
    <w:rsid w:val="000F0DA5"/>
    <w:rsid w:val="001045AF"/>
    <w:rsid w:val="00104DE9"/>
    <w:rsid w:val="00104E94"/>
    <w:rsid w:val="001055AB"/>
    <w:rsid w:val="001149B1"/>
    <w:rsid w:val="00116C2C"/>
    <w:rsid w:val="001304AB"/>
    <w:rsid w:val="00130608"/>
    <w:rsid w:val="00132732"/>
    <w:rsid w:val="001342AA"/>
    <w:rsid w:val="00146C3C"/>
    <w:rsid w:val="00164876"/>
    <w:rsid w:val="00165DB2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D2884"/>
    <w:rsid w:val="001E1494"/>
    <w:rsid w:val="001E5AAD"/>
    <w:rsid w:val="00200F6F"/>
    <w:rsid w:val="002077C0"/>
    <w:rsid w:val="0021682B"/>
    <w:rsid w:val="00231D61"/>
    <w:rsid w:val="00233F44"/>
    <w:rsid w:val="00243294"/>
    <w:rsid w:val="00244EDA"/>
    <w:rsid w:val="002467FA"/>
    <w:rsid w:val="00250846"/>
    <w:rsid w:val="00263F79"/>
    <w:rsid w:val="00272EE7"/>
    <w:rsid w:val="0027409C"/>
    <w:rsid w:val="00275584"/>
    <w:rsid w:val="00287137"/>
    <w:rsid w:val="002A1B7F"/>
    <w:rsid w:val="002C19B9"/>
    <w:rsid w:val="002C1DD9"/>
    <w:rsid w:val="002C41B4"/>
    <w:rsid w:val="002D0702"/>
    <w:rsid w:val="002D16AA"/>
    <w:rsid w:val="002D27E4"/>
    <w:rsid w:val="002E409F"/>
    <w:rsid w:val="002E644A"/>
    <w:rsid w:val="002F06DC"/>
    <w:rsid w:val="002F79C6"/>
    <w:rsid w:val="00307FC9"/>
    <w:rsid w:val="003127E7"/>
    <w:rsid w:val="00315B8E"/>
    <w:rsid w:val="0031769F"/>
    <w:rsid w:val="00337C82"/>
    <w:rsid w:val="00347877"/>
    <w:rsid w:val="0035293F"/>
    <w:rsid w:val="00352994"/>
    <w:rsid w:val="00355DC0"/>
    <w:rsid w:val="00356D80"/>
    <w:rsid w:val="00393F48"/>
    <w:rsid w:val="003A1694"/>
    <w:rsid w:val="003A390C"/>
    <w:rsid w:val="003B399C"/>
    <w:rsid w:val="003B57E6"/>
    <w:rsid w:val="003B6B96"/>
    <w:rsid w:val="003B6EAC"/>
    <w:rsid w:val="003D2C4A"/>
    <w:rsid w:val="003E564B"/>
    <w:rsid w:val="003E5D2F"/>
    <w:rsid w:val="003E7CF3"/>
    <w:rsid w:val="003F4DDD"/>
    <w:rsid w:val="003F527E"/>
    <w:rsid w:val="003F6EDC"/>
    <w:rsid w:val="004061BC"/>
    <w:rsid w:val="00406268"/>
    <w:rsid w:val="00415DBD"/>
    <w:rsid w:val="00422B18"/>
    <w:rsid w:val="00465616"/>
    <w:rsid w:val="004720A5"/>
    <w:rsid w:val="0047735C"/>
    <w:rsid w:val="00481203"/>
    <w:rsid w:val="004859CC"/>
    <w:rsid w:val="00495112"/>
    <w:rsid w:val="004A1663"/>
    <w:rsid w:val="004B5CC4"/>
    <w:rsid w:val="004C6440"/>
    <w:rsid w:val="004D4B3E"/>
    <w:rsid w:val="004D50CC"/>
    <w:rsid w:val="004D7037"/>
    <w:rsid w:val="004E7B33"/>
    <w:rsid w:val="004F6F9C"/>
    <w:rsid w:val="005040C5"/>
    <w:rsid w:val="00506864"/>
    <w:rsid w:val="00521C69"/>
    <w:rsid w:val="005252B2"/>
    <w:rsid w:val="005301DF"/>
    <w:rsid w:val="00536832"/>
    <w:rsid w:val="00540929"/>
    <w:rsid w:val="005603D1"/>
    <w:rsid w:val="00563295"/>
    <w:rsid w:val="00564E23"/>
    <w:rsid w:val="00582A8C"/>
    <w:rsid w:val="0059767A"/>
    <w:rsid w:val="005A0A50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5E98"/>
    <w:rsid w:val="0069673B"/>
    <w:rsid w:val="006B2C2E"/>
    <w:rsid w:val="006B3FE6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4C54"/>
    <w:rsid w:val="00717272"/>
    <w:rsid w:val="00730FED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C65C5"/>
    <w:rsid w:val="007D1701"/>
    <w:rsid w:val="007D5CBF"/>
    <w:rsid w:val="007D69D9"/>
    <w:rsid w:val="007E2D7C"/>
    <w:rsid w:val="007F01E4"/>
    <w:rsid w:val="007F1D56"/>
    <w:rsid w:val="007F5F9D"/>
    <w:rsid w:val="00800B69"/>
    <w:rsid w:val="00803D20"/>
    <w:rsid w:val="00804174"/>
    <w:rsid w:val="00805A8D"/>
    <w:rsid w:val="00807495"/>
    <w:rsid w:val="00821526"/>
    <w:rsid w:val="008240B4"/>
    <w:rsid w:val="0082470D"/>
    <w:rsid w:val="00825ACB"/>
    <w:rsid w:val="00826275"/>
    <w:rsid w:val="00836976"/>
    <w:rsid w:val="008514EC"/>
    <w:rsid w:val="00853CB9"/>
    <w:rsid w:val="00855E09"/>
    <w:rsid w:val="00863A07"/>
    <w:rsid w:val="00865E5A"/>
    <w:rsid w:val="00882A5B"/>
    <w:rsid w:val="00891E6F"/>
    <w:rsid w:val="00894358"/>
    <w:rsid w:val="0089455A"/>
    <w:rsid w:val="00897D04"/>
    <w:rsid w:val="008A5AAE"/>
    <w:rsid w:val="008D3B6F"/>
    <w:rsid w:val="008D6E75"/>
    <w:rsid w:val="008E7B38"/>
    <w:rsid w:val="008F0F7D"/>
    <w:rsid w:val="008F2EF6"/>
    <w:rsid w:val="00902A71"/>
    <w:rsid w:val="009039FD"/>
    <w:rsid w:val="00903FE0"/>
    <w:rsid w:val="00912DB4"/>
    <w:rsid w:val="00914080"/>
    <w:rsid w:val="00922E69"/>
    <w:rsid w:val="009266DF"/>
    <w:rsid w:val="00931F26"/>
    <w:rsid w:val="00932A8E"/>
    <w:rsid w:val="00947271"/>
    <w:rsid w:val="009654DA"/>
    <w:rsid w:val="00965C69"/>
    <w:rsid w:val="00967865"/>
    <w:rsid w:val="00980ADC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A03993"/>
    <w:rsid w:val="00A05CAA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82709"/>
    <w:rsid w:val="00AA0668"/>
    <w:rsid w:val="00AA0AE1"/>
    <w:rsid w:val="00AC15F2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0309E"/>
    <w:rsid w:val="00B1184C"/>
    <w:rsid w:val="00B1791F"/>
    <w:rsid w:val="00B220EC"/>
    <w:rsid w:val="00B5314A"/>
    <w:rsid w:val="00B54E53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C7CBA"/>
    <w:rsid w:val="00BD18E4"/>
    <w:rsid w:val="00BD1E44"/>
    <w:rsid w:val="00BD2172"/>
    <w:rsid w:val="00BD2842"/>
    <w:rsid w:val="00BE2801"/>
    <w:rsid w:val="00BE76C8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34846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8086B"/>
    <w:rsid w:val="00C83685"/>
    <w:rsid w:val="00C91330"/>
    <w:rsid w:val="00C9522F"/>
    <w:rsid w:val="00CA0DFD"/>
    <w:rsid w:val="00CA41DD"/>
    <w:rsid w:val="00CB472D"/>
    <w:rsid w:val="00CB6837"/>
    <w:rsid w:val="00CC3B31"/>
    <w:rsid w:val="00CC48E8"/>
    <w:rsid w:val="00CD3DE8"/>
    <w:rsid w:val="00CF21EB"/>
    <w:rsid w:val="00D00609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A77CA"/>
    <w:rsid w:val="00DC5B52"/>
    <w:rsid w:val="00DD515F"/>
    <w:rsid w:val="00DE70BE"/>
    <w:rsid w:val="00DF25D7"/>
    <w:rsid w:val="00DF2896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3F4D"/>
    <w:rsid w:val="00E81516"/>
    <w:rsid w:val="00E83650"/>
    <w:rsid w:val="00EA11EF"/>
    <w:rsid w:val="00EA3DD4"/>
    <w:rsid w:val="00EB68A3"/>
    <w:rsid w:val="00EC6A3E"/>
    <w:rsid w:val="00ED029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01D6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81B7E"/>
    <w:rsid w:val="00F87CBA"/>
    <w:rsid w:val="00F943CA"/>
    <w:rsid w:val="00F95333"/>
    <w:rsid w:val="00FA0C58"/>
    <w:rsid w:val="00FA11BE"/>
    <w:rsid w:val="00FA1911"/>
    <w:rsid w:val="00FA5997"/>
    <w:rsid w:val="00FA5AFD"/>
    <w:rsid w:val="00FA7947"/>
    <w:rsid w:val="00FB5F9E"/>
    <w:rsid w:val="00FC1F16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Mencinsinresolver">
    <w:name w:val="Unresolved Mention"/>
    <w:basedOn w:val="Fuentedeprrafopredeter"/>
    <w:uiPriority w:val="99"/>
    <w:semiHidden/>
    <w:unhideWhenUsed/>
    <w:rsid w:val="001D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movimientosumar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177652"/>
    <w:rsid w:val="001D53A3"/>
    <w:rsid w:val="00350567"/>
    <w:rsid w:val="0040391A"/>
    <w:rsid w:val="00414138"/>
    <w:rsid w:val="00437E36"/>
    <w:rsid w:val="00443EA4"/>
    <w:rsid w:val="00473C0F"/>
    <w:rsid w:val="0048534A"/>
    <w:rsid w:val="00583D19"/>
    <w:rsid w:val="00632A02"/>
    <w:rsid w:val="006951E1"/>
    <w:rsid w:val="00722728"/>
    <w:rsid w:val="0072448F"/>
    <w:rsid w:val="0074478F"/>
    <w:rsid w:val="00787EBD"/>
    <w:rsid w:val="007C3485"/>
    <w:rsid w:val="008E118A"/>
    <w:rsid w:val="009A05FC"/>
    <w:rsid w:val="00A036B0"/>
    <w:rsid w:val="00A104A7"/>
    <w:rsid w:val="00A866B4"/>
    <w:rsid w:val="00AB484A"/>
    <w:rsid w:val="00C32372"/>
    <w:rsid w:val="00D7670C"/>
    <w:rsid w:val="00DA008C"/>
    <w:rsid w:val="00DE3DE6"/>
    <w:rsid w:val="00E10214"/>
    <w:rsid w:val="00E2420F"/>
    <w:rsid w:val="00E32525"/>
    <w:rsid w:val="00E8361C"/>
    <w:rsid w:val="00EA0738"/>
    <w:rsid w:val="00EB2177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391A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43</TotalTime>
  <Pages>5</Pages>
  <Words>1155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anam.ruiz</dc:creator>
  <cp:lastModifiedBy>GONZALO GOMEZ DE VILLALOBOS</cp:lastModifiedBy>
  <cp:revision>7</cp:revision>
  <cp:lastPrinted>2008-09-26T23:14:00Z</cp:lastPrinted>
  <dcterms:created xsi:type="dcterms:W3CDTF">2025-12-03T17:46:00Z</dcterms:created>
  <dcterms:modified xsi:type="dcterms:W3CDTF">2025-12-23T10:56:00Z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