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C3A99" w14:textId="622C06C0" w:rsidR="005A4950" w:rsidRPr="00015E91" w:rsidRDefault="00D605AB" w:rsidP="000E01DE">
      <w:pPr>
        <w:pStyle w:val="Ttulo1"/>
        <w:jc w:val="both"/>
        <w:rPr>
          <w:rFonts w:ascii="Mulish" w:hAnsi="Mulish"/>
          <w:color w:val="079386"/>
          <w:sz w:val="22"/>
          <w:szCs w:val="22"/>
        </w:rPr>
      </w:pPr>
      <w:r w:rsidRPr="00015E91">
        <w:rPr>
          <w:rFonts w:ascii="Mulish" w:hAnsi="Mulish"/>
          <w:color w:val="079386"/>
          <w:sz w:val="22"/>
          <w:szCs w:val="22"/>
        </w:rPr>
        <w:t xml:space="preserve">INFORME RELATIVO A LAS OBSERVACIONES REMITIDAS POR </w:t>
      </w:r>
      <w:r w:rsidR="00186D18">
        <w:rPr>
          <w:rFonts w:ascii="Mulish" w:hAnsi="Mulish"/>
          <w:color w:val="079386"/>
          <w:sz w:val="22"/>
          <w:szCs w:val="22"/>
        </w:rPr>
        <w:t xml:space="preserve">EL </w:t>
      </w:r>
      <w:r w:rsidR="00186D18" w:rsidRPr="00186D18">
        <w:rPr>
          <w:rFonts w:ascii="Mulish" w:hAnsi="Mulish"/>
          <w:color w:val="079386"/>
          <w:sz w:val="22"/>
          <w:szCs w:val="22"/>
        </w:rPr>
        <w:t>CENTRO DE ESTUDIOS JURÍDICOS</w:t>
      </w:r>
      <w:r w:rsidR="00186D18" w:rsidRPr="00D605AB">
        <w:rPr>
          <w:rFonts w:ascii="Mulish" w:hAnsi="Mulish"/>
          <w:color w:val="079386"/>
          <w:sz w:val="22"/>
          <w:szCs w:val="22"/>
        </w:rPr>
        <w:t xml:space="preserve"> </w:t>
      </w:r>
      <w:r w:rsidR="00186D18">
        <w:rPr>
          <w:rFonts w:ascii="Mulish" w:hAnsi="Mulish"/>
          <w:color w:val="079386"/>
          <w:sz w:val="22"/>
          <w:szCs w:val="22"/>
        </w:rPr>
        <w:t xml:space="preserve">(CEJ) </w:t>
      </w:r>
      <w:r w:rsidRPr="00015E91">
        <w:rPr>
          <w:rFonts w:ascii="Mulish" w:hAnsi="Mulish"/>
          <w:color w:val="079386"/>
          <w:sz w:val="22"/>
          <w:szCs w:val="22"/>
        </w:rPr>
        <w:t>EN RELACIÓN CON EL INFORME DEL CTBG SOBRE CUMPLIMIENTO DE LAS OBLIGACIONES DE PUBLICIDAD ACTIVA ESTABLECIDAS POR LA LTAIBG</w:t>
      </w:r>
    </w:p>
    <w:p w14:paraId="5339923C" w14:textId="77777777" w:rsidR="006F17B5" w:rsidRPr="00015E91" w:rsidRDefault="006F17B5" w:rsidP="006F17B5">
      <w:pPr>
        <w:jc w:val="center"/>
        <w:rPr>
          <w:rFonts w:ascii="Mulish" w:hAnsi="Mulish" w:cstheme="minorHAnsi"/>
          <w:sz w:val="22"/>
        </w:rPr>
      </w:pPr>
    </w:p>
    <w:p w14:paraId="62ABF56A" w14:textId="7483E55A" w:rsidR="00D23111" w:rsidRPr="00015E91" w:rsidRDefault="00D23111" w:rsidP="005022DD">
      <w:pPr>
        <w:tabs>
          <w:tab w:val="left" w:pos="284"/>
        </w:tabs>
        <w:spacing w:before="120" w:after="120"/>
        <w:contextualSpacing/>
        <w:jc w:val="both"/>
        <w:rPr>
          <w:rFonts w:ascii="Mulish" w:hAnsi="Mulish" w:cstheme="minorHAnsi"/>
          <w:sz w:val="22"/>
        </w:rPr>
      </w:pPr>
      <w:r w:rsidRPr="00015E91">
        <w:rPr>
          <w:rFonts w:ascii="Mulish" w:hAnsi="Mulish" w:cstheme="minorHAnsi"/>
          <w:sz w:val="22"/>
        </w:rPr>
        <w:t>En contestación a su</w:t>
      </w:r>
      <w:r w:rsidR="00C25FA5" w:rsidRPr="00015E91">
        <w:rPr>
          <w:rFonts w:ascii="Mulish" w:hAnsi="Mulish" w:cstheme="minorHAnsi"/>
          <w:sz w:val="22"/>
        </w:rPr>
        <w:t xml:space="preserve"> escrito </w:t>
      </w:r>
      <w:r w:rsidR="00565608" w:rsidRPr="00015E91">
        <w:rPr>
          <w:rFonts w:ascii="Mulish" w:hAnsi="Mulish" w:cstheme="minorHAnsi"/>
          <w:sz w:val="22"/>
        </w:rPr>
        <w:t xml:space="preserve">de fecha </w:t>
      </w:r>
      <w:r w:rsidR="00186D18">
        <w:rPr>
          <w:rFonts w:ascii="Mulish" w:hAnsi="Mulish" w:cstheme="minorHAnsi"/>
          <w:sz w:val="22"/>
        </w:rPr>
        <w:t>25</w:t>
      </w:r>
      <w:r w:rsidR="00F04FD8" w:rsidRPr="00015E91">
        <w:rPr>
          <w:rFonts w:ascii="Mulish" w:hAnsi="Mulish" w:cstheme="minorHAnsi"/>
          <w:sz w:val="22"/>
        </w:rPr>
        <w:t xml:space="preserve"> </w:t>
      </w:r>
      <w:r w:rsidRPr="00015E91">
        <w:rPr>
          <w:rFonts w:ascii="Mulish" w:hAnsi="Mulish" w:cstheme="minorHAnsi"/>
          <w:sz w:val="22"/>
        </w:rPr>
        <w:t xml:space="preserve">de </w:t>
      </w:r>
      <w:r w:rsidR="006B2789" w:rsidRPr="00015E91">
        <w:rPr>
          <w:rFonts w:ascii="Mulish" w:hAnsi="Mulish" w:cstheme="minorHAnsi"/>
          <w:sz w:val="22"/>
        </w:rPr>
        <w:t>septiembre</w:t>
      </w:r>
      <w:r w:rsidR="00AB0220" w:rsidRPr="00015E91">
        <w:rPr>
          <w:rFonts w:ascii="Mulish" w:hAnsi="Mulish" w:cstheme="minorHAnsi"/>
          <w:sz w:val="22"/>
        </w:rPr>
        <w:t xml:space="preserve"> </w:t>
      </w:r>
      <w:r w:rsidRPr="00015E91">
        <w:rPr>
          <w:rFonts w:ascii="Mulish" w:hAnsi="Mulish" w:cstheme="minorHAnsi"/>
          <w:sz w:val="22"/>
        </w:rPr>
        <w:t>de 202</w:t>
      </w:r>
      <w:r w:rsidR="00AB0220" w:rsidRPr="00015E91">
        <w:rPr>
          <w:rFonts w:ascii="Mulish" w:hAnsi="Mulish" w:cstheme="minorHAnsi"/>
          <w:sz w:val="22"/>
        </w:rPr>
        <w:t>5</w:t>
      </w:r>
      <w:r w:rsidR="00C119CE" w:rsidRPr="00015E91">
        <w:rPr>
          <w:rFonts w:ascii="Mulish" w:hAnsi="Mulish" w:cstheme="minorHAnsi"/>
          <w:sz w:val="22"/>
        </w:rPr>
        <w:t>,</w:t>
      </w:r>
      <w:r w:rsidR="005B1C12" w:rsidRPr="00015E91">
        <w:rPr>
          <w:rFonts w:ascii="Mulish" w:hAnsi="Mulish" w:cstheme="minorHAnsi"/>
          <w:sz w:val="22"/>
        </w:rPr>
        <w:t xml:space="preserve"> </w:t>
      </w:r>
      <w:r w:rsidRPr="00015E91">
        <w:rPr>
          <w:rFonts w:ascii="Mulish" w:hAnsi="Mulish" w:cstheme="minorHAnsi"/>
          <w:sz w:val="22"/>
        </w:rPr>
        <w:t xml:space="preserve">una vez analizadas las observaciones realizadas al borrador de informe de evaluación </w:t>
      </w:r>
      <w:r w:rsidR="00B81EE6" w:rsidRPr="00015E91">
        <w:rPr>
          <w:rFonts w:ascii="Mulish" w:hAnsi="Mulish" w:cstheme="minorHAnsi"/>
          <w:sz w:val="22"/>
        </w:rPr>
        <w:t xml:space="preserve">relativo al </w:t>
      </w:r>
      <w:r w:rsidRPr="00015E91">
        <w:rPr>
          <w:rFonts w:ascii="Mulish" w:hAnsi="Mulish" w:cstheme="minorHAnsi"/>
          <w:sz w:val="22"/>
        </w:rPr>
        <w:t>cumplimiento de las obligaciones de publicidad activa por parte de es</w:t>
      </w:r>
      <w:r w:rsidR="00090FD2">
        <w:rPr>
          <w:rFonts w:ascii="Mulish" w:hAnsi="Mulish" w:cstheme="minorHAnsi"/>
          <w:sz w:val="22"/>
        </w:rPr>
        <w:t>a</w:t>
      </w:r>
      <w:r w:rsidRPr="00015E91">
        <w:rPr>
          <w:rFonts w:ascii="Mulish" w:hAnsi="Mulish" w:cstheme="minorHAnsi"/>
          <w:sz w:val="22"/>
        </w:rPr>
        <w:t xml:space="preserve"> </w:t>
      </w:r>
      <w:r w:rsidR="00090FD2">
        <w:rPr>
          <w:rFonts w:ascii="Mulish" w:hAnsi="Mulish" w:cstheme="minorHAnsi"/>
          <w:sz w:val="22"/>
        </w:rPr>
        <w:t>entidad</w:t>
      </w:r>
      <w:r w:rsidRPr="00015E91">
        <w:rPr>
          <w:rFonts w:ascii="Mulish" w:hAnsi="Mulish" w:cstheme="minorHAnsi"/>
          <w:sz w:val="22"/>
        </w:rPr>
        <w:t xml:space="preserve">, este </w:t>
      </w:r>
      <w:r w:rsidR="006B2789" w:rsidRPr="00015E91">
        <w:rPr>
          <w:rFonts w:ascii="Mulish" w:hAnsi="Mulish" w:cstheme="minorHAnsi"/>
          <w:sz w:val="22"/>
        </w:rPr>
        <w:t>Consejo</w:t>
      </w:r>
      <w:r w:rsidRPr="00015E91">
        <w:rPr>
          <w:rFonts w:ascii="Mulish" w:hAnsi="Mulish" w:cstheme="minorHAnsi"/>
          <w:sz w:val="22"/>
        </w:rPr>
        <w:t xml:space="preserve"> efectúa las siguientes consideraciones:</w:t>
      </w:r>
    </w:p>
    <w:p w14:paraId="2A7E84C3" w14:textId="380969A6" w:rsidR="00A7678C" w:rsidRDefault="00A7678C" w:rsidP="00A7678C">
      <w:pPr>
        <w:pStyle w:val="Prrafodelista"/>
        <w:numPr>
          <w:ilvl w:val="0"/>
          <w:numId w:val="26"/>
        </w:numPr>
        <w:spacing w:before="120" w:after="120"/>
        <w:ind w:left="714" w:hanging="357"/>
        <w:contextualSpacing w:val="0"/>
        <w:jc w:val="both"/>
        <w:rPr>
          <w:rFonts w:ascii="Mulish" w:hAnsi="Mulish" w:cstheme="minorHAnsi"/>
          <w:bCs/>
        </w:rPr>
      </w:pPr>
      <w:r>
        <w:rPr>
          <w:rFonts w:ascii="Mulish" w:hAnsi="Mulish" w:cstheme="minorHAnsi"/>
          <w:bCs/>
        </w:rPr>
        <w:t xml:space="preserve">En relación con </w:t>
      </w:r>
      <w:r w:rsidR="004946E8">
        <w:rPr>
          <w:rFonts w:ascii="Mulish" w:hAnsi="Mulish" w:cstheme="minorHAnsi"/>
          <w:bCs/>
        </w:rPr>
        <w:t>varias</w:t>
      </w:r>
      <w:r>
        <w:rPr>
          <w:rFonts w:ascii="Mulish" w:hAnsi="Mulish" w:cstheme="minorHAnsi"/>
          <w:bCs/>
        </w:rPr>
        <w:t xml:space="preserve"> obligaciones de publicidad activa (organigrama, normativa, información sobre bienes inmuebles</w:t>
      </w:r>
      <w:r w:rsidR="004508BD">
        <w:rPr>
          <w:rFonts w:ascii="Mulish" w:hAnsi="Mulish" w:cstheme="minorHAnsi"/>
          <w:bCs/>
        </w:rPr>
        <w:t>, convenios, informes de fiscalización</w:t>
      </w:r>
      <w:r>
        <w:rPr>
          <w:rFonts w:ascii="Mulish" w:hAnsi="Mulish" w:cstheme="minorHAnsi"/>
          <w:bCs/>
        </w:rPr>
        <w:t>…) se menciona que esas obligaciones se encuentran publicadas en el Portal de Transparencia de la AGE y que, por ese motivo, no se publican en el portal del CEJ. Idéntica observación se realiza en relación con</w:t>
      </w:r>
      <w:r w:rsidR="004508BD">
        <w:rPr>
          <w:rFonts w:ascii="Mulish" w:hAnsi="Mulish" w:cstheme="minorHAnsi"/>
          <w:bCs/>
        </w:rPr>
        <w:t xml:space="preserve"> el uso de</w:t>
      </w:r>
      <w:r>
        <w:rPr>
          <w:rFonts w:ascii="Mulish" w:hAnsi="Mulish" w:cstheme="minorHAnsi"/>
          <w:bCs/>
        </w:rPr>
        <w:t xml:space="preserve"> </w:t>
      </w:r>
      <w:r w:rsidR="004508BD">
        <w:rPr>
          <w:rFonts w:ascii="Mulish" w:hAnsi="Mulish" w:cstheme="minorHAnsi"/>
          <w:bCs/>
        </w:rPr>
        <w:t>la Base de Datos Nacional de Subvenciones (BDNS)</w:t>
      </w:r>
      <w:r w:rsidR="004508BD">
        <w:rPr>
          <w:rFonts w:ascii="Mulish" w:hAnsi="Mulish" w:cstheme="minorHAnsi"/>
          <w:bCs/>
        </w:rPr>
        <w:t xml:space="preserve"> para </w:t>
      </w:r>
      <w:r>
        <w:rPr>
          <w:rFonts w:ascii="Mulish" w:hAnsi="Mulish" w:cstheme="minorHAnsi"/>
          <w:bCs/>
        </w:rPr>
        <w:t>la publicación de las subvenciones concedidas</w:t>
      </w:r>
      <w:r w:rsidR="00016B63">
        <w:rPr>
          <w:rFonts w:ascii="Mulish" w:hAnsi="Mulish" w:cstheme="minorHAnsi"/>
          <w:bCs/>
        </w:rPr>
        <w:t xml:space="preserve"> y su </w:t>
      </w:r>
      <w:r w:rsidR="004508BD">
        <w:rPr>
          <w:rFonts w:ascii="Mulish" w:hAnsi="Mulish" w:cstheme="minorHAnsi"/>
          <w:bCs/>
        </w:rPr>
        <w:t>de</w:t>
      </w:r>
      <w:r w:rsidR="00412278">
        <w:rPr>
          <w:rFonts w:ascii="Mulish" w:hAnsi="Mulish" w:cstheme="minorHAnsi"/>
          <w:bCs/>
        </w:rPr>
        <w:t xml:space="preserve"> la Plataforma de Contratación del Sector Público (PCSP)</w:t>
      </w:r>
      <w:r w:rsidR="004508BD">
        <w:rPr>
          <w:rFonts w:ascii="Mulish" w:hAnsi="Mulish" w:cstheme="minorHAnsi"/>
          <w:bCs/>
        </w:rPr>
        <w:t xml:space="preserve"> para la información contractual</w:t>
      </w:r>
      <w:r w:rsidR="00412278">
        <w:rPr>
          <w:rFonts w:ascii="Mulish" w:hAnsi="Mulish" w:cstheme="minorHAnsi"/>
          <w:bCs/>
        </w:rPr>
        <w:t xml:space="preserve">. </w:t>
      </w:r>
    </w:p>
    <w:p w14:paraId="17F711A8" w14:textId="2B5D0466" w:rsidR="00A7678C" w:rsidRDefault="00A7678C" w:rsidP="00A7678C">
      <w:pPr>
        <w:pStyle w:val="Prrafodelista"/>
        <w:spacing w:before="120" w:after="120"/>
        <w:ind w:left="714"/>
        <w:contextualSpacing w:val="0"/>
        <w:jc w:val="both"/>
        <w:rPr>
          <w:rFonts w:ascii="Mulish" w:hAnsi="Mulish" w:cstheme="minorHAnsi"/>
          <w:bCs/>
        </w:rPr>
      </w:pPr>
      <w:r>
        <w:rPr>
          <w:rFonts w:ascii="Mulish" w:hAnsi="Mulish" w:cstheme="minorHAnsi"/>
          <w:bCs/>
        </w:rPr>
        <w:t xml:space="preserve">A este respecto se debe recordar </w:t>
      </w:r>
      <w:r w:rsidRPr="00A7678C">
        <w:rPr>
          <w:rFonts w:ascii="Mulish" w:hAnsi="Mulish" w:cstheme="minorHAnsi"/>
          <w:bCs/>
        </w:rPr>
        <w:t>que el artículo 10 de la Ley 19/2013, de 9 de diciembre, de transparencia, acceso a la información pública y buen gobierno (LTAIBG), dispone que “</w:t>
      </w:r>
      <w:r w:rsidRPr="00A7678C">
        <w:rPr>
          <w:rFonts w:ascii="Mulish" w:hAnsi="Mulish" w:cstheme="minorHAnsi"/>
          <w:bCs/>
          <w:i/>
          <w:iCs/>
        </w:rPr>
        <w:t>La Administración General del Estado desarrollará un Portal de la Transparencia, dependiente del Ministerio de la Presidencia, que facilitará el acceso de los ciudadanos a toda la información a la que se refieren los artículos anteriores relativa a su ámbito de actuación</w:t>
      </w:r>
      <w:r w:rsidRPr="00A7678C">
        <w:rPr>
          <w:rFonts w:ascii="Mulish" w:hAnsi="Mulish" w:cstheme="minorHAnsi"/>
          <w:bCs/>
        </w:rPr>
        <w:t xml:space="preserve">”. Y el artículo 55.2 de la Ley 40/2015, </w:t>
      </w:r>
      <w:r>
        <w:rPr>
          <w:rFonts w:ascii="Mulish" w:hAnsi="Mulish" w:cstheme="minorHAnsi"/>
          <w:bCs/>
        </w:rPr>
        <w:t xml:space="preserve">de 1 de octubre, </w:t>
      </w:r>
      <w:r w:rsidRPr="00A7678C">
        <w:rPr>
          <w:rFonts w:ascii="Mulish" w:hAnsi="Mulish" w:cstheme="minorHAnsi"/>
          <w:bCs/>
        </w:rPr>
        <w:t xml:space="preserve">de </w:t>
      </w:r>
      <w:r>
        <w:rPr>
          <w:rFonts w:ascii="Mulish" w:hAnsi="Mulish" w:cstheme="minorHAnsi"/>
          <w:bCs/>
        </w:rPr>
        <w:t>r</w:t>
      </w:r>
      <w:r w:rsidRPr="00A7678C">
        <w:rPr>
          <w:rFonts w:ascii="Mulish" w:hAnsi="Mulish" w:cstheme="minorHAnsi"/>
          <w:bCs/>
        </w:rPr>
        <w:t xml:space="preserve">égimen </w:t>
      </w:r>
      <w:r>
        <w:rPr>
          <w:rFonts w:ascii="Mulish" w:hAnsi="Mulish" w:cstheme="minorHAnsi"/>
          <w:bCs/>
        </w:rPr>
        <w:t>j</w:t>
      </w:r>
      <w:r w:rsidRPr="00A7678C">
        <w:rPr>
          <w:rFonts w:ascii="Mulish" w:hAnsi="Mulish" w:cstheme="minorHAnsi"/>
          <w:bCs/>
        </w:rPr>
        <w:t xml:space="preserve">urídico del </w:t>
      </w:r>
      <w:r>
        <w:rPr>
          <w:rFonts w:ascii="Mulish" w:hAnsi="Mulish" w:cstheme="minorHAnsi"/>
          <w:bCs/>
        </w:rPr>
        <w:t>s</w:t>
      </w:r>
      <w:r w:rsidRPr="00A7678C">
        <w:rPr>
          <w:rFonts w:ascii="Mulish" w:hAnsi="Mulish" w:cstheme="minorHAnsi"/>
          <w:bCs/>
        </w:rPr>
        <w:t xml:space="preserve">ector </w:t>
      </w:r>
      <w:r>
        <w:rPr>
          <w:rFonts w:ascii="Mulish" w:hAnsi="Mulish" w:cstheme="minorHAnsi"/>
          <w:bCs/>
        </w:rPr>
        <w:t>p</w:t>
      </w:r>
      <w:r w:rsidRPr="00A7678C">
        <w:rPr>
          <w:rFonts w:ascii="Mulish" w:hAnsi="Mulish" w:cstheme="minorHAnsi"/>
          <w:bCs/>
        </w:rPr>
        <w:t>úblico (LRJSP), establece que la Administración General del Estado comprende la organización central (Ministerios y servicios comunes), la organización territorial (Delegaciones y Subdelegaciones del Gobierno) y finalmente, la Administración General del Estado en el exterior. Los organismos públicos vinculados o dependientes no figuran en la relación del artículo 55.2 de la LRJSP y tienen personalidad jurídica propia, por lo que no están incluidos en el ámbito del artículo 10 de la LTAIBG y, en consecuencia, no deberían publicar en el Portal de la Transparencia de la AGE las informaciones de publicidad activa. De la interpretación conjunta del artículo 10 de la LTAIBG y el artículo 55.2 de la LRJSP se deriva que al conjunto de entidades que integran Sector Público Institucional Estatal les aplica directamente la obligación establecida en el artículo 5.4 de la LTAIBG de publicar la información sujeta a las obligaciones de transparencia en sus webs institucionales o en sus sedes electrónicas.</w:t>
      </w:r>
    </w:p>
    <w:p w14:paraId="6F86D9A2" w14:textId="11FE1124" w:rsidR="00A7678C" w:rsidRDefault="00A7678C" w:rsidP="00A7678C">
      <w:pPr>
        <w:pStyle w:val="Prrafodelista"/>
        <w:spacing w:before="120" w:after="120"/>
        <w:ind w:left="714"/>
        <w:contextualSpacing w:val="0"/>
        <w:jc w:val="both"/>
        <w:rPr>
          <w:rFonts w:ascii="Mulish" w:hAnsi="Mulish" w:cstheme="minorHAnsi"/>
          <w:bCs/>
        </w:rPr>
      </w:pPr>
      <w:r w:rsidRPr="00A7678C">
        <w:rPr>
          <w:rFonts w:ascii="Mulish" w:hAnsi="Mulish" w:cstheme="minorHAnsi"/>
          <w:bCs/>
        </w:rPr>
        <w:t>Una cuestión adicional en relación con la publicación de informaciones obligatorias correspondientes a organismos dependientes a través del Portal de Transparencia de la AGE, son las dificultades de localización y accesibilidad a dichas informaciones, que suponen auténticas barreras de acceso a la información y</w:t>
      </w:r>
      <w:r>
        <w:rPr>
          <w:rFonts w:ascii="Mulish" w:hAnsi="Mulish" w:cstheme="minorHAnsi"/>
          <w:bCs/>
        </w:rPr>
        <w:t>,</w:t>
      </w:r>
      <w:r w:rsidRPr="00A7678C">
        <w:rPr>
          <w:rFonts w:ascii="Mulish" w:hAnsi="Mulish" w:cstheme="minorHAnsi"/>
          <w:bCs/>
        </w:rPr>
        <w:t xml:space="preserve"> por lo tanto, son contrarias a la transparencia.</w:t>
      </w:r>
    </w:p>
    <w:p w14:paraId="5F283B6F" w14:textId="7FB4D53B" w:rsidR="004946E8" w:rsidRPr="004946E8" w:rsidRDefault="004946E8" w:rsidP="004946E8">
      <w:pPr>
        <w:pStyle w:val="Prrafodelista"/>
        <w:spacing w:before="120" w:after="120"/>
        <w:ind w:left="714"/>
        <w:contextualSpacing w:val="0"/>
        <w:jc w:val="both"/>
        <w:rPr>
          <w:rFonts w:ascii="Mulish" w:hAnsi="Mulish" w:cstheme="minorHAnsi"/>
          <w:bCs/>
        </w:rPr>
      </w:pPr>
      <w:r>
        <w:rPr>
          <w:rFonts w:ascii="Mulish" w:hAnsi="Mulish" w:cstheme="minorHAnsi"/>
          <w:bCs/>
        </w:rPr>
        <w:lastRenderedPageBreak/>
        <w:t>Aparte de ello, y con respecto a</w:t>
      </w:r>
      <w:r w:rsidR="00600780">
        <w:rPr>
          <w:rFonts w:ascii="Mulish" w:hAnsi="Mulish" w:cstheme="minorHAnsi"/>
          <w:bCs/>
        </w:rPr>
        <w:t xml:space="preserve"> la publicación de información en la </w:t>
      </w:r>
      <w:r>
        <w:rPr>
          <w:rFonts w:ascii="Mulish" w:hAnsi="Mulish" w:cstheme="minorHAnsi"/>
          <w:bCs/>
        </w:rPr>
        <w:t>BNDS</w:t>
      </w:r>
      <w:r w:rsidR="00600780">
        <w:rPr>
          <w:rFonts w:ascii="Mulish" w:hAnsi="Mulish" w:cstheme="minorHAnsi"/>
          <w:bCs/>
        </w:rPr>
        <w:t xml:space="preserve"> y en la PCSP</w:t>
      </w:r>
      <w:r>
        <w:rPr>
          <w:rFonts w:ascii="Mulish" w:hAnsi="Mulish" w:cstheme="minorHAnsi"/>
          <w:bCs/>
        </w:rPr>
        <w:t xml:space="preserve">, debe indicarse que el </w:t>
      </w:r>
      <w:r w:rsidRPr="004946E8">
        <w:rPr>
          <w:rFonts w:ascii="Mulish" w:hAnsi="Mulish" w:cstheme="minorHAnsi"/>
          <w:bCs/>
        </w:rPr>
        <w:t>recurso a fuentes centralizadas para la publicación de informaciones obligatorias plantea diversos problemas</w:t>
      </w:r>
      <w:r>
        <w:rPr>
          <w:rFonts w:ascii="Mulish" w:hAnsi="Mulish" w:cstheme="minorHAnsi"/>
          <w:bCs/>
        </w:rPr>
        <w:t>. E</w:t>
      </w:r>
      <w:r w:rsidRPr="004946E8">
        <w:rPr>
          <w:rFonts w:ascii="Mulish" w:hAnsi="Mulish" w:cstheme="minorHAnsi"/>
          <w:bCs/>
        </w:rPr>
        <w:t>n primer lugar, se trata de fuentes de información de difícil acceso para la ciudadanía</w:t>
      </w:r>
      <w:r w:rsidR="00C55BA2">
        <w:rPr>
          <w:rFonts w:ascii="Mulish" w:hAnsi="Mulish" w:cstheme="minorHAnsi"/>
          <w:bCs/>
        </w:rPr>
        <w:t>,</w:t>
      </w:r>
      <w:r w:rsidRPr="004946E8">
        <w:rPr>
          <w:rFonts w:ascii="Mulish" w:hAnsi="Mulish" w:cstheme="minorHAnsi"/>
          <w:bCs/>
        </w:rPr>
        <w:t xml:space="preserve"> por </w:t>
      </w:r>
      <w:r w:rsidR="00C55BA2">
        <w:rPr>
          <w:rFonts w:ascii="Mulish" w:hAnsi="Mulish" w:cstheme="minorHAnsi"/>
          <w:bCs/>
        </w:rPr>
        <w:t>su complicado</w:t>
      </w:r>
      <w:r w:rsidRPr="004946E8">
        <w:rPr>
          <w:rFonts w:ascii="Mulish" w:hAnsi="Mulish" w:cstheme="minorHAnsi"/>
          <w:bCs/>
        </w:rPr>
        <w:t xml:space="preserve"> manejo y porque requieren unos conocimientos sobre la gestión interna de las organizaciones públicas y de los procedimientos administrativos, que no tienen por qué tener los ciudadanos.</w:t>
      </w:r>
      <w:r>
        <w:rPr>
          <w:rFonts w:ascii="Mulish" w:hAnsi="Mulish" w:cstheme="minorHAnsi"/>
          <w:bCs/>
        </w:rPr>
        <w:t xml:space="preserve"> </w:t>
      </w:r>
      <w:r w:rsidRPr="004946E8">
        <w:rPr>
          <w:rFonts w:ascii="Mulish" w:hAnsi="Mulish" w:cstheme="minorHAnsi"/>
          <w:bCs/>
        </w:rPr>
        <w:t xml:space="preserve">En segundo lugar, al estar diseñadas para otros usos, incluyen información no relacionada con las obligaciones de publicidad activa y, por el contrario, no </w:t>
      </w:r>
      <w:r w:rsidR="00C55BA2">
        <w:rPr>
          <w:rFonts w:ascii="Mulish" w:hAnsi="Mulish" w:cstheme="minorHAnsi"/>
          <w:bCs/>
        </w:rPr>
        <w:t xml:space="preserve">siempre </w:t>
      </w:r>
      <w:r w:rsidRPr="004946E8">
        <w:rPr>
          <w:rFonts w:ascii="Mulish" w:hAnsi="Mulish" w:cstheme="minorHAnsi"/>
          <w:bCs/>
        </w:rPr>
        <w:t xml:space="preserve">incluyen otros contenidos que son obligatorios en aplicación de la LTAIBG. </w:t>
      </w:r>
      <w:r w:rsidR="00600780" w:rsidRPr="00600780">
        <w:rPr>
          <w:rFonts w:ascii="Mulish" w:hAnsi="Mulish" w:cstheme="minorHAnsi"/>
          <w:bCs/>
        </w:rPr>
        <w:t xml:space="preserve">Por ejemplo, la </w:t>
      </w:r>
      <w:r w:rsidR="00600780">
        <w:rPr>
          <w:rFonts w:ascii="Mulish" w:hAnsi="Mulish" w:cstheme="minorHAnsi"/>
          <w:bCs/>
        </w:rPr>
        <w:t>PCSP</w:t>
      </w:r>
      <w:r w:rsidR="00600780" w:rsidRPr="00600780">
        <w:rPr>
          <w:rFonts w:ascii="Mulish" w:hAnsi="Mulish" w:cstheme="minorHAnsi"/>
          <w:bCs/>
        </w:rPr>
        <w:t xml:space="preserve">, no incluye entre los criterios de búsqueda de licitaciones las modificaciones de los contratos, que constituyen una obligación diferenciada dentro del grupo contratación. </w:t>
      </w:r>
      <w:r w:rsidRPr="004946E8">
        <w:rPr>
          <w:rFonts w:ascii="Mulish" w:hAnsi="Mulish" w:cstheme="minorHAnsi"/>
          <w:bCs/>
        </w:rPr>
        <w:t xml:space="preserve">En tercer lugar, un problema adicional a los ya señalados, es la imposibilidad de que la entidad que adopta la decisión de publicar información enlazando a fuentes centralizadas, pueda controlar tanto los contenidos, como la integridad de los enlaces a su información en la fuente centralizada. De hecho, a lo largo de estos años, este Consejo ha constatado que, en ocasiones, el enlace a la información de la institución en la fuente centralizada daba error. </w:t>
      </w:r>
    </w:p>
    <w:p w14:paraId="5AE4513E" w14:textId="257CEF70" w:rsidR="004946E8" w:rsidRDefault="004946E8" w:rsidP="004946E8">
      <w:pPr>
        <w:pStyle w:val="Prrafodelista"/>
        <w:spacing w:before="120" w:after="120"/>
        <w:ind w:left="714"/>
        <w:contextualSpacing w:val="0"/>
        <w:jc w:val="both"/>
        <w:rPr>
          <w:rFonts w:ascii="Mulish" w:hAnsi="Mulish" w:cstheme="minorHAnsi"/>
          <w:bCs/>
        </w:rPr>
      </w:pPr>
      <w:r w:rsidRPr="004946E8">
        <w:rPr>
          <w:rFonts w:ascii="Mulish" w:hAnsi="Mulish" w:cstheme="minorHAnsi"/>
          <w:bCs/>
        </w:rPr>
        <w:t>Por esta razón, año tras año, este Consejo reitera la recomendación, de que la información se publique en la web del sujeto obligado, incluyendo todos los ítems informativos que, en su caso, establezca la Ley.</w:t>
      </w:r>
    </w:p>
    <w:p w14:paraId="4D3E8E43" w14:textId="535A181E" w:rsidR="00772AA2" w:rsidRDefault="00A7678C" w:rsidP="00772AA2">
      <w:pPr>
        <w:pStyle w:val="Prrafodelista"/>
        <w:numPr>
          <w:ilvl w:val="0"/>
          <w:numId w:val="26"/>
        </w:numPr>
        <w:spacing w:before="120" w:after="120"/>
        <w:ind w:left="714" w:hanging="357"/>
        <w:contextualSpacing w:val="0"/>
        <w:jc w:val="both"/>
        <w:rPr>
          <w:rFonts w:ascii="Mulish" w:hAnsi="Mulish" w:cstheme="minorHAnsi"/>
          <w:bCs/>
        </w:rPr>
      </w:pPr>
      <w:r>
        <w:rPr>
          <w:rFonts w:ascii="Mulish" w:hAnsi="Mulish" w:cstheme="minorHAnsi"/>
          <w:bCs/>
        </w:rPr>
        <w:t>Una segunda observación que se rep</w:t>
      </w:r>
      <w:r w:rsidR="00772AA2">
        <w:rPr>
          <w:rFonts w:ascii="Mulish" w:hAnsi="Mulish" w:cstheme="minorHAnsi"/>
          <w:bCs/>
        </w:rPr>
        <w:t>i</w:t>
      </w:r>
      <w:r>
        <w:rPr>
          <w:rFonts w:ascii="Mulish" w:hAnsi="Mulish" w:cstheme="minorHAnsi"/>
          <w:bCs/>
        </w:rPr>
        <w:t xml:space="preserve">te en diversas ocasiones en el documento de comentarios y observaciones es la referida a que determinadas obligaciones </w:t>
      </w:r>
      <w:r w:rsidR="00772AA2">
        <w:rPr>
          <w:rFonts w:ascii="Mulish" w:hAnsi="Mulish" w:cstheme="minorHAnsi"/>
          <w:bCs/>
        </w:rPr>
        <w:t>(</w:t>
      </w:r>
      <w:r w:rsidR="0043303A">
        <w:rPr>
          <w:rFonts w:ascii="Mulish" w:hAnsi="Mulish" w:cstheme="minorHAnsi"/>
          <w:bCs/>
        </w:rPr>
        <w:t xml:space="preserve">modificaciones de contratos, </w:t>
      </w:r>
      <w:r w:rsidR="00772AA2">
        <w:rPr>
          <w:rFonts w:ascii="Mulish" w:hAnsi="Mulish" w:cstheme="minorHAnsi"/>
          <w:bCs/>
        </w:rPr>
        <w:t xml:space="preserve">encomiendas, indemnizaciones, </w:t>
      </w:r>
      <w:r w:rsidR="00772AA2" w:rsidRPr="00900095">
        <w:rPr>
          <w:rFonts w:ascii="Mulish" w:hAnsi="Mulish" w:cstheme="minorHAnsi"/>
          <w:bCs/>
        </w:rPr>
        <w:t>reconocimiento de compatibilidades para los empleados</w:t>
      </w:r>
      <w:r w:rsidR="00772AA2">
        <w:rPr>
          <w:rFonts w:ascii="Mulish" w:hAnsi="Mulish" w:cstheme="minorHAnsi"/>
          <w:bCs/>
        </w:rPr>
        <w:t xml:space="preserve"> públicos…), no se publican por no existir información que publicar. </w:t>
      </w:r>
    </w:p>
    <w:p w14:paraId="26333E23" w14:textId="42F980EE" w:rsidR="00772AA2" w:rsidRDefault="00772AA2" w:rsidP="00772AA2">
      <w:pPr>
        <w:pStyle w:val="Prrafodelista"/>
        <w:spacing w:before="120" w:after="120"/>
        <w:ind w:left="714"/>
        <w:contextualSpacing w:val="0"/>
        <w:jc w:val="both"/>
        <w:rPr>
          <w:rFonts w:ascii="Mulish" w:hAnsi="Mulish" w:cstheme="minorHAnsi"/>
          <w:bCs/>
        </w:rPr>
      </w:pPr>
      <w:r w:rsidRPr="00772AA2">
        <w:rPr>
          <w:rFonts w:ascii="Mulish" w:hAnsi="Mulish" w:cstheme="minorHAnsi"/>
          <w:bCs/>
        </w:rPr>
        <w:t>A este respecto debe destacarse que la única manera de distinguir</w:t>
      </w:r>
      <w:r w:rsidR="006667CB">
        <w:rPr>
          <w:rFonts w:ascii="Mulish" w:hAnsi="Mulish" w:cstheme="minorHAnsi"/>
          <w:bCs/>
        </w:rPr>
        <w:t xml:space="preserve">, tanto </w:t>
      </w:r>
      <w:r w:rsidRPr="00772AA2">
        <w:rPr>
          <w:rFonts w:ascii="Mulish" w:hAnsi="Mulish" w:cstheme="minorHAnsi"/>
          <w:bCs/>
        </w:rPr>
        <w:t xml:space="preserve">por los ciudadanos </w:t>
      </w:r>
      <w:r w:rsidR="006667CB">
        <w:rPr>
          <w:rFonts w:ascii="Mulish" w:hAnsi="Mulish" w:cstheme="minorHAnsi"/>
          <w:bCs/>
        </w:rPr>
        <w:t>como</w:t>
      </w:r>
      <w:r w:rsidRPr="00772AA2">
        <w:rPr>
          <w:rFonts w:ascii="Mulish" w:hAnsi="Mulish" w:cstheme="minorHAnsi"/>
          <w:bCs/>
        </w:rPr>
        <w:t xml:space="preserve"> por los evaluadores, si la falta de publicación de una información sujeta a obligaciones de publicidad activa es debida a un incumplimiento de la obligación de publicar o a que no </w:t>
      </w:r>
      <w:r>
        <w:rPr>
          <w:rFonts w:ascii="Mulish" w:hAnsi="Mulish" w:cstheme="minorHAnsi"/>
          <w:bCs/>
        </w:rPr>
        <w:t>existe</w:t>
      </w:r>
      <w:r w:rsidRPr="00772AA2">
        <w:rPr>
          <w:rFonts w:ascii="Mulish" w:hAnsi="Mulish" w:cstheme="minorHAnsi"/>
          <w:bCs/>
        </w:rPr>
        <w:t xml:space="preserve"> información que publicar</w:t>
      </w:r>
      <w:r w:rsidR="006667CB">
        <w:rPr>
          <w:rFonts w:ascii="Mulish" w:hAnsi="Mulish" w:cstheme="minorHAnsi"/>
          <w:bCs/>
        </w:rPr>
        <w:t>,</w:t>
      </w:r>
      <w:r w:rsidRPr="00772AA2">
        <w:rPr>
          <w:rFonts w:ascii="Mulish" w:hAnsi="Mulish" w:cstheme="minorHAnsi"/>
          <w:bCs/>
        </w:rPr>
        <w:t xml:space="preserve"> porque no ha</w:t>
      </w:r>
      <w:r w:rsidR="006667CB">
        <w:rPr>
          <w:rFonts w:ascii="Mulish" w:hAnsi="Mulish" w:cstheme="minorHAnsi"/>
          <w:bCs/>
        </w:rPr>
        <w:t>ya</w:t>
      </w:r>
      <w:r w:rsidRPr="00772AA2">
        <w:rPr>
          <w:rFonts w:ascii="Mulish" w:hAnsi="Mulish" w:cstheme="minorHAnsi"/>
          <w:bCs/>
        </w:rPr>
        <w:t xml:space="preserve"> habido actividad en ese ámbito concreto o porque algún tipo de regulación no permit</w:t>
      </w:r>
      <w:r w:rsidR="006667CB">
        <w:rPr>
          <w:rFonts w:ascii="Mulish" w:hAnsi="Mulish" w:cstheme="minorHAnsi"/>
          <w:bCs/>
        </w:rPr>
        <w:t>a</w:t>
      </w:r>
      <w:r w:rsidRPr="00772AA2">
        <w:rPr>
          <w:rFonts w:ascii="Mulish" w:hAnsi="Mulish" w:cstheme="minorHAnsi"/>
          <w:bCs/>
        </w:rPr>
        <w:t xml:space="preserve"> su publicación, es que se indique expresamente tal circunstancia en el portal de transparencia de la entidad.</w:t>
      </w:r>
    </w:p>
    <w:p w14:paraId="48AD279A" w14:textId="390C70A5" w:rsidR="00772AA2" w:rsidRDefault="00EC6871" w:rsidP="005022DD">
      <w:pPr>
        <w:pStyle w:val="Prrafodelista"/>
        <w:numPr>
          <w:ilvl w:val="0"/>
          <w:numId w:val="26"/>
        </w:numPr>
        <w:spacing w:before="120" w:after="120"/>
        <w:ind w:left="714" w:hanging="357"/>
        <w:contextualSpacing w:val="0"/>
        <w:jc w:val="both"/>
        <w:rPr>
          <w:rFonts w:ascii="Mulish" w:hAnsi="Mulish" w:cstheme="minorHAnsi"/>
          <w:bCs/>
        </w:rPr>
      </w:pPr>
      <w:r>
        <w:rPr>
          <w:rFonts w:ascii="Mulish" w:hAnsi="Mulish" w:cstheme="minorHAnsi"/>
          <w:bCs/>
        </w:rPr>
        <w:t>Una tercera observación que se menciona en diversas ocasiones tiene que ver con el hecho de</w:t>
      </w:r>
      <w:r w:rsidR="005B49AF">
        <w:rPr>
          <w:rFonts w:ascii="Mulish" w:hAnsi="Mulish" w:cstheme="minorHAnsi"/>
          <w:bCs/>
        </w:rPr>
        <w:t xml:space="preserve"> que</w:t>
      </w:r>
      <w:r>
        <w:rPr>
          <w:rFonts w:ascii="Mulish" w:hAnsi="Mulish" w:cstheme="minorHAnsi"/>
          <w:bCs/>
        </w:rPr>
        <w:t xml:space="preserve"> una determinada obligación (</w:t>
      </w:r>
      <w:r w:rsidR="005B49AF">
        <w:rPr>
          <w:rFonts w:ascii="Mulish" w:hAnsi="Mulish" w:cstheme="minorHAnsi"/>
          <w:bCs/>
        </w:rPr>
        <w:t xml:space="preserve">estructura orgánica, </w:t>
      </w:r>
      <w:r>
        <w:rPr>
          <w:rFonts w:ascii="Mulish" w:hAnsi="Mulish" w:cstheme="minorHAnsi"/>
          <w:bCs/>
        </w:rPr>
        <w:t>grado de cumplimiento y resultados de planes y programas, información estadística en materia de contratos, ejecución presupuestaria…) se publica dentro de un documento de carácter más amplio, como la memoria de actuación del organismo.</w:t>
      </w:r>
    </w:p>
    <w:p w14:paraId="40DF035C" w14:textId="5B4AE7A0" w:rsidR="00EC6871" w:rsidRPr="00EC6871" w:rsidRDefault="00EC6871" w:rsidP="00EC6871">
      <w:pPr>
        <w:pStyle w:val="Prrafodelista"/>
        <w:spacing w:before="120" w:after="120"/>
        <w:ind w:left="714"/>
        <w:contextualSpacing w:val="0"/>
        <w:jc w:val="both"/>
        <w:rPr>
          <w:rFonts w:ascii="Mulish" w:hAnsi="Mulish" w:cstheme="minorHAnsi"/>
          <w:bCs/>
        </w:rPr>
      </w:pPr>
      <w:r w:rsidRPr="00EC6871">
        <w:rPr>
          <w:rFonts w:ascii="Mulish" w:hAnsi="Mulish" w:cstheme="minorHAnsi"/>
          <w:bCs/>
        </w:rPr>
        <w:t xml:space="preserve">En cuanto a </w:t>
      </w:r>
      <w:r>
        <w:rPr>
          <w:rFonts w:ascii="Mulish" w:hAnsi="Mulish" w:cstheme="minorHAnsi"/>
          <w:bCs/>
        </w:rPr>
        <w:t xml:space="preserve">esta forma de </w:t>
      </w:r>
      <w:r w:rsidRPr="00EC6871">
        <w:rPr>
          <w:rFonts w:ascii="Mulish" w:hAnsi="Mulish" w:cstheme="minorHAnsi"/>
          <w:bCs/>
        </w:rPr>
        <w:t>publica</w:t>
      </w:r>
      <w:r>
        <w:rPr>
          <w:rFonts w:ascii="Mulish" w:hAnsi="Mulish" w:cstheme="minorHAnsi"/>
          <w:bCs/>
        </w:rPr>
        <w:t>r</w:t>
      </w:r>
      <w:r w:rsidRPr="00EC6871">
        <w:rPr>
          <w:rFonts w:ascii="Mulish" w:hAnsi="Mulish" w:cstheme="minorHAnsi"/>
          <w:bCs/>
        </w:rPr>
        <w:t xml:space="preserve"> información </w:t>
      </w:r>
      <w:r>
        <w:rPr>
          <w:rFonts w:ascii="Mulish" w:hAnsi="Mulish" w:cstheme="minorHAnsi"/>
          <w:bCs/>
        </w:rPr>
        <w:t>se debe recordar</w:t>
      </w:r>
      <w:r w:rsidRPr="00EC6871">
        <w:rPr>
          <w:rFonts w:ascii="Mulish" w:hAnsi="Mulish" w:cstheme="minorHAnsi"/>
          <w:bCs/>
        </w:rPr>
        <w:t xml:space="preserve"> que, de la misma manera que la LTAIBG distingue y enumera todas y cada una de las obligaciones de </w:t>
      </w:r>
      <w:r w:rsidRPr="00EC6871">
        <w:rPr>
          <w:rFonts w:ascii="Mulish" w:hAnsi="Mulish" w:cstheme="minorHAnsi"/>
          <w:bCs/>
        </w:rPr>
        <w:lastRenderedPageBreak/>
        <w:t>publicidad activa, la publicación de las informaciones relativas a estas obligaciones debe realizarse manera individualizada.</w:t>
      </w:r>
    </w:p>
    <w:p w14:paraId="5BE8BA67" w14:textId="616FFFFA" w:rsidR="00EC6871" w:rsidRDefault="00EC6871" w:rsidP="00EC6871">
      <w:pPr>
        <w:pStyle w:val="Prrafodelista"/>
        <w:spacing w:before="120" w:after="120"/>
        <w:ind w:left="714"/>
        <w:contextualSpacing w:val="0"/>
        <w:jc w:val="both"/>
        <w:rPr>
          <w:rFonts w:ascii="Mulish" w:hAnsi="Mulish" w:cstheme="minorHAnsi"/>
          <w:bCs/>
        </w:rPr>
      </w:pPr>
      <w:r w:rsidRPr="00EC6871">
        <w:rPr>
          <w:rFonts w:ascii="Mulish" w:hAnsi="Mulish" w:cstheme="minorHAnsi"/>
          <w:bCs/>
        </w:rPr>
        <w:t xml:space="preserve">Además, </w:t>
      </w:r>
      <w:r>
        <w:rPr>
          <w:rFonts w:ascii="Mulish" w:hAnsi="Mulish" w:cstheme="minorHAnsi"/>
          <w:bCs/>
        </w:rPr>
        <w:t>esta práctica comporta otros</w:t>
      </w:r>
      <w:r w:rsidRPr="00EC6871">
        <w:rPr>
          <w:rFonts w:ascii="Mulish" w:hAnsi="Mulish" w:cstheme="minorHAnsi"/>
          <w:bCs/>
        </w:rPr>
        <w:t xml:space="preserve"> inconvenientes</w:t>
      </w:r>
      <w:r>
        <w:rPr>
          <w:rFonts w:ascii="Mulish" w:hAnsi="Mulish" w:cstheme="minorHAnsi"/>
          <w:bCs/>
        </w:rPr>
        <w:t>, entre ellos el de</w:t>
      </w:r>
      <w:r w:rsidRPr="00EC6871">
        <w:rPr>
          <w:rFonts w:ascii="Mulish" w:hAnsi="Mulish" w:cstheme="minorHAnsi"/>
          <w:bCs/>
        </w:rPr>
        <w:t xml:space="preserve"> la localización de una información obligatoria concreta en un documento amplio y prolijo como </w:t>
      </w:r>
      <w:r>
        <w:rPr>
          <w:rFonts w:ascii="Mulish" w:hAnsi="Mulish" w:cstheme="minorHAnsi"/>
          <w:bCs/>
        </w:rPr>
        <w:t xml:space="preserve">una memoria </w:t>
      </w:r>
      <w:r w:rsidRPr="00EC6871">
        <w:rPr>
          <w:rFonts w:ascii="Mulish" w:hAnsi="Mulish" w:cstheme="minorHAnsi"/>
          <w:bCs/>
        </w:rPr>
        <w:t xml:space="preserve">anual. Este Consejo recuerda que la claridad y la accesibilidad, son dos atributos relativos a la calidad en la publicación de la información obligatoria, que establece la LTAIBG en su artículo 5.4.  </w:t>
      </w:r>
    </w:p>
    <w:p w14:paraId="594A0219" w14:textId="76EF4B1B" w:rsidR="00186D18" w:rsidRDefault="001F7EE6" w:rsidP="005022DD">
      <w:pPr>
        <w:pStyle w:val="Prrafodelista"/>
        <w:numPr>
          <w:ilvl w:val="0"/>
          <w:numId w:val="26"/>
        </w:numPr>
        <w:spacing w:before="120" w:after="120"/>
        <w:ind w:left="714" w:hanging="357"/>
        <w:contextualSpacing w:val="0"/>
        <w:jc w:val="both"/>
        <w:rPr>
          <w:rFonts w:ascii="Mulish" w:hAnsi="Mulish" w:cstheme="minorHAnsi"/>
          <w:bCs/>
        </w:rPr>
      </w:pPr>
      <w:r>
        <w:rPr>
          <w:rFonts w:ascii="Mulish" w:hAnsi="Mulish" w:cstheme="minorHAnsi"/>
          <w:bCs/>
        </w:rPr>
        <w:t>Con respecto a la</w:t>
      </w:r>
      <w:r w:rsidR="00186D18" w:rsidRPr="00186D18">
        <w:t xml:space="preserve"> </w:t>
      </w:r>
      <w:r w:rsidR="00186D18">
        <w:rPr>
          <w:rFonts w:ascii="Mulish" w:hAnsi="Mulish" w:cstheme="minorHAnsi"/>
          <w:bCs/>
        </w:rPr>
        <w:t>l</w:t>
      </w:r>
      <w:r w:rsidR="00186D18" w:rsidRPr="00186D18">
        <w:rPr>
          <w:rFonts w:ascii="Mulish" w:hAnsi="Mulish" w:cstheme="minorHAnsi"/>
          <w:bCs/>
        </w:rPr>
        <w:t>ocalización y</w:t>
      </w:r>
      <w:r w:rsidR="00186D18">
        <w:rPr>
          <w:rFonts w:ascii="Mulish" w:hAnsi="Mulish" w:cstheme="minorHAnsi"/>
          <w:bCs/>
        </w:rPr>
        <w:t xml:space="preserve"> es</w:t>
      </w:r>
      <w:r w:rsidR="00186D18" w:rsidRPr="00186D18">
        <w:rPr>
          <w:rFonts w:ascii="Mulish" w:hAnsi="Mulish" w:cstheme="minorHAnsi"/>
          <w:bCs/>
        </w:rPr>
        <w:t xml:space="preserve">tructuración de la </w:t>
      </w:r>
      <w:r w:rsidR="00186D18">
        <w:rPr>
          <w:rFonts w:ascii="Mulish" w:hAnsi="Mulish" w:cstheme="minorHAnsi"/>
          <w:bCs/>
        </w:rPr>
        <w:t>i</w:t>
      </w:r>
      <w:r w:rsidR="00186D18" w:rsidRPr="00186D18">
        <w:rPr>
          <w:rFonts w:ascii="Mulish" w:hAnsi="Mulish" w:cstheme="minorHAnsi"/>
          <w:bCs/>
        </w:rPr>
        <w:t xml:space="preserve">nformación de </w:t>
      </w:r>
      <w:r w:rsidR="00186D18">
        <w:rPr>
          <w:rFonts w:ascii="Mulish" w:hAnsi="Mulish" w:cstheme="minorHAnsi"/>
          <w:bCs/>
        </w:rPr>
        <w:t>t</w:t>
      </w:r>
      <w:r w:rsidR="00186D18" w:rsidRPr="00186D18">
        <w:rPr>
          <w:rFonts w:ascii="Mulish" w:hAnsi="Mulish" w:cstheme="minorHAnsi"/>
          <w:bCs/>
        </w:rPr>
        <w:t>ransparencia</w:t>
      </w:r>
      <w:r w:rsidR="005B49AF">
        <w:rPr>
          <w:rFonts w:ascii="Mulish" w:hAnsi="Mulish" w:cstheme="minorHAnsi"/>
          <w:bCs/>
        </w:rPr>
        <w:t xml:space="preserve"> del punto 2 del documento</w:t>
      </w:r>
      <w:r w:rsidR="00186D18">
        <w:rPr>
          <w:rFonts w:ascii="Mulish" w:hAnsi="Mulish" w:cstheme="minorHAnsi"/>
          <w:bCs/>
        </w:rPr>
        <w:t xml:space="preserve">, no se acepta la observación realizada en cuanto al acceso al </w:t>
      </w:r>
      <w:r w:rsidR="00186D18" w:rsidRPr="00186D18">
        <w:rPr>
          <w:rFonts w:ascii="Mulish" w:hAnsi="Mulish" w:cstheme="minorHAnsi"/>
          <w:bCs/>
        </w:rPr>
        <w:t xml:space="preserve">Portal del CEJ </w:t>
      </w:r>
      <w:r w:rsidR="00186D18">
        <w:rPr>
          <w:rFonts w:ascii="Mulish" w:hAnsi="Mulish" w:cstheme="minorHAnsi"/>
          <w:bCs/>
        </w:rPr>
        <w:t>desde</w:t>
      </w:r>
      <w:r w:rsidR="00186D18" w:rsidRPr="00186D18">
        <w:rPr>
          <w:rFonts w:ascii="Mulish" w:hAnsi="Mulish" w:cstheme="minorHAnsi"/>
          <w:bCs/>
        </w:rPr>
        <w:t xml:space="preserve"> la página home de</w:t>
      </w:r>
      <w:r w:rsidR="00186D18">
        <w:rPr>
          <w:rFonts w:ascii="Mulish" w:hAnsi="Mulish" w:cstheme="minorHAnsi"/>
          <w:bCs/>
        </w:rPr>
        <w:t xml:space="preserve"> este organismo. Como se decía en el informe provisional e</w:t>
      </w:r>
      <w:r w:rsidR="00186D18" w:rsidRPr="00186D18">
        <w:rPr>
          <w:rFonts w:ascii="Mulish" w:hAnsi="Mulish" w:cstheme="minorHAnsi"/>
          <w:bCs/>
        </w:rPr>
        <w:t xml:space="preserve">l acceso al </w:t>
      </w:r>
      <w:r w:rsidR="00186D18">
        <w:rPr>
          <w:rFonts w:ascii="Mulish" w:hAnsi="Mulish" w:cstheme="minorHAnsi"/>
          <w:bCs/>
        </w:rPr>
        <w:t>p</w:t>
      </w:r>
      <w:r w:rsidR="00186D18" w:rsidRPr="00186D18">
        <w:rPr>
          <w:rFonts w:ascii="Mulish" w:hAnsi="Mulish" w:cstheme="minorHAnsi"/>
          <w:bCs/>
        </w:rPr>
        <w:t xml:space="preserve">ortal de </w:t>
      </w:r>
      <w:r w:rsidR="00186D18">
        <w:rPr>
          <w:rFonts w:ascii="Mulish" w:hAnsi="Mulish" w:cstheme="minorHAnsi"/>
          <w:bCs/>
        </w:rPr>
        <w:t>t</w:t>
      </w:r>
      <w:r w:rsidR="00186D18" w:rsidRPr="00186D18">
        <w:rPr>
          <w:rFonts w:ascii="Mulish" w:hAnsi="Mulish" w:cstheme="minorHAnsi"/>
          <w:bCs/>
        </w:rPr>
        <w:t xml:space="preserve">ransparencia se localiza en el acceso </w:t>
      </w:r>
      <w:r w:rsidR="00186D18">
        <w:rPr>
          <w:rFonts w:ascii="Mulish" w:hAnsi="Mulish" w:cstheme="minorHAnsi"/>
          <w:bCs/>
        </w:rPr>
        <w:t>“</w:t>
      </w:r>
      <w:r w:rsidR="00186D18" w:rsidRPr="00186D18">
        <w:rPr>
          <w:rFonts w:ascii="Mulish" w:hAnsi="Mulish" w:cstheme="minorHAnsi"/>
          <w:bCs/>
        </w:rPr>
        <w:t>Conócenos</w:t>
      </w:r>
      <w:r w:rsidR="00186D18">
        <w:rPr>
          <w:rFonts w:ascii="Mulish" w:hAnsi="Mulish" w:cstheme="minorHAnsi"/>
          <w:bCs/>
        </w:rPr>
        <w:t>”</w:t>
      </w:r>
      <w:r w:rsidR="00186D18" w:rsidRPr="00186D18">
        <w:rPr>
          <w:rFonts w:ascii="Mulish" w:hAnsi="Mulish" w:cstheme="minorHAnsi"/>
          <w:bCs/>
        </w:rPr>
        <w:t xml:space="preserve"> de la página home de la web del CEJ</w:t>
      </w:r>
      <w:r w:rsidR="00186D18">
        <w:rPr>
          <w:rFonts w:ascii="Mulish" w:hAnsi="Mulish" w:cstheme="minorHAnsi"/>
          <w:bCs/>
        </w:rPr>
        <w:t xml:space="preserve">. El único acceso visible desde </w:t>
      </w:r>
      <w:proofErr w:type="gramStart"/>
      <w:r w:rsidR="00186D18">
        <w:rPr>
          <w:rFonts w:ascii="Mulish" w:hAnsi="Mulish" w:cstheme="minorHAnsi"/>
          <w:bCs/>
        </w:rPr>
        <w:t>la home</w:t>
      </w:r>
      <w:proofErr w:type="gramEnd"/>
      <w:r w:rsidR="00186D18">
        <w:rPr>
          <w:rFonts w:ascii="Mulish" w:hAnsi="Mulish" w:cstheme="minorHAnsi"/>
          <w:bCs/>
        </w:rPr>
        <w:t xml:space="preserve"> lleva al Portal de Transparencia de la AGE, no al específico del CEJ. Por lo tanto, el informe de evaluación </w:t>
      </w:r>
      <w:r w:rsidR="009B5178">
        <w:rPr>
          <w:rFonts w:ascii="Mulish" w:hAnsi="Mulish" w:cstheme="minorHAnsi"/>
          <w:bCs/>
        </w:rPr>
        <w:t>permanece inalterado en ese punto concreto</w:t>
      </w:r>
      <w:r w:rsidR="00186D18">
        <w:rPr>
          <w:rFonts w:ascii="Mulish" w:hAnsi="Mulish" w:cstheme="minorHAnsi"/>
          <w:bCs/>
        </w:rPr>
        <w:t xml:space="preserve">. </w:t>
      </w:r>
    </w:p>
    <w:p w14:paraId="5B6EF096" w14:textId="53BEC90E" w:rsidR="001F7EE6" w:rsidRDefault="009B5178" w:rsidP="005022DD">
      <w:pPr>
        <w:pStyle w:val="Prrafodelista"/>
        <w:numPr>
          <w:ilvl w:val="0"/>
          <w:numId w:val="26"/>
        </w:numPr>
        <w:spacing w:before="120" w:after="120"/>
        <w:ind w:left="714" w:hanging="357"/>
        <w:contextualSpacing w:val="0"/>
        <w:jc w:val="both"/>
        <w:rPr>
          <w:rFonts w:ascii="Mulish" w:hAnsi="Mulish" w:cstheme="minorHAnsi"/>
          <w:bCs/>
        </w:rPr>
      </w:pPr>
      <w:r>
        <w:rPr>
          <w:rFonts w:ascii="Mulish" w:hAnsi="Mulish" w:cstheme="minorHAnsi"/>
          <w:bCs/>
        </w:rPr>
        <w:t>En relación con el apartado 3, sobre</w:t>
      </w:r>
      <w:r w:rsidR="001F7EE6">
        <w:rPr>
          <w:rFonts w:ascii="Mulish" w:hAnsi="Mulish" w:cstheme="minorHAnsi"/>
          <w:bCs/>
        </w:rPr>
        <w:t xml:space="preserve"> información i</w:t>
      </w:r>
      <w:r w:rsidR="001F7EE6" w:rsidRPr="001F7EE6">
        <w:rPr>
          <w:rFonts w:ascii="Mulish" w:hAnsi="Mulish" w:cstheme="minorHAnsi"/>
          <w:bCs/>
        </w:rPr>
        <w:t xml:space="preserve">nstitucional, </w:t>
      </w:r>
      <w:r w:rsidR="001F7EE6">
        <w:rPr>
          <w:rFonts w:ascii="Mulish" w:hAnsi="Mulish" w:cstheme="minorHAnsi"/>
          <w:bCs/>
        </w:rPr>
        <w:t>o</w:t>
      </w:r>
      <w:r w:rsidR="001F7EE6" w:rsidRPr="001F7EE6">
        <w:rPr>
          <w:rFonts w:ascii="Mulish" w:hAnsi="Mulish" w:cstheme="minorHAnsi"/>
          <w:bCs/>
        </w:rPr>
        <w:t xml:space="preserve">rganizativa y de </w:t>
      </w:r>
      <w:r w:rsidR="001F7EE6">
        <w:rPr>
          <w:rFonts w:ascii="Mulish" w:hAnsi="Mulish" w:cstheme="minorHAnsi"/>
          <w:bCs/>
        </w:rPr>
        <w:t>p</w:t>
      </w:r>
      <w:r w:rsidR="001F7EE6" w:rsidRPr="001F7EE6">
        <w:rPr>
          <w:rFonts w:ascii="Mulish" w:hAnsi="Mulish" w:cstheme="minorHAnsi"/>
          <w:bCs/>
        </w:rPr>
        <w:t>lanificación</w:t>
      </w:r>
      <w:r>
        <w:rPr>
          <w:rFonts w:ascii="Mulish" w:hAnsi="Mulish" w:cstheme="minorHAnsi"/>
          <w:bCs/>
        </w:rPr>
        <w:t>,</w:t>
      </w:r>
      <w:r w:rsidR="001F7EE6">
        <w:rPr>
          <w:rFonts w:ascii="Mulish" w:hAnsi="Mulish" w:cstheme="minorHAnsi"/>
          <w:bCs/>
        </w:rPr>
        <w:t xml:space="preserve"> se realizan varias observaciones</w:t>
      </w:r>
      <w:r w:rsidR="007674D6">
        <w:rPr>
          <w:rFonts w:ascii="Mulish" w:hAnsi="Mulish" w:cstheme="minorHAnsi"/>
          <w:bCs/>
        </w:rPr>
        <w:t xml:space="preserve">, de las que algunas ya han sido respondidas con anterioridad en este informe. Se responde a continuación a aquellas que no han sido ya tratadas: </w:t>
      </w:r>
    </w:p>
    <w:p w14:paraId="79BF1AA4" w14:textId="56394482" w:rsidR="00EB4F16" w:rsidRDefault="00EB4F16" w:rsidP="00861B03">
      <w:pPr>
        <w:pStyle w:val="Prrafodelista"/>
        <w:numPr>
          <w:ilvl w:val="1"/>
          <w:numId w:val="26"/>
        </w:numPr>
        <w:spacing w:before="120" w:after="120"/>
        <w:ind w:left="1434" w:hanging="357"/>
        <w:contextualSpacing w:val="0"/>
        <w:jc w:val="both"/>
        <w:rPr>
          <w:rFonts w:ascii="Mulish" w:hAnsi="Mulish" w:cstheme="minorHAnsi"/>
          <w:bCs/>
        </w:rPr>
      </w:pPr>
      <w:r>
        <w:rPr>
          <w:rFonts w:ascii="Mulish" w:hAnsi="Mulish" w:cstheme="minorHAnsi"/>
          <w:bCs/>
        </w:rPr>
        <w:t xml:space="preserve">Con respecto a la publicación de planes y programas, que se indica que se han publicado a principios del mes de septiembre, se toma en consideración esa observación y se </w:t>
      </w:r>
      <w:r w:rsidR="00C044D8" w:rsidRPr="00C044D8">
        <w:rPr>
          <w:rFonts w:ascii="Mulish" w:hAnsi="Mulish" w:cstheme="minorHAnsi"/>
          <w:bCs/>
        </w:rPr>
        <w:t>modifica el informe de evaluación teniendo en cuenta esta circunstancia.</w:t>
      </w:r>
      <w:r w:rsidR="00C044D8">
        <w:rPr>
          <w:rFonts w:ascii="Mulish" w:hAnsi="Mulish" w:cstheme="minorHAnsi"/>
          <w:bCs/>
        </w:rPr>
        <w:t xml:space="preserve"> </w:t>
      </w:r>
      <w:r w:rsidR="00BC1D3F">
        <w:rPr>
          <w:rFonts w:ascii="Mulish" w:hAnsi="Mulish" w:cstheme="minorHAnsi"/>
          <w:bCs/>
        </w:rPr>
        <w:t xml:space="preserve">Lo mismo cabe señalar con referencia a la información sobre los indicadores </w:t>
      </w:r>
      <w:r w:rsidR="00412278">
        <w:rPr>
          <w:rFonts w:ascii="Mulish" w:hAnsi="Mulish" w:cstheme="minorHAnsi"/>
          <w:bCs/>
        </w:rPr>
        <w:t xml:space="preserve">de medida y valoración del cumplimiento de objetivos. </w:t>
      </w:r>
      <w:r w:rsidR="00A51EC3">
        <w:rPr>
          <w:rFonts w:ascii="Mulish" w:hAnsi="Mulish" w:cstheme="minorHAnsi"/>
          <w:bCs/>
        </w:rPr>
        <w:t xml:space="preserve"> </w:t>
      </w:r>
    </w:p>
    <w:p w14:paraId="65FF1FA2" w14:textId="27841C41" w:rsidR="00412278" w:rsidRDefault="00412278" w:rsidP="00412278">
      <w:pPr>
        <w:pStyle w:val="Prrafodelista"/>
        <w:numPr>
          <w:ilvl w:val="1"/>
          <w:numId w:val="26"/>
        </w:numPr>
        <w:spacing w:before="120" w:after="120"/>
        <w:ind w:left="1434" w:hanging="357"/>
        <w:contextualSpacing w:val="0"/>
        <w:jc w:val="both"/>
        <w:rPr>
          <w:rFonts w:ascii="Mulish" w:hAnsi="Mulish" w:cstheme="minorHAnsi"/>
          <w:bCs/>
        </w:rPr>
      </w:pPr>
      <w:r>
        <w:rPr>
          <w:rFonts w:ascii="Mulish" w:hAnsi="Mulish" w:cstheme="minorHAnsi"/>
          <w:bCs/>
        </w:rPr>
        <w:t>Por lo que atañe a la calidad de la información y a la falta de datación de la información publicada, se señala por el CEJ que “</w:t>
      </w:r>
      <w:r w:rsidRPr="00412278">
        <w:rPr>
          <w:rFonts w:ascii="Mulish" w:hAnsi="Mulish" w:cstheme="minorHAnsi"/>
          <w:bCs/>
          <w:i/>
          <w:iCs/>
        </w:rPr>
        <w:t>se considera que poner la fecha de actualización de una página puede crear confusión en cuanto a la</w:t>
      </w:r>
      <w:r w:rsidRPr="00412278">
        <w:rPr>
          <w:rFonts w:ascii="Mulish" w:hAnsi="Mulish" w:cstheme="minorHAnsi"/>
          <w:bCs/>
          <w:i/>
          <w:iCs/>
        </w:rPr>
        <w:t xml:space="preserve"> </w:t>
      </w:r>
      <w:r w:rsidRPr="00412278">
        <w:rPr>
          <w:rFonts w:ascii="Mulish" w:hAnsi="Mulish" w:cstheme="minorHAnsi"/>
          <w:bCs/>
          <w:i/>
          <w:iCs/>
        </w:rPr>
        <w:t xml:space="preserve">actualidad de la misma. </w:t>
      </w:r>
      <w:proofErr w:type="spellStart"/>
      <w:proofErr w:type="gramStart"/>
      <w:r w:rsidRPr="00412278">
        <w:rPr>
          <w:rFonts w:ascii="Mulish" w:hAnsi="Mulish" w:cstheme="minorHAnsi"/>
          <w:bCs/>
          <w:i/>
          <w:iCs/>
        </w:rPr>
        <w:t>P.e</w:t>
      </w:r>
      <w:proofErr w:type="spellEnd"/>
      <w:r w:rsidRPr="00412278">
        <w:rPr>
          <w:rFonts w:ascii="Mulish" w:hAnsi="Mulish" w:cstheme="minorHAnsi"/>
          <w:bCs/>
          <w:i/>
          <w:iCs/>
        </w:rPr>
        <w:t>. :</w:t>
      </w:r>
      <w:proofErr w:type="gramEnd"/>
      <w:r w:rsidRPr="00412278">
        <w:rPr>
          <w:rFonts w:ascii="Mulish" w:hAnsi="Mulish" w:cstheme="minorHAnsi"/>
          <w:bCs/>
          <w:i/>
          <w:iCs/>
        </w:rPr>
        <w:t xml:space="preserve"> la página de normativa se actualizará en caso de que se modifique o se publique</w:t>
      </w:r>
      <w:r>
        <w:rPr>
          <w:rFonts w:ascii="Mulish" w:hAnsi="Mulish" w:cstheme="minorHAnsi"/>
          <w:bCs/>
        </w:rPr>
        <w:t>”.</w:t>
      </w:r>
    </w:p>
    <w:p w14:paraId="0CFD2033" w14:textId="786FAEA8" w:rsidR="00412278" w:rsidRPr="00412278" w:rsidRDefault="00412278" w:rsidP="00412278">
      <w:pPr>
        <w:pStyle w:val="Prrafodelista"/>
        <w:spacing w:before="120" w:after="120"/>
        <w:ind w:left="1440"/>
        <w:contextualSpacing w:val="0"/>
        <w:jc w:val="both"/>
        <w:rPr>
          <w:rFonts w:ascii="Mulish" w:hAnsi="Mulish" w:cstheme="minorHAnsi"/>
          <w:bCs/>
        </w:rPr>
      </w:pPr>
      <w:r>
        <w:rPr>
          <w:rFonts w:ascii="Mulish" w:hAnsi="Mulish" w:cstheme="minorHAnsi"/>
          <w:bCs/>
        </w:rPr>
        <w:t xml:space="preserve">En este sentido se recomienda que se indique en la página de inicio del portal la fecha de actualización de toda la información en él publicada, de manera que no sea necesario incluir esa misma advertencia en los diferentes apartados, con el riesgo de que se produzca la confusión que señala CEJ. </w:t>
      </w:r>
    </w:p>
    <w:p w14:paraId="7A762ED9" w14:textId="62EC35A1" w:rsidR="0013060A" w:rsidRDefault="00412278" w:rsidP="00412278">
      <w:pPr>
        <w:pStyle w:val="Prrafodelista"/>
        <w:numPr>
          <w:ilvl w:val="0"/>
          <w:numId w:val="26"/>
        </w:numPr>
        <w:spacing w:before="120" w:after="120"/>
        <w:contextualSpacing w:val="0"/>
        <w:jc w:val="both"/>
        <w:rPr>
          <w:rFonts w:ascii="Mulish" w:hAnsi="Mulish" w:cstheme="minorHAnsi"/>
          <w:bCs/>
        </w:rPr>
      </w:pPr>
      <w:r>
        <w:rPr>
          <w:rFonts w:ascii="Mulish" w:hAnsi="Mulish" w:cstheme="minorHAnsi"/>
          <w:bCs/>
        </w:rPr>
        <w:t>Con respecto al apartado 4, sobre información económica, presupuestaria y estadística, cabe indicar lo siguiente:</w:t>
      </w:r>
    </w:p>
    <w:p w14:paraId="0C1AF80B" w14:textId="77777777" w:rsidR="008E67F2" w:rsidRDefault="00F96D84" w:rsidP="00412278">
      <w:pPr>
        <w:pStyle w:val="Prrafodelista"/>
        <w:numPr>
          <w:ilvl w:val="1"/>
          <w:numId w:val="26"/>
        </w:numPr>
        <w:spacing w:before="120" w:after="120"/>
        <w:contextualSpacing w:val="0"/>
        <w:jc w:val="both"/>
        <w:rPr>
          <w:rFonts w:ascii="Mulish" w:hAnsi="Mulish" w:cstheme="minorHAnsi"/>
          <w:bCs/>
        </w:rPr>
      </w:pPr>
      <w:r>
        <w:rPr>
          <w:rFonts w:ascii="Mulish" w:hAnsi="Mulish" w:cstheme="minorHAnsi"/>
          <w:bCs/>
        </w:rPr>
        <w:t xml:space="preserve">Con respecto a </w:t>
      </w:r>
      <w:r w:rsidR="008E67F2">
        <w:rPr>
          <w:rFonts w:ascii="Mulish" w:hAnsi="Mulish" w:cstheme="minorHAnsi"/>
          <w:bCs/>
        </w:rPr>
        <w:t>muchos de los</w:t>
      </w:r>
      <w:r>
        <w:rPr>
          <w:rFonts w:ascii="Mulish" w:hAnsi="Mulish" w:cstheme="minorHAnsi"/>
          <w:bCs/>
        </w:rPr>
        <w:t xml:space="preserve"> puntos de este apartado, debe indicarse que ya se ha respondido a ellos en anteriores partes de este informe</w:t>
      </w:r>
      <w:r w:rsidR="008E67F2">
        <w:rPr>
          <w:rFonts w:ascii="Mulish" w:hAnsi="Mulish" w:cstheme="minorHAnsi"/>
          <w:bCs/>
        </w:rPr>
        <w:t xml:space="preserve"> por lo que no realizar aquí nuevos pronunciamientos.</w:t>
      </w:r>
    </w:p>
    <w:p w14:paraId="34D5C5D3" w14:textId="5A241DB1" w:rsidR="00F369B5" w:rsidRDefault="00226E5C" w:rsidP="00F369B5">
      <w:pPr>
        <w:pStyle w:val="Prrafodelista"/>
        <w:numPr>
          <w:ilvl w:val="1"/>
          <w:numId w:val="26"/>
        </w:numPr>
        <w:spacing w:before="120" w:after="120"/>
        <w:contextualSpacing w:val="0"/>
        <w:jc w:val="both"/>
        <w:rPr>
          <w:rFonts w:ascii="Mulish" w:hAnsi="Mulish" w:cstheme="minorHAnsi"/>
          <w:bCs/>
        </w:rPr>
      </w:pPr>
      <w:r w:rsidRPr="00F369B5">
        <w:rPr>
          <w:rFonts w:ascii="Mulish" w:hAnsi="Mulish" w:cstheme="minorHAnsi"/>
          <w:bCs/>
        </w:rPr>
        <w:lastRenderedPageBreak/>
        <w:t>En relación</w:t>
      </w:r>
      <w:r w:rsidR="00F369B5" w:rsidRPr="00F369B5">
        <w:rPr>
          <w:rFonts w:ascii="Mulish" w:hAnsi="Mulish" w:cstheme="minorHAnsi"/>
          <w:bCs/>
        </w:rPr>
        <w:t xml:space="preserve"> con la publicación de </w:t>
      </w:r>
      <w:r w:rsidR="00F369B5" w:rsidRPr="00F369B5">
        <w:rPr>
          <w:rFonts w:ascii="Mulish" w:hAnsi="Mulish" w:cstheme="minorHAnsi"/>
          <w:bCs/>
        </w:rPr>
        <w:t>información estadística sobre el número y el porcentaje en volumen presupuestario</w:t>
      </w:r>
      <w:r w:rsidR="00F369B5">
        <w:rPr>
          <w:rFonts w:ascii="Mulish" w:hAnsi="Mulish" w:cstheme="minorHAnsi"/>
          <w:bCs/>
        </w:rPr>
        <w:t xml:space="preserve"> </w:t>
      </w:r>
      <w:r w:rsidR="00F369B5" w:rsidRPr="00F369B5">
        <w:rPr>
          <w:rFonts w:ascii="Mulish" w:hAnsi="Mulish" w:cstheme="minorHAnsi"/>
          <w:bCs/>
        </w:rPr>
        <w:t>de contratos adjudicados a PYMES según tipo de contrato y según procedimiento de licitación</w:t>
      </w:r>
      <w:r w:rsidR="00F369B5">
        <w:rPr>
          <w:rFonts w:ascii="Mulish" w:hAnsi="Mulish" w:cstheme="minorHAnsi"/>
          <w:bCs/>
        </w:rPr>
        <w:t xml:space="preserve">, se indica que no se </w:t>
      </w:r>
      <w:r w:rsidR="00F369B5" w:rsidRPr="00F369B5">
        <w:rPr>
          <w:rFonts w:ascii="Mulish" w:hAnsi="Mulish" w:cstheme="minorHAnsi"/>
          <w:bCs/>
        </w:rPr>
        <w:t>dispone de información que permita automatizar dichas estadísticas</w:t>
      </w:r>
      <w:r w:rsidR="00F369B5">
        <w:rPr>
          <w:rFonts w:ascii="Mulish" w:hAnsi="Mulish" w:cstheme="minorHAnsi"/>
          <w:bCs/>
        </w:rPr>
        <w:t xml:space="preserve"> y que se desconoce</w:t>
      </w:r>
      <w:r w:rsidR="00F369B5" w:rsidRPr="00F369B5">
        <w:rPr>
          <w:rFonts w:ascii="Mulish" w:hAnsi="Mulish" w:cstheme="minorHAnsi"/>
          <w:bCs/>
        </w:rPr>
        <w:t xml:space="preserve"> cómo publicar esa información en el Portal de Transparencia</w:t>
      </w:r>
      <w:r w:rsidR="00F369B5">
        <w:rPr>
          <w:rFonts w:ascii="Mulish" w:hAnsi="Mulish" w:cstheme="minorHAnsi"/>
          <w:bCs/>
        </w:rPr>
        <w:t xml:space="preserve">. </w:t>
      </w:r>
    </w:p>
    <w:p w14:paraId="691C214B" w14:textId="6DC249AC" w:rsidR="00F369B5" w:rsidRDefault="00F369B5" w:rsidP="00F369B5">
      <w:pPr>
        <w:pStyle w:val="Prrafodelista"/>
        <w:spacing w:before="120" w:after="120"/>
        <w:ind w:left="1440"/>
        <w:contextualSpacing w:val="0"/>
        <w:jc w:val="both"/>
        <w:rPr>
          <w:rFonts w:ascii="Mulish" w:hAnsi="Mulish" w:cstheme="minorHAnsi"/>
          <w:bCs/>
        </w:rPr>
      </w:pPr>
      <w:r>
        <w:rPr>
          <w:rFonts w:ascii="Mulish" w:hAnsi="Mulish" w:cstheme="minorHAnsi"/>
          <w:bCs/>
        </w:rPr>
        <w:t>En este sentido, se recuerda que esta información debe publicarse en el portal de transparencia del CEJ y no en el de la AGE. A modo de ejemplo y por si sirviera de ayuda, se recomienda que se estudie el portal de transparencia de la Mutualidad General Judicial (MUGEJU) que publica de manera satisfactoria esta información (</w:t>
      </w:r>
      <w:hyperlink r:id="rId8" w:history="1">
        <w:r w:rsidRPr="00F369B5">
          <w:rPr>
            <w:rStyle w:val="Hipervnculo"/>
            <w:rFonts w:ascii="Mulish" w:hAnsi="Mulish" w:cstheme="minorHAnsi"/>
            <w:bCs/>
          </w:rPr>
          <w:t>aquí</w:t>
        </w:r>
      </w:hyperlink>
      <w:r>
        <w:rPr>
          <w:rFonts w:ascii="Mulish" w:hAnsi="Mulish" w:cstheme="minorHAnsi"/>
          <w:bCs/>
        </w:rPr>
        <w:t>)</w:t>
      </w:r>
    </w:p>
    <w:p w14:paraId="2BDF6829" w14:textId="01187B63" w:rsidR="00F369B5" w:rsidRDefault="00F369B5" w:rsidP="00F369B5">
      <w:pPr>
        <w:pStyle w:val="Prrafodelista"/>
        <w:numPr>
          <w:ilvl w:val="1"/>
          <w:numId w:val="26"/>
        </w:numPr>
        <w:spacing w:before="120" w:after="120"/>
        <w:contextualSpacing w:val="0"/>
        <w:jc w:val="both"/>
        <w:rPr>
          <w:rFonts w:ascii="Mulish" w:hAnsi="Mulish" w:cstheme="minorHAnsi"/>
          <w:bCs/>
        </w:rPr>
      </w:pPr>
      <w:r>
        <w:rPr>
          <w:rFonts w:ascii="Mulish" w:hAnsi="Mulish" w:cstheme="minorHAnsi"/>
          <w:bCs/>
        </w:rPr>
        <w:t>En cuanto a la obligación referida a cuentas anuales se acepta la observación realizada y se modifica en consonancia el informe de evaluación.</w:t>
      </w:r>
    </w:p>
    <w:p w14:paraId="4F616306" w14:textId="54307DE9" w:rsidR="00195DB1" w:rsidRPr="00195DB1" w:rsidRDefault="00195DB1" w:rsidP="00195DB1">
      <w:pPr>
        <w:spacing w:before="120" w:after="120"/>
        <w:jc w:val="both"/>
        <w:rPr>
          <w:rFonts w:ascii="Mulish" w:hAnsi="Mulish" w:cstheme="minorHAnsi"/>
          <w:bCs/>
          <w:sz w:val="22"/>
        </w:rPr>
      </w:pPr>
      <w:r w:rsidRPr="00195DB1">
        <w:rPr>
          <w:rFonts w:ascii="Mulish" w:hAnsi="Mulish" w:cstheme="minorHAnsi"/>
          <w:bCs/>
          <w:sz w:val="22"/>
        </w:rPr>
        <w:t xml:space="preserve">A la vista de todo lo indicado en los párrafos anteriores, se ha procedido a evaluar nuevamente </w:t>
      </w:r>
      <w:r>
        <w:rPr>
          <w:rFonts w:ascii="Mulish" w:hAnsi="Mulish" w:cstheme="minorHAnsi"/>
          <w:bCs/>
          <w:sz w:val="22"/>
        </w:rPr>
        <w:t>al CEJ</w:t>
      </w:r>
      <w:r w:rsidRPr="00195DB1">
        <w:rPr>
          <w:rFonts w:ascii="Mulish" w:hAnsi="Mulish" w:cstheme="minorHAnsi"/>
          <w:bCs/>
          <w:sz w:val="22"/>
        </w:rPr>
        <w:t xml:space="preserve">. Como consecuencia de ello, el Índice de Cumplimiento de la Información Obligatoria (ICIO) de ese organismo pasa de un </w:t>
      </w:r>
      <w:r>
        <w:rPr>
          <w:rFonts w:ascii="Mulish" w:hAnsi="Mulish" w:cstheme="minorHAnsi"/>
          <w:bCs/>
          <w:sz w:val="22"/>
        </w:rPr>
        <w:t>20,2</w:t>
      </w:r>
      <w:r w:rsidRPr="00195DB1">
        <w:rPr>
          <w:rFonts w:ascii="Mulish" w:hAnsi="Mulish" w:cstheme="minorHAnsi"/>
          <w:bCs/>
          <w:sz w:val="22"/>
        </w:rPr>
        <w:t xml:space="preserve">% en el primer informe a un </w:t>
      </w:r>
      <w:r>
        <w:rPr>
          <w:rFonts w:ascii="Mulish" w:hAnsi="Mulish" w:cstheme="minorHAnsi"/>
          <w:bCs/>
          <w:sz w:val="22"/>
        </w:rPr>
        <w:t>30,4</w:t>
      </w:r>
      <w:r w:rsidRPr="00195DB1">
        <w:rPr>
          <w:rFonts w:ascii="Mulish" w:hAnsi="Mulish" w:cstheme="minorHAnsi"/>
          <w:bCs/>
          <w:sz w:val="22"/>
        </w:rPr>
        <w:t>% en la nueva evaluación.</w:t>
      </w:r>
    </w:p>
    <w:p w14:paraId="336A2926" w14:textId="7C014DCA" w:rsidR="00E100A2" w:rsidRDefault="0013739B" w:rsidP="001352EB">
      <w:pPr>
        <w:spacing w:before="120" w:after="120"/>
        <w:jc w:val="both"/>
        <w:rPr>
          <w:rFonts w:ascii="Mulish" w:hAnsi="Mulish" w:cstheme="minorHAnsi"/>
          <w:bCs/>
          <w:sz w:val="22"/>
        </w:rPr>
      </w:pPr>
      <w:r w:rsidRPr="00015E91">
        <w:rPr>
          <w:rFonts w:ascii="Mulish" w:hAnsi="Mulish" w:cstheme="minorHAnsi"/>
          <w:bCs/>
          <w:sz w:val="22"/>
        </w:rPr>
        <w:t xml:space="preserve">Este Consejo valora positivamente </w:t>
      </w:r>
      <w:r w:rsidR="00FD7D2D">
        <w:rPr>
          <w:rFonts w:ascii="Mulish" w:hAnsi="Mulish" w:cstheme="minorHAnsi"/>
          <w:bCs/>
          <w:sz w:val="22"/>
        </w:rPr>
        <w:t>el interés de</w:t>
      </w:r>
      <w:r w:rsidR="00195DB1">
        <w:rPr>
          <w:rFonts w:ascii="Mulish" w:hAnsi="Mulish" w:cstheme="minorHAnsi"/>
          <w:bCs/>
          <w:sz w:val="22"/>
        </w:rPr>
        <w:t>l CEJ</w:t>
      </w:r>
      <w:r w:rsidR="00E100A2" w:rsidRPr="00E100A2">
        <w:rPr>
          <w:rFonts w:ascii="Mulish" w:hAnsi="Mulish" w:cstheme="minorHAnsi"/>
          <w:bCs/>
          <w:sz w:val="22"/>
        </w:rPr>
        <w:t xml:space="preserve"> </w:t>
      </w:r>
      <w:r w:rsidR="00FD7D2D">
        <w:rPr>
          <w:rFonts w:ascii="Mulish" w:hAnsi="Mulish" w:cstheme="minorHAnsi"/>
          <w:bCs/>
          <w:sz w:val="22"/>
        </w:rPr>
        <w:t>por la evaluación realizada y expresa su convencimiento de que,</w:t>
      </w:r>
      <w:r w:rsidR="00E100A2" w:rsidRPr="00E100A2">
        <w:rPr>
          <w:rFonts w:ascii="Mulish" w:hAnsi="Mulish" w:cstheme="minorHAnsi"/>
          <w:bCs/>
          <w:sz w:val="22"/>
        </w:rPr>
        <w:t xml:space="preserve"> con la adopción de las medidas que se indican en el </w:t>
      </w:r>
      <w:r w:rsidR="00F00F7E">
        <w:rPr>
          <w:rFonts w:ascii="Mulish" w:hAnsi="Mulish" w:cstheme="minorHAnsi"/>
          <w:bCs/>
          <w:sz w:val="22"/>
        </w:rPr>
        <w:t>documento</w:t>
      </w:r>
      <w:r w:rsidR="00E100A2" w:rsidRPr="00E100A2">
        <w:rPr>
          <w:rFonts w:ascii="Mulish" w:hAnsi="Mulish" w:cstheme="minorHAnsi"/>
          <w:bCs/>
          <w:sz w:val="22"/>
        </w:rPr>
        <w:t xml:space="preserve"> de observaciones y la asunción de las recomendaciones recogidas en la evaluación realizada, es</w:t>
      </w:r>
      <w:r w:rsidR="00031D70">
        <w:rPr>
          <w:rFonts w:ascii="Mulish" w:hAnsi="Mulish" w:cstheme="minorHAnsi"/>
          <w:bCs/>
          <w:sz w:val="22"/>
        </w:rPr>
        <w:t>e</w:t>
      </w:r>
      <w:r w:rsidR="00E100A2" w:rsidRPr="00E100A2">
        <w:rPr>
          <w:rFonts w:ascii="Mulish" w:hAnsi="Mulish" w:cstheme="minorHAnsi"/>
          <w:bCs/>
          <w:sz w:val="22"/>
        </w:rPr>
        <w:t xml:space="preserve"> </w:t>
      </w:r>
      <w:r w:rsidR="00031D70">
        <w:rPr>
          <w:rFonts w:ascii="Mulish" w:hAnsi="Mulish" w:cstheme="minorHAnsi"/>
          <w:bCs/>
          <w:sz w:val="22"/>
        </w:rPr>
        <w:t>organismo</w:t>
      </w:r>
      <w:r w:rsidR="00E100A2" w:rsidRPr="00E100A2">
        <w:rPr>
          <w:rFonts w:ascii="Mulish" w:hAnsi="Mulish" w:cstheme="minorHAnsi"/>
          <w:bCs/>
          <w:sz w:val="22"/>
        </w:rPr>
        <w:t xml:space="preserve"> logrará incrementar notablemente </w:t>
      </w:r>
      <w:r w:rsidR="00195DB1">
        <w:rPr>
          <w:rFonts w:ascii="Mulish" w:hAnsi="Mulish" w:cstheme="minorHAnsi"/>
          <w:bCs/>
          <w:sz w:val="22"/>
        </w:rPr>
        <w:t>su cumplimiento</w:t>
      </w:r>
      <w:r w:rsidR="00E100A2" w:rsidRPr="00E100A2">
        <w:rPr>
          <w:rFonts w:ascii="Mulish" w:hAnsi="Mulish" w:cstheme="minorHAnsi"/>
          <w:bCs/>
          <w:sz w:val="22"/>
        </w:rPr>
        <w:t xml:space="preserve"> con respecto a las obligaciones de publicidad activa establecidas en la LTAIBG.</w:t>
      </w:r>
    </w:p>
    <w:p w14:paraId="698CFD90" w14:textId="77777777" w:rsidR="00C2306E" w:rsidRPr="00015E91" w:rsidRDefault="00C2306E" w:rsidP="005022DD">
      <w:pPr>
        <w:autoSpaceDE w:val="0"/>
        <w:autoSpaceDN w:val="0"/>
        <w:adjustRightInd w:val="0"/>
        <w:spacing w:after="0"/>
        <w:jc w:val="right"/>
        <w:rPr>
          <w:rFonts w:ascii="Mulish" w:hAnsi="Mulish" w:cstheme="minorHAnsi"/>
          <w:sz w:val="22"/>
        </w:rPr>
      </w:pPr>
    </w:p>
    <w:p w14:paraId="60E86A8E" w14:textId="2EFA1B02" w:rsidR="006F17B5" w:rsidRPr="00015E91" w:rsidRDefault="006F17B5" w:rsidP="005022DD">
      <w:pPr>
        <w:autoSpaceDE w:val="0"/>
        <w:autoSpaceDN w:val="0"/>
        <w:adjustRightInd w:val="0"/>
        <w:spacing w:after="0"/>
        <w:jc w:val="right"/>
        <w:rPr>
          <w:rFonts w:ascii="Mulish" w:hAnsi="Mulish"/>
          <w:sz w:val="22"/>
        </w:rPr>
      </w:pPr>
      <w:r w:rsidRPr="00015E91">
        <w:rPr>
          <w:rFonts w:ascii="Mulish" w:hAnsi="Mulish" w:cstheme="minorHAnsi"/>
          <w:sz w:val="22"/>
        </w:rPr>
        <w:t xml:space="preserve">Madrid, </w:t>
      </w:r>
      <w:r w:rsidR="00FD7D2D">
        <w:rPr>
          <w:rFonts w:ascii="Mulish" w:hAnsi="Mulish" w:cstheme="minorHAnsi"/>
          <w:sz w:val="22"/>
        </w:rPr>
        <w:t>octubre</w:t>
      </w:r>
      <w:r w:rsidRPr="00015E91">
        <w:rPr>
          <w:rFonts w:ascii="Mulish" w:hAnsi="Mulish" w:cstheme="minorHAnsi"/>
          <w:sz w:val="22"/>
        </w:rPr>
        <w:t xml:space="preserve"> de 202</w:t>
      </w:r>
      <w:r w:rsidR="004B4E57" w:rsidRPr="00015E91">
        <w:rPr>
          <w:rFonts w:ascii="Mulish" w:hAnsi="Mulish" w:cstheme="minorHAnsi"/>
          <w:sz w:val="22"/>
        </w:rPr>
        <w:t>5</w:t>
      </w:r>
    </w:p>
    <w:sectPr w:rsidR="006F17B5" w:rsidRPr="00015E91" w:rsidSect="009E16B5">
      <w:headerReference w:type="default" r:id="rId9"/>
      <w:footerReference w:type="default" r:id="rId10"/>
      <w:headerReference w:type="first" r:id="rId11"/>
      <w:footerReference w:type="first" r:id="rId12"/>
      <w:pgSz w:w="11906" w:h="16838" w:code="9"/>
      <w:pgMar w:top="1418"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1F7B5" w14:textId="77777777" w:rsidR="004301F5" w:rsidRDefault="004301F5" w:rsidP="00344FE7">
      <w:pPr>
        <w:spacing w:after="0" w:line="240" w:lineRule="auto"/>
      </w:pPr>
      <w:r>
        <w:separator/>
      </w:r>
    </w:p>
  </w:endnote>
  <w:endnote w:type="continuationSeparator" w:id="0">
    <w:p w14:paraId="4020BE97" w14:textId="77777777" w:rsidR="004301F5" w:rsidRDefault="004301F5" w:rsidP="00344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ulish">
    <w:altName w:val="Calibri"/>
    <w:panose1 w:val="00000000000000000000"/>
    <w:charset w:val="00"/>
    <w:family w:val="auto"/>
    <w:pitch w:val="variable"/>
    <w:sig w:usb0="A00002FF" w:usb1="5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247235"/>
      <w:docPartObj>
        <w:docPartGallery w:val="Page Numbers (Bottom of Page)"/>
        <w:docPartUnique/>
      </w:docPartObj>
    </w:sdtPr>
    <w:sdtContent>
      <w:p w14:paraId="70213541" w14:textId="6A184793" w:rsidR="00C44678" w:rsidRDefault="00C44678">
        <w:pPr>
          <w:pStyle w:val="Piedepgina"/>
          <w:jc w:val="center"/>
        </w:pPr>
        <w:r>
          <w:fldChar w:fldCharType="begin"/>
        </w:r>
        <w:r>
          <w:instrText>PAGE   \* MERGEFORMAT</w:instrText>
        </w:r>
        <w:r>
          <w:fldChar w:fldCharType="separate"/>
        </w:r>
        <w:r>
          <w:t>2</w:t>
        </w:r>
        <w:r>
          <w:fldChar w:fldCharType="end"/>
        </w:r>
      </w:p>
    </w:sdtContent>
  </w:sdt>
  <w:p w14:paraId="1D609487" w14:textId="0109CD9A" w:rsidR="006262A2" w:rsidRPr="000A4252" w:rsidRDefault="006262A2" w:rsidP="00C23F36">
    <w:pPr>
      <w:pStyle w:val="Piedepgina"/>
      <w:jc w:val="center"/>
      <w:rPr>
        <w:rFonts w:ascii="Mulish" w:hAnsi="Mulish"/>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3563329"/>
      <w:docPartObj>
        <w:docPartGallery w:val="Page Numbers (Bottom of Page)"/>
        <w:docPartUnique/>
      </w:docPartObj>
    </w:sdtPr>
    <w:sdtEndPr/>
    <w:sdtContent>
      <w:p w14:paraId="65F2E0C9" w14:textId="57EAA7BA" w:rsidR="000A4252" w:rsidRDefault="000A4252">
        <w:pPr>
          <w:pStyle w:val="Piedepgina"/>
          <w:jc w:val="center"/>
        </w:pPr>
        <w:r>
          <w:fldChar w:fldCharType="begin"/>
        </w:r>
        <w:r>
          <w:instrText>PAGE   \* MERGEFORMAT</w:instrText>
        </w:r>
        <w:r>
          <w:fldChar w:fldCharType="separate"/>
        </w:r>
        <w:r>
          <w:t>2</w:t>
        </w:r>
        <w:r>
          <w:fldChar w:fldCharType="end"/>
        </w:r>
      </w:p>
    </w:sdtContent>
  </w:sdt>
  <w:p w14:paraId="7E217E30" w14:textId="77777777" w:rsidR="000A4252" w:rsidRDefault="000A425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C71C2" w14:textId="77777777" w:rsidR="004301F5" w:rsidRDefault="004301F5" w:rsidP="00344FE7">
      <w:pPr>
        <w:spacing w:after="0" w:line="240" w:lineRule="auto"/>
      </w:pPr>
      <w:r>
        <w:separator/>
      </w:r>
    </w:p>
  </w:footnote>
  <w:footnote w:type="continuationSeparator" w:id="0">
    <w:p w14:paraId="67D8AFB6" w14:textId="77777777" w:rsidR="004301F5" w:rsidRDefault="004301F5" w:rsidP="00344F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CE9DB" w14:textId="77777777" w:rsidR="006262A2" w:rsidRDefault="006262A2">
    <w:pPr>
      <w:pStyle w:val="Encabezado"/>
    </w:pPr>
    <w:r>
      <w:rPr>
        <w:noProof/>
        <w:lang w:eastAsia="es-ES"/>
      </w:rPr>
      <w:drawing>
        <wp:anchor distT="0" distB="0" distL="0" distR="0" simplePos="0" relativeHeight="251670528" behindDoc="0" locked="0" layoutInCell="1" allowOverlap="0" wp14:anchorId="7EC0AD6F" wp14:editId="40CA771B">
          <wp:simplePos x="0" y="0"/>
          <wp:positionH relativeFrom="column">
            <wp:posOffset>5338445</wp:posOffset>
          </wp:positionH>
          <wp:positionV relativeFrom="line">
            <wp:posOffset>16510</wp:posOffset>
          </wp:positionV>
          <wp:extent cx="666750" cy="590550"/>
          <wp:effectExtent l="0" t="0" r="0" b="0"/>
          <wp:wrapThrough wrapText="bothSides">
            <wp:wrapPolygon edited="0">
              <wp:start x="9257" y="0"/>
              <wp:lineTo x="5554" y="2090"/>
              <wp:lineTo x="1851" y="7665"/>
              <wp:lineTo x="1851" y="19510"/>
              <wp:lineTo x="19749" y="19510"/>
              <wp:lineTo x="20366" y="8361"/>
              <wp:lineTo x="16046" y="2090"/>
              <wp:lineTo x="12343" y="0"/>
              <wp:lineTo x="9257" y="0"/>
            </wp:wrapPolygon>
          </wp:wrapThrough>
          <wp:docPr id="3" name="Imagen 1" descr="escweb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web00"/>
                  <pic:cNvPicPr>
                    <a:picLocks noChangeAspect="1" noChangeArrowheads="1"/>
                  </pic:cNvPicPr>
                </pic:nvPicPr>
                <pic:blipFill>
                  <a:blip r:embed="rId1" cstate="print"/>
                  <a:srcRect/>
                  <a:stretch>
                    <a:fillRect/>
                  </a:stretch>
                </pic:blipFill>
                <pic:spPr bwMode="auto">
                  <a:xfrm>
                    <a:off x="0" y="0"/>
                    <a:ext cx="666750" cy="590550"/>
                  </a:xfrm>
                  <a:prstGeom prst="rect">
                    <a:avLst/>
                  </a:prstGeom>
                  <a:noFill/>
                  <a:ln w="9525">
                    <a:noFill/>
                    <a:miter lim="800000"/>
                    <a:headEnd/>
                    <a:tailEnd/>
                  </a:ln>
                </pic:spPr>
              </pic:pic>
            </a:graphicData>
          </a:graphic>
        </wp:anchor>
      </w:drawing>
    </w:r>
  </w:p>
  <w:p w14:paraId="6FC41B6C" w14:textId="77777777" w:rsidR="006262A2" w:rsidRDefault="006262A2">
    <w:pPr>
      <w:pStyle w:val="Encabezado"/>
    </w:pPr>
  </w:p>
  <w:p w14:paraId="515CE629" w14:textId="77777777" w:rsidR="006262A2" w:rsidRDefault="006262A2" w:rsidP="00344FE7">
    <w:pPr>
      <w:pStyle w:val="Encabezado"/>
    </w:pPr>
  </w:p>
  <w:p w14:paraId="73F68A55" w14:textId="77777777" w:rsidR="006262A2" w:rsidRDefault="006262A2" w:rsidP="00344FE7">
    <w:pPr>
      <w:pStyle w:val="Encabezado"/>
    </w:pPr>
  </w:p>
  <w:p w14:paraId="5425DE1B" w14:textId="77777777" w:rsidR="006262A2" w:rsidRDefault="006262A2" w:rsidP="00344FE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E9274" w14:textId="084BD25C" w:rsidR="006262A2" w:rsidRDefault="00191140" w:rsidP="006F5890">
    <w:pPr>
      <w:jc w:val="right"/>
      <w:rPr>
        <w:noProof/>
        <w:lang w:eastAsia="es-ES"/>
      </w:rPr>
    </w:pPr>
    <w:r>
      <w:rPr>
        <w:noProof/>
      </w:rPr>
      <w:drawing>
        <wp:anchor distT="0" distB="0" distL="114300" distR="114300" simplePos="0" relativeHeight="251672576" behindDoc="0" locked="0" layoutInCell="1" allowOverlap="1" wp14:anchorId="282BA850" wp14:editId="1CC60FA5">
          <wp:simplePos x="0" y="0"/>
          <wp:positionH relativeFrom="margin">
            <wp:posOffset>4371235</wp:posOffset>
          </wp:positionH>
          <wp:positionV relativeFrom="margin">
            <wp:posOffset>-506843</wp:posOffset>
          </wp:positionV>
          <wp:extent cx="1798320" cy="419100"/>
          <wp:effectExtent l="0" t="0" r="0" b="0"/>
          <wp:wrapSquare wrapText="bothSides"/>
          <wp:docPr id="4" name="Imagen 1"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835127" name="Imagen 1" descr="Interfaz de usuario gráfica, Aplicación&#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320" cy="419100"/>
                  </a:xfrm>
                  <a:prstGeom prst="rect">
                    <a:avLst/>
                  </a:prstGeom>
                  <a:noFill/>
                  <a:ln>
                    <a:noFill/>
                  </a:ln>
                </pic:spPr>
              </pic:pic>
            </a:graphicData>
          </a:graphic>
        </wp:anchor>
      </w:drawing>
    </w:r>
    <w:r>
      <w:rPr>
        <w:noProof/>
        <w:lang w:eastAsia="es-ES"/>
      </w:rPr>
      <w:drawing>
        <wp:anchor distT="0" distB="0" distL="0" distR="0" simplePos="0" relativeHeight="251668480" behindDoc="0" locked="0" layoutInCell="1" allowOverlap="0" wp14:anchorId="32482359" wp14:editId="13671DED">
          <wp:simplePos x="0" y="0"/>
          <wp:positionH relativeFrom="column">
            <wp:posOffset>-119169</wp:posOffset>
          </wp:positionH>
          <wp:positionV relativeFrom="line">
            <wp:posOffset>-124051</wp:posOffset>
          </wp:positionV>
          <wp:extent cx="647700" cy="571500"/>
          <wp:effectExtent l="0" t="0" r="0" b="0"/>
          <wp:wrapThrough wrapText="bothSides">
            <wp:wrapPolygon edited="0">
              <wp:start x="8894" y="0"/>
              <wp:lineTo x="5082" y="2160"/>
              <wp:lineTo x="1271" y="7920"/>
              <wp:lineTo x="1906" y="20880"/>
              <wp:lineTo x="19059" y="20880"/>
              <wp:lineTo x="20329" y="8640"/>
              <wp:lineTo x="15882" y="2160"/>
              <wp:lineTo x="12071" y="0"/>
              <wp:lineTo x="8894" y="0"/>
            </wp:wrapPolygon>
          </wp:wrapThrough>
          <wp:docPr id="2" name="Imagen 1" descr="escweb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web00"/>
                  <pic:cNvPicPr>
                    <a:picLocks noChangeAspect="1" noChangeArrowheads="1"/>
                  </pic:cNvPicPr>
                </pic:nvPicPr>
                <pic:blipFill>
                  <a:blip r:embed="rId2" cstate="print"/>
                  <a:srcRect/>
                  <a:stretch>
                    <a:fillRect/>
                  </a:stretch>
                </pic:blipFill>
                <pic:spPr bwMode="auto">
                  <a:xfrm>
                    <a:off x="0" y="0"/>
                    <a:ext cx="647700" cy="5715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65" type="#_x0000_t75" style="width:11.5pt;height:11.5pt" o:bullet="t">
        <v:imagedata r:id="rId1" o:title="BD14529_"/>
      </v:shape>
    </w:pict>
  </w:numPicBullet>
  <w:numPicBullet w:numPicBulletId="1">
    <w:pict>
      <v:shape id="_x0000_i1366" type="#_x0000_t75" style="width:11.5pt;height:11.5pt" o:bullet="t">
        <v:imagedata r:id="rId2" o:title="BD14654_"/>
      </v:shape>
    </w:pict>
  </w:numPicBullet>
  <w:numPicBullet w:numPicBulletId="2">
    <w:pict>
      <v:shape id="_x0000_i1367" type="#_x0000_t75" style="width:8pt;height:8pt" o:bullet="t">
        <v:imagedata r:id="rId3" o:title="BD14533_"/>
      </v:shape>
    </w:pict>
  </w:numPicBullet>
  <w:abstractNum w:abstractNumId="0" w15:restartNumberingAfterBreak="0">
    <w:nsid w:val="036C688B"/>
    <w:multiLevelType w:val="hybridMultilevel"/>
    <w:tmpl w:val="E8D4A118"/>
    <w:lvl w:ilvl="0" w:tplc="B7C2270E">
      <w:start w:val="1"/>
      <w:numFmt w:val="bullet"/>
      <w:lvlText w:val=""/>
      <w:lvlPicBulletId w:val="2"/>
      <w:lvlJc w:val="left"/>
      <w:pPr>
        <w:ind w:left="1429" w:hanging="360"/>
      </w:pPr>
      <w:rPr>
        <w:rFonts w:ascii="Symbol" w:hAnsi="Symbol" w:hint="default"/>
        <w:color w:val="auto"/>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 w15:restartNumberingAfterBreak="0">
    <w:nsid w:val="052E71E7"/>
    <w:multiLevelType w:val="hybridMultilevel"/>
    <w:tmpl w:val="FDCADDE0"/>
    <w:lvl w:ilvl="0" w:tplc="AA644D84">
      <w:start w:val="1"/>
      <w:numFmt w:val="bullet"/>
      <w:lvlText w:val=""/>
      <w:lvlPicBulletId w:val="0"/>
      <w:lvlJc w:val="left"/>
      <w:pPr>
        <w:ind w:left="1440" w:hanging="360"/>
      </w:pPr>
      <w:rPr>
        <w:rFonts w:ascii="Symbol" w:hAnsi="Symbol" w:hint="default"/>
        <w:color w:val="auto"/>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15:restartNumberingAfterBreak="0">
    <w:nsid w:val="06EC3ECE"/>
    <w:multiLevelType w:val="hybridMultilevel"/>
    <w:tmpl w:val="46187BF8"/>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 w15:restartNumberingAfterBreak="0">
    <w:nsid w:val="08025478"/>
    <w:multiLevelType w:val="hybridMultilevel"/>
    <w:tmpl w:val="0B4E1BE4"/>
    <w:lvl w:ilvl="0" w:tplc="C572239A">
      <w:start w:val="1"/>
      <w:numFmt w:val="decimal"/>
      <w:lvlText w:val="%1."/>
      <w:lvlJc w:val="left"/>
      <w:pPr>
        <w:ind w:left="720" w:hanging="360"/>
      </w:pPr>
      <w:rPr>
        <w:rFonts w:eastAsiaTheme="minorHAns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C392AE9"/>
    <w:multiLevelType w:val="hybridMultilevel"/>
    <w:tmpl w:val="EFA2A35A"/>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5" w15:restartNumberingAfterBreak="0">
    <w:nsid w:val="1124360C"/>
    <w:multiLevelType w:val="hybridMultilevel"/>
    <w:tmpl w:val="EDEC1E6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A957CF8"/>
    <w:multiLevelType w:val="hybridMultilevel"/>
    <w:tmpl w:val="0756D310"/>
    <w:lvl w:ilvl="0" w:tplc="0C0A000F">
      <w:start w:val="1"/>
      <w:numFmt w:val="decimal"/>
      <w:lvlText w:val="%1."/>
      <w:lvlJc w:val="left"/>
      <w:pPr>
        <w:ind w:left="780" w:hanging="360"/>
      </w:p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abstractNum w:abstractNumId="7" w15:restartNumberingAfterBreak="0">
    <w:nsid w:val="1DC70A71"/>
    <w:multiLevelType w:val="hybridMultilevel"/>
    <w:tmpl w:val="09DA4C9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A9F4ACC"/>
    <w:multiLevelType w:val="hybridMultilevel"/>
    <w:tmpl w:val="ACA4A2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E523F4C"/>
    <w:multiLevelType w:val="hybridMultilevel"/>
    <w:tmpl w:val="6C881162"/>
    <w:lvl w:ilvl="0" w:tplc="CEC84E8A">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0F55771"/>
    <w:multiLevelType w:val="hybridMultilevel"/>
    <w:tmpl w:val="3AA081E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25D577D"/>
    <w:multiLevelType w:val="hybridMultilevel"/>
    <w:tmpl w:val="242E57DA"/>
    <w:lvl w:ilvl="0" w:tplc="FA7C346E">
      <w:start w:val="1"/>
      <w:numFmt w:val="bullet"/>
      <w:lvlText w:val=""/>
      <w:lvlPicBulletId w:val="1"/>
      <w:lvlJc w:val="left"/>
      <w:pPr>
        <w:ind w:left="1485" w:hanging="360"/>
      </w:pPr>
      <w:rPr>
        <w:rFonts w:ascii="Symbol" w:hAnsi="Symbol" w:hint="default"/>
        <w:color w:val="auto"/>
      </w:rPr>
    </w:lvl>
    <w:lvl w:ilvl="1" w:tplc="0C0A0003" w:tentative="1">
      <w:start w:val="1"/>
      <w:numFmt w:val="bullet"/>
      <w:lvlText w:val="o"/>
      <w:lvlJc w:val="left"/>
      <w:pPr>
        <w:ind w:left="2205" w:hanging="360"/>
      </w:pPr>
      <w:rPr>
        <w:rFonts w:ascii="Courier New" w:hAnsi="Courier New" w:cs="Courier New" w:hint="default"/>
      </w:rPr>
    </w:lvl>
    <w:lvl w:ilvl="2" w:tplc="0C0A0005" w:tentative="1">
      <w:start w:val="1"/>
      <w:numFmt w:val="bullet"/>
      <w:lvlText w:val=""/>
      <w:lvlJc w:val="left"/>
      <w:pPr>
        <w:ind w:left="2925" w:hanging="360"/>
      </w:pPr>
      <w:rPr>
        <w:rFonts w:ascii="Wingdings" w:hAnsi="Wingdings" w:hint="default"/>
      </w:rPr>
    </w:lvl>
    <w:lvl w:ilvl="3" w:tplc="0C0A0001" w:tentative="1">
      <w:start w:val="1"/>
      <w:numFmt w:val="bullet"/>
      <w:lvlText w:val=""/>
      <w:lvlJc w:val="left"/>
      <w:pPr>
        <w:ind w:left="3645" w:hanging="360"/>
      </w:pPr>
      <w:rPr>
        <w:rFonts w:ascii="Symbol" w:hAnsi="Symbol" w:hint="default"/>
      </w:rPr>
    </w:lvl>
    <w:lvl w:ilvl="4" w:tplc="0C0A0003" w:tentative="1">
      <w:start w:val="1"/>
      <w:numFmt w:val="bullet"/>
      <w:lvlText w:val="o"/>
      <w:lvlJc w:val="left"/>
      <w:pPr>
        <w:ind w:left="4365" w:hanging="360"/>
      </w:pPr>
      <w:rPr>
        <w:rFonts w:ascii="Courier New" w:hAnsi="Courier New" w:cs="Courier New" w:hint="default"/>
      </w:rPr>
    </w:lvl>
    <w:lvl w:ilvl="5" w:tplc="0C0A0005" w:tentative="1">
      <w:start w:val="1"/>
      <w:numFmt w:val="bullet"/>
      <w:lvlText w:val=""/>
      <w:lvlJc w:val="left"/>
      <w:pPr>
        <w:ind w:left="5085" w:hanging="360"/>
      </w:pPr>
      <w:rPr>
        <w:rFonts w:ascii="Wingdings" w:hAnsi="Wingdings" w:hint="default"/>
      </w:rPr>
    </w:lvl>
    <w:lvl w:ilvl="6" w:tplc="0C0A0001" w:tentative="1">
      <w:start w:val="1"/>
      <w:numFmt w:val="bullet"/>
      <w:lvlText w:val=""/>
      <w:lvlJc w:val="left"/>
      <w:pPr>
        <w:ind w:left="5805" w:hanging="360"/>
      </w:pPr>
      <w:rPr>
        <w:rFonts w:ascii="Symbol" w:hAnsi="Symbol" w:hint="default"/>
      </w:rPr>
    </w:lvl>
    <w:lvl w:ilvl="7" w:tplc="0C0A0003" w:tentative="1">
      <w:start w:val="1"/>
      <w:numFmt w:val="bullet"/>
      <w:lvlText w:val="o"/>
      <w:lvlJc w:val="left"/>
      <w:pPr>
        <w:ind w:left="6525" w:hanging="360"/>
      </w:pPr>
      <w:rPr>
        <w:rFonts w:ascii="Courier New" w:hAnsi="Courier New" w:cs="Courier New" w:hint="default"/>
      </w:rPr>
    </w:lvl>
    <w:lvl w:ilvl="8" w:tplc="0C0A0005" w:tentative="1">
      <w:start w:val="1"/>
      <w:numFmt w:val="bullet"/>
      <w:lvlText w:val=""/>
      <w:lvlJc w:val="left"/>
      <w:pPr>
        <w:ind w:left="7245" w:hanging="360"/>
      </w:pPr>
      <w:rPr>
        <w:rFonts w:ascii="Wingdings" w:hAnsi="Wingdings" w:hint="default"/>
      </w:rPr>
    </w:lvl>
  </w:abstractNum>
  <w:abstractNum w:abstractNumId="12" w15:restartNumberingAfterBreak="0">
    <w:nsid w:val="33E35655"/>
    <w:multiLevelType w:val="hybridMultilevel"/>
    <w:tmpl w:val="535AFD34"/>
    <w:lvl w:ilvl="0" w:tplc="6652D48A">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8B95981"/>
    <w:multiLevelType w:val="hybridMultilevel"/>
    <w:tmpl w:val="780E1834"/>
    <w:lvl w:ilvl="0" w:tplc="81DA0EC2">
      <w:start w:val="1"/>
      <w:numFmt w:val="decimal"/>
      <w:lvlText w:val="%1."/>
      <w:lvlJc w:val="left"/>
      <w:pPr>
        <w:ind w:left="1080" w:hanging="360"/>
      </w:pPr>
      <w:rPr>
        <w:rFonts w:hint="default"/>
        <w:b w:val="0"/>
        <w:i w:val="0"/>
      </w:rPr>
    </w:lvl>
    <w:lvl w:ilvl="1" w:tplc="0C0A0019">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4" w15:restartNumberingAfterBreak="0">
    <w:nsid w:val="3DFD42D0"/>
    <w:multiLevelType w:val="hybridMultilevel"/>
    <w:tmpl w:val="2270812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F067871"/>
    <w:multiLevelType w:val="hybridMultilevel"/>
    <w:tmpl w:val="42BA3632"/>
    <w:lvl w:ilvl="0" w:tplc="B7C2270E">
      <w:start w:val="1"/>
      <w:numFmt w:val="bullet"/>
      <w:lvlText w:val=""/>
      <w:lvlPicBulletId w:val="2"/>
      <w:lvlJc w:val="left"/>
      <w:pPr>
        <w:ind w:left="1485" w:hanging="360"/>
      </w:pPr>
      <w:rPr>
        <w:rFonts w:ascii="Symbol" w:hAnsi="Symbol" w:hint="default"/>
        <w:color w:val="auto"/>
      </w:rPr>
    </w:lvl>
    <w:lvl w:ilvl="1" w:tplc="0C0A0003" w:tentative="1">
      <w:start w:val="1"/>
      <w:numFmt w:val="bullet"/>
      <w:lvlText w:val="o"/>
      <w:lvlJc w:val="left"/>
      <w:pPr>
        <w:ind w:left="2205" w:hanging="360"/>
      </w:pPr>
      <w:rPr>
        <w:rFonts w:ascii="Courier New" w:hAnsi="Courier New" w:cs="Courier New" w:hint="default"/>
      </w:rPr>
    </w:lvl>
    <w:lvl w:ilvl="2" w:tplc="0C0A0005" w:tentative="1">
      <w:start w:val="1"/>
      <w:numFmt w:val="bullet"/>
      <w:lvlText w:val=""/>
      <w:lvlJc w:val="left"/>
      <w:pPr>
        <w:ind w:left="2925" w:hanging="360"/>
      </w:pPr>
      <w:rPr>
        <w:rFonts w:ascii="Wingdings" w:hAnsi="Wingdings" w:hint="default"/>
      </w:rPr>
    </w:lvl>
    <w:lvl w:ilvl="3" w:tplc="0C0A0001" w:tentative="1">
      <w:start w:val="1"/>
      <w:numFmt w:val="bullet"/>
      <w:lvlText w:val=""/>
      <w:lvlJc w:val="left"/>
      <w:pPr>
        <w:ind w:left="3645" w:hanging="360"/>
      </w:pPr>
      <w:rPr>
        <w:rFonts w:ascii="Symbol" w:hAnsi="Symbol" w:hint="default"/>
      </w:rPr>
    </w:lvl>
    <w:lvl w:ilvl="4" w:tplc="0C0A0003" w:tentative="1">
      <w:start w:val="1"/>
      <w:numFmt w:val="bullet"/>
      <w:lvlText w:val="o"/>
      <w:lvlJc w:val="left"/>
      <w:pPr>
        <w:ind w:left="4365" w:hanging="360"/>
      </w:pPr>
      <w:rPr>
        <w:rFonts w:ascii="Courier New" w:hAnsi="Courier New" w:cs="Courier New" w:hint="default"/>
      </w:rPr>
    </w:lvl>
    <w:lvl w:ilvl="5" w:tplc="0C0A0005" w:tentative="1">
      <w:start w:val="1"/>
      <w:numFmt w:val="bullet"/>
      <w:lvlText w:val=""/>
      <w:lvlJc w:val="left"/>
      <w:pPr>
        <w:ind w:left="5085" w:hanging="360"/>
      </w:pPr>
      <w:rPr>
        <w:rFonts w:ascii="Wingdings" w:hAnsi="Wingdings" w:hint="default"/>
      </w:rPr>
    </w:lvl>
    <w:lvl w:ilvl="6" w:tplc="0C0A0001" w:tentative="1">
      <w:start w:val="1"/>
      <w:numFmt w:val="bullet"/>
      <w:lvlText w:val=""/>
      <w:lvlJc w:val="left"/>
      <w:pPr>
        <w:ind w:left="5805" w:hanging="360"/>
      </w:pPr>
      <w:rPr>
        <w:rFonts w:ascii="Symbol" w:hAnsi="Symbol" w:hint="default"/>
      </w:rPr>
    </w:lvl>
    <w:lvl w:ilvl="7" w:tplc="0C0A0003" w:tentative="1">
      <w:start w:val="1"/>
      <w:numFmt w:val="bullet"/>
      <w:lvlText w:val="o"/>
      <w:lvlJc w:val="left"/>
      <w:pPr>
        <w:ind w:left="6525" w:hanging="360"/>
      </w:pPr>
      <w:rPr>
        <w:rFonts w:ascii="Courier New" w:hAnsi="Courier New" w:cs="Courier New" w:hint="default"/>
      </w:rPr>
    </w:lvl>
    <w:lvl w:ilvl="8" w:tplc="0C0A0005" w:tentative="1">
      <w:start w:val="1"/>
      <w:numFmt w:val="bullet"/>
      <w:lvlText w:val=""/>
      <w:lvlJc w:val="left"/>
      <w:pPr>
        <w:ind w:left="7245" w:hanging="360"/>
      </w:pPr>
      <w:rPr>
        <w:rFonts w:ascii="Wingdings" w:hAnsi="Wingdings" w:hint="default"/>
      </w:rPr>
    </w:lvl>
  </w:abstractNum>
  <w:abstractNum w:abstractNumId="16" w15:restartNumberingAfterBreak="0">
    <w:nsid w:val="499C18D2"/>
    <w:multiLevelType w:val="hybridMultilevel"/>
    <w:tmpl w:val="3DA2F26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C7C7B71"/>
    <w:multiLevelType w:val="hybridMultilevel"/>
    <w:tmpl w:val="DB7E0618"/>
    <w:lvl w:ilvl="0" w:tplc="E29C0F06">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C895C77"/>
    <w:multiLevelType w:val="hybridMultilevel"/>
    <w:tmpl w:val="26D4F032"/>
    <w:lvl w:ilvl="0" w:tplc="EA9AB97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8DD5AB9"/>
    <w:multiLevelType w:val="hybridMultilevel"/>
    <w:tmpl w:val="862E121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0" w15:restartNumberingAfterBreak="0">
    <w:nsid w:val="5CF331C2"/>
    <w:multiLevelType w:val="hybridMultilevel"/>
    <w:tmpl w:val="4C2CA0A6"/>
    <w:lvl w:ilvl="0" w:tplc="EEE466C2">
      <w:start w:val="5"/>
      <w:numFmt w:val="decimal"/>
      <w:lvlText w:val="%1."/>
      <w:lvlJc w:val="left"/>
      <w:pPr>
        <w:ind w:left="720" w:hanging="360"/>
      </w:pPr>
      <w:rPr>
        <w:rFonts w:eastAsiaTheme="minorHAns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6F16C9B"/>
    <w:multiLevelType w:val="hybridMultilevel"/>
    <w:tmpl w:val="88825210"/>
    <w:lvl w:ilvl="0" w:tplc="0C0A0001">
      <w:start w:val="1"/>
      <w:numFmt w:val="bullet"/>
      <w:lvlText w:val=""/>
      <w:lvlJc w:val="left"/>
      <w:pPr>
        <w:ind w:left="1434" w:hanging="360"/>
      </w:pPr>
      <w:rPr>
        <w:rFonts w:ascii="Symbol" w:hAnsi="Symbol" w:hint="default"/>
      </w:rPr>
    </w:lvl>
    <w:lvl w:ilvl="1" w:tplc="0C0A0003" w:tentative="1">
      <w:start w:val="1"/>
      <w:numFmt w:val="bullet"/>
      <w:lvlText w:val="o"/>
      <w:lvlJc w:val="left"/>
      <w:pPr>
        <w:ind w:left="2154" w:hanging="360"/>
      </w:pPr>
      <w:rPr>
        <w:rFonts w:ascii="Courier New" w:hAnsi="Courier New" w:cs="Courier New" w:hint="default"/>
      </w:rPr>
    </w:lvl>
    <w:lvl w:ilvl="2" w:tplc="0C0A0005" w:tentative="1">
      <w:start w:val="1"/>
      <w:numFmt w:val="bullet"/>
      <w:lvlText w:val=""/>
      <w:lvlJc w:val="left"/>
      <w:pPr>
        <w:ind w:left="2874" w:hanging="360"/>
      </w:pPr>
      <w:rPr>
        <w:rFonts w:ascii="Wingdings" w:hAnsi="Wingdings" w:hint="default"/>
      </w:rPr>
    </w:lvl>
    <w:lvl w:ilvl="3" w:tplc="0C0A0001" w:tentative="1">
      <w:start w:val="1"/>
      <w:numFmt w:val="bullet"/>
      <w:lvlText w:val=""/>
      <w:lvlJc w:val="left"/>
      <w:pPr>
        <w:ind w:left="3594" w:hanging="360"/>
      </w:pPr>
      <w:rPr>
        <w:rFonts w:ascii="Symbol" w:hAnsi="Symbol" w:hint="default"/>
      </w:rPr>
    </w:lvl>
    <w:lvl w:ilvl="4" w:tplc="0C0A0003" w:tentative="1">
      <w:start w:val="1"/>
      <w:numFmt w:val="bullet"/>
      <w:lvlText w:val="o"/>
      <w:lvlJc w:val="left"/>
      <w:pPr>
        <w:ind w:left="4314" w:hanging="360"/>
      </w:pPr>
      <w:rPr>
        <w:rFonts w:ascii="Courier New" w:hAnsi="Courier New" w:cs="Courier New" w:hint="default"/>
      </w:rPr>
    </w:lvl>
    <w:lvl w:ilvl="5" w:tplc="0C0A0005" w:tentative="1">
      <w:start w:val="1"/>
      <w:numFmt w:val="bullet"/>
      <w:lvlText w:val=""/>
      <w:lvlJc w:val="left"/>
      <w:pPr>
        <w:ind w:left="5034" w:hanging="360"/>
      </w:pPr>
      <w:rPr>
        <w:rFonts w:ascii="Wingdings" w:hAnsi="Wingdings" w:hint="default"/>
      </w:rPr>
    </w:lvl>
    <w:lvl w:ilvl="6" w:tplc="0C0A0001" w:tentative="1">
      <w:start w:val="1"/>
      <w:numFmt w:val="bullet"/>
      <w:lvlText w:val=""/>
      <w:lvlJc w:val="left"/>
      <w:pPr>
        <w:ind w:left="5754" w:hanging="360"/>
      </w:pPr>
      <w:rPr>
        <w:rFonts w:ascii="Symbol" w:hAnsi="Symbol" w:hint="default"/>
      </w:rPr>
    </w:lvl>
    <w:lvl w:ilvl="7" w:tplc="0C0A0003" w:tentative="1">
      <w:start w:val="1"/>
      <w:numFmt w:val="bullet"/>
      <w:lvlText w:val="o"/>
      <w:lvlJc w:val="left"/>
      <w:pPr>
        <w:ind w:left="6474" w:hanging="360"/>
      </w:pPr>
      <w:rPr>
        <w:rFonts w:ascii="Courier New" w:hAnsi="Courier New" w:cs="Courier New" w:hint="default"/>
      </w:rPr>
    </w:lvl>
    <w:lvl w:ilvl="8" w:tplc="0C0A0005" w:tentative="1">
      <w:start w:val="1"/>
      <w:numFmt w:val="bullet"/>
      <w:lvlText w:val=""/>
      <w:lvlJc w:val="left"/>
      <w:pPr>
        <w:ind w:left="7194" w:hanging="360"/>
      </w:pPr>
      <w:rPr>
        <w:rFonts w:ascii="Wingdings" w:hAnsi="Wingdings" w:hint="default"/>
      </w:rPr>
    </w:lvl>
  </w:abstractNum>
  <w:abstractNum w:abstractNumId="22" w15:restartNumberingAfterBreak="0">
    <w:nsid w:val="684F6B2D"/>
    <w:multiLevelType w:val="hybridMultilevel"/>
    <w:tmpl w:val="F8BAAD1C"/>
    <w:lvl w:ilvl="0" w:tplc="0C0A0001">
      <w:start w:val="1"/>
      <w:numFmt w:val="bullet"/>
      <w:lvlText w:val=""/>
      <w:lvlJc w:val="left"/>
      <w:pPr>
        <w:ind w:left="773" w:hanging="360"/>
      </w:pPr>
      <w:rPr>
        <w:rFonts w:ascii="Symbol" w:hAnsi="Symbol" w:hint="default"/>
      </w:rPr>
    </w:lvl>
    <w:lvl w:ilvl="1" w:tplc="0C0A0003">
      <w:start w:val="1"/>
      <w:numFmt w:val="bullet"/>
      <w:lvlText w:val="o"/>
      <w:lvlJc w:val="left"/>
      <w:pPr>
        <w:ind w:left="1493" w:hanging="360"/>
      </w:pPr>
      <w:rPr>
        <w:rFonts w:ascii="Courier New" w:hAnsi="Courier New" w:cs="Courier New" w:hint="default"/>
      </w:rPr>
    </w:lvl>
    <w:lvl w:ilvl="2" w:tplc="0C0A0005">
      <w:start w:val="1"/>
      <w:numFmt w:val="bullet"/>
      <w:lvlText w:val=""/>
      <w:lvlJc w:val="left"/>
      <w:pPr>
        <w:ind w:left="2213" w:hanging="360"/>
      </w:pPr>
      <w:rPr>
        <w:rFonts w:ascii="Wingdings" w:hAnsi="Wingdings" w:hint="default"/>
      </w:rPr>
    </w:lvl>
    <w:lvl w:ilvl="3" w:tplc="0C0A0001">
      <w:start w:val="1"/>
      <w:numFmt w:val="bullet"/>
      <w:lvlText w:val=""/>
      <w:lvlJc w:val="left"/>
      <w:pPr>
        <w:ind w:left="2933" w:hanging="360"/>
      </w:pPr>
      <w:rPr>
        <w:rFonts w:ascii="Symbol" w:hAnsi="Symbol" w:hint="default"/>
      </w:rPr>
    </w:lvl>
    <w:lvl w:ilvl="4" w:tplc="0C0A0003">
      <w:start w:val="1"/>
      <w:numFmt w:val="bullet"/>
      <w:lvlText w:val="o"/>
      <w:lvlJc w:val="left"/>
      <w:pPr>
        <w:ind w:left="3653" w:hanging="360"/>
      </w:pPr>
      <w:rPr>
        <w:rFonts w:ascii="Courier New" w:hAnsi="Courier New" w:cs="Courier New" w:hint="default"/>
      </w:rPr>
    </w:lvl>
    <w:lvl w:ilvl="5" w:tplc="0C0A0005">
      <w:start w:val="1"/>
      <w:numFmt w:val="bullet"/>
      <w:lvlText w:val=""/>
      <w:lvlJc w:val="left"/>
      <w:pPr>
        <w:ind w:left="4373" w:hanging="360"/>
      </w:pPr>
      <w:rPr>
        <w:rFonts w:ascii="Wingdings" w:hAnsi="Wingdings" w:hint="default"/>
      </w:rPr>
    </w:lvl>
    <w:lvl w:ilvl="6" w:tplc="0C0A0001">
      <w:start w:val="1"/>
      <w:numFmt w:val="bullet"/>
      <w:lvlText w:val=""/>
      <w:lvlJc w:val="left"/>
      <w:pPr>
        <w:ind w:left="5093" w:hanging="360"/>
      </w:pPr>
      <w:rPr>
        <w:rFonts w:ascii="Symbol" w:hAnsi="Symbol" w:hint="default"/>
      </w:rPr>
    </w:lvl>
    <w:lvl w:ilvl="7" w:tplc="0C0A0003">
      <w:start w:val="1"/>
      <w:numFmt w:val="bullet"/>
      <w:lvlText w:val="o"/>
      <w:lvlJc w:val="left"/>
      <w:pPr>
        <w:ind w:left="5813" w:hanging="360"/>
      </w:pPr>
      <w:rPr>
        <w:rFonts w:ascii="Courier New" w:hAnsi="Courier New" w:cs="Courier New" w:hint="default"/>
      </w:rPr>
    </w:lvl>
    <w:lvl w:ilvl="8" w:tplc="0C0A0005">
      <w:start w:val="1"/>
      <w:numFmt w:val="bullet"/>
      <w:lvlText w:val=""/>
      <w:lvlJc w:val="left"/>
      <w:pPr>
        <w:ind w:left="6533" w:hanging="360"/>
      </w:pPr>
      <w:rPr>
        <w:rFonts w:ascii="Wingdings" w:hAnsi="Wingdings" w:hint="default"/>
      </w:rPr>
    </w:lvl>
  </w:abstractNum>
  <w:abstractNum w:abstractNumId="23" w15:restartNumberingAfterBreak="0">
    <w:nsid w:val="69233879"/>
    <w:multiLevelType w:val="hybridMultilevel"/>
    <w:tmpl w:val="73DC6418"/>
    <w:lvl w:ilvl="0" w:tplc="0C0A0019">
      <w:start w:val="1"/>
      <w:numFmt w:val="lowerLetter"/>
      <w:lvlText w:val="%1."/>
      <w:lvlJc w:val="left"/>
      <w:pPr>
        <w:ind w:left="144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6C570C1E"/>
    <w:multiLevelType w:val="hybridMultilevel"/>
    <w:tmpl w:val="F5D8DFA2"/>
    <w:lvl w:ilvl="0" w:tplc="E8D4BD46">
      <w:numFmt w:val="bullet"/>
      <w:lvlText w:val="-"/>
      <w:lvlJc w:val="left"/>
      <w:pPr>
        <w:ind w:left="720" w:hanging="360"/>
      </w:pPr>
      <w:rPr>
        <w:rFonts w:ascii="Aptos" w:hAnsi="Aptos" w:cstheme="minorBidi"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EDB221B"/>
    <w:multiLevelType w:val="hybridMultilevel"/>
    <w:tmpl w:val="45EA70D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7DFC7782"/>
    <w:multiLevelType w:val="hybridMultilevel"/>
    <w:tmpl w:val="0FC69EB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3"/>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22"/>
  </w:num>
  <w:num w:numId="5">
    <w:abstractNumId w:val="7"/>
  </w:num>
  <w:num w:numId="6">
    <w:abstractNumId w:val="4"/>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3"/>
  </w:num>
  <w:num w:numId="10">
    <w:abstractNumId w:val="1"/>
  </w:num>
  <w:num w:numId="11">
    <w:abstractNumId w:val="12"/>
  </w:num>
  <w:num w:numId="12">
    <w:abstractNumId w:val="16"/>
  </w:num>
  <w:num w:numId="13">
    <w:abstractNumId w:val="17"/>
  </w:num>
  <w:num w:numId="14">
    <w:abstractNumId w:val="20"/>
  </w:num>
  <w:num w:numId="15">
    <w:abstractNumId w:val="9"/>
  </w:num>
  <w:num w:numId="16">
    <w:abstractNumId w:val="11"/>
  </w:num>
  <w:num w:numId="17">
    <w:abstractNumId w:val="0"/>
  </w:num>
  <w:num w:numId="18">
    <w:abstractNumId w:val="15"/>
  </w:num>
  <w:num w:numId="19">
    <w:abstractNumId w:val="2"/>
  </w:num>
  <w:num w:numId="20">
    <w:abstractNumId w:val="18"/>
  </w:num>
  <w:num w:numId="21">
    <w:abstractNumId w:val="6"/>
  </w:num>
  <w:num w:numId="22">
    <w:abstractNumId w:val="10"/>
  </w:num>
  <w:num w:numId="23">
    <w:abstractNumId w:val="26"/>
  </w:num>
  <w:num w:numId="24">
    <w:abstractNumId w:val="23"/>
  </w:num>
  <w:num w:numId="25">
    <w:abstractNumId w:val="14"/>
  </w:num>
  <w:num w:numId="26">
    <w:abstractNumId w:val="25"/>
  </w:num>
  <w:num w:numId="27">
    <w:abstractNumId w:val="24"/>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FE7"/>
    <w:rsid w:val="00003EA5"/>
    <w:rsid w:val="000041AE"/>
    <w:rsid w:val="00006776"/>
    <w:rsid w:val="00011F8A"/>
    <w:rsid w:val="00015E91"/>
    <w:rsid w:val="00016B63"/>
    <w:rsid w:val="000234B9"/>
    <w:rsid w:val="000317B5"/>
    <w:rsid w:val="00031D70"/>
    <w:rsid w:val="00033E75"/>
    <w:rsid w:val="00034F48"/>
    <w:rsid w:val="00036A5D"/>
    <w:rsid w:val="000371F8"/>
    <w:rsid w:val="00040E81"/>
    <w:rsid w:val="00043EA8"/>
    <w:rsid w:val="0005249D"/>
    <w:rsid w:val="000561DC"/>
    <w:rsid w:val="00060034"/>
    <w:rsid w:val="00060272"/>
    <w:rsid w:val="00064E5B"/>
    <w:rsid w:val="00067539"/>
    <w:rsid w:val="00070294"/>
    <w:rsid w:val="00074030"/>
    <w:rsid w:val="00076DBA"/>
    <w:rsid w:val="0008581C"/>
    <w:rsid w:val="00090FD2"/>
    <w:rsid w:val="00094C4C"/>
    <w:rsid w:val="000A030D"/>
    <w:rsid w:val="000A3A9B"/>
    <w:rsid w:val="000A4252"/>
    <w:rsid w:val="000B1720"/>
    <w:rsid w:val="000B27F1"/>
    <w:rsid w:val="000C0AED"/>
    <w:rsid w:val="000C3365"/>
    <w:rsid w:val="000D1A47"/>
    <w:rsid w:val="000D2368"/>
    <w:rsid w:val="000D4422"/>
    <w:rsid w:val="000D56A5"/>
    <w:rsid w:val="000E01DE"/>
    <w:rsid w:val="000E6CE0"/>
    <w:rsid w:val="000F5905"/>
    <w:rsid w:val="00116028"/>
    <w:rsid w:val="00121140"/>
    <w:rsid w:val="001257F9"/>
    <w:rsid w:val="0013060A"/>
    <w:rsid w:val="00135257"/>
    <w:rsid w:val="001352EB"/>
    <w:rsid w:val="0013625B"/>
    <w:rsid w:val="0013739B"/>
    <w:rsid w:val="0014196C"/>
    <w:rsid w:val="00142A02"/>
    <w:rsid w:val="00150666"/>
    <w:rsid w:val="00151290"/>
    <w:rsid w:val="00151F3C"/>
    <w:rsid w:val="0016439B"/>
    <w:rsid w:val="001652F5"/>
    <w:rsid w:val="0017083D"/>
    <w:rsid w:val="001721EE"/>
    <w:rsid w:val="00173F0F"/>
    <w:rsid w:val="001750A8"/>
    <w:rsid w:val="0017575B"/>
    <w:rsid w:val="00175D6C"/>
    <w:rsid w:val="0018324C"/>
    <w:rsid w:val="00186B56"/>
    <w:rsid w:val="00186D18"/>
    <w:rsid w:val="00191140"/>
    <w:rsid w:val="0019362B"/>
    <w:rsid w:val="00194E05"/>
    <w:rsid w:val="00195DB1"/>
    <w:rsid w:val="001A0980"/>
    <w:rsid w:val="001A4338"/>
    <w:rsid w:val="001B16D9"/>
    <w:rsid w:val="001B7352"/>
    <w:rsid w:val="001C05CD"/>
    <w:rsid w:val="001C3811"/>
    <w:rsid w:val="001C6661"/>
    <w:rsid w:val="001D025B"/>
    <w:rsid w:val="001E13AE"/>
    <w:rsid w:val="001E1D09"/>
    <w:rsid w:val="001E1D71"/>
    <w:rsid w:val="001E41BB"/>
    <w:rsid w:val="001E44BC"/>
    <w:rsid w:val="001F2140"/>
    <w:rsid w:val="001F7EE6"/>
    <w:rsid w:val="002062C9"/>
    <w:rsid w:val="002114E3"/>
    <w:rsid w:val="0022025D"/>
    <w:rsid w:val="002240AC"/>
    <w:rsid w:val="00226E5C"/>
    <w:rsid w:val="00227BA1"/>
    <w:rsid w:val="00233E09"/>
    <w:rsid w:val="00234609"/>
    <w:rsid w:val="00235A40"/>
    <w:rsid w:val="00237D01"/>
    <w:rsid w:val="00251194"/>
    <w:rsid w:val="00275F02"/>
    <w:rsid w:val="00283AC3"/>
    <w:rsid w:val="002924BB"/>
    <w:rsid w:val="00292806"/>
    <w:rsid w:val="00294C84"/>
    <w:rsid w:val="00295A57"/>
    <w:rsid w:val="002A4771"/>
    <w:rsid w:val="002A7933"/>
    <w:rsid w:val="002C000A"/>
    <w:rsid w:val="002C39DE"/>
    <w:rsid w:val="002C4540"/>
    <w:rsid w:val="002E192A"/>
    <w:rsid w:val="002E27A2"/>
    <w:rsid w:val="002E52E9"/>
    <w:rsid w:val="002E5DC8"/>
    <w:rsid w:val="002F4F22"/>
    <w:rsid w:val="002F5D0B"/>
    <w:rsid w:val="002F7653"/>
    <w:rsid w:val="003026EA"/>
    <w:rsid w:val="00305D31"/>
    <w:rsid w:val="00311655"/>
    <w:rsid w:val="00323DEE"/>
    <w:rsid w:val="0032589C"/>
    <w:rsid w:val="003259B9"/>
    <w:rsid w:val="003265CE"/>
    <w:rsid w:val="003342C1"/>
    <w:rsid w:val="00334745"/>
    <w:rsid w:val="00335761"/>
    <w:rsid w:val="00336837"/>
    <w:rsid w:val="00341C61"/>
    <w:rsid w:val="00344FE7"/>
    <w:rsid w:val="00345797"/>
    <w:rsid w:val="00345D30"/>
    <w:rsid w:val="00351475"/>
    <w:rsid w:val="00355DEA"/>
    <w:rsid w:val="003564E8"/>
    <w:rsid w:val="003656B1"/>
    <w:rsid w:val="00377232"/>
    <w:rsid w:val="0038074D"/>
    <w:rsid w:val="0038644A"/>
    <w:rsid w:val="00386840"/>
    <w:rsid w:val="00395742"/>
    <w:rsid w:val="003B5B12"/>
    <w:rsid w:val="003B5DE7"/>
    <w:rsid w:val="003C09C3"/>
    <w:rsid w:val="003C4ECC"/>
    <w:rsid w:val="003C753D"/>
    <w:rsid w:val="003D2C6C"/>
    <w:rsid w:val="003D3ADC"/>
    <w:rsid w:val="003D4794"/>
    <w:rsid w:val="003D52DF"/>
    <w:rsid w:val="003E19EE"/>
    <w:rsid w:val="003E39D0"/>
    <w:rsid w:val="003F0972"/>
    <w:rsid w:val="003F38BD"/>
    <w:rsid w:val="004108BB"/>
    <w:rsid w:val="00411495"/>
    <w:rsid w:val="00412278"/>
    <w:rsid w:val="004124E7"/>
    <w:rsid w:val="004301F5"/>
    <w:rsid w:val="00431BD5"/>
    <w:rsid w:val="0043303A"/>
    <w:rsid w:val="00435013"/>
    <w:rsid w:val="004508BD"/>
    <w:rsid w:val="0045134F"/>
    <w:rsid w:val="00460755"/>
    <w:rsid w:val="00461A13"/>
    <w:rsid w:val="00466973"/>
    <w:rsid w:val="00470F02"/>
    <w:rsid w:val="004762CA"/>
    <w:rsid w:val="00476C7E"/>
    <w:rsid w:val="00483735"/>
    <w:rsid w:val="00486ED2"/>
    <w:rsid w:val="004946E8"/>
    <w:rsid w:val="004B15B8"/>
    <w:rsid w:val="004B4E57"/>
    <w:rsid w:val="004B618C"/>
    <w:rsid w:val="004B6F00"/>
    <w:rsid w:val="004D07BB"/>
    <w:rsid w:val="004D29A6"/>
    <w:rsid w:val="004D4EF1"/>
    <w:rsid w:val="00501AF2"/>
    <w:rsid w:val="005022DD"/>
    <w:rsid w:val="0050398A"/>
    <w:rsid w:val="00525FCA"/>
    <w:rsid w:val="00530C1E"/>
    <w:rsid w:val="00531934"/>
    <w:rsid w:val="00531A19"/>
    <w:rsid w:val="0054250E"/>
    <w:rsid w:val="0055202A"/>
    <w:rsid w:val="00556A2E"/>
    <w:rsid w:val="00560137"/>
    <w:rsid w:val="00565608"/>
    <w:rsid w:val="00567D29"/>
    <w:rsid w:val="005707B8"/>
    <w:rsid w:val="005726F1"/>
    <w:rsid w:val="005815A1"/>
    <w:rsid w:val="0059138C"/>
    <w:rsid w:val="005A36A8"/>
    <w:rsid w:val="005A4950"/>
    <w:rsid w:val="005A571D"/>
    <w:rsid w:val="005B1C12"/>
    <w:rsid w:val="005B49AF"/>
    <w:rsid w:val="005B5D0F"/>
    <w:rsid w:val="005C0138"/>
    <w:rsid w:val="005C0DBC"/>
    <w:rsid w:val="005C13BA"/>
    <w:rsid w:val="005C1871"/>
    <w:rsid w:val="005C2C5C"/>
    <w:rsid w:val="005C6837"/>
    <w:rsid w:val="005D1F68"/>
    <w:rsid w:val="005D6D56"/>
    <w:rsid w:val="005E5C8C"/>
    <w:rsid w:val="005F0570"/>
    <w:rsid w:val="005F319D"/>
    <w:rsid w:val="005F4305"/>
    <w:rsid w:val="00600780"/>
    <w:rsid w:val="00614890"/>
    <w:rsid w:val="00620AB5"/>
    <w:rsid w:val="00624F18"/>
    <w:rsid w:val="006262A2"/>
    <w:rsid w:val="00636FF6"/>
    <w:rsid w:val="006615ED"/>
    <w:rsid w:val="0066237D"/>
    <w:rsid w:val="006667CB"/>
    <w:rsid w:val="00670FE9"/>
    <w:rsid w:val="00686A67"/>
    <w:rsid w:val="00697BE1"/>
    <w:rsid w:val="006B2789"/>
    <w:rsid w:val="006B4636"/>
    <w:rsid w:val="006B4F6C"/>
    <w:rsid w:val="006B6DD1"/>
    <w:rsid w:val="006C3585"/>
    <w:rsid w:val="006D5647"/>
    <w:rsid w:val="006D627A"/>
    <w:rsid w:val="006E0000"/>
    <w:rsid w:val="006E3CCB"/>
    <w:rsid w:val="006F17B5"/>
    <w:rsid w:val="006F5890"/>
    <w:rsid w:val="00700D70"/>
    <w:rsid w:val="007023ED"/>
    <w:rsid w:val="00707C15"/>
    <w:rsid w:val="0071472F"/>
    <w:rsid w:val="00717095"/>
    <w:rsid w:val="00722FA8"/>
    <w:rsid w:val="00727A3D"/>
    <w:rsid w:val="007342F2"/>
    <w:rsid w:val="0073431B"/>
    <w:rsid w:val="00741336"/>
    <w:rsid w:val="00745E83"/>
    <w:rsid w:val="00746999"/>
    <w:rsid w:val="007538BB"/>
    <w:rsid w:val="00757048"/>
    <w:rsid w:val="0076144A"/>
    <w:rsid w:val="0076190E"/>
    <w:rsid w:val="00763149"/>
    <w:rsid w:val="007674D6"/>
    <w:rsid w:val="007704A4"/>
    <w:rsid w:val="007706FE"/>
    <w:rsid w:val="00770D41"/>
    <w:rsid w:val="00772AA2"/>
    <w:rsid w:val="00772C2A"/>
    <w:rsid w:val="007759D6"/>
    <w:rsid w:val="00782FEF"/>
    <w:rsid w:val="00783617"/>
    <w:rsid w:val="00791DD4"/>
    <w:rsid w:val="0079314F"/>
    <w:rsid w:val="00793687"/>
    <w:rsid w:val="007A393F"/>
    <w:rsid w:val="007A662D"/>
    <w:rsid w:val="007B482F"/>
    <w:rsid w:val="007C00E5"/>
    <w:rsid w:val="007C0642"/>
    <w:rsid w:val="007D0928"/>
    <w:rsid w:val="007D24E2"/>
    <w:rsid w:val="007D5C55"/>
    <w:rsid w:val="007D768B"/>
    <w:rsid w:val="007F7653"/>
    <w:rsid w:val="008027DF"/>
    <w:rsid w:val="00811E9E"/>
    <w:rsid w:val="00811EF9"/>
    <w:rsid w:val="00813C07"/>
    <w:rsid w:val="00815DA2"/>
    <w:rsid w:val="0082512B"/>
    <w:rsid w:val="00847D10"/>
    <w:rsid w:val="00852EA4"/>
    <w:rsid w:val="00853100"/>
    <w:rsid w:val="00855564"/>
    <w:rsid w:val="00855ECA"/>
    <w:rsid w:val="00861B03"/>
    <w:rsid w:val="00876F9B"/>
    <w:rsid w:val="00884765"/>
    <w:rsid w:val="0088562A"/>
    <w:rsid w:val="00887DB9"/>
    <w:rsid w:val="00895B20"/>
    <w:rsid w:val="0089717A"/>
    <w:rsid w:val="008A7E35"/>
    <w:rsid w:val="008B28CA"/>
    <w:rsid w:val="008B36E5"/>
    <w:rsid w:val="008B5F75"/>
    <w:rsid w:val="008B68F4"/>
    <w:rsid w:val="008B79BD"/>
    <w:rsid w:val="008D2F94"/>
    <w:rsid w:val="008E1ECD"/>
    <w:rsid w:val="008E39FA"/>
    <w:rsid w:val="008E67F2"/>
    <w:rsid w:val="008E7C95"/>
    <w:rsid w:val="008F3EFB"/>
    <w:rsid w:val="00900095"/>
    <w:rsid w:val="00900693"/>
    <w:rsid w:val="00901F1F"/>
    <w:rsid w:val="009029E0"/>
    <w:rsid w:val="00930BDC"/>
    <w:rsid w:val="0093537F"/>
    <w:rsid w:val="00940819"/>
    <w:rsid w:val="0094769E"/>
    <w:rsid w:val="00947D08"/>
    <w:rsid w:val="00950524"/>
    <w:rsid w:val="00953CC5"/>
    <w:rsid w:val="009557B1"/>
    <w:rsid w:val="0095679B"/>
    <w:rsid w:val="00967D7C"/>
    <w:rsid w:val="00967E8A"/>
    <w:rsid w:val="00972067"/>
    <w:rsid w:val="0097386E"/>
    <w:rsid w:val="00973A23"/>
    <w:rsid w:val="00984B28"/>
    <w:rsid w:val="00986D8D"/>
    <w:rsid w:val="00990CFE"/>
    <w:rsid w:val="00997C8F"/>
    <w:rsid w:val="009A3481"/>
    <w:rsid w:val="009B42D5"/>
    <w:rsid w:val="009B5178"/>
    <w:rsid w:val="009B7ADA"/>
    <w:rsid w:val="009C4DDE"/>
    <w:rsid w:val="009C71A6"/>
    <w:rsid w:val="009D2560"/>
    <w:rsid w:val="009D6677"/>
    <w:rsid w:val="009E084D"/>
    <w:rsid w:val="009E16B5"/>
    <w:rsid w:val="009E30AA"/>
    <w:rsid w:val="009F1491"/>
    <w:rsid w:val="009F383B"/>
    <w:rsid w:val="009F5716"/>
    <w:rsid w:val="00A03A16"/>
    <w:rsid w:val="00A064DA"/>
    <w:rsid w:val="00A07D35"/>
    <w:rsid w:val="00A24192"/>
    <w:rsid w:val="00A26523"/>
    <w:rsid w:val="00A35ECF"/>
    <w:rsid w:val="00A41CA1"/>
    <w:rsid w:val="00A41DE8"/>
    <w:rsid w:val="00A51EC3"/>
    <w:rsid w:val="00A5571D"/>
    <w:rsid w:val="00A603C7"/>
    <w:rsid w:val="00A6254E"/>
    <w:rsid w:val="00A62936"/>
    <w:rsid w:val="00A70779"/>
    <w:rsid w:val="00A72161"/>
    <w:rsid w:val="00A74E86"/>
    <w:rsid w:val="00A76101"/>
    <w:rsid w:val="00A7678C"/>
    <w:rsid w:val="00A7762A"/>
    <w:rsid w:val="00A96026"/>
    <w:rsid w:val="00A96978"/>
    <w:rsid w:val="00AB0220"/>
    <w:rsid w:val="00AB3BFE"/>
    <w:rsid w:val="00AC04C4"/>
    <w:rsid w:val="00AC239C"/>
    <w:rsid w:val="00AC3007"/>
    <w:rsid w:val="00AD5B28"/>
    <w:rsid w:val="00AD6299"/>
    <w:rsid w:val="00AE1A4A"/>
    <w:rsid w:val="00AE2339"/>
    <w:rsid w:val="00AE5BF4"/>
    <w:rsid w:val="00B06EAC"/>
    <w:rsid w:val="00B109A2"/>
    <w:rsid w:val="00B14E2F"/>
    <w:rsid w:val="00B17221"/>
    <w:rsid w:val="00B2481B"/>
    <w:rsid w:val="00B263E1"/>
    <w:rsid w:val="00B2797F"/>
    <w:rsid w:val="00B31F84"/>
    <w:rsid w:val="00B35A53"/>
    <w:rsid w:val="00B363F8"/>
    <w:rsid w:val="00B4112D"/>
    <w:rsid w:val="00B44CFD"/>
    <w:rsid w:val="00B46D04"/>
    <w:rsid w:val="00B52E3D"/>
    <w:rsid w:val="00B54917"/>
    <w:rsid w:val="00B553BD"/>
    <w:rsid w:val="00B64305"/>
    <w:rsid w:val="00B71637"/>
    <w:rsid w:val="00B73A74"/>
    <w:rsid w:val="00B81EE6"/>
    <w:rsid w:val="00B84D39"/>
    <w:rsid w:val="00B87D76"/>
    <w:rsid w:val="00B90103"/>
    <w:rsid w:val="00B96CCA"/>
    <w:rsid w:val="00BA0D20"/>
    <w:rsid w:val="00BA1734"/>
    <w:rsid w:val="00BA1790"/>
    <w:rsid w:val="00BA6389"/>
    <w:rsid w:val="00BB78C2"/>
    <w:rsid w:val="00BC1D3F"/>
    <w:rsid w:val="00BC7A82"/>
    <w:rsid w:val="00BD28B4"/>
    <w:rsid w:val="00BD3143"/>
    <w:rsid w:val="00BE33B9"/>
    <w:rsid w:val="00BF1960"/>
    <w:rsid w:val="00BF3088"/>
    <w:rsid w:val="00C01613"/>
    <w:rsid w:val="00C01F58"/>
    <w:rsid w:val="00C0201F"/>
    <w:rsid w:val="00C04331"/>
    <w:rsid w:val="00C044D8"/>
    <w:rsid w:val="00C119CE"/>
    <w:rsid w:val="00C13C51"/>
    <w:rsid w:val="00C17EE0"/>
    <w:rsid w:val="00C2306E"/>
    <w:rsid w:val="00C2379F"/>
    <w:rsid w:val="00C23F36"/>
    <w:rsid w:val="00C24A3E"/>
    <w:rsid w:val="00C25857"/>
    <w:rsid w:val="00C25FA5"/>
    <w:rsid w:val="00C305B6"/>
    <w:rsid w:val="00C3135F"/>
    <w:rsid w:val="00C363DF"/>
    <w:rsid w:val="00C36700"/>
    <w:rsid w:val="00C404D7"/>
    <w:rsid w:val="00C40F35"/>
    <w:rsid w:val="00C41CE1"/>
    <w:rsid w:val="00C44678"/>
    <w:rsid w:val="00C55BA2"/>
    <w:rsid w:val="00C63231"/>
    <w:rsid w:val="00C63312"/>
    <w:rsid w:val="00C736B9"/>
    <w:rsid w:val="00C75370"/>
    <w:rsid w:val="00C8139E"/>
    <w:rsid w:val="00C82AB2"/>
    <w:rsid w:val="00C87BC3"/>
    <w:rsid w:val="00C91171"/>
    <w:rsid w:val="00C926FE"/>
    <w:rsid w:val="00C93B52"/>
    <w:rsid w:val="00CA0645"/>
    <w:rsid w:val="00CA1D0B"/>
    <w:rsid w:val="00CA3A6F"/>
    <w:rsid w:val="00CB2802"/>
    <w:rsid w:val="00CB4447"/>
    <w:rsid w:val="00CC0F18"/>
    <w:rsid w:val="00CD334A"/>
    <w:rsid w:val="00CD507F"/>
    <w:rsid w:val="00CE0D15"/>
    <w:rsid w:val="00CE5D77"/>
    <w:rsid w:val="00CE67B2"/>
    <w:rsid w:val="00CF031E"/>
    <w:rsid w:val="00CF0704"/>
    <w:rsid w:val="00D04347"/>
    <w:rsid w:val="00D11BFF"/>
    <w:rsid w:val="00D16BD3"/>
    <w:rsid w:val="00D2163B"/>
    <w:rsid w:val="00D23111"/>
    <w:rsid w:val="00D2462E"/>
    <w:rsid w:val="00D33343"/>
    <w:rsid w:val="00D35417"/>
    <w:rsid w:val="00D445A4"/>
    <w:rsid w:val="00D44E9D"/>
    <w:rsid w:val="00D47D22"/>
    <w:rsid w:val="00D53E68"/>
    <w:rsid w:val="00D545EE"/>
    <w:rsid w:val="00D55DED"/>
    <w:rsid w:val="00D605AB"/>
    <w:rsid w:val="00D623B7"/>
    <w:rsid w:val="00D72EF9"/>
    <w:rsid w:val="00D775DA"/>
    <w:rsid w:val="00D847B0"/>
    <w:rsid w:val="00D86830"/>
    <w:rsid w:val="00D92328"/>
    <w:rsid w:val="00D9250A"/>
    <w:rsid w:val="00D93B4C"/>
    <w:rsid w:val="00D97887"/>
    <w:rsid w:val="00DA126F"/>
    <w:rsid w:val="00DB21EC"/>
    <w:rsid w:val="00DB2CB4"/>
    <w:rsid w:val="00DB2CCC"/>
    <w:rsid w:val="00DC330E"/>
    <w:rsid w:val="00DC5DF7"/>
    <w:rsid w:val="00DC6CFC"/>
    <w:rsid w:val="00DD07B5"/>
    <w:rsid w:val="00DD38C9"/>
    <w:rsid w:val="00DD6316"/>
    <w:rsid w:val="00DF5982"/>
    <w:rsid w:val="00DF6938"/>
    <w:rsid w:val="00E03C82"/>
    <w:rsid w:val="00E03F75"/>
    <w:rsid w:val="00E100A2"/>
    <w:rsid w:val="00E2581E"/>
    <w:rsid w:val="00E3019A"/>
    <w:rsid w:val="00E33FEF"/>
    <w:rsid w:val="00E35741"/>
    <w:rsid w:val="00E4386D"/>
    <w:rsid w:val="00E475B6"/>
    <w:rsid w:val="00E47DF9"/>
    <w:rsid w:val="00E5135F"/>
    <w:rsid w:val="00E57291"/>
    <w:rsid w:val="00E63AE0"/>
    <w:rsid w:val="00E64F85"/>
    <w:rsid w:val="00E7376C"/>
    <w:rsid w:val="00E7410F"/>
    <w:rsid w:val="00E74922"/>
    <w:rsid w:val="00E7682D"/>
    <w:rsid w:val="00E950CB"/>
    <w:rsid w:val="00E95B46"/>
    <w:rsid w:val="00EB32E8"/>
    <w:rsid w:val="00EB4F16"/>
    <w:rsid w:val="00EB7058"/>
    <w:rsid w:val="00EB79A4"/>
    <w:rsid w:val="00EC076B"/>
    <w:rsid w:val="00EC0F90"/>
    <w:rsid w:val="00EC2E06"/>
    <w:rsid w:val="00EC3AAE"/>
    <w:rsid w:val="00EC6871"/>
    <w:rsid w:val="00ED24F8"/>
    <w:rsid w:val="00ED5289"/>
    <w:rsid w:val="00ED6FD3"/>
    <w:rsid w:val="00EE064E"/>
    <w:rsid w:val="00EE1E1D"/>
    <w:rsid w:val="00EF40EE"/>
    <w:rsid w:val="00EF5F68"/>
    <w:rsid w:val="00F00F7E"/>
    <w:rsid w:val="00F01784"/>
    <w:rsid w:val="00F04FD8"/>
    <w:rsid w:val="00F13031"/>
    <w:rsid w:val="00F17B00"/>
    <w:rsid w:val="00F21EEA"/>
    <w:rsid w:val="00F309D0"/>
    <w:rsid w:val="00F34994"/>
    <w:rsid w:val="00F34F89"/>
    <w:rsid w:val="00F369B5"/>
    <w:rsid w:val="00F43F74"/>
    <w:rsid w:val="00F47B8C"/>
    <w:rsid w:val="00F5078E"/>
    <w:rsid w:val="00F5121D"/>
    <w:rsid w:val="00F64FAC"/>
    <w:rsid w:val="00F7511B"/>
    <w:rsid w:val="00F756E3"/>
    <w:rsid w:val="00F777C2"/>
    <w:rsid w:val="00F90C3C"/>
    <w:rsid w:val="00F91A44"/>
    <w:rsid w:val="00F91C19"/>
    <w:rsid w:val="00F938A1"/>
    <w:rsid w:val="00F938E0"/>
    <w:rsid w:val="00F9562B"/>
    <w:rsid w:val="00F95F51"/>
    <w:rsid w:val="00F96788"/>
    <w:rsid w:val="00F96D84"/>
    <w:rsid w:val="00FA2CB8"/>
    <w:rsid w:val="00FA448C"/>
    <w:rsid w:val="00FA593D"/>
    <w:rsid w:val="00FA710D"/>
    <w:rsid w:val="00FB398B"/>
    <w:rsid w:val="00FB5A7A"/>
    <w:rsid w:val="00FC3816"/>
    <w:rsid w:val="00FC651F"/>
    <w:rsid w:val="00FC736D"/>
    <w:rsid w:val="00FC7E2A"/>
    <w:rsid w:val="00FD1DF8"/>
    <w:rsid w:val="00FD337A"/>
    <w:rsid w:val="00FD3872"/>
    <w:rsid w:val="00FD6C57"/>
    <w:rsid w:val="00FD6D61"/>
    <w:rsid w:val="00FD7D2D"/>
    <w:rsid w:val="00FE1B8B"/>
    <w:rsid w:val="00FE60A7"/>
    <w:rsid w:val="00FE707D"/>
    <w:rsid w:val="00FE79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517F50"/>
  <w15:docId w15:val="{D201EC23-0C6F-4534-920D-AFEFCCB09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4"/>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9B9"/>
  </w:style>
  <w:style w:type="paragraph" w:styleId="Ttulo1">
    <w:name w:val="heading 1"/>
    <w:basedOn w:val="Normal"/>
    <w:next w:val="Normal"/>
    <w:link w:val="Ttulo1Car"/>
    <w:uiPriority w:val="9"/>
    <w:qFormat/>
    <w:rsid w:val="00175D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44FE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44FE7"/>
  </w:style>
  <w:style w:type="paragraph" w:styleId="Piedepgina">
    <w:name w:val="footer"/>
    <w:basedOn w:val="Normal"/>
    <w:link w:val="PiedepginaCar"/>
    <w:uiPriority w:val="99"/>
    <w:unhideWhenUsed/>
    <w:rsid w:val="00344FE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44FE7"/>
  </w:style>
  <w:style w:type="table" w:styleId="Tablaconcuadrcula">
    <w:name w:val="Table Grid"/>
    <w:basedOn w:val="Tablanormal"/>
    <w:uiPriority w:val="59"/>
    <w:rsid w:val="00344F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44FE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44FE7"/>
    <w:rPr>
      <w:rFonts w:ascii="Tahoma" w:hAnsi="Tahoma" w:cs="Tahoma"/>
      <w:sz w:val="16"/>
      <w:szCs w:val="16"/>
    </w:rPr>
  </w:style>
  <w:style w:type="paragraph" w:styleId="Textonotapie">
    <w:name w:val="footnote text"/>
    <w:basedOn w:val="Normal"/>
    <w:link w:val="TextonotapieCar"/>
    <w:semiHidden/>
    <w:rsid w:val="00E4386D"/>
    <w:pPr>
      <w:spacing w:after="0" w:line="240" w:lineRule="auto"/>
    </w:pPr>
    <w:rPr>
      <w:rFonts w:ascii="Times New Roman" w:eastAsia="Times New Roman" w:hAnsi="Times New Roman" w:cs="Times New Roman"/>
      <w:sz w:val="20"/>
      <w:szCs w:val="20"/>
      <w:lang w:val="es-ES_tradnl" w:eastAsia="es-ES"/>
    </w:rPr>
  </w:style>
  <w:style w:type="character" w:customStyle="1" w:styleId="TextonotapieCar">
    <w:name w:val="Texto nota pie Car"/>
    <w:basedOn w:val="Fuentedeprrafopredeter"/>
    <w:link w:val="Textonotapie"/>
    <w:semiHidden/>
    <w:rsid w:val="00E4386D"/>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E4386D"/>
    <w:rPr>
      <w:color w:val="0000FF"/>
      <w:u w:val="single"/>
    </w:rPr>
  </w:style>
  <w:style w:type="character" w:customStyle="1" w:styleId="Ttulo1Car">
    <w:name w:val="Título 1 Car"/>
    <w:basedOn w:val="Fuentedeprrafopredeter"/>
    <w:link w:val="Ttulo1"/>
    <w:uiPriority w:val="9"/>
    <w:rsid w:val="00175D6C"/>
    <w:rPr>
      <w:rFonts w:asciiTheme="majorHAnsi" w:eastAsiaTheme="majorEastAsia" w:hAnsiTheme="majorHAnsi" w:cstheme="majorBidi"/>
      <w:b/>
      <w:bCs/>
      <w:color w:val="365F91" w:themeColor="accent1" w:themeShade="BF"/>
      <w:sz w:val="28"/>
      <w:szCs w:val="28"/>
    </w:rPr>
  </w:style>
  <w:style w:type="paragraph" w:styleId="Prrafodelista">
    <w:name w:val="List Paragraph"/>
    <w:basedOn w:val="Normal"/>
    <w:uiPriority w:val="34"/>
    <w:qFormat/>
    <w:rsid w:val="006F17B5"/>
    <w:pPr>
      <w:ind w:left="720"/>
      <w:contextualSpacing/>
    </w:pPr>
    <w:rPr>
      <w:rFonts w:ascii="Century Gothic" w:hAnsi="Century Gothic"/>
      <w:sz w:val="22"/>
    </w:rPr>
  </w:style>
  <w:style w:type="paragraph" w:customStyle="1" w:styleId="Default">
    <w:name w:val="Default"/>
    <w:rsid w:val="00D23111"/>
    <w:pPr>
      <w:autoSpaceDE w:val="0"/>
      <w:autoSpaceDN w:val="0"/>
      <w:adjustRightInd w:val="0"/>
      <w:spacing w:after="0" w:line="240" w:lineRule="auto"/>
    </w:pPr>
    <w:rPr>
      <w:rFonts w:ascii="Arial Unicode MS" w:eastAsia="Arial Unicode MS" w:hAnsiTheme="minorHAnsi" w:cs="Arial Unicode MS"/>
      <w:color w:val="000000"/>
      <w:szCs w:val="24"/>
    </w:rPr>
  </w:style>
  <w:style w:type="paragraph" w:styleId="Sinespaciado">
    <w:name w:val="No Spacing"/>
    <w:uiPriority w:val="1"/>
    <w:qFormat/>
    <w:rsid w:val="00D23111"/>
    <w:pPr>
      <w:spacing w:after="0" w:line="240" w:lineRule="auto"/>
    </w:pPr>
    <w:rPr>
      <w:rFonts w:asciiTheme="minorHAnsi" w:hAnsiTheme="minorHAnsi"/>
      <w:sz w:val="22"/>
    </w:rPr>
  </w:style>
  <w:style w:type="character" w:styleId="Refdenotaalpie">
    <w:name w:val="footnote reference"/>
    <w:basedOn w:val="Fuentedeprrafopredeter"/>
    <w:uiPriority w:val="99"/>
    <w:semiHidden/>
    <w:unhideWhenUsed/>
    <w:rsid w:val="009E084D"/>
    <w:rPr>
      <w:vertAlign w:val="superscript"/>
    </w:rPr>
  </w:style>
  <w:style w:type="table" w:customStyle="1" w:styleId="Tablaconcuadrcula1">
    <w:name w:val="Tabla con cuadrícula1"/>
    <w:basedOn w:val="Tablanormal"/>
    <w:next w:val="Tablaconcuadrcula"/>
    <w:uiPriority w:val="59"/>
    <w:rsid w:val="00151290"/>
    <w:pPr>
      <w:spacing w:after="0" w:line="240" w:lineRule="auto"/>
    </w:pPr>
    <w:rPr>
      <w:rFonts w:asciiTheme="minorHAnsi" w:eastAsiaTheme="minorEastAsia" w:hAnsiTheme="minorHAnsi"/>
      <w:sz w:val="22"/>
      <w:lang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staclara">
    <w:name w:val="Light List"/>
    <w:basedOn w:val="Tablanormal"/>
    <w:uiPriority w:val="61"/>
    <w:rsid w:val="0019362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staclara1">
    <w:name w:val="Lista clara1"/>
    <w:basedOn w:val="Tablanormal"/>
    <w:next w:val="Listaclara"/>
    <w:uiPriority w:val="61"/>
    <w:rsid w:val="008027D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Mencinsinresolver">
    <w:name w:val="Unresolved Mention"/>
    <w:basedOn w:val="Fuentedeprrafopredeter"/>
    <w:uiPriority w:val="99"/>
    <w:semiHidden/>
    <w:unhideWhenUsed/>
    <w:rsid w:val="008A7E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642165">
      <w:bodyDiv w:val="1"/>
      <w:marLeft w:val="0"/>
      <w:marRight w:val="0"/>
      <w:marTop w:val="0"/>
      <w:marBottom w:val="0"/>
      <w:divBdr>
        <w:top w:val="none" w:sz="0" w:space="0" w:color="auto"/>
        <w:left w:val="none" w:sz="0" w:space="0" w:color="auto"/>
        <w:bottom w:val="none" w:sz="0" w:space="0" w:color="auto"/>
        <w:right w:val="none" w:sz="0" w:space="0" w:color="auto"/>
      </w:divBdr>
    </w:div>
    <w:div w:id="805973587">
      <w:bodyDiv w:val="1"/>
      <w:marLeft w:val="0"/>
      <w:marRight w:val="0"/>
      <w:marTop w:val="0"/>
      <w:marBottom w:val="0"/>
      <w:divBdr>
        <w:top w:val="none" w:sz="0" w:space="0" w:color="auto"/>
        <w:left w:val="none" w:sz="0" w:space="0" w:color="auto"/>
        <w:bottom w:val="none" w:sz="0" w:space="0" w:color="auto"/>
        <w:right w:val="none" w:sz="0" w:space="0" w:color="auto"/>
      </w:divBdr>
    </w:div>
    <w:div w:id="1817600733">
      <w:bodyDiv w:val="1"/>
      <w:marLeft w:val="0"/>
      <w:marRight w:val="0"/>
      <w:marTop w:val="0"/>
      <w:marBottom w:val="0"/>
      <w:divBdr>
        <w:top w:val="none" w:sz="0" w:space="0" w:color="auto"/>
        <w:left w:val="none" w:sz="0" w:space="0" w:color="auto"/>
        <w:bottom w:val="none" w:sz="0" w:space="0" w:color="auto"/>
        <w:right w:val="none" w:sz="0" w:space="0" w:color="auto"/>
      </w:divBdr>
    </w:div>
    <w:div w:id="1951620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ugeju.es/informacion-economica/contratacio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81F56-593C-4098-8F71-7C4CF0AD2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449</TotalTime>
  <Pages>4</Pages>
  <Words>1587</Words>
  <Characters>8734</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SGAD</Company>
  <LinksUpToDate>false</LinksUpToDate>
  <CharactersWithSpaces>10301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javier.amoros</dc:creator>
  <cp:keywords/>
  <dc:description/>
  <cp:lastModifiedBy>GONZALO GOMEZ DE VILLALOBOS</cp:lastModifiedBy>
  <cp:revision>49</cp:revision>
  <cp:lastPrinted>2015-01-27T17:42:00Z</cp:lastPrinted>
  <dcterms:created xsi:type="dcterms:W3CDTF">2025-10-13T09:39:00Z</dcterms:created>
  <dcterms:modified xsi:type="dcterms:W3CDTF">2025-10-16T10:08:00Z</dcterms:modified>
</cp:coreProperties>
</file>