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3"/>
        <w:gridCol w:w="685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4B4973F" w:rsidR="000C6CFF" w:rsidRPr="005A3C4E" w:rsidRDefault="00CD4E90" w:rsidP="00CD4E90">
            <w:pPr>
              <w:jc w:val="both"/>
              <w:rPr>
                <w:sz w:val="24"/>
                <w:szCs w:val="24"/>
              </w:rPr>
            </w:pPr>
            <w:r w:rsidRPr="006655CC">
              <w:rPr>
                <w:sz w:val="24"/>
              </w:rPr>
              <w:t>Agencia Estatal Consejo Superior de Investigaciones Científicas (CSIC)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208B9659" w:rsidR="00CB4BF4" w:rsidRDefault="0075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4E90">
              <w:rPr>
                <w:sz w:val="24"/>
                <w:szCs w:val="24"/>
              </w:rPr>
              <w:t>1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3218552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311108">
              <w:rPr>
                <w:sz w:val="24"/>
                <w:szCs w:val="24"/>
              </w:rPr>
              <w:t>10/07/2025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5A0D089F" w:rsidR="00CD4E90" w:rsidRPr="00CD4E90" w:rsidRDefault="00567EF8" w:rsidP="00CD4E90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https://www.csic.es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567EF8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6B6D959" w:rsidR="00CB5511" w:rsidRPr="005A3C4E" w:rsidRDefault="007520C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4E256897" w:rsidR="00CB5511" w:rsidRPr="005A3C4E" w:rsidRDefault="007520C0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Localizable en la parte inferior de la página home.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2B7BE3C1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D4E90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1A7EACB" w14:textId="0E154F1F" w:rsidR="00932008" w:rsidRPr="005A3C4E" w:rsidRDefault="007520C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1E763D6" w14:textId="05B36C79" w:rsidR="00560D54" w:rsidRPr="005A3C4E" w:rsidRDefault="00CD6E50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patrimonial se publica en el bloque de Información económica, presupuestaria y estadística. Para seguir exactamente el patrón definido por la LTAIBG, tendría que publicarse en un apartado denominado Información patrimonial.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A7B0FA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A75088">
        <w:rPr>
          <w:b/>
          <w:color w:val="3C8378"/>
          <w:sz w:val="30"/>
          <w:szCs w:val="30"/>
        </w:rPr>
        <w:t>Resultados de las evaluaciones de</w:t>
      </w:r>
      <w:r w:rsidRPr="003B1702">
        <w:rPr>
          <w:b/>
          <w:color w:val="3C8378"/>
          <w:sz w:val="30"/>
          <w:szCs w:val="30"/>
        </w:rPr>
        <w:t xml:space="preserve">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70AFE122" w:rsidR="00E24139" w:rsidRPr="00396A23" w:rsidRDefault="00CD4E9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41,6%</w:t>
            </w:r>
          </w:p>
        </w:tc>
        <w:tc>
          <w:tcPr>
            <w:tcW w:w="2728" w:type="dxa"/>
          </w:tcPr>
          <w:p w14:paraId="1B3D21B6" w14:textId="388D7790" w:rsidR="00E24139" w:rsidRPr="00396A23" w:rsidRDefault="009240C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="00CD4E9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  <w:tc>
          <w:tcPr>
            <w:tcW w:w="2051" w:type="dxa"/>
          </w:tcPr>
          <w:p w14:paraId="1343146B" w14:textId="35379EEF" w:rsidR="00E24139" w:rsidRPr="00396A23" w:rsidRDefault="00CD4E9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43BCCB96" w:rsidR="00E24139" w:rsidRPr="00396A23" w:rsidRDefault="00CD4E9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44,4</w:t>
            </w:r>
            <w:r w:rsidR="00E24139" w:rsidRPr="00E2413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78459DA6" w14:textId="73BA8E67" w:rsidR="00E24139" w:rsidRPr="00396A23" w:rsidRDefault="00E2413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9240C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  <w:tc>
          <w:tcPr>
            <w:tcW w:w="2051" w:type="dxa"/>
          </w:tcPr>
          <w:p w14:paraId="21BDE47D" w14:textId="79B55DC4" w:rsidR="00E24139" w:rsidRPr="00396A23" w:rsidRDefault="00C2642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17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A75088" w14:paraId="7A7AE22E" w14:textId="77777777" w:rsidTr="00B15FC1">
        <w:tc>
          <w:tcPr>
            <w:tcW w:w="10035" w:type="dxa"/>
          </w:tcPr>
          <w:p w14:paraId="3F71F2A2" w14:textId="77777777" w:rsidR="00EB169A" w:rsidRPr="00A75088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A75088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7C0966D5" w14:textId="77777777" w:rsidR="00CD4E90" w:rsidRPr="00311108" w:rsidRDefault="00CD4E90" w:rsidP="00CD4E90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D4E90">
              <w:rPr>
                <w:sz w:val="20"/>
                <w:szCs w:val="20"/>
              </w:rPr>
              <w:t xml:space="preserve">Sigue publicándose </w:t>
            </w:r>
            <w:r w:rsidRPr="00311108">
              <w:rPr>
                <w:sz w:val="20"/>
                <w:szCs w:val="20"/>
              </w:rPr>
              <w:t>información obligatoria fuera del Portal de Transparencia.</w:t>
            </w:r>
          </w:p>
          <w:p w14:paraId="0FBAF4A4" w14:textId="77777777" w:rsidR="00CD4E90" w:rsidRPr="00311108" w:rsidRDefault="00CD4E90" w:rsidP="00CD4E90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1247E36A" w14:textId="77777777" w:rsidR="00CD4E90" w:rsidRPr="00311108" w:rsidRDefault="00CD4E90" w:rsidP="00CD4E90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Respecto de la publicación de contenidos:</w:t>
            </w:r>
          </w:p>
          <w:p w14:paraId="6AEC16F2" w14:textId="77777777" w:rsidR="00CD4E90" w:rsidRPr="00311108" w:rsidRDefault="00CD4E90" w:rsidP="00CD4E90">
            <w:pPr>
              <w:pStyle w:val="Prrafodelista"/>
              <w:rPr>
                <w:sz w:val="20"/>
                <w:szCs w:val="20"/>
              </w:rPr>
            </w:pPr>
          </w:p>
          <w:p w14:paraId="7E394004" w14:textId="77777777" w:rsidR="00CD4E90" w:rsidRPr="00311108" w:rsidRDefault="00CD4E90" w:rsidP="00181EBD">
            <w:pPr>
              <w:pStyle w:val="Sinespaciado"/>
              <w:spacing w:line="276" w:lineRule="auto"/>
              <w:ind w:left="708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7559CE43" w14:textId="4B241ACE" w:rsidR="00CD4E90" w:rsidRPr="00311108" w:rsidRDefault="00CD4E90" w:rsidP="00181EBD">
            <w:pPr>
              <w:pStyle w:val="Prrafodelista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 el grado de cumplimiento y resultados de planes y programas.</w:t>
            </w:r>
          </w:p>
          <w:p w14:paraId="114AE770" w14:textId="77777777" w:rsidR="00CD4E90" w:rsidRPr="00311108" w:rsidRDefault="00CD4E90" w:rsidP="00181EBD">
            <w:pPr>
              <w:pStyle w:val="Prrafodelista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La información sobre el perfil y trayectoria profesional de los máximos responsables del organismo, está incompleta.</w:t>
            </w:r>
          </w:p>
          <w:p w14:paraId="019D7A59" w14:textId="77777777" w:rsidR="00CD4E90" w:rsidRPr="00311108" w:rsidRDefault="00CD4E90" w:rsidP="00CD4E90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116B66D3" w14:textId="77777777" w:rsidR="00CD4E90" w:rsidRPr="00311108" w:rsidRDefault="00CD4E90" w:rsidP="00181EBD">
            <w:pPr>
              <w:pStyle w:val="Sinespaciado"/>
              <w:spacing w:line="276" w:lineRule="auto"/>
              <w:ind w:left="708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En el bloque de información económica:</w:t>
            </w:r>
          </w:p>
          <w:p w14:paraId="22C74ED5" w14:textId="71C972B4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Dado que la información sobre contratación se publica a través de la Plataforma de Contratación del Sector Publico, no se ha localizado información sobre modificaciones de contratos adjudicados.</w:t>
            </w:r>
          </w:p>
          <w:p w14:paraId="09F06C45" w14:textId="77777777" w:rsidR="00181EBD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 información estadística sobre contratación</w:t>
            </w:r>
            <w:r w:rsidR="00181EBD" w:rsidRPr="00311108">
              <w:rPr>
                <w:sz w:val="20"/>
                <w:szCs w:val="20"/>
              </w:rPr>
              <w:t>.</w:t>
            </w:r>
          </w:p>
          <w:p w14:paraId="41DD4538" w14:textId="7CE1E212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 información estadística sobre contratos adjudicados a PYMEs.</w:t>
            </w:r>
          </w:p>
          <w:p w14:paraId="60B54511" w14:textId="684CDB71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lastRenderedPageBreak/>
              <w:t xml:space="preserve">No se publica directamente en el Portal de Transparencia información sobre convenios. </w:t>
            </w:r>
          </w:p>
          <w:p w14:paraId="25278135" w14:textId="012CD3E7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 directamente en el Portal de Transparencia información sobre encomiendas de gestión.</w:t>
            </w:r>
          </w:p>
          <w:p w14:paraId="77949489" w14:textId="78C26C5E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 información sobre las subcontrataciones derivadas de encomiendas de gestión.</w:t>
            </w:r>
          </w:p>
          <w:p w14:paraId="1A133426" w14:textId="579E900A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publican los presupuestos.</w:t>
            </w:r>
          </w:p>
          <w:p w14:paraId="6DC44A54" w14:textId="5C96929D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 la ejecución presupuestaria.</w:t>
            </w:r>
          </w:p>
          <w:p w14:paraId="5C2B3BB6" w14:textId="77777777" w:rsidR="00181EBD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publican los informes de auditoría y fiscalización elaborados por el Tribunal de Cuentas.</w:t>
            </w:r>
          </w:p>
          <w:p w14:paraId="0B9E08E1" w14:textId="0241F143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publican las retribuciones de los máximos responsables.</w:t>
            </w:r>
          </w:p>
          <w:p w14:paraId="48C74CD8" w14:textId="16F2C37D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publican las indemnizaciones percibidas por altos cargos y máximos responsables tras el abandono del cargo.</w:t>
            </w:r>
          </w:p>
          <w:p w14:paraId="20DBE1A6" w14:textId="69D7B386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 xml:space="preserve">No se publican directamente en el Portal de Transparencia las autorizaciones de compatibilidad concedidas a empleados. </w:t>
            </w:r>
          </w:p>
          <w:p w14:paraId="2E6C555A" w14:textId="77777777" w:rsidR="00CD4E90" w:rsidRPr="00311108" w:rsidRDefault="00CD4E90" w:rsidP="00181EBD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No se publican las autorizaciones para el ejercicio de actividades privadas al ceso de altos cargos.</w:t>
            </w:r>
          </w:p>
          <w:p w14:paraId="0D133271" w14:textId="77777777" w:rsidR="00CD4E90" w:rsidRPr="00311108" w:rsidRDefault="00CD4E90" w:rsidP="00CD4E90">
            <w:pPr>
              <w:pStyle w:val="Sinespaciado"/>
              <w:spacing w:line="276" w:lineRule="auto"/>
              <w:ind w:left="1800"/>
              <w:jc w:val="both"/>
              <w:rPr>
                <w:sz w:val="20"/>
                <w:szCs w:val="20"/>
              </w:rPr>
            </w:pPr>
          </w:p>
          <w:p w14:paraId="1B6E2BE1" w14:textId="6B82E2A5" w:rsidR="00CD4E90" w:rsidRPr="00311108" w:rsidRDefault="00CD4E90" w:rsidP="00181EBD">
            <w:pPr>
              <w:pStyle w:val="Sinespaciado"/>
              <w:spacing w:line="276" w:lineRule="auto"/>
              <w:ind w:left="1380" w:hanging="672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Respecto de la Información patrimonial, sigue sin publicarse el inventario de bienes inmuebles propiedad del CSIC o sobre los que ejerza algún derecho real.</w:t>
            </w:r>
          </w:p>
          <w:p w14:paraId="6C960B7C" w14:textId="77777777" w:rsidR="00CD4E90" w:rsidRPr="00311108" w:rsidRDefault="00CD4E90" w:rsidP="00CD4E90">
            <w:pPr>
              <w:pStyle w:val="Sinespaciado"/>
              <w:spacing w:line="276" w:lineRule="auto"/>
              <w:ind w:left="1058"/>
              <w:jc w:val="both"/>
              <w:rPr>
                <w:sz w:val="20"/>
                <w:szCs w:val="20"/>
              </w:rPr>
            </w:pPr>
          </w:p>
          <w:p w14:paraId="53438F74" w14:textId="77777777" w:rsidR="00CD4E90" w:rsidRPr="00311108" w:rsidRDefault="00CD4E90" w:rsidP="00181EBD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61E33546" w14:textId="77777777" w:rsidR="00CD4E90" w:rsidRPr="00311108" w:rsidRDefault="00CD4E90" w:rsidP="00CD4E90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0E7D5D8F" w14:textId="288EAD1D" w:rsidR="00EB169A" w:rsidRPr="00A75088" w:rsidRDefault="00CD4E90" w:rsidP="00B7775F">
            <w:pPr>
              <w:pStyle w:val="Prrafodelista"/>
              <w:numPr>
                <w:ilvl w:val="0"/>
                <w:numId w:val="47"/>
              </w:numPr>
              <w:spacing w:line="276" w:lineRule="auto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311108">
              <w:rPr>
                <w:sz w:val="20"/>
                <w:szCs w:val="20"/>
              </w:rPr>
              <w:t>Sigue sin publicarse la fecha de la última revisión o actualización de la información. Para ello bastaría con que esta fecha se publique en la página home del Portal de Transparencia.</w:t>
            </w:r>
          </w:p>
        </w:tc>
      </w:tr>
    </w:tbl>
    <w:p w14:paraId="24FE97B0" w14:textId="77777777" w:rsidR="00285021" w:rsidRPr="00A75088" w:rsidRDefault="00285021">
      <w:pPr>
        <w:rPr>
          <w:i/>
          <w:iCs/>
          <w:sz w:val="20"/>
          <w:szCs w:val="20"/>
          <w:highlight w:val="magenta"/>
        </w:rPr>
      </w:pPr>
      <w:r w:rsidRPr="00A75088">
        <w:rPr>
          <w:i/>
          <w:iCs/>
          <w:sz w:val="20"/>
          <w:szCs w:val="20"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66D03C24" w:rsidR="00E34195" w:rsidRPr="005A3C4E" w:rsidRDefault="00A90BC7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DC0F7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planificación/Normativa/Regulación básica. Actualizado en </w:t>
            </w:r>
            <w:r w:rsidR="0031110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39E6DA9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A90B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planificación/Misión, visión y funciones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A90B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Actualizado en </w:t>
            </w:r>
            <w:r w:rsidR="0031110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 w:rsidR="00A90B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75D094D8" w:rsidR="00560D54" w:rsidRPr="005A3C4E" w:rsidRDefault="001B6329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planificación/Registro de actividades de tratamiento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Actualizado en </w:t>
            </w:r>
            <w:r w:rsidR="0031110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3FF2BD59" w:rsidR="00560D54" w:rsidRPr="0069157E" w:rsidRDefault="00560D54" w:rsidP="001B632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5FC6D974" w:rsidR="00560D54" w:rsidRPr="005A3C4E" w:rsidRDefault="001B6329" w:rsidP="001B632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planificación/Estructura organizativa/Organigrama. Actualizado en </w:t>
            </w:r>
            <w:r w:rsidR="0031110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F94580A" w:rsidR="00560D54" w:rsidRPr="005A3C4E" w:rsidRDefault="001B6329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planificación/Organigrama. No se publica en formato reutilizable. Actualizado en </w:t>
            </w:r>
            <w:r w:rsidR="0031110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511334BF" w:rsidR="00560D54" w:rsidRPr="0069157E" w:rsidRDefault="00560D54" w:rsidP="001B632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0927644" w:rsidR="00560D54" w:rsidRPr="005A3C4E" w:rsidRDefault="001B6329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planificación/Organigrama. Actualizado en </w:t>
            </w:r>
            <w:r w:rsidR="0031110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178ECAE9" w:rsidR="00560D54" w:rsidRPr="006A1513" w:rsidRDefault="00560D54" w:rsidP="0031110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72955523" w:rsidR="00560D54" w:rsidRPr="005A3C4E" w:rsidRDefault="00311108" w:rsidP="001B632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</w:t>
            </w:r>
            <w:r w:rsidR="006A151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 el Portal de Transparencia</w:t>
            </w:r>
            <w:r w:rsidR="001B632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/Información institucional, organizativa y de planificación/Estructura organizativa/Presidencia.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1653424F" w:rsidR="00560D54" w:rsidRPr="00F72800" w:rsidRDefault="00560D54" w:rsidP="00515DA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0E17CC44" w:rsidR="00560D54" w:rsidRPr="005A3C4E" w:rsidRDefault="00515DAA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planificación/Planes de actuación. Actualizado en </w:t>
            </w:r>
            <w:r w:rsidR="0031110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721A33E5" w:rsidR="00560D54" w:rsidRPr="00F72800" w:rsidRDefault="00560D54" w:rsidP="00515DA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167E7F17" w:rsidR="00560D54" w:rsidRPr="005A3C4E" w:rsidRDefault="00515DAA" w:rsidP="00A417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planificación/Planes de actuación</w:t>
            </w:r>
            <w:r w:rsidR="00A41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/Seguimiento programa anual de cumplimiento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Actualizado en </w:t>
            </w:r>
            <w:r w:rsidR="0031110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CA5EF56" w:rsidR="00560D54" w:rsidRPr="00F72800" w:rsidRDefault="00560D54" w:rsidP="00A417E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4FF145AB" w:rsidR="00560D54" w:rsidRPr="005A3C4E" w:rsidRDefault="00A417EB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institucional, organizativa y de planificación/Planes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 xml:space="preserve">actuación, en los distintos planes. Actualizado en </w:t>
            </w:r>
            <w:r w:rsidR="0031110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abril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EDDA165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311108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F1A6254">
                <wp:simplePos x="0" y="0"/>
                <wp:positionH relativeFrom="column">
                  <wp:posOffset>285750</wp:posOffset>
                </wp:positionH>
                <wp:positionV relativeFrom="paragraph">
                  <wp:posOffset>138430</wp:posOffset>
                </wp:positionV>
                <wp:extent cx="6353175" cy="15049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36E4F113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6A3F2054" w14:textId="1CD19DFE" w:rsidR="00231B7E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0A6EBC5" w14:textId="450A96DF" w:rsidR="00311108" w:rsidRPr="00311108" w:rsidRDefault="00311108" w:rsidP="00EF345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1108">
                              <w:rPr>
                                <w:sz w:val="20"/>
                                <w:szCs w:val="20"/>
                              </w:rPr>
                              <w:t>El organigrama se publica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9pt;width:500.25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36E4F113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6A3F2054" w14:textId="1CD19DFE" w:rsidR="00231B7E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0A6EBC5" w14:textId="450A96DF" w:rsidR="00311108" w:rsidRPr="00311108" w:rsidRDefault="00311108" w:rsidP="00EF345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rPr>
                          <w:sz w:val="20"/>
                          <w:szCs w:val="20"/>
                        </w:rPr>
                      </w:pPr>
                      <w:r w:rsidRPr="00311108">
                        <w:rPr>
                          <w:sz w:val="20"/>
                          <w:szCs w:val="20"/>
                        </w:rPr>
                        <w:t>El organigrama se publica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6F42C8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7777777" w:rsidR="006A2766" w:rsidRPr="005A3C4E" w:rsidRDefault="006A2766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58BDD22E" w:rsidR="006A2766" w:rsidRPr="005A3C4E" w:rsidRDefault="00C1491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aplicable. </w:t>
            </w:r>
            <w:r w:rsidR="00A417EB" w:rsidRPr="00657E7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</w:t>
            </w:r>
            <w:r w:rsidR="00A417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das las competencias y funciones del CSIC, se ha considerado que esta obligación no es aplicable a la entidad.</w:t>
            </w:r>
            <w:r w:rsidR="00CD6E5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obstante, debería señalarse expresamente esta circunstancia en el Portal de Transparencia</w:t>
            </w:r>
            <w:r w:rsidR="009147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, en un futuro apartado denominado Información de relevancia jurídica.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7EEC0CCD" w:rsidR="001E30F9" w:rsidRPr="005A3C4E" w:rsidRDefault="00A417EB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aplicable. </w:t>
            </w:r>
            <w:r w:rsidRPr="00657E7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das las competencias y funciones del CSIC, se ha considerado que esta obligación no es aplicable a la entidad.</w:t>
            </w:r>
            <w:r w:rsidR="00CD6E5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obstante, debería señalarse expresamente esta circunstancia en el Portal de Transparencia</w:t>
            </w:r>
            <w:r w:rsidR="009147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, en un futuro apartado denominado Información de relevancia jurídica.</w:t>
            </w:r>
          </w:p>
        </w:tc>
      </w:tr>
    </w:tbl>
    <w:p w14:paraId="4962725F" w14:textId="592308BC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0130524" w14:textId="423B17EB" w:rsidR="00A417EB" w:rsidRDefault="00A417EB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70115F52" w14:textId="6582BB88" w:rsidR="00311108" w:rsidRDefault="0031110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3613C3A" w14:textId="77777777" w:rsidR="00311108" w:rsidRPr="005A3C4E" w:rsidRDefault="0031110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3DC4D27" w:rsidR="00C33A23" w:rsidRPr="005A3C4E" w:rsidRDefault="00F00737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estadística/Contratos CSIC/Contratos adjudicados, excepto menores </w:t>
            </w:r>
            <w:r w:rsidR="002B60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48057434" w:rsidR="00C33A23" w:rsidRPr="00B2173B" w:rsidRDefault="00C33A23" w:rsidP="00F0073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109CD9DC" w:rsidR="00C33A23" w:rsidRPr="005A3C4E" w:rsidRDefault="00F24F9E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estadística/Contratos CSIC/Contratos adjudicados, excepto menores </w:t>
            </w:r>
            <w:r w:rsidR="002B60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24F9E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F24F9E" w:rsidRPr="005A3C4E" w:rsidRDefault="00F24F9E" w:rsidP="00F24F9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F24F9E" w:rsidRPr="005A3C4E" w:rsidRDefault="00F24F9E" w:rsidP="00F24F9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2C9972E9" w:rsidR="00F24F9E" w:rsidRPr="005A3C4E" w:rsidRDefault="00F24F9E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estadística/Contratos CSIC/Contratos adjudicados, excepto menores </w:t>
            </w:r>
            <w:r w:rsidR="002B60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24F9E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F24F9E" w:rsidRPr="005A3C4E" w:rsidRDefault="00F24F9E" w:rsidP="00F24F9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2B863430" w:rsidR="00F24F9E" w:rsidRPr="00B2173B" w:rsidRDefault="00F24F9E" w:rsidP="00F24F9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043E8E7D" w:rsidR="00F24F9E" w:rsidRPr="005A3C4E" w:rsidRDefault="00F24F9E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estadística/Contratos CSIC/Estadísticas de contratación </w:t>
            </w:r>
            <w:r w:rsidR="002B60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24F9E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F24F9E" w:rsidRPr="005A3C4E" w:rsidRDefault="00F24F9E" w:rsidP="00F24F9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45504335" w:rsidR="00F24F9E" w:rsidRPr="00B2173B" w:rsidRDefault="00F24F9E" w:rsidP="00F24F9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650E35AD" w:rsidR="00F24F9E" w:rsidRPr="005A3C4E" w:rsidRDefault="00F24F9E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estadística/Contratos CSIC/Estadísticas de contratación </w:t>
            </w:r>
            <w:r w:rsidR="002B60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24F9E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F24F9E" w:rsidRPr="005A3C4E" w:rsidRDefault="00F24F9E" w:rsidP="00F24F9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F24F9E" w:rsidRPr="005A3C4E" w:rsidRDefault="00F24F9E" w:rsidP="00F24F9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CA6B84A" w:rsidR="00F24F9E" w:rsidRPr="005A3C4E" w:rsidRDefault="00F24F9E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estadística/Contratos CSIC/Contratos menores adjudicados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24F9E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0B8E5961" w:rsidR="00F24F9E" w:rsidRPr="001400C0" w:rsidRDefault="00F24F9E" w:rsidP="0005241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50A0E2E" w:rsidR="00F24F9E" w:rsidRPr="005A3C4E" w:rsidRDefault="0005241A" w:rsidP="0005241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estadística/Convenios y encomiendas de gestión CSIC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1T 2025</w:t>
            </w:r>
            <w:r w:rsidR="00F24F9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860F1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si supone gasto o no, pero no a cuánto asciende en su caso.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24F9E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17A3F3A" w:rsidR="00F24F9E" w:rsidRPr="001400C0" w:rsidRDefault="00F24F9E" w:rsidP="006E24E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5BF85300" w:rsidR="00F24F9E" w:rsidRPr="005A3C4E" w:rsidRDefault="006E24E9" w:rsidP="006E24E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estadística/Convenios y encomiendas de gestión CSIC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1T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24F9E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F24F9E" w:rsidRPr="005A3C4E" w:rsidRDefault="00F24F9E" w:rsidP="00F24F9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4EB24939" w:rsidR="00F24F9E" w:rsidRPr="001400C0" w:rsidRDefault="00F24F9E" w:rsidP="006E24E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733CED47" w:rsidR="00F24F9E" w:rsidRPr="005A3C4E" w:rsidRDefault="00F24F9E" w:rsidP="006E24E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6E24E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aplicable. En el Portal de Transparencia/Información económica, presupuestaria y estadística/Convenios y encomiendas de gestión CSIC se publica que no se han realizado.</w:t>
            </w:r>
          </w:p>
        </w:tc>
      </w:tr>
      <w:tr w:rsidR="00F24F9E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90FBD37" w:rsidR="00F24F9E" w:rsidRPr="001400C0" w:rsidRDefault="00F24F9E" w:rsidP="008C5F1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7086B56B" w:rsidR="00F24F9E" w:rsidRPr="005A3C4E" w:rsidRDefault="008C5F16" w:rsidP="008C5F1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estadística/Subvenciones y ayudas públicas. Actualizado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24F9E" w:rsidRPr="005A3C4E" w:rsidRDefault="00F24F9E" w:rsidP="00F24F9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5B59FCBF" w:rsidR="00F24F9E" w:rsidRPr="001400C0" w:rsidRDefault="00F24F9E" w:rsidP="008C5F1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23F34AE5" w:rsidR="00F24F9E" w:rsidRPr="005A3C4E" w:rsidRDefault="008C5F16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estadística/Presupuesto y ejecución presupuestaria CSIC. Actualizado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24F9E" w:rsidRPr="005A3C4E" w:rsidRDefault="00F24F9E" w:rsidP="00F24F9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0C155C5A" w:rsidR="00F24F9E" w:rsidRPr="001400C0" w:rsidRDefault="00F24F9E" w:rsidP="008C5F1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706D7F4F" w:rsidR="00F24F9E" w:rsidRPr="005A3C4E" w:rsidRDefault="008C5F16" w:rsidP="008C5F1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estadística/Presupuesto y ejecución presupuestaria CSIC. Actualizado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24F9E" w:rsidRPr="005A3C4E" w:rsidRDefault="00F24F9E" w:rsidP="00F24F9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13F7E073" w:rsidR="00F24F9E" w:rsidRPr="001400C0" w:rsidRDefault="00F24F9E" w:rsidP="001C14D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C2B1D10" w:rsidR="00F24F9E" w:rsidRPr="005A3C4E" w:rsidRDefault="001C14D7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estadística/Cuentas anuales del CSIC e informes de fiscalización. Actualizado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13480875" w:rsidR="00F24F9E" w:rsidRPr="00F339DA" w:rsidRDefault="00F24F9E" w:rsidP="001C14D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773A122" w:rsidR="00F24F9E" w:rsidRPr="005A3C4E" w:rsidRDefault="001C14D7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estadística/Cuentas anuales del CSIC e informes de fiscalización. Actualizado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abril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F24F9E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1EEC567F" w:rsidR="00F24F9E" w:rsidRPr="00091D2B" w:rsidRDefault="00F24F9E" w:rsidP="00326DD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6F5C5FC" w:rsidR="00F24F9E" w:rsidRPr="005A3C4E" w:rsidRDefault="00326DDB" w:rsidP="00326DD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estadística/Retribuciones e indemnizaciones de altos cargos. Actualizado </w:t>
            </w:r>
            <w:r w:rsidR="00B325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535D0850" w:rsidR="00F24F9E" w:rsidRPr="00091D2B" w:rsidRDefault="00F24F9E" w:rsidP="00326DD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0F7F032A" w:rsidR="00F24F9E" w:rsidRPr="005A3C4E" w:rsidRDefault="00326DDB" w:rsidP="00326DD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Transparencia/Información económica, presupuestaria y estadística/</w:t>
            </w:r>
            <w:r w:rsidR="005F70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Retribuciones e indemnizaciones de altos cargos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que no proceden.</w:t>
            </w:r>
          </w:p>
        </w:tc>
      </w:tr>
      <w:tr w:rsidR="00F24F9E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2EDE1290" w:rsidR="00F24F9E" w:rsidRPr="00091D2B" w:rsidRDefault="00F24F9E" w:rsidP="00326DD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6D9216DA" w:rsidR="00F24F9E" w:rsidRPr="005A3C4E" w:rsidRDefault="00326DDB" w:rsidP="00326DD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estadística/Compatibilidad del personal y cese de altos cargos. Actualizado </w:t>
            </w:r>
            <w:r w:rsidR="005F70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Autorización para actividad privada al cese de altos cargos en la AGE o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1339B8D6" w:rsidR="00F24F9E" w:rsidRPr="00091D2B" w:rsidRDefault="00F24F9E" w:rsidP="00326DD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46EEB00A" w:rsidR="00F24F9E" w:rsidRPr="005A3C4E" w:rsidRDefault="00326DDB" w:rsidP="00326DD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estadística/Compatibilidad del personal y cese de altos cargos. Actualizado </w:t>
            </w:r>
            <w:r w:rsidR="005F70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24F9E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24F9E" w:rsidRPr="005A3C4E" w:rsidRDefault="00F24F9E" w:rsidP="00F24F9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24F9E" w:rsidRPr="005A3C4E" w:rsidRDefault="00F24F9E" w:rsidP="00F24F9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67EE4669" w:rsidR="00F24F9E" w:rsidRPr="00091D2B" w:rsidRDefault="00F24F9E" w:rsidP="00326DD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52B5990C" w:rsidR="00F24F9E" w:rsidRPr="005A3C4E" w:rsidRDefault="00326DDB" w:rsidP="00F24F9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estadística/Grado de cumplimiento y calidad de los servicios públicos. También se ha localizado la Memoria 2023 fuera del Portal de Transparencia, a través de la página home de la web/</w:t>
            </w:r>
            <w:r w:rsidR="00AE2F8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CSIC/Información corporativa/Memorias anuales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AE2F8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Sería de desear que la información recogida en la Memoria, o la propia Memoria, se publicara también en el Portal de Transparencia.</w:t>
            </w:r>
          </w:p>
        </w:tc>
      </w:tr>
    </w:tbl>
    <w:p w14:paraId="695030C1" w14:textId="40A1A222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8F63B5E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75D46369">
                <wp:simplePos x="0" y="0"/>
                <wp:positionH relativeFrom="margin">
                  <wp:posOffset>228600</wp:posOffset>
                </wp:positionH>
                <wp:positionV relativeFrom="paragraph">
                  <wp:posOffset>135890</wp:posOffset>
                </wp:positionV>
                <wp:extent cx="6391275" cy="812800"/>
                <wp:effectExtent l="0" t="0" r="28575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9B088CC" w14:textId="1EDBC642" w:rsidR="001D0329" w:rsidRPr="00091D2B" w:rsidRDefault="00091D2B" w:rsidP="00AE2F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E2F8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0.7pt;width:503.25pt;height:6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9B088CC" w14:textId="1EDBC642" w:rsidR="001D0329" w:rsidRPr="00091D2B" w:rsidRDefault="00091D2B" w:rsidP="00AE2F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E2F8C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8A1AD38" w:rsidR="00BD4582" w:rsidRPr="007A0664" w:rsidRDefault="00BD4582" w:rsidP="00CD6E5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15A7F6CC" w:rsidR="00BD4582" w:rsidRPr="005A3C4E" w:rsidRDefault="00CD6E50" w:rsidP="00CD6E5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estadística/Bienes inmuebles del CSIC. Actualizado </w:t>
            </w:r>
            <w:r w:rsidR="003A31D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abril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</w:tbl>
    <w:p w14:paraId="5D8A63B5" w14:textId="77777777" w:rsidR="00CD6E50" w:rsidRDefault="00CD6E5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785E87BD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233DA658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7CB4C665">
                <wp:simplePos x="0" y="0"/>
                <wp:positionH relativeFrom="column">
                  <wp:posOffset>279400</wp:posOffset>
                </wp:positionH>
                <wp:positionV relativeFrom="paragraph">
                  <wp:posOffset>3810</wp:posOffset>
                </wp:positionV>
                <wp:extent cx="6381750" cy="927099"/>
                <wp:effectExtent l="0" t="0" r="19050" b="2603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927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85CEFC9" w:rsidR="007A0664" w:rsidRDefault="00CD6E50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 xml:space="preserve">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22pt;margin-top:.3pt;width:502.5pt;height:7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85CEFC9" w:rsidR="007A0664" w:rsidRDefault="00CD6E50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</w:t>
                      </w:r>
                      <w:r w:rsidR="007A0664">
                        <w:rPr>
                          <w:sz w:val="20"/>
                          <w:szCs w:val="20"/>
                        </w:rPr>
                        <w:t xml:space="preserve">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FFF8836" w14:textId="77777777" w:rsidR="00B01E91" w:rsidRPr="00B01E91" w:rsidRDefault="00B01E91" w:rsidP="00B01E91">
      <w:pPr>
        <w:pStyle w:val="Cuerpodelboletn"/>
        <w:spacing w:before="120" w:after="120" w:line="312" w:lineRule="auto"/>
        <w:ind w:left="851"/>
        <w:rPr>
          <w:rStyle w:val="Ttulo2Car"/>
          <w:rFonts w:eastAsiaTheme="minorEastAsia" w:cstheme="minorBidi"/>
          <w:bCs w:val="0"/>
          <w:sz w:val="32"/>
          <w:szCs w:val="24"/>
        </w:rPr>
      </w:pPr>
    </w:p>
    <w:p w14:paraId="4E678E76" w14:textId="5C3AD0AD" w:rsidR="00364F37" w:rsidRPr="00884D04" w:rsidRDefault="00BD4582" w:rsidP="00884D0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8"/>
        <w:gridCol w:w="728"/>
        <w:gridCol w:w="728"/>
        <w:gridCol w:w="728"/>
        <w:gridCol w:w="729"/>
        <w:gridCol w:w="731"/>
        <w:gridCol w:w="731"/>
      </w:tblGrid>
      <w:tr w:rsidR="00364F37" w:rsidRPr="00364F37" w14:paraId="2FB255B7" w14:textId="77777777" w:rsidTr="00364F37">
        <w:trPr>
          <w:divId w:val="1338539722"/>
          <w:trHeight w:val="1245"/>
        </w:trPr>
        <w:tc>
          <w:tcPr>
            <w:tcW w:w="1883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49678CBF" w14:textId="48CBD2EC" w:rsidR="00364F37" w:rsidRPr="00364F37" w:rsidRDefault="00364F37" w:rsidP="00364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4F37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48F4DE3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8ABB06B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D9BC020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B2681DD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F50C6E3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8EAD6DE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441EBC7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FFEDEB3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364F37" w:rsidRPr="00364F37" w14:paraId="5F0B984D" w14:textId="77777777" w:rsidTr="00364F37">
        <w:trPr>
          <w:divId w:val="1338539722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78F1B67" w14:textId="77777777" w:rsidR="00364F37" w:rsidRPr="00364F37" w:rsidRDefault="00364F37" w:rsidP="00364F3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1B3B05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B431A4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E1401C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6562B6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88D993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0FC719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55FD19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DB7B07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98,6</w:t>
            </w:r>
          </w:p>
        </w:tc>
      </w:tr>
      <w:tr w:rsidR="00364F37" w:rsidRPr="00364F37" w14:paraId="279F8274" w14:textId="77777777" w:rsidTr="00364F37">
        <w:trPr>
          <w:divId w:val="1338539722"/>
          <w:trHeight w:val="45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ADEBD3A" w14:textId="77777777" w:rsidR="00364F37" w:rsidRPr="00364F37" w:rsidRDefault="00364F37" w:rsidP="00364F3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0E528E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81EE6B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A4811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F96A3B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6D44A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EFB819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767377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389B02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364F37" w:rsidRPr="00364F37" w14:paraId="453AF35E" w14:textId="77777777" w:rsidTr="00364F37">
        <w:trPr>
          <w:divId w:val="1338539722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D5C771B" w14:textId="21B6BEF8" w:rsidR="00364F37" w:rsidRPr="00364F37" w:rsidRDefault="00364F37" w:rsidP="00364F3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520DEA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ECB250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881548C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4953C2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316DF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54C013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5971D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71363F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99,9</w:t>
            </w:r>
          </w:p>
        </w:tc>
      </w:tr>
      <w:tr w:rsidR="00364F37" w:rsidRPr="00364F37" w14:paraId="59417805" w14:textId="77777777" w:rsidTr="00364F37">
        <w:trPr>
          <w:divId w:val="1338539722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19726E2" w14:textId="77777777" w:rsidR="00364F37" w:rsidRPr="00364F37" w:rsidRDefault="00364F37" w:rsidP="00364F3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BB5564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C7940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86A672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AC5A10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07F685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893CEF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F376E3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24C90A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color w:val="000000"/>
                <w:sz w:val="16"/>
                <w:szCs w:val="16"/>
              </w:rPr>
              <w:t>700,0</w:t>
            </w:r>
          </w:p>
        </w:tc>
      </w:tr>
      <w:tr w:rsidR="00364F37" w:rsidRPr="00364F37" w14:paraId="41A6BE52" w14:textId="77777777" w:rsidTr="00364F37">
        <w:trPr>
          <w:divId w:val="1338539722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FA64D87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F91B97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A4711C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93FF51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B6661E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7886BB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D59B1B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AC5FA8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DE8BD2" w14:textId="77777777" w:rsidR="00364F37" w:rsidRPr="00364F37" w:rsidRDefault="00364F37" w:rsidP="00364F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F3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14:paraId="311730DC" w14:textId="2FCC2D95" w:rsidR="00364F37" w:rsidRDefault="00364F37" w:rsidP="00364F37">
      <w:pPr>
        <w:pStyle w:val="Cuerpodelboletn"/>
        <w:spacing w:before="120" w:after="120" w:line="312" w:lineRule="auto"/>
        <w:ind w:left="720"/>
      </w:pPr>
    </w:p>
    <w:p w14:paraId="0CBFD59A" w14:textId="5E45F3D9" w:rsidR="007A0664" w:rsidRDefault="007A0664" w:rsidP="00B01E91">
      <w:pPr>
        <w:pStyle w:val="Cuerpodelboletn"/>
        <w:spacing w:before="120" w:after="120" w:line="276" w:lineRule="auto"/>
        <w:ind w:left="426"/>
      </w:pPr>
      <w:r w:rsidRPr="00396A23">
        <w:t xml:space="preserve">El Índice de Cumplimiento de la Información Obligatoria (ICIO) alcanza el </w:t>
      </w:r>
      <w:r w:rsidR="00364F37">
        <w:t>100</w:t>
      </w:r>
      <w:r w:rsidRPr="00396A23">
        <w:t>%. Respecto de 202</w:t>
      </w:r>
      <w:r>
        <w:t>4</w:t>
      </w:r>
      <w:r w:rsidRPr="00396A23">
        <w:t xml:space="preserve">, el nivel de cumplimiento ha </w:t>
      </w:r>
      <w:r w:rsidR="00B01E91">
        <w:t>aumentado</w:t>
      </w:r>
      <w:r w:rsidR="00521AA8">
        <w:t xml:space="preserve"> </w:t>
      </w:r>
      <w:r w:rsidR="003A31DF">
        <w:t>más de un 125%</w:t>
      </w:r>
      <w:r w:rsidRPr="00396A23">
        <w:t xml:space="preserve">. </w:t>
      </w:r>
      <w:r w:rsidR="00B01E91">
        <w:t>Dado que la</w:t>
      </w:r>
      <w:r w:rsidR="003A31DF">
        <w:t>s</w:t>
      </w:r>
      <w:r w:rsidR="00B01E91">
        <w:t xml:space="preserve"> única</w:t>
      </w:r>
      <w:r w:rsidR="003A31DF">
        <w:t>s</w:t>
      </w:r>
      <w:r w:rsidR="00B01E91">
        <w:t xml:space="preserve"> obligaci</w:t>
      </w:r>
      <w:r w:rsidR="003A31DF">
        <w:t>ones</w:t>
      </w:r>
      <w:r w:rsidR="00B01E91">
        <w:t xml:space="preserve"> que no se cumple</w:t>
      </w:r>
      <w:r w:rsidR="003A31DF">
        <w:t>n son</w:t>
      </w:r>
      <w:r w:rsidR="00B01E91">
        <w:t xml:space="preserve"> </w:t>
      </w:r>
      <w:r w:rsidR="003A31DF">
        <w:t>publicar el organigrama en formato reutilizable y publicar a qué cantidad concreta asciende la obligación económica en los convenios suscritos, cuando esta existe</w:t>
      </w:r>
      <w:r w:rsidR="00B01E91">
        <w:t xml:space="preserve">, y que se han aplicado el resto de las diecisiete recomendaciones derivadas de la evaluación de 2024, este CTBG considera que el ICIO del CSIC es de un 100%. </w:t>
      </w:r>
    </w:p>
    <w:p w14:paraId="54565F04" w14:textId="77777777" w:rsidR="00B01E91" w:rsidRPr="00396A23" w:rsidRDefault="00B01E91" w:rsidP="00180D7E">
      <w:pPr>
        <w:pStyle w:val="Cuerpodelboletn"/>
        <w:spacing w:before="120" w:after="120" w:line="276" w:lineRule="auto"/>
        <w:ind w:left="426"/>
      </w:pPr>
    </w:p>
    <w:p w14:paraId="36722D24" w14:textId="28500065" w:rsidR="007A0664" w:rsidRPr="00C26420" w:rsidRDefault="007A0664" w:rsidP="00C26420">
      <w:pPr>
        <w:pStyle w:val="Prrafodelista"/>
        <w:numPr>
          <w:ilvl w:val="0"/>
          <w:numId w:val="1"/>
        </w:numPr>
        <w:rPr>
          <w:b/>
          <w:color w:val="3C8378"/>
          <w:sz w:val="32"/>
          <w:szCs w:val="24"/>
        </w:rPr>
      </w:pPr>
      <w:r w:rsidRPr="00C26420">
        <w:rPr>
          <w:b/>
          <w:color w:val="3C8378"/>
          <w:sz w:val="32"/>
          <w:szCs w:val="24"/>
        </w:rPr>
        <w:t xml:space="preserve">Conclusiones </w:t>
      </w:r>
    </w:p>
    <w:p w14:paraId="553AA0C2" w14:textId="14718D74" w:rsidR="007A0664" w:rsidRPr="00396A23" w:rsidRDefault="007A0664" w:rsidP="00C26420">
      <w:pPr>
        <w:spacing w:before="120" w:after="120"/>
        <w:ind w:left="426"/>
        <w:jc w:val="both"/>
      </w:pPr>
      <w:r w:rsidRPr="00396A23">
        <w:t>En 202</w:t>
      </w:r>
      <w:r>
        <w:t xml:space="preserve">3 </w:t>
      </w:r>
      <w:r w:rsidRPr="00396A23">
        <w:t>se realizó una primera evaluación de cumplimiento de las obligaciones de publicidad activa por parte de</w:t>
      </w:r>
      <w:r w:rsidR="00E16E35">
        <w:t>l C</w:t>
      </w:r>
      <w:r w:rsidR="00C26420">
        <w:t>SIC</w:t>
      </w:r>
      <w:r w:rsidRPr="00396A23">
        <w:t xml:space="preserve">. El índice de cumplimiento alcanzado se situó en el </w:t>
      </w:r>
      <w:r w:rsidR="00E16E35">
        <w:t>4</w:t>
      </w:r>
      <w:r w:rsidR="00C26420">
        <w:t>1,6</w:t>
      </w:r>
      <w:r w:rsidRPr="00396A23">
        <w:t xml:space="preserve">% y, a partir de las evidencias obtenidas en la evaluación, este Consejo efectuó </w:t>
      </w:r>
      <w:r w:rsidR="00C26420">
        <w:t>21</w:t>
      </w:r>
      <w:r w:rsidRPr="00396A23">
        <w:t xml:space="preserve"> recomendaciones, cuya finalidad era la mejora del cumplimiento de la LTAIBG por parte de la organización.</w:t>
      </w:r>
    </w:p>
    <w:p w14:paraId="453614C8" w14:textId="37D30E69" w:rsidR="007A0664" w:rsidRPr="00396A23" w:rsidRDefault="007A0664" w:rsidP="00C26420">
      <w:pPr>
        <w:spacing w:before="120" w:after="120"/>
        <w:ind w:left="426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E16E35" w:rsidRPr="00396A23">
        <w:t>e</w:t>
      </w:r>
      <w:r w:rsidR="00E16E35">
        <w:t>l C</w:t>
      </w:r>
      <w:r w:rsidR="00C26420">
        <w:t>SIC</w:t>
      </w:r>
      <w:r w:rsidR="00E16E35">
        <w:t xml:space="preserve"> </w:t>
      </w:r>
      <w:r w:rsidRPr="00396A23">
        <w:t xml:space="preserve">había aplicado </w:t>
      </w:r>
      <w:r w:rsidR="00C26420">
        <w:t>3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lo que se tradujo en un </w:t>
      </w:r>
      <w:r w:rsidR="00C26420">
        <w:t>in</w:t>
      </w:r>
      <w:r w:rsidRPr="00396A23">
        <w:t xml:space="preserve">cremento de su Índice de Cumplimiento en </w:t>
      </w:r>
      <w:r w:rsidR="00C26420">
        <w:t>2,8</w:t>
      </w:r>
      <w:r w:rsidRPr="00396A23">
        <w:t xml:space="preserve"> puntos porcentuales, alcanzando el </w:t>
      </w:r>
      <w:r w:rsidR="00C26420">
        <w:t>44,4</w:t>
      </w:r>
      <w:r w:rsidRPr="00396A23">
        <w:t>%.</w:t>
      </w:r>
    </w:p>
    <w:p w14:paraId="46C8227C" w14:textId="58EF0CDB" w:rsidR="007A0664" w:rsidRPr="00396A23" w:rsidRDefault="007A0664" w:rsidP="00C26420">
      <w:pPr>
        <w:spacing w:before="120" w:after="120"/>
        <w:ind w:left="426"/>
        <w:jc w:val="both"/>
      </w:pPr>
      <w:r w:rsidRPr="00396A23">
        <w:t xml:space="preserve">Dado que el nivel de cumplimiento de la LTAIBG por parte </w:t>
      </w:r>
      <w:r w:rsidR="00E16E35" w:rsidRPr="00396A23">
        <w:t>de</w:t>
      </w:r>
      <w:r w:rsidR="00E16E35">
        <w:t>l C</w:t>
      </w:r>
      <w:r w:rsidR="00C26420">
        <w:t>SIC</w:t>
      </w:r>
      <w:r w:rsidR="00E16E35" w:rsidRPr="00396A23">
        <w:t xml:space="preserve"> </w:t>
      </w:r>
      <w:r w:rsidRPr="00396A23">
        <w:t xml:space="preserve">era insuficiente, se decidió por parte de este CTBG, incluir </w:t>
      </w:r>
      <w:r w:rsidR="00E16E35">
        <w:t>al C</w:t>
      </w:r>
      <w:r w:rsidR="00C26420">
        <w:t>SIC</w:t>
      </w:r>
      <w:r w:rsidR="00E16E35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2E1CB905" w14:textId="25DAA783" w:rsidR="00082566" w:rsidRPr="00E16E35" w:rsidRDefault="007A0664" w:rsidP="00C26420">
      <w:pPr>
        <w:spacing w:before="120" w:after="120"/>
        <w:ind w:left="426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E16E35" w:rsidRPr="00396A23">
        <w:t>e</w:t>
      </w:r>
      <w:r w:rsidR="00E16E35">
        <w:t>l C</w:t>
      </w:r>
      <w:r w:rsidR="00C26420">
        <w:t>SIC</w:t>
      </w:r>
      <w:r w:rsidRPr="00396A23">
        <w:t xml:space="preserve"> ha </w:t>
      </w:r>
      <w:r w:rsidR="00C26420">
        <w:t>aumentado en 5</w:t>
      </w:r>
      <w:r w:rsidR="00B01E91">
        <w:t>5</w:t>
      </w:r>
      <w:r w:rsidR="00C26420">
        <w:t>,</w:t>
      </w:r>
      <w:r w:rsidR="003A31DF">
        <w:t>6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 se han aplicado</w:t>
      </w:r>
      <w:r w:rsidR="00C26420">
        <w:t xml:space="preserve"> prácticamente todas</w:t>
      </w:r>
      <w:r w:rsidRPr="00396A23">
        <w:t xml:space="preserve"> las recomendaciones derivadas de la evaluación realizada en ese año</w:t>
      </w:r>
      <w:r w:rsidR="00B01E91">
        <w:t>, con lo cual se puede considerar un ICIO del 100%, logro que este</w:t>
      </w:r>
      <w:r w:rsidR="00180D7E">
        <w:t xml:space="preserve"> CTBG reconoce y valora.</w:t>
      </w:r>
    </w:p>
    <w:p w14:paraId="5AAC0AEB" w14:textId="77777777" w:rsidR="00E16E35" w:rsidRPr="005A3C4E" w:rsidRDefault="00E16E35" w:rsidP="00C26420">
      <w:pPr>
        <w:pStyle w:val="Prrafodelista"/>
        <w:ind w:left="426"/>
        <w:jc w:val="both"/>
      </w:pPr>
    </w:p>
    <w:p w14:paraId="3B4C934F" w14:textId="70A7E955" w:rsidR="007A0664" w:rsidRPr="005A3C4E" w:rsidRDefault="007A0664" w:rsidP="00884D04">
      <w:pPr>
        <w:ind w:left="6372" w:firstLine="708"/>
        <w:jc w:val="right"/>
      </w:pPr>
      <w:r w:rsidRPr="005A3C4E">
        <w:t xml:space="preserve">Madrid, </w:t>
      </w:r>
      <w:r w:rsidR="00C50FDA">
        <w:t>octubre</w:t>
      </w:r>
      <w:r w:rsidR="003A31DF">
        <w:t xml:space="preserve"> de</w:t>
      </w:r>
      <w:r>
        <w:t xml:space="preserve">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567EF8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7DFB6A7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25E6E837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667472C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B6D948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319" type="#_x0000_t75" style="width:9pt;height:9pt" o:bullet="t">
        <v:imagedata r:id="rId1" o:title="BD14533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054C"/>
    <w:multiLevelType w:val="hybridMultilevel"/>
    <w:tmpl w:val="3406401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118E"/>
    <w:multiLevelType w:val="hybridMultilevel"/>
    <w:tmpl w:val="6C1262E4"/>
    <w:lvl w:ilvl="0" w:tplc="A036BCB0">
      <w:start w:val="2"/>
      <w:numFmt w:val="bullet"/>
      <w:lvlText w:val=""/>
      <w:lvlJc w:val="left"/>
      <w:pPr>
        <w:ind w:left="2127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4136B"/>
    <w:multiLevelType w:val="hybridMultilevel"/>
    <w:tmpl w:val="5A54BE80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0D568F"/>
    <w:multiLevelType w:val="hybridMultilevel"/>
    <w:tmpl w:val="CB54F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A92"/>
    <w:multiLevelType w:val="hybridMultilevel"/>
    <w:tmpl w:val="2D4E50E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17D8"/>
    <w:multiLevelType w:val="hybridMultilevel"/>
    <w:tmpl w:val="0242FE8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590C"/>
    <w:multiLevelType w:val="hybridMultilevel"/>
    <w:tmpl w:val="DD00E61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26FB0"/>
    <w:multiLevelType w:val="hybridMultilevel"/>
    <w:tmpl w:val="F718D6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3D65829"/>
    <w:multiLevelType w:val="hybridMultilevel"/>
    <w:tmpl w:val="44F83DC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5517A"/>
    <w:multiLevelType w:val="hybridMultilevel"/>
    <w:tmpl w:val="27E61C6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5924EB2"/>
    <w:multiLevelType w:val="hybridMultilevel"/>
    <w:tmpl w:val="714016EA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12"/>
  </w:num>
  <w:num w:numId="4">
    <w:abstractNumId w:val="41"/>
  </w:num>
  <w:num w:numId="5">
    <w:abstractNumId w:val="10"/>
  </w:num>
  <w:num w:numId="6">
    <w:abstractNumId w:val="21"/>
  </w:num>
  <w:num w:numId="7">
    <w:abstractNumId w:val="25"/>
  </w:num>
  <w:num w:numId="8">
    <w:abstractNumId w:val="15"/>
  </w:num>
  <w:num w:numId="9">
    <w:abstractNumId w:val="44"/>
  </w:num>
  <w:num w:numId="10">
    <w:abstractNumId w:val="39"/>
  </w:num>
  <w:num w:numId="11">
    <w:abstractNumId w:val="40"/>
  </w:num>
  <w:num w:numId="12">
    <w:abstractNumId w:val="32"/>
  </w:num>
  <w:num w:numId="13">
    <w:abstractNumId w:val="42"/>
  </w:num>
  <w:num w:numId="14">
    <w:abstractNumId w:val="19"/>
  </w:num>
  <w:num w:numId="15">
    <w:abstractNumId w:val="6"/>
  </w:num>
  <w:num w:numId="16">
    <w:abstractNumId w:val="18"/>
  </w:num>
  <w:num w:numId="17">
    <w:abstractNumId w:val="1"/>
  </w:num>
  <w:num w:numId="18">
    <w:abstractNumId w:val="14"/>
  </w:num>
  <w:num w:numId="19">
    <w:abstractNumId w:val="17"/>
  </w:num>
  <w:num w:numId="20">
    <w:abstractNumId w:val="33"/>
  </w:num>
  <w:num w:numId="21">
    <w:abstractNumId w:val="9"/>
  </w:num>
  <w:num w:numId="22">
    <w:abstractNumId w:val="2"/>
  </w:num>
  <w:num w:numId="23">
    <w:abstractNumId w:val="22"/>
  </w:num>
  <w:num w:numId="24">
    <w:abstractNumId w:val="27"/>
  </w:num>
  <w:num w:numId="25">
    <w:abstractNumId w:val="5"/>
  </w:num>
  <w:num w:numId="26">
    <w:abstractNumId w:val="16"/>
  </w:num>
  <w:num w:numId="27">
    <w:abstractNumId w:val="28"/>
  </w:num>
  <w:num w:numId="28">
    <w:abstractNumId w:val="26"/>
  </w:num>
  <w:num w:numId="29">
    <w:abstractNumId w:val="23"/>
  </w:num>
  <w:num w:numId="30">
    <w:abstractNumId w:val="24"/>
  </w:num>
  <w:num w:numId="31">
    <w:abstractNumId w:val="11"/>
  </w:num>
  <w:num w:numId="32">
    <w:abstractNumId w:val="0"/>
  </w:num>
  <w:num w:numId="33">
    <w:abstractNumId w:val="29"/>
  </w:num>
  <w:num w:numId="34">
    <w:abstractNumId w:val="43"/>
  </w:num>
  <w:num w:numId="35">
    <w:abstractNumId w:val="30"/>
  </w:num>
  <w:num w:numId="36">
    <w:abstractNumId w:val="16"/>
  </w:num>
  <w:num w:numId="37">
    <w:abstractNumId w:val="28"/>
  </w:num>
  <w:num w:numId="38">
    <w:abstractNumId w:val="26"/>
  </w:num>
  <w:num w:numId="39">
    <w:abstractNumId w:val="3"/>
  </w:num>
  <w:num w:numId="40">
    <w:abstractNumId w:val="20"/>
  </w:num>
  <w:num w:numId="41">
    <w:abstractNumId w:val="13"/>
  </w:num>
  <w:num w:numId="42">
    <w:abstractNumId w:val="37"/>
  </w:num>
  <w:num w:numId="43">
    <w:abstractNumId w:val="31"/>
  </w:num>
  <w:num w:numId="44">
    <w:abstractNumId w:val="36"/>
  </w:num>
  <w:num w:numId="45">
    <w:abstractNumId w:val="4"/>
  </w:num>
  <w:num w:numId="46">
    <w:abstractNumId w:val="38"/>
  </w:num>
  <w:num w:numId="47">
    <w:abstractNumId w:val="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241A"/>
    <w:rsid w:val="00055544"/>
    <w:rsid w:val="000807E2"/>
    <w:rsid w:val="00082566"/>
    <w:rsid w:val="00091D2B"/>
    <w:rsid w:val="000950CC"/>
    <w:rsid w:val="000965B3"/>
    <w:rsid w:val="000B0FBA"/>
    <w:rsid w:val="000C6CFF"/>
    <w:rsid w:val="000D37BA"/>
    <w:rsid w:val="000E62B9"/>
    <w:rsid w:val="00102733"/>
    <w:rsid w:val="00102EC4"/>
    <w:rsid w:val="0011279F"/>
    <w:rsid w:val="001400C0"/>
    <w:rsid w:val="001561A4"/>
    <w:rsid w:val="00156A51"/>
    <w:rsid w:val="00180D7E"/>
    <w:rsid w:val="00181EBD"/>
    <w:rsid w:val="00186FE9"/>
    <w:rsid w:val="00194552"/>
    <w:rsid w:val="001A17D1"/>
    <w:rsid w:val="001B6329"/>
    <w:rsid w:val="001C14D7"/>
    <w:rsid w:val="001C72D3"/>
    <w:rsid w:val="001D0329"/>
    <w:rsid w:val="001E30F9"/>
    <w:rsid w:val="001F1FD6"/>
    <w:rsid w:val="00206263"/>
    <w:rsid w:val="0021059E"/>
    <w:rsid w:val="00231B7E"/>
    <w:rsid w:val="00235095"/>
    <w:rsid w:val="002562C9"/>
    <w:rsid w:val="00280DE8"/>
    <w:rsid w:val="00285021"/>
    <w:rsid w:val="002A154B"/>
    <w:rsid w:val="002B60EC"/>
    <w:rsid w:val="002D51FC"/>
    <w:rsid w:val="002E6466"/>
    <w:rsid w:val="002F2850"/>
    <w:rsid w:val="00311108"/>
    <w:rsid w:val="00326DDB"/>
    <w:rsid w:val="00364F37"/>
    <w:rsid w:val="00374113"/>
    <w:rsid w:val="00384A99"/>
    <w:rsid w:val="003A31DF"/>
    <w:rsid w:val="003B7F67"/>
    <w:rsid w:val="003D3F6C"/>
    <w:rsid w:val="003E3018"/>
    <w:rsid w:val="003F271E"/>
    <w:rsid w:val="003F572A"/>
    <w:rsid w:val="00421CCF"/>
    <w:rsid w:val="00442DDF"/>
    <w:rsid w:val="00466D7A"/>
    <w:rsid w:val="004F2655"/>
    <w:rsid w:val="00515DAA"/>
    <w:rsid w:val="00521AA8"/>
    <w:rsid w:val="00521DA9"/>
    <w:rsid w:val="00524341"/>
    <w:rsid w:val="005260B7"/>
    <w:rsid w:val="005366E7"/>
    <w:rsid w:val="00544E0C"/>
    <w:rsid w:val="00560D54"/>
    <w:rsid w:val="00561402"/>
    <w:rsid w:val="00567EF8"/>
    <w:rsid w:val="0057532F"/>
    <w:rsid w:val="005A1669"/>
    <w:rsid w:val="005A1BD7"/>
    <w:rsid w:val="005A3C4E"/>
    <w:rsid w:val="005B19E4"/>
    <w:rsid w:val="005E0CA3"/>
    <w:rsid w:val="005F0BDE"/>
    <w:rsid w:val="005F29B8"/>
    <w:rsid w:val="005F704C"/>
    <w:rsid w:val="00605E0D"/>
    <w:rsid w:val="0060669B"/>
    <w:rsid w:val="006439A2"/>
    <w:rsid w:val="00647F81"/>
    <w:rsid w:val="00671D67"/>
    <w:rsid w:val="00686A14"/>
    <w:rsid w:val="0069157E"/>
    <w:rsid w:val="00695E84"/>
    <w:rsid w:val="006A1513"/>
    <w:rsid w:val="006A2766"/>
    <w:rsid w:val="006A760C"/>
    <w:rsid w:val="006D1122"/>
    <w:rsid w:val="006E24E9"/>
    <w:rsid w:val="006E5667"/>
    <w:rsid w:val="00710031"/>
    <w:rsid w:val="00715014"/>
    <w:rsid w:val="00716924"/>
    <w:rsid w:val="00716F29"/>
    <w:rsid w:val="00743756"/>
    <w:rsid w:val="007520C0"/>
    <w:rsid w:val="007615B6"/>
    <w:rsid w:val="007756BF"/>
    <w:rsid w:val="00783F7C"/>
    <w:rsid w:val="007A0664"/>
    <w:rsid w:val="007B0F99"/>
    <w:rsid w:val="00817B66"/>
    <w:rsid w:val="00827ABE"/>
    <w:rsid w:val="00840B55"/>
    <w:rsid w:val="00844FA9"/>
    <w:rsid w:val="00860F15"/>
    <w:rsid w:val="00870A89"/>
    <w:rsid w:val="008831F3"/>
    <w:rsid w:val="00884D04"/>
    <w:rsid w:val="008C1E1E"/>
    <w:rsid w:val="008C5F16"/>
    <w:rsid w:val="008D783F"/>
    <w:rsid w:val="00912C2E"/>
    <w:rsid w:val="00914711"/>
    <w:rsid w:val="009150B8"/>
    <w:rsid w:val="00923F05"/>
    <w:rsid w:val="009240C5"/>
    <w:rsid w:val="0092723A"/>
    <w:rsid w:val="00932008"/>
    <w:rsid w:val="00945DD7"/>
    <w:rsid w:val="009609E9"/>
    <w:rsid w:val="00980F65"/>
    <w:rsid w:val="0098555C"/>
    <w:rsid w:val="009A5239"/>
    <w:rsid w:val="009A7780"/>
    <w:rsid w:val="009F138B"/>
    <w:rsid w:val="00A3359D"/>
    <w:rsid w:val="00A417EB"/>
    <w:rsid w:val="00A442CF"/>
    <w:rsid w:val="00A608E2"/>
    <w:rsid w:val="00A75088"/>
    <w:rsid w:val="00A90BC7"/>
    <w:rsid w:val="00AA3642"/>
    <w:rsid w:val="00AD2022"/>
    <w:rsid w:val="00AE2F8C"/>
    <w:rsid w:val="00AE3317"/>
    <w:rsid w:val="00AF0A48"/>
    <w:rsid w:val="00B01E91"/>
    <w:rsid w:val="00B15FC1"/>
    <w:rsid w:val="00B2173B"/>
    <w:rsid w:val="00B266D1"/>
    <w:rsid w:val="00B325B8"/>
    <w:rsid w:val="00B32D40"/>
    <w:rsid w:val="00B40246"/>
    <w:rsid w:val="00B7775F"/>
    <w:rsid w:val="00B841AE"/>
    <w:rsid w:val="00BA2751"/>
    <w:rsid w:val="00BB6799"/>
    <w:rsid w:val="00BC15C1"/>
    <w:rsid w:val="00BC72D4"/>
    <w:rsid w:val="00BD4582"/>
    <w:rsid w:val="00BE18B0"/>
    <w:rsid w:val="00BE6A46"/>
    <w:rsid w:val="00C1491D"/>
    <w:rsid w:val="00C23166"/>
    <w:rsid w:val="00C26420"/>
    <w:rsid w:val="00C33225"/>
    <w:rsid w:val="00C33A23"/>
    <w:rsid w:val="00C50FDA"/>
    <w:rsid w:val="00C5744D"/>
    <w:rsid w:val="00C65B5B"/>
    <w:rsid w:val="00C6710B"/>
    <w:rsid w:val="00C703B7"/>
    <w:rsid w:val="00CA4FB1"/>
    <w:rsid w:val="00CB4BF4"/>
    <w:rsid w:val="00CB5511"/>
    <w:rsid w:val="00CC2049"/>
    <w:rsid w:val="00CC5B4F"/>
    <w:rsid w:val="00CD4E90"/>
    <w:rsid w:val="00CD6E50"/>
    <w:rsid w:val="00D17380"/>
    <w:rsid w:val="00D221AE"/>
    <w:rsid w:val="00D374C0"/>
    <w:rsid w:val="00D37742"/>
    <w:rsid w:val="00D42966"/>
    <w:rsid w:val="00D61A4E"/>
    <w:rsid w:val="00D96F84"/>
    <w:rsid w:val="00DA76E7"/>
    <w:rsid w:val="00DB3548"/>
    <w:rsid w:val="00DB6197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738BE"/>
    <w:rsid w:val="00EB169A"/>
    <w:rsid w:val="00EB51D7"/>
    <w:rsid w:val="00EC3099"/>
    <w:rsid w:val="00EC5A86"/>
    <w:rsid w:val="00ED006B"/>
    <w:rsid w:val="00EE1A7C"/>
    <w:rsid w:val="00F00737"/>
    <w:rsid w:val="00F14DA4"/>
    <w:rsid w:val="00F21D28"/>
    <w:rsid w:val="00F22752"/>
    <w:rsid w:val="00F22B6F"/>
    <w:rsid w:val="00F24F9E"/>
    <w:rsid w:val="00F339DA"/>
    <w:rsid w:val="00F47C3B"/>
    <w:rsid w:val="00F66BBF"/>
    <w:rsid w:val="00F71D7D"/>
    <w:rsid w:val="00F72800"/>
    <w:rsid w:val="00FA460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sic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6EBF"/>
    <w:rsid w:val="0013771E"/>
    <w:rsid w:val="001E1683"/>
    <w:rsid w:val="001E47E8"/>
    <w:rsid w:val="002573DD"/>
    <w:rsid w:val="003D088C"/>
    <w:rsid w:val="00447F79"/>
    <w:rsid w:val="004D543B"/>
    <w:rsid w:val="004F291A"/>
    <w:rsid w:val="00617EB2"/>
    <w:rsid w:val="007728A6"/>
    <w:rsid w:val="008B6C28"/>
    <w:rsid w:val="0094033C"/>
    <w:rsid w:val="009B1029"/>
    <w:rsid w:val="009C534F"/>
    <w:rsid w:val="00A324F5"/>
    <w:rsid w:val="00AC72EB"/>
    <w:rsid w:val="00B35D83"/>
    <w:rsid w:val="00B71197"/>
    <w:rsid w:val="00C55F34"/>
    <w:rsid w:val="00D04782"/>
    <w:rsid w:val="00D35513"/>
    <w:rsid w:val="00D53198"/>
    <w:rsid w:val="00DE4B57"/>
    <w:rsid w:val="00E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465</TotalTime>
  <Pages>11</Pages>
  <Words>3022</Words>
  <Characters>16621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33</cp:revision>
  <cp:lastPrinted>2024-10-21T09:52:00Z</cp:lastPrinted>
  <dcterms:created xsi:type="dcterms:W3CDTF">2025-03-19T17:16:00Z</dcterms:created>
  <dcterms:modified xsi:type="dcterms:W3CDTF">2025-11-06T11:24:00Z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