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5"/>
        <w:gridCol w:w="6851"/>
      </w:tblGrid>
      <w:tr w:rsidR="00633F32" w:rsidRPr="005A3C4E" w14:paraId="5BA444D3" w14:textId="77777777" w:rsidTr="00633F32">
        <w:tc>
          <w:tcPr>
            <w:tcW w:w="3605" w:type="dxa"/>
            <w:vAlign w:val="center"/>
          </w:tcPr>
          <w:p w14:paraId="2F4404FF" w14:textId="77777777" w:rsidR="00633F32" w:rsidRPr="005A3C4E" w:rsidRDefault="00633F32" w:rsidP="00633F32">
            <w:pPr>
              <w:rPr>
                <w:b/>
                <w:color w:val="00642D"/>
                <w:sz w:val="24"/>
                <w:szCs w:val="24"/>
              </w:rPr>
            </w:pPr>
            <w:r w:rsidRPr="0060669B">
              <w:rPr>
                <w:b/>
                <w:color w:val="3C8378"/>
                <w:sz w:val="24"/>
                <w:szCs w:val="24"/>
              </w:rPr>
              <w:t>Entidad evaluada</w:t>
            </w:r>
          </w:p>
        </w:tc>
        <w:tc>
          <w:tcPr>
            <w:tcW w:w="6851" w:type="dxa"/>
          </w:tcPr>
          <w:p w14:paraId="5F8064B4" w14:textId="5199E34B" w:rsidR="00633F32" w:rsidRPr="005A3C4E" w:rsidRDefault="00633F32" w:rsidP="00633F32">
            <w:pPr>
              <w:rPr>
                <w:sz w:val="24"/>
                <w:szCs w:val="24"/>
              </w:rPr>
            </w:pPr>
            <w:r>
              <w:rPr>
                <w:sz w:val="24"/>
                <w:szCs w:val="24"/>
              </w:rPr>
              <w:t>Entidad Pública Empresarial RENFE Operadora</w:t>
            </w:r>
          </w:p>
        </w:tc>
      </w:tr>
      <w:tr w:rsidR="00633F32" w:rsidRPr="005A3C4E" w14:paraId="0F68D7D9" w14:textId="77777777" w:rsidTr="00633F32">
        <w:tc>
          <w:tcPr>
            <w:tcW w:w="3605" w:type="dxa"/>
            <w:vAlign w:val="center"/>
          </w:tcPr>
          <w:p w14:paraId="47F14106" w14:textId="77777777" w:rsidR="00633F32" w:rsidRPr="005A3C4E" w:rsidRDefault="00633F32" w:rsidP="00633F32">
            <w:pPr>
              <w:rPr>
                <w:b/>
                <w:color w:val="00642D"/>
                <w:sz w:val="24"/>
                <w:szCs w:val="24"/>
              </w:rPr>
            </w:pPr>
            <w:r w:rsidRPr="0060669B">
              <w:rPr>
                <w:b/>
                <w:color w:val="3C8378"/>
                <w:sz w:val="24"/>
                <w:szCs w:val="24"/>
              </w:rPr>
              <w:t>Fecha de la evaluación</w:t>
            </w:r>
          </w:p>
        </w:tc>
        <w:tc>
          <w:tcPr>
            <w:tcW w:w="6851" w:type="dxa"/>
          </w:tcPr>
          <w:p w14:paraId="4354ADFD" w14:textId="6FD1E8E5" w:rsidR="00633F32" w:rsidRDefault="00633F32" w:rsidP="00633F32">
            <w:pPr>
              <w:rPr>
                <w:sz w:val="24"/>
                <w:szCs w:val="24"/>
              </w:rPr>
            </w:pPr>
            <w:r>
              <w:rPr>
                <w:sz w:val="24"/>
                <w:szCs w:val="24"/>
              </w:rPr>
              <w:t>01/04/2025</w:t>
            </w:r>
          </w:p>
          <w:p w14:paraId="0D584C03" w14:textId="1960132A" w:rsidR="00633F32" w:rsidRPr="005A3C4E" w:rsidRDefault="00633F32" w:rsidP="00633F32">
            <w:pPr>
              <w:rPr>
                <w:sz w:val="24"/>
                <w:szCs w:val="24"/>
              </w:rPr>
            </w:pPr>
            <w:r w:rsidRPr="005A3C4E">
              <w:rPr>
                <w:sz w:val="24"/>
                <w:szCs w:val="24"/>
              </w:rPr>
              <w:t xml:space="preserve">Segunda revisión: </w:t>
            </w:r>
            <w:r w:rsidR="00BD6F08">
              <w:rPr>
                <w:sz w:val="24"/>
                <w:szCs w:val="24"/>
              </w:rPr>
              <w:t>14/07/2025</w:t>
            </w:r>
          </w:p>
        </w:tc>
      </w:tr>
      <w:tr w:rsidR="00633F32" w:rsidRPr="005A3C4E" w14:paraId="4D664A04" w14:textId="77777777" w:rsidTr="00633F32">
        <w:tc>
          <w:tcPr>
            <w:tcW w:w="3605" w:type="dxa"/>
          </w:tcPr>
          <w:p w14:paraId="442D619F" w14:textId="77777777" w:rsidR="00633F32" w:rsidRPr="0060669B" w:rsidRDefault="00633F32" w:rsidP="00633F32">
            <w:pPr>
              <w:rPr>
                <w:b/>
                <w:color w:val="3C8378"/>
                <w:sz w:val="24"/>
                <w:szCs w:val="24"/>
              </w:rPr>
            </w:pPr>
            <w:r w:rsidRPr="0060669B">
              <w:rPr>
                <w:b/>
                <w:color w:val="3C8378"/>
                <w:sz w:val="24"/>
                <w:szCs w:val="24"/>
              </w:rPr>
              <w:t>URL de la entidad</w:t>
            </w:r>
          </w:p>
        </w:tc>
        <w:tc>
          <w:tcPr>
            <w:tcW w:w="6851" w:type="dxa"/>
          </w:tcPr>
          <w:p w14:paraId="1C06D6AC" w14:textId="2ACC4148" w:rsidR="00BD6F08" w:rsidRPr="005A3C4E" w:rsidRDefault="00BE2453" w:rsidP="00BD6F08">
            <w:pPr>
              <w:rPr>
                <w:sz w:val="24"/>
                <w:szCs w:val="24"/>
              </w:rPr>
            </w:pPr>
            <w:hyperlink r:id="rId9" w:history="1">
              <w:r w:rsidR="00BD6F08" w:rsidRPr="00B6359C">
                <w:rPr>
                  <w:rStyle w:val="Hipervnculo"/>
                  <w:sz w:val="24"/>
                  <w:szCs w:val="24"/>
                </w:rPr>
                <w:t>https://www.renfe.com/es/es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BE2453"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2B7C4A">
            <w:rPr>
              <w:color w:val="3C8378"/>
              <w:sz w:val="30"/>
              <w:szCs w:val="30"/>
            </w:rPr>
            <w:t>Localización y Estructuración</w:t>
          </w:r>
          <w:r w:rsidR="000C6CFF" w:rsidRPr="0060669B">
            <w:rPr>
              <w:color w:val="3C8378"/>
              <w:sz w:val="30"/>
              <w:szCs w:val="30"/>
            </w:rPr>
            <w:t xml:space="preserve">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BC2A85F" w:rsidR="00CB5511" w:rsidRPr="005A3C4E" w:rsidRDefault="003B53D9"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378FD33C" w:rsidR="00CB5511" w:rsidRPr="005A3C4E" w:rsidRDefault="003B53D9" w:rsidP="002B7C4A">
            <w:pPr>
              <w:jc w:val="both"/>
              <w:rPr>
                <w:sz w:val="20"/>
                <w:szCs w:val="20"/>
              </w:rPr>
            </w:pPr>
            <w:r>
              <w:rPr>
                <w:sz w:val="20"/>
                <w:szCs w:val="20"/>
              </w:rPr>
              <w:t>El acceso Gobierno corporativo y transparencia se publica en la parte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33FA134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2B7C4A">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3C8CA22A" w14:textId="51649E09" w:rsidR="00560D54" w:rsidRDefault="002B7C4A" w:rsidP="00E24139">
            <w:pPr>
              <w:jc w:val="both"/>
              <w:rPr>
                <w:sz w:val="20"/>
                <w:szCs w:val="20"/>
              </w:rPr>
            </w:pPr>
            <w:r>
              <w:rPr>
                <w:sz w:val="20"/>
                <w:szCs w:val="20"/>
              </w:rPr>
              <w:t xml:space="preserve">La información se organiza en tres apartados: </w:t>
            </w:r>
            <w:r w:rsidR="003F37E3">
              <w:rPr>
                <w:sz w:val="20"/>
                <w:szCs w:val="20"/>
              </w:rPr>
              <w:t>Portal/Ley de transparencia, Equipo directivo, Consejo de Administración e Indicadores de transparencia.</w:t>
            </w:r>
          </w:p>
          <w:p w14:paraId="1C0FA001" w14:textId="77777777" w:rsidR="003F37E3" w:rsidRDefault="003F37E3" w:rsidP="00E24139">
            <w:pPr>
              <w:jc w:val="both"/>
              <w:rPr>
                <w:sz w:val="20"/>
                <w:szCs w:val="20"/>
              </w:rPr>
            </w:pPr>
          </w:p>
          <w:p w14:paraId="01E763D6" w14:textId="083E197E" w:rsidR="003F37E3" w:rsidRPr="005A3C4E" w:rsidRDefault="003F37E3" w:rsidP="00E24139">
            <w:pPr>
              <w:jc w:val="both"/>
              <w:rPr>
                <w:sz w:val="20"/>
                <w:szCs w:val="20"/>
              </w:rPr>
            </w:pPr>
            <w:r>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F5809D4"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BA28E1">
              <w:rPr>
                <w:rStyle w:val="Ttulo2Car"/>
                <w:b w:val="0"/>
                <w:color w:val="auto"/>
                <w:sz w:val="20"/>
                <w:szCs w:val="20"/>
                <w:lang w:bidi="es-ES"/>
              </w:rPr>
              <w:t>2</w:t>
            </w:r>
          </w:p>
        </w:tc>
        <w:tc>
          <w:tcPr>
            <w:tcW w:w="2545" w:type="dxa"/>
          </w:tcPr>
          <w:p w14:paraId="6FAEAD59" w14:textId="55184A95"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36,2%</w:t>
            </w:r>
          </w:p>
        </w:tc>
        <w:tc>
          <w:tcPr>
            <w:tcW w:w="2728" w:type="dxa"/>
          </w:tcPr>
          <w:p w14:paraId="1B3D21B6" w14:textId="0C262E53"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18</w:t>
            </w:r>
          </w:p>
        </w:tc>
        <w:tc>
          <w:tcPr>
            <w:tcW w:w="2051" w:type="dxa"/>
          </w:tcPr>
          <w:p w14:paraId="1343146B" w14:textId="2FCBE744"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p>
        </w:tc>
      </w:tr>
      <w:tr w:rsidR="00E24139" w:rsidRPr="00396A23" w14:paraId="0CF35A91" w14:textId="77777777" w:rsidTr="00B15FC1">
        <w:tc>
          <w:tcPr>
            <w:tcW w:w="2711" w:type="dxa"/>
          </w:tcPr>
          <w:p w14:paraId="4A5702B4" w14:textId="4E5E3A7E"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BA28E1">
              <w:rPr>
                <w:rStyle w:val="Ttulo2Car"/>
                <w:b w:val="0"/>
                <w:color w:val="auto"/>
                <w:sz w:val="20"/>
                <w:szCs w:val="20"/>
                <w:lang w:bidi="es-ES"/>
              </w:rPr>
              <w:t>3</w:t>
            </w:r>
          </w:p>
        </w:tc>
        <w:tc>
          <w:tcPr>
            <w:tcW w:w="2545" w:type="dxa"/>
          </w:tcPr>
          <w:p w14:paraId="070F7D46" w14:textId="0C0B9F88"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36,2%</w:t>
            </w:r>
          </w:p>
        </w:tc>
        <w:tc>
          <w:tcPr>
            <w:tcW w:w="2728" w:type="dxa"/>
          </w:tcPr>
          <w:p w14:paraId="78459DA6" w14:textId="0944D4C7" w:rsidR="00E24139" w:rsidRPr="00396A23" w:rsidRDefault="00456E7A"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456E7A">
              <w:rPr>
                <w:rStyle w:val="Ttulo2Car"/>
                <w:b w:val="0"/>
                <w:color w:val="auto"/>
                <w:sz w:val="20"/>
                <w:szCs w:val="20"/>
                <w:lang w:bidi="es-ES"/>
              </w:rPr>
              <w:t>8</w:t>
            </w:r>
          </w:p>
        </w:tc>
        <w:tc>
          <w:tcPr>
            <w:tcW w:w="2051" w:type="dxa"/>
          </w:tcPr>
          <w:p w14:paraId="21BDE47D" w14:textId="2CE706CB" w:rsidR="00E24139" w:rsidRPr="00396A23" w:rsidRDefault="00FE619A"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34ABDE78" w14:textId="77777777"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El apartado Gobierno Corporativo y Transparencia sigue manteniendo 2 accesos: el acceso denominado Portal de Transparencia en el que sólo se localizan dos banner que redirigen al Portal de Transparencia de la AGE y a la publicación en el BOE de la Ley 19/2013, y el acceso Indicadores de Transparencia en el que se publica gran parte de la información obligatoria. Esta circunstancia puede dar lugar a confusión.</w:t>
            </w:r>
          </w:p>
          <w:p w14:paraId="18CB9984" w14:textId="3E54A58B"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Sigue sin organizarse la información conforme al patrón de bloques que establece la LTAIBG: Información Institucional, Organizativa y de Planificación; Información de Relevancia Jurídica; Información Económica, Presupuestaria y Estadística e Información Patrimonial.</w:t>
            </w:r>
          </w:p>
          <w:p w14:paraId="55CD190C" w14:textId="77777777" w:rsidR="00BA28E1" w:rsidRPr="00BD6F08" w:rsidRDefault="00BA28E1" w:rsidP="00BA28E1">
            <w:pPr>
              <w:pStyle w:val="Sinespaciado"/>
              <w:spacing w:line="276" w:lineRule="auto"/>
              <w:ind w:left="720"/>
              <w:jc w:val="both"/>
              <w:rPr>
                <w:sz w:val="20"/>
                <w:szCs w:val="20"/>
              </w:rPr>
            </w:pPr>
          </w:p>
          <w:p w14:paraId="3846C5C4" w14:textId="77777777" w:rsidR="00BA28E1" w:rsidRPr="00BD6F08" w:rsidRDefault="00BA28E1" w:rsidP="00BA28E1">
            <w:pPr>
              <w:pStyle w:val="Sinespaciado"/>
              <w:spacing w:line="276" w:lineRule="auto"/>
              <w:jc w:val="both"/>
              <w:rPr>
                <w:sz w:val="20"/>
                <w:szCs w:val="20"/>
              </w:rPr>
            </w:pPr>
            <w:r w:rsidRPr="00BD6F08">
              <w:rPr>
                <w:sz w:val="20"/>
                <w:szCs w:val="20"/>
              </w:rPr>
              <w:t>Respecto de la publicación de contenidos, sigue sin publicarse:</w:t>
            </w:r>
          </w:p>
          <w:p w14:paraId="0E1DB2F8" w14:textId="77777777" w:rsidR="00BA28E1" w:rsidRPr="00BD6F08" w:rsidRDefault="00BA28E1" w:rsidP="00BA28E1">
            <w:pPr>
              <w:pStyle w:val="Prrafodelista"/>
              <w:rPr>
                <w:sz w:val="20"/>
                <w:szCs w:val="20"/>
              </w:rPr>
            </w:pPr>
          </w:p>
          <w:p w14:paraId="24678181" w14:textId="77777777"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 xml:space="preserve">Dentro del bloque de información Institucional y Organizativa: </w:t>
            </w:r>
          </w:p>
          <w:p w14:paraId="31DFE830" w14:textId="47FCC1CC" w:rsidR="00BA28E1" w:rsidRPr="00BD6F08" w:rsidRDefault="00BA28E1" w:rsidP="00456E7A">
            <w:pPr>
              <w:pStyle w:val="Prrafodelista"/>
              <w:numPr>
                <w:ilvl w:val="0"/>
                <w:numId w:val="39"/>
              </w:numPr>
              <w:jc w:val="both"/>
              <w:rPr>
                <w:sz w:val="20"/>
                <w:szCs w:val="20"/>
              </w:rPr>
            </w:pPr>
            <w:r w:rsidRPr="00BD6F08">
              <w:rPr>
                <w:sz w:val="20"/>
                <w:szCs w:val="20"/>
              </w:rPr>
              <w:t>El organigrama, entendido como la representación gráfica de la estructura de la entidad y de las relaciones entre los diversos niveles de dicha estructura.</w:t>
            </w:r>
          </w:p>
          <w:p w14:paraId="75DB475C" w14:textId="46666171" w:rsidR="00BA28E1" w:rsidRPr="00BD6F08" w:rsidRDefault="00BA28E1" w:rsidP="00456E7A">
            <w:pPr>
              <w:pStyle w:val="Prrafodelista"/>
              <w:numPr>
                <w:ilvl w:val="0"/>
                <w:numId w:val="39"/>
              </w:numPr>
              <w:jc w:val="both"/>
              <w:rPr>
                <w:sz w:val="20"/>
                <w:szCs w:val="20"/>
              </w:rPr>
            </w:pPr>
            <w:r w:rsidRPr="00BD6F08">
              <w:rPr>
                <w:sz w:val="20"/>
                <w:szCs w:val="20"/>
              </w:rPr>
              <w:lastRenderedPageBreak/>
              <w:t xml:space="preserve">La información sobre cumplimiento y resultados de planes y programas. </w:t>
            </w:r>
          </w:p>
          <w:p w14:paraId="784D9106" w14:textId="0182B567" w:rsidR="00BA28E1" w:rsidRPr="00BD6F08" w:rsidRDefault="00BA28E1" w:rsidP="00456E7A">
            <w:pPr>
              <w:pStyle w:val="Prrafodelista"/>
              <w:numPr>
                <w:ilvl w:val="0"/>
                <w:numId w:val="39"/>
              </w:numPr>
              <w:jc w:val="both"/>
              <w:rPr>
                <w:sz w:val="20"/>
                <w:szCs w:val="20"/>
              </w:rPr>
            </w:pPr>
            <w:r w:rsidRPr="00BD6F08">
              <w:rPr>
                <w:sz w:val="20"/>
                <w:szCs w:val="20"/>
              </w:rPr>
              <w:t>La información sobre los indicadores de medida y valoración del cumplimiento de objetivos.</w:t>
            </w:r>
          </w:p>
          <w:p w14:paraId="7A2A601E" w14:textId="77777777" w:rsidR="00456E7A" w:rsidRPr="00BD6F08" w:rsidRDefault="00456E7A" w:rsidP="00BA28E1">
            <w:pPr>
              <w:pStyle w:val="Sinespaciado"/>
              <w:spacing w:line="276" w:lineRule="auto"/>
              <w:jc w:val="both"/>
              <w:rPr>
                <w:sz w:val="20"/>
                <w:szCs w:val="20"/>
              </w:rPr>
            </w:pPr>
          </w:p>
          <w:p w14:paraId="67A763B1" w14:textId="49526CF2" w:rsidR="00BA28E1" w:rsidRPr="00BD6F08" w:rsidRDefault="00BA28E1" w:rsidP="00456E7A">
            <w:pPr>
              <w:pStyle w:val="Sinespaciado"/>
              <w:numPr>
                <w:ilvl w:val="0"/>
                <w:numId w:val="36"/>
              </w:numPr>
              <w:spacing w:line="276" w:lineRule="auto"/>
              <w:jc w:val="both"/>
              <w:rPr>
                <w:sz w:val="20"/>
                <w:szCs w:val="20"/>
              </w:rPr>
            </w:pPr>
            <w:r w:rsidRPr="00BD6F08">
              <w:rPr>
                <w:sz w:val="20"/>
                <w:szCs w:val="20"/>
              </w:rPr>
              <w:t>En el bloque de información económica:</w:t>
            </w:r>
          </w:p>
          <w:p w14:paraId="25E15DB5" w14:textId="3AF66C9C"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modificaciones de contratos.</w:t>
            </w:r>
          </w:p>
          <w:p w14:paraId="55A5BE45" w14:textId="632B4AF5"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estadística sobre contratación.</w:t>
            </w:r>
          </w:p>
          <w:p w14:paraId="3837226B" w14:textId="3E42A7E2" w:rsidR="00456E7A" w:rsidRPr="00BD6F08" w:rsidRDefault="00456E7A" w:rsidP="00456E7A">
            <w:pPr>
              <w:pStyle w:val="Sinespaciado"/>
              <w:numPr>
                <w:ilvl w:val="0"/>
                <w:numId w:val="40"/>
              </w:numPr>
              <w:spacing w:line="276" w:lineRule="auto"/>
              <w:jc w:val="both"/>
              <w:rPr>
                <w:iCs/>
                <w:sz w:val="20"/>
                <w:szCs w:val="20"/>
              </w:rPr>
            </w:pPr>
            <w:r w:rsidRPr="00BD6F08">
              <w:rPr>
                <w:iCs/>
                <w:sz w:val="20"/>
                <w:szCs w:val="20"/>
              </w:rPr>
              <w:t>La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666B9EBB" w14:textId="03ADA465"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sobre convenios en el Portal de Transparencia de RENFE Operadora.</w:t>
            </w:r>
          </w:p>
          <w:p w14:paraId="49B55548" w14:textId="63A7C704" w:rsidR="00BA28E1" w:rsidRPr="00BD6F08" w:rsidRDefault="00BA28E1" w:rsidP="0002068D">
            <w:pPr>
              <w:pStyle w:val="Sinespaciado"/>
              <w:numPr>
                <w:ilvl w:val="0"/>
                <w:numId w:val="40"/>
              </w:numPr>
              <w:spacing w:line="276" w:lineRule="auto"/>
              <w:jc w:val="both"/>
              <w:rPr>
                <w:sz w:val="20"/>
                <w:szCs w:val="20"/>
              </w:rPr>
            </w:pPr>
            <w:r w:rsidRPr="00BD6F08">
              <w:rPr>
                <w:sz w:val="20"/>
                <w:szCs w:val="20"/>
              </w:rPr>
              <w:t>Sigue sin publicarse información sobre las encomiendas de gestión</w:t>
            </w:r>
            <w:r w:rsidR="00456E7A" w:rsidRPr="00BD6F08">
              <w:rPr>
                <w:sz w:val="20"/>
                <w:szCs w:val="20"/>
              </w:rPr>
              <w:t xml:space="preserve"> y, en su caso, las </w:t>
            </w:r>
            <w:r w:rsidRPr="00BD6F08">
              <w:rPr>
                <w:sz w:val="20"/>
                <w:szCs w:val="20"/>
              </w:rPr>
              <w:t>subcontrataciones derivadas de éstas.</w:t>
            </w:r>
          </w:p>
          <w:p w14:paraId="3E98902C" w14:textId="576451B4"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sobre subvenciones y ayudas públicas concedidas. Esta información debe publicarse de manera individualizada, sin que quepa la remisión a las cuentas anuales.</w:t>
            </w:r>
          </w:p>
          <w:p w14:paraId="215522B4" w14:textId="453DA0BF"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 xml:space="preserve">No se publican los informes de auditoría y fiscalización elaborados por el Tribunal de Cuentas. </w:t>
            </w:r>
          </w:p>
          <w:p w14:paraId="60D00D62" w14:textId="74208681"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retribuciones de sus máximos responsables.</w:t>
            </w:r>
          </w:p>
          <w:p w14:paraId="443314BA" w14:textId="629C0C7C"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indemnizaciones percibidas por altos cargos y máximos responsables tras el abandono del cargo.</w:t>
            </w:r>
          </w:p>
          <w:p w14:paraId="001E8759" w14:textId="3D811F6E"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autorizaciones de compatibilidad concedidas a empleados.</w:t>
            </w:r>
          </w:p>
          <w:p w14:paraId="34DD188E" w14:textId="5288A6B4"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autorizaciones para el ejercicio de actividades privadas al ceso de altos Cargos.</w:t>
            </w:r>
          </w:p>
          <w:p w14:paraId="5F701EFB" w14:textId="4C3BB409" w:rsidR="00456E7A" w:rsidRPr="00BD6F08" w:rsidRDefault="00456E7A" w:rsidP="00456E7A">
            <w:pPr>
              <w:pStyle w:val="Sinespaciado"/>
              <w:numPr>
                <w:ilvl w:val="0"/>
                <w:numId w:val="40"/>
              </w:numPr>
              <w:spacing w:line="276" w:lineRule="auto"/>
              <w:jc w:val="both"/>
              <w:rPr>
                <w:sz w:val="20"/>
                <w:szCs w:val="20"/>
              </w:rPr>
            </w:pPr>
            <w:r w:rsidRPr="00BD6F08">
              <w:rPr>
                <w:sz w:val="20"/>
                <w:szCs w:val="20"/>
              </w:rPr>
              <w:t>Relación de los bienes inmuebles que sean propiedad del organismo o sobre los que ostente algún derecho real.</w:t>
            </w:r>
          </w:p>
          <w:p w14:paraId="2ADE861A" w14:textId="77777777" w:rsidR="00BA28E1" w:rsidRPr="00BD6F08" w:rsidRDefault="00BA28E1" w:rsidP="00BA28E1">
            <w:pPr>
              <w:pStyle w:val="Sinespaciado"/>
              <w:spacing w:line="276" w:lineRule="auto"/>
              <w:ind w:left="1800"/>
              <w:jc w:val="both"/>
              <w:rPr>
                <w:sz w:val="20"/>
                <w:szCs w:val="20"/>
              </w:rPr>
            </w:pPr>
          </w:p>
          <w:p w14:paraId="534CD351" w14:textId="77777777" w:rsidR="00BA28E1" w:rsidRPr="00BD6F08" w:rsidRDefault="00BA28E1" w:rsidP="00BA28E1">
            <w:pPr>
              <w:pStyle w:val="Sinespaciado"/>
              <w:spacing w:line="276" w:lineRule="auto"/>
              <w:jc w:val="both"/>
              <w:rPr>
                <w:sz w:val="20"/>
                <w:szCs w:val="20"/>
              </w:rPr>
            </w:pPr>
            <w:r w:rsidRPr="00BD6F08">
              <w:rPr>
                <w:sz w:val="20"/>
                <w:szCs w:val="20"/>
              </w:rPr>
              <w:t xml:space="preserve">Respecto del cumplimiento de los criterios de calidad en la publicación de la información, </w:t>
            </w:r>
          </w:p>
          <w:p w14:paraId="4553BBA4" w14:textId="77777777" w:rsidR="00BA28E1" w:rsidRPr="00BD6F08" w:rsidRDefault="00BA28E1" w:rsidP="00BA28E1">
            <w:pPr>
              <w:pStyle w:val="Sinespaciado"/>
              <w:spacing w:line="276" w:lineRule="auto"/>
              <w:ind w:left="720"/>
              <w:jc w:val="both"/>
              <w:rPr>
                <w:sz w:val="20"/>
                <w:szCs w:val="20"/>
              </w:rPr>
            </w:pPr>
          </w:p>
          <w:p w14:paraId="0E7D5D8F" w14:textId="14AF6AEB" w:rsidR="00EB169A" w:rsidRPr="00BA28E1" w:rsidRDefault="00BA28E1" w:rsidP="00456E7A">
            <w:pPr>
              <w:pStyle w:val="Sinespaciado"/>
              <w:numPr>
                <w:ilvl w:val="0"/>
                <w:numId w:val="36"/>
              </w:numPr>
              <w:spacing w:line="276" w:lineRule="auto"/>
              <w:jc w:val="both"/>
              <w:rPr>
                <w:rStyle w:val="Ttulo2Car"/>
                <w:rFonts w:eastAsiaTheme="minorEastAsia" w:cstheme="minorBidi"/>
                <w:b w:val="0"/>
                <w:bCs w:val="0"/>
                <w:color w:val="auto"/>
                <w:sz w:val="20"/>
                <w:szCs w:val="20"/>
              </w:rPr>
            </w:pPr>
            <w:r w:rsidRPr="00BD6F08">
              <w:rPr>
                <w:sz w:val="20"/>
                <w:szCs w:val="20"/>
              </w:rPr>
              <w:t>Aunque se publica la fecha de la última revisión o actualización de la información, ésta está muy desactualizada, dado que corresponde al mes de julio de 2022.</w:t>
            </w: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29450E85" w:rsidR="00E34195" w:rsidRPr="001A4120" w:rsidRDefault="00E34195" w:rsidP="005E397C">
            <w:pPr>
              <w:pStyle w:val="Cuerpodelboletn"/>
              <w:numPr>
                <w:ilvl w:val="0"/>
                <w:numId w:val="41"/>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31C51802" w:rsidR="00E34195" w:rsidRPr="005A3C4E" w:rsidRDefault="005E397C"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w:t>
            </w:r>
            <w:r w:rsidRPr="005E397C">
              <w:rPr>
                <w:rStyle w:val="Ttulo2Car"/>
                <w:b w:val="0"/>
                <w:bCs w:val="0"/>
                <w:color w:val="auto"/>
                <w:sz w:val="20"/>
                <w:szCs w:val="20"/>
                <w:lang w:bidi="es-ES"/>
              </w:rPr>
              <w:t>ocalizada</w:t>
            </w:r>
            <w:r w:rsidR="003B53D9">
              <w:rPr>
                <w:rStyle w:val="Ttulo2Car"/>
                <w:b w:val="0"/>
                <w:bCs w:val="0"/>
                <w:color w:val="auto"/>
                <w:sz w:val="20"/>
                <w:szCs w:val="20"/>
                <w:lang w:bidi="es-ES"/>
              </w:rPr>
              <w:t xml:space="preserve"> fuera del Portal de Transparencia, a través de la parte baja de la página home de la web/Información legal, se mencionan la Ley 38 y la 40/2015, así como su estatuto</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498567C8"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3F37E3">
              <w:rPr>
                <w:rStyle w:val="Ttulo2Car"/>
                <w:b w:val="0"/>
                <w:bCs w:val="0"/>
                <w:color w:val="auto"/>
                <w:sz w:val="20"/>
                <w:szCs w:val="20"/>
                <w:lang w:bidi="es-ES"/>
              </w:rPr>
              <w:t>, fuera del Portal de Transparencia, a través de la página home de la web/Gobierno corporativo y transparencia</w:t>
            </w:r>
            <w:r w:rsidR="001A4120">
              <w:rPr>
                <w:rStyle w:val="Ttulo2Car"/>
                <w:b w:val="0"/>
                <w:bCs w:val="0"/>
                <w:color w:val="auto"/>
                <w:sz w:val="20"/>
                <w:szCs w:val="20"/>
                <w:lang w:bidi="es-ES"/>
              </w:rPr>
              <w:t>/Gobierno corporativo</w:t>
            </w:r>
            <w:r>
              <w:rPr>
                <w:rStyle w:val="Ttulo2Car"/>
                <w:b w:val="0"/>
                <w:bCs w:val="0"/>
                <w:color w:val="auto"/>
                <w:sz w:val="20"/>
                <w:szCs w:val="20"/>
                <w:lang w:bidi="es-ES"/>
              </w:rPr>
              <w:t>.</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4BD0FE04"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1A4120">
              <w:rPr>
                <w:rStyle w:val="Ttulo2Car"/>
                <w:b w:val="0"/>
                <w:color w:val="auto"/>
                <w:sz w:val="20"/>
                <w:szCs w:val="20"/>
                <w:lang w:bidi="es-ES"/>
              </w:rPr>
              <w:t xml:space="preserve"> en el Portal de Transparencia/Registro de actividades de tratamiento</w:t>
            </w:r>
            <w:r>
              <w:rPr>
                <w:rStyle w:val="Ttulo2Car"/>
                <w:b w:val="0"/>
                <w:color w:val="auto"/>
                <w:sz w:val="20"/>
                <w:szCs w:val="20"/>
                <w:lang w:bidi="es-ES"/>
              </w:rPr>
              <w:t xml:space="preserv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DBB1365" w:rsidR="00560D54" w:rsidRPr="0069157E" w:rsidRDefault="00560D54" w:rsidP="005E583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44747BCC" w:rsidR="00560D54" w:rsidRPr="005A3C4E" w:rsidRDefault="005E5833" w:rsidP="005E583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3F37E3">
              <w:rPr>
                <w:rStyle w:val="Ttulo2Car"/>
                <w:b w:val="0"/>
                <w:bCs w:val="0"/>
                <w:color w:val="auto"/>
                <w:sz w:val="20"/>
                <w:szCs w:val="20"/>
                <w:lang w:bidi="es-ES"/>
              </w:rPr>
              <w:t>, fuera del Portal de Transparencia, a través de la página home de la web/Gobierno corporativo y transparencia</w:t>
            </w:r>
            <w:r>
              <w:rPr>
                <w:rStyle w:val="Ttulo2Car"/>
                <w:b w:val="0"/>
                <w:bCs w:val="0"/>
                <w:color w:val="auto"/>
                <w:sz w:val="20"/>
                <w:szCs w:val="20"/>
                <w:lang w:bidi="es-ES"/>
              </w:rPr>
              <w:t>/Gobierno corporativo.</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0E27D34E" w:rsidR="00560D54" w:rsidRPr="005A3C4E" w:rsidRDefault="00795764" w:rsidP="00795764">
            <w:pPr>
              <w:pStyle w:val="Cuerpodelboletn"/>
              <w:spacing w:before="120" w:after="120" w:line="312" w:lineRule="auto"/>
              <w:jc w:val="center"/>
              <w:rPr>
                <w:rStyle w:val="Ttulo2Car"/>
                <w:sz w:val="20"/>
                <w:szCs w:val="20"/>
                <w:lang w:bidi="es-ES"/>
              </w:rPr>
            </w:pPr>
            <w:r w:rsidRPr="00795764">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25B9D903" w:rsidR="00560D54" w:rsidRPr="005E5833" w:rsidRDefault="00795764" w:rsidP="0069157E">
            <w:pPr>
              <w:pStyle w:val="Cuerpodelboletn"/>
              <w:spacing w:before="120" w:after="120" w:line="276" w:lineRule="auto"/>
              <w:rPr>
                <w:rStyle w:val="Ttulo2Car"/>
                <w:b w:val="0"/>
                <w:color w:val="auto"/>
                <w:sz w:val="20"/>
                <w:szCs w:val="20"/>
                <w:lang w:bidi="es-ES"/>
              </w:rPr>
            </w:pPr>
            <w:r w:rsidRPr="005E5833">
              <w:rPr>
                <w:rStyle w:val="Ttulo2Car"/>
                <w:b w:val="0"/>
                <w:color w:val="auto"/>
                <w:sz w:val="20"/>
                <w:szCs w:val="20"/>
                <w:lang w:bidi="es-ES"/>
              </w:rPr>
              <w:t>En el Portal de Transparencia/</w:t>
            </w:r>
            <w:r w:rsidR="00194F25">
              <w:rPr>
                <w:rStyle w:val="Ttulo2Car"/>
                <w:b w:val="0"/>
                <w:color w:val="auto"/>
                <w:sz w:val="20"/>
                <w:szCs w:val="20"/>
                <w:lang w:bidi="es-ES"/>
              </w:rPr>
              <w:t>Indicadores transparencia/</w:t>
            </w:r>
            <w:r w:rsidRPr="005E5833">
              <w:rPr>
                <w:rStyle w:val="Ttulo2Car"/>
                <w:b w:val="0"/>
                <w:color w:val="auto"/>
                <w:sz w:val="20"/>
                <w:szCs w:val="20"/>
                <w:lang w:bidi="es-ES"/>
              </w:rPr>
              <w:t>Transparencia activa e información sobre la empresa/Organigrama</w:t>
            </w:r>
            <w:r w:rsidR="005E5833" w:rsidRPr="005E5833">
              <w:rPr>
                <w:rStyle w:val="Ttulo2Car"/>
                <w:b w:val="0"/>
                <w:color w:val="auto"/>
                <w:sz w:val="20"/>
                <w:szCs w:val="20"/>
                <w:lang w:bidi="es-ES"/>
              </w:rPr>
              <w:t xml:space="preserve"> se sigue informando sobre la estructura organizativa del grupo, pero no se publica el organigrama. En el enlace Órgano de gestión interna se redirige al Informe de responsabilidad social y gobierno corporativo 2021, indicando la página en la que se publica el organigrama. La obligación no puede darse por cumplida porque el criterio de este Consejo es que la información se publique de forma diferenciada y sin que el ciudadano tenga que realizar acciones extra a su búsqueda inicial.</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65475763" w:rsidR="00560D54" w:rsidRPr="0069157E" w:rsidRDefault="00560D54" w:rsidP="007957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4ACADA14" w:rsidR="00560D54" w:rsidRPr="005A3C4E" w:rsidRDefault="00795764"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3F37E3">
              <w:rPr>
                <w:rStyle w:val="Ttulo2Car"/>
                <w:b w:val="0"/>
                <w:bCs w:val="0"/>
                <w:color w:val="auto"/>
                <w:sz w:val="20"/>
                <w:szCs w:val="20"/>
                <w:lang w:bidi="es-ES"/>
              </w:rPr>
              <w:t xml:space="preserve"> en el Portal de Transparencia</w:t>
            </w:r>
            <w:r w:rsidR="00194F25">
              <w:rPr>
                <w:rStyle w:val="Ttulo2Car"/>
                <w:b w:val="0"/>
                <w:bCs w:val="0"/>
                <w:color w:val="auto"/>
                <w:sz w:val="20"/>
                <w:szCs w:val="20"/>
                <w:lang w:bidi="es-ES"/>
              </w:rPr>
              <w:t>/Equipo directivo y Consejo de Administración</w:t>
            </w:r>
            <w:r>
              <w:rPr>
                <w:rStyle w:val="Ttulo2Car"/>
                <w:b w:val="0"/>
                <w:bCs w:val="0"/>
                <w:color w:val="auto"/>
                <w:sz w:val="20"/>
                <w:szCs w:val="20"/>
                <w:lang w:bidi="es-ES"/>
              </w:rPr>
              <w:t xml:space="preserv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0F32E0C1" w:rsidR="00560D54" w:rsidRPr="0069157E" w:rsidRDefault="00560D54" w:rsidP="007957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599F2D81" w:rsidR="00560D54" w:rsidRPr="005A3C4E" w:rsidRDefault="00795764" w:rsidP="0079576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Transparencia/Equipo directivo.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1B68BBCA" w:rsidR="00560D54" w:rsidRPr="00F72800" w:rsidRDefault="00560D54" w:rsidP="00795764">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69914BDD" w:rsidR="00560D54" w:rsidRPr="005A3C4E" w:rsidRDefault="00795764"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194F25">
              <w:rPr>
                <w:rStyle w:val="Ttulo2Car"/>
                <w:b w:val="0"/>
                <w:bCs w:val="0"/>
                <w:color w:val="auto"/>
                <w:sz w:val="20"/>
                <w:szCs w:val="20"/>
                <w:lang w:bidi="es-ES"/>
              </w:rPr>
              <w:t>Indicadores transparencia</w:t>
            </w:r>
            <w:r>
              <w:rPr>
                <w:rStyle w:val="Ttulo2Car"/>
                <w:b w:val="0"/>
                <w:bCs w:val="0"/>
                <w:color w:val="auto"/>
                <w:sz w:val="20"/>
                <w:szCs w:val="20"/>
                <w:lang w:bidi="es-ES"/>
              </w:rPr>
              <w:t>/Transparencia activa e información sobre la empresa/Planificación el Plan Estratégico 2019-2023-2028.</w:t>
            </w:r>
            <w:r w:rsidR="005E5833">
              <w:rPr>
                <w:rStyle w:val="Ttulo2Car"/>
                <w:b w:val="0"/>
                <w:bCs w:val="0"/>
                <w:color w:val="auto"/>
                <w:sz w:val="20"/>
                <w:szCs w:val="20"/>
                <w:lang w:bidi="es-ES"/>
              </w:rPr>
              <w:t xml:space="preserve"> </w:t>
            </w:r>
            <w:r w:rsidR="005E5833">
              <w:rPr>
                <w:rStyle w:val="Ttulo2Car"/>
                <w:b w:val="0"/>
                <w:color w:val="auto"/>
                <w:sz w:val="20"/>
                <w:szCs w:val="20"/>
                <w:lang w:bidi="es-ES"/>
              </w:rPr>
              <w:t>No se incluye información sobre los medios necesarios para el cumplimiento de los objetivos ni sobre el cronograma de desarrollo del plan</w:t>
            </w:r>
            <w:r w:rsidR="005E5833" w:rsidRPr="00B16185">
              <w:rPr>
                <w:rStyle w:val="Ttulo2Car"/>
                <w:b w:val="0"/>
                <w:color w:val="auto"/>
                <w:sz w:val="20"/>
                <w:szCs w:val="20"/>
                <w:lang w:bidi="es-ES"/>
              </w:rPr>
              <w:t>.</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0A37BBB8"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729348B" w:rsidR="00560D54" w:rsidRPr="005A3C4E" w:rsidRDefault="005E5833"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2BF550AA"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9D40F6">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D89FD3B">
                <wp:simplePos x="0" y="0"/>
                <wp:positionH relativeFrom="column">
                  <wp:posOffset>285750</wp:posOffset>
                </wp:positionH>
                <wp:positionV relativeFrom="paragraph">
                  <wp:posOffset>140970</wp:posOffset>
                </wp:positionV>
                <wp:extent cx="6353175" cy="30194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1942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1CAC0E75" w:rsidR="00231B7E" w:rsidRDefault="00EB07CA" w:rsidP="00231B7E">
                            <w:pPr>
                              <w:pStyle w:val="Prrafodelista"/>
                              <w:numPr>
                                <w:ilvl w:val="0"/>
                                <w:numId w:val="6"/>
                              </w:numPr>
                              <w:jc w:val="both"/>
                              <w:rPr>
                                <w:bCs/>
                                <w:sz w:val="20"/>
                                <w:szCs w:val="20"/>
                              </w:rPr>
                            </w:pPr>
                            <w:r>
                              <w:rPr>
                                <w:bCs/>
                                <w:sz w:val="20"/>
                                <w:szCs w:val="20"/>
                              </w:rPr>
                              <w:t>No se ha localizado el organigrama de forma accesible.</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1pt;width:500.25pt;height:23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1CAC0E75" w:rsidR="00231B7E" w:rsidRDefault="00EB07CA" w:rsidP="00231B7E">
                      <w:pPr>
                        <w:pStyle w:val="Prrafodelista"/>
                        <w:numPr>
                          <w:ilvl w:val="0"/>
                          <w:numId w:val="6"/>
                        </w:numPr>
                        <w:jc w:val="both"/>
                        <w:rPr>
                          <w:bCs/>
                          <w:sz w:val="20"/>
                          <w:szCs w:val="20"/>
                        </w:rPr>
                      </w:pPr>
                      <w:r>
                        <w:rPr>
                          <w:bCs/>
                          <w:sz w:val="20"/>
                          <w:szCs w:val="20"/>
                        </w:rPr>
                        <w:t>No se ha localizado el organigrama de forma accesible.</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5CA4A195" w14:textId="1B7C63BF" w:rsidR="00F72800" w:rsidRDefault="00F7280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3167A5D9"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FA00FB" w:rsidRPr="00831E38">
              <w:rPr>
                <w:rStyle w:val="Ttulo2Car"/>
                <w:b w:val="0"/>
                <w:color w:val="auto"/>
                <w:sz w:val="20"/>
                <w:szCs w:val="20"/>
                <w:lang w:bidi="es-ES"/>
              </w:rPr>
              <w:t xml:space="preserve">Dadas las características de la actividad que desarrolla </w:t>
            </w:r>
            <w:r w:rsidR="00FA00FB">
              <w:rPr>
                <w:rStyle w:val="Ttulo2Car"/>
                <w:b w:val="0"/>
                <w:color w:val="auto"/>
                <w:sz w:val="20"/>
                <w:szCs w:val="20"/>
                <w:lang w:bidi="es-ES"/>
              </w:rPr>
              <w:t>RENFE operadora</w:t>
            </w:r>
            <w:r w:rsidR="00FA00FB" w:rsidRPr="00831E38">
              <w:rPr>
                <w:rStyle w:val="Ttulo2Car"/>
                <w:b w:val="0"/>
                <w:color w:val="auto"/>
                <w:sz w:val="20"/>
                <w:szCs w:val="20"/>
                <w:lang w:bidi="es-ES"/>
              </w:rPr>
              <w:t>, a juicio de este CTBG no resultan de aplicación a la entidad los contenidos de esta obligación</w:t>
            </w:r>
            <w:r>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4EA450FB" w:rsidR="001E30F9" w:rsidRPr="005A3C4E" w:rsidRDefault="00FA00FB"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831E38">
              <w:rPr>
                <w:rStyle w:val="Ttulo2Car"/>
                <w:b w:val="0"/>
                <w:color w:val="auto"/>
                <w:sz w:val="20"/>
                <w:szCs w:val="20"/>
                <w:lang w:bidi="es-ES"/>
              </w:rPr>
              <w:t xml:space="preserve">Dadas las características de la actividad que desarrolla </w:t>
            </w:r>
            <w:r>
              <w:rPr>
                <w:rStyle w:val="Ttulo2Car"/>
                <w:b w:val="0"/>
                <w:color w:val="auto"/>
                <w:sz w:val="20"/>
                <w:szCs w:val="20"/>
                <w:lang w:bidi="es-ES"/>
              </w:rPr>
              <w:t>RENFE operadora</w:t>
            </w:r>
            <w:r w:rsidRPr="00831E38">
              <w:rPr>
                <w:rStyle w:val="Ttulo2Car"/>
                <w:b w:val="0"/>
                <w:color w:val="auto"/>
                <w:sz w:val="20"/>
                <w:szCs w:val="20"/>
                <w:lang w:bidi="es-ES"/>
              </w:rPr>
              <w:t>, a juicio de este CTBG no resultan de aplicación a la entidad los contenidos de esta obligación</w:t>
            </w:r>
            <w:r>
              <w:rPr>
                <w:rStyle w:val="Ttulo2Car"/>
                <w:b w:val="0"/>
                <w:color w:val="auto"/>
                <w:sz w:val="20"/>
                <w:szCs w:val="20"/>
                <w:lang w:bidi="es-ES"/>
              </w:rPr>
              <w:t>.</w:t>
            </w:r>
          </w:p>
        </w:tc>
      </w:tr>
    </w:tbl>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EB56276" w:rsidR="00C33A23" w:rsidRPr="00FA00FB" w:rsidRDefault="00FA00FB" w:rsidP="005E397C">
            <w:pPr>
              <w:pStyle w:val="Cuerpodelboletn"/>
              <w:numPr>
                <w:ilvl w:val="0"/>
                <w:numId w:val="42"/>
              </w:numPr>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914AA0C" w:rsidR="00C33A23" w:rsidRPr="005A3C4E" w:rsidRDefault="00FA00FB" w:rsidP="00B2173B">
            <w:pPr>
              <w:pStyle w:val="Cuerpodelboletn"/>
              <w:spacing w:before="120" w:after="120" w:line="276" w:lineRule="auto"/>
              <w:rPr>
                <w:rStyle w:val="Ttulo2Car"/>
                <w:b w:val="0"/>
                <w:bCs w:val="0"/>
                <w:color w:val="auto"/>
                <w:sz w:val="20"/>
                <w:szCs w:val="20"/>
                <w:lang w:bidi="es-ES"/>
              </w:rPr>
            </w:pPr>
            <w:r w:rsidRPr="006C58D4">
              <w:rPr>
                <w:rStyle w:val="Ttulo2Car"/>
                <w:b w:val="0"/>
                <w:bCs w:val="0"/>
                <w:color w:val="auto"/>
                <w:sz w:val="20"/>
                <w:szCs w:val="20"/>
                <w:lang w:bidi="es-ES"/>
              </w:rPr>
              <w:t>En el Portal de Transparencia/Indicadores transparencia/Transparencia en las contrataciones y convenios/Contratos se publica un enlace denominado EPE</w:t>
            </w:r>
            <w:r w:rsidR="006C58D4">
              <w:rPr>
                <w:rStyle w:val="Ttulo2Car"/>
                <w:b w:val="0"/>
                <w:bCs w:val="0"/>
                <w:color w:val="auto"/>
                <w:sz w:val="20"/>
                <w:szCs w:val="20"/>
                <w:lang w:bidi="es-ES"/>
              </w:rPr>
              <w:t xml:space="preserve"> que direcciona a la PCSP</w:t>
            </w:r>
            <w:r w:rsidR="005E397C">
              <w:rPr>
                <w:rStyle w:val="Ttulo2Car"/>
                <w:b w:val="0"/>
                <w:bCs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0C9744A1" w:rsidR="00C33A23" w:rsidRPr="005A3C4E" w:rsidRDefault="0088769E" w:rsidP="00D36CD4">
            <w:pPr>
              <w:pStyle w:val="Cuerpodelboletn"/>
              <w:spacing w:before="120" w:after="120" w:line="276" w:lineRule="auto"/>
              <w:rPr>
                <w:rStyle w:val="Ttulo2Car"/>
                <w:b w:val="0"/>
                <w:bCs w:val="0"/>
                <w:color w:val="auto"/>
                <w:sz w:val="20"/>
                <w:szCs w:val="20"/>
                <w:lang w:bidi="es-ES"/>
              </w:rPr>
            </w:pPr>
            <w:r w:rsidRPr="00344FEC">
              <w:rPr>
                <w:rStyle w:val="Ttulo2Car"/>
                <w:b w:val="0"/>
                <w:bCs w:val="0"/>
                <w:color w:val="auto"/>
                <w:sz w:val="20"/>
                <w:szCs w:val="20"/>
                <w:lang w:bidi="es-ES"/>
              </w:rPr>
              <w:t>En el Portal de Transparencia/Indicadores transparencia/Transparencia en las contrataciones y convenios/Modificaciones de contratos se publica un enlace denominado Modificaciones de contratos</w:t>
            </w:r>
            <w:r w:rsidR="00BA56E5">
              <w:rPr>
                <w:rStyle w:val="Ttulo2Car"/>
                <w:b w:val="0"/>
                <w:bCs w:val="0"/>
                <w:color w:val="auto"/>
                <w:sz w:val="20"/>
                <w:szCs w:val="20"/>
                <w:lang w:bidi="es-ES"/>
              </w:rPr>
              <w:t xml:space="preserve"> que direcciona a la PCSP</w:t>
            </w:r>
            <w:r w:rsidRPr="00344FEC">
              <w:rPr>
                <w:rStyle w:val="Ttulo2Car"/>
                <w:b w:val="0"/>
                <w:bCs w:val="0"/>
                <w:color w:val="auto"/>
                <w:sz w:val="20"/>
                <w:szCs w:val="20"/>
                <w:lang w:bidi="es-ES"/>
              </w:rPr>
              <w:t>.</w:t>
            </w:r>
            <w:r w:rsidR="00BA56E5">
              <w:rPr>
                <w:rStyle w:val="Ttulo2Car"/>
                <w:b w:val="0"/>
                <w:bCs w:val="0"/>
                <w:color w:val="auto"/>
                <w:sz w:val="20"/>
                <w:szCs w:val="20"/>
                <w:lang w:bidi="es-ES"/>
              </w:rPr>
              <w:t xml:space="preserve"> La obligación no puede darse por cumplida porque la PCSP no incluye las modificaciones entre los criterios de búsqueda de licitaciones, lo que obliga a abrir todas y cada una de las licitaciones publicadas para comprobar se ha habido modificaciones.</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08267B05" w:rsidR="00C33A23" w:rsidRPr="00BA5707" w:rsidRDefault="00BA5707" w:rsidP="00BA570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4AFA138E" w:rsidR="00C33A23" w:rsidRPr="005A3C4E" w:rsidRDefault="00BA5707" w:rsidP="00B2173B">
            <w:pPr>
              <w:pStyle w:val="Cuerpodelboletn"/>
              <w:spacing w:before="120" w:after="120" w:line="276" w:lineRule="auto"/>
              <w:rPr>
                <w:rStyle w:val="Ttulo2Car"/>
                <w:b w:val="0"/>
                <w:bCs w:val="0"/>
                <w:color w:val="auto"/>
                <w:sz w:val="20"/>
                <w:szCs w:val="20"/>
                <w:lang w:bidi="es-ES"/>
              </w:rPr>
            </w:pPr>
            <w:r w:rsidRPr="00C0054C">
              <w:rPr>
                <w:rStyle w:val="Ttulo2Car"/>
                <w:b w:val="0"/>
                <w:bCs w:val="0"/>
                <w:color w:val="auto"/>
                <w:sz w:val="20"/>
                <w:szCs w:val="20"/>
                <w:lang w:bidi="es-ES"/>
              </w:rPr>
              <w:t>No se ha localizado información</w:t>
            </w:r>
            <w:r>
              <w:rPr>
                <w:rStyle w:val="Ttulo2Car"/>
                <w:b w:val="0"/>
                <w:bCs w:val="0"/>
                <w:color w:val="auto"/>
                <w:sz w:val="20"/>
                <w:szCs w:val="20"/>
                <w:lang w:bidi="es-ES"/>
              </w:rPr>
              <w:t>.</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1CF477B4" w:rsidR="00C33A23" w:rsidRPr="005A3C4E" w:rsidRDefault="00D36CD4" w:rsidP="00D36CD4">
            <w:pPr>
              <w:pStyle w:val="Cuerpodelboletn"/>
              <w:spacing w:before="120" w:after="120" w:line="276" w:lineRule="auto"/>
              <w:rPr>
                <w:rStyle w:val="Ttulo2Car"/>
                <w:b w:val="0"/>
                <w:bCs w:val="0"/>
                <w:color w:val="auto"/>
                <w:sz w:val="20"/>
                <w:szCs w:val="20"/>
                <w:lang w:bidi="es-ES"/>
              </w:rPr>
            </w:pPr>
            <w:r w:rsidRPr="00344FEC">
              <w:rPr>
                <w:rStyle w:val="Ttulo2Car"/>
                <w:b w:val="0"/>
                <w:bCs w:val="0"/>
                <w:color w:val="auto"/>
                <w:sz w:val="20"/>
                <w:szCs w:val="20"/>
                <w:lang w:bidi="es-ES"/>
              </w:rPr>
              <w:t>En el Portal de Transparencia/Indicadores transparencia/Transparencia en las contrataciones y convenios/</w:t>
            </w:r>
            <w:r>
              <w:rPr>
                <w:rStyle w:val="Ttulo2Car"/>
                <w:b w:val="0"/>
                <w:bCs w:val="0"/>
                <w:color w:val="auto"/>
                <w:sz w:val="20"/>
                <w:szCs w:val="20"/>
                <w:lang w:bidi="es-ES"/>
              </w:rPr>
              <w:t xml:space="preserve">Datos de volumen de contratación </w:t>
            </w:r>
            <w:r w:rsidRPr="00344FEC">
              <w:rPr>
                <w:rStyle w:val="Ttulo2Car"/>
                <w:b w:val="0"/>
                <w:bCs w:val="0"/>
                <w:color w:val="auto"/>
                <w:sz w:val="20"/>
                <w:szCs w:val="20"/>
                <w:lang w:bidi="es-ES"/>
              </w:rPr>
              <w:t xml:space="preserve">se publica un enlace denominado </w:t>
            </w:r>
            <w:r>
              <w:rPr>
                <w:rStyle w:val="Ttulo2Car"/>
                <w:b w:val="0"/>
                <w:bCs w:val="0"/>
                <w:color w:val="auto"/>
                <w:sz w:val="20"/>
                <w:szCs w:val="20"/>
                <w:lang w:bidi="es-ES"/>
              </w:rPr>
              <w:t>Datos de volumen de contratación</w:t>
            </w:r>
            <w:r w:rsidRPr="00344FEC">
              <w:rPr>
                <w:rStyle w:val="Ttulo2Car"/>
                <w:b w:val="0"/>
                <w:bCs w:val="0"/>
                <w:color w:val="auto"/>
                <w:sz w:val="20"/>
                <w:szCs w:val="20"/>
                <w:lang w:bidi="es-ES"/>
              </w:rPr>
              <w:t>, pero está roto.</w:t>
            </w:r>
            <w:r>
              <w:rPr>
                <w:rStyle w:val="Ttulo2Car"/>
                <w:b w:val="0"/>
                <w:color w:val="auto"/>
                <w:sz w:val="20"/>
                <w:szCs w:val="20"/>
                <w:lang w:bidi="es-ES"/>
              </w:rPr>
              <w:t xml:space="preserve"> No obstante, por las indicaciones dadas, parece remitirse a un documento en el que habría que hacer una búsqueda</w:t>
            </w:r>
            <w:r w:rsidR="00204ECB">
              <w:rPr>
                <w:rStyle w:val="Ttulo2Car"/>
                <w:b w:val="0"/>
                <w:color w:val="auto"/>
                <w:sz w:val="20"/>
                <w:szCs w:val="20"/>
                <w:lang w:bidi="es-ES"/>
              </w:rPr>
              <w:t xml:space="preserve"> en función de unos parámetros dados. Si eso fuera así, la obligación no podría darse por cumplida </w:t>
            </w:r>
            <w:r w:rsidR="00204ECB" w:rsidRPr="005E5833">
              <w:rPr>
                <w:rStyle w:val="Ttulo2Car"/>
                <w:b w:val="0"/>
                <w:color w:val="auto"/>
                <w:sz w:val="20"/>
                <w:szCs w:val="20"/>
                <w:lang w:bidi="es-ES"/>
              </w:rPr>
              <w:t xml:space="preserve">porque el </w:t>
            </w:r>
            <w:r w:rsidR="00204ECB" w:rsidRPr="005E5833">
              <w:rPr>
                <w:rStyle w:val="Ttulo2Car"/>
                <w:b w:val="0"/>
                <w:color w:val="auto"/>
                <w:sz w:val="20"/>
                <w:szCs w:val="20"/>
                <w:lang w:bidi="es-ES"/>
              </w:rPr>
              <w:lastRenderedPageBreak/>
              <w:t>criterio de este Consejo es que la información se publique de forma diferenciada y sin que el ciudadano tenga que realizar acciones extra a su búsqueda inicial</w:t>
            </w:r>
            <w:r w:rsidR="00204ECB">
              <w:rPr>
                <w:rStyle w:val="Ttulo2Car"/>
                <w:b w:val="0"/>
                <w:color w:val="auto"/>
                <w:sz w:val="20"/>
                <w:szCs w:val="20"/>
                <w:lang w:bidi="es-ES"/>
              </w:rPr>
              <w:t>.</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46525EF" w:rsidR="00C33A23" w:rsidRPr="00204ECB" w:rsidRDefault="00C33A23" w:rsidP="0041128B">
            <w:pPr>
              <w:pStyle w:val="Cuerpodelboletn"/>
              <w:numPr>
                <w:ilvl w:val="0"/>
                <w:numId w:val="4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0710CC76" w:rsidR="0041128B" w:rsidRPr="005A3C4E" w:rsidRDefault="00C0054C" w:rsidP="0041128B">
            <w:pPr>
              <w:pStyle w:val="Cuerpodelboletn"/>
              <w:spacing w:before="120" w:after="120" w:line="276" w:lineRule="auto"/>
              <w:rPr>
                <w:rStyle w:val="Ttulo2Car"/>
                <w:b w:val="0"/>
                <w:bCs w:val="0"/>
                <w:color w:val="auto"/>
                <w:sz w:val="20"/>
                <w:szCs w:val="20"/>
                <w:lang w:bidi="es-ES"/>
              </w:rPr>
            </w:pPr>
            <w:r w:rsidRPr="006C58D4">
              <w:rPr>
                <w:rStyle w:val="Ttulo2Car"/>
                <w:b w:val="0"/>
                <w:bCs w:val="0"/>
                <w:color w:val="auto"/>
                <w:sz w:val="20"/>
                <w:szCs w:val="20"/>
                <w:lang w:bidi="es-ES"/>
              </w:rPr>
              <w:t xml:space="preserve">En el Portal de Transparencia/Indicadores transparencia/Transparencia en las contrataciones y convenios/Contratos se publica </w:t>
            </w:r>
            <w:r w:rsidR="0041128B">
              <w:rPr>
                <w:rStyle w:val="Ttulo2Car"/>
                <w:b w:val="0"/>
                <w:bCs w:val="0"/>
                <w:color w:val="auto"/>
                <w:sz w:val="20"/>
                <w:szCs w:val="20"/>
                <w:lang w:bidi="es-ES"/>
              </w:rPr>
              <w:t>un enlace que redirige a la PCSP, posicionando en el Perfil del contratante del organismo.</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33F0D8C" w:rsidR="00C33A23" w:rsidRPr="005A3C4E" w:rsidRDefault="00204ECB" w:rsidP="00204ECB">
            <w:pPr>
              <w:pStyle w:val="Cuerpodelboletn"/>
              <w:spacing w:before="120" w:after="120" w:line="276" w:lineRule="auto"/>
              <w:rPr>
                <w:rStyle w:val="Ttulo2Car"/>
                <w:b w:val="0"/>
                <w:bCs w:val="0"/>
                <w:color w:val="auto"/>
                <w:sz w:val="20"/>
                <w:szCs w:val="20"/>
                <w:lang w:bidi="es-ES"/>
              </w:rPr>
            </w:pPr>
            <w:r w:rsidRPr="00204ECB">
              <w:rPr>
                <w:rStyle w:val="Ttulo2Car"/>
                <w:b w:val="0"/>
                <w:bCs w:val="0"/>
                <w:color w:val="auto"/>
                <w:sz w:val="20"/>
                <w:szCs w:val="20"/>
                <w:lang w:bidi="es-ES"/>
              </w:rPr>
              <w:t>En el Portal de Transparencia/Indicadores transparencia/Transparencia en las contrataciones y convenios/Convenios</w:t>
            </w:r>
            <w:r>
              <w:rPr>
                <w:rStyle w:val="Ttulo2Car"/>
                <w:b w:val="0"/>
                <w:bCs w:val="0"/>
                <w:color w:val="auto"/>
                <w:sz w:val="20"/>
                <w:szCs w:val="20"/>
                <w:lang w:bidi="es-ES"/>
              </w:rPr>
              <w:t xml:space="preserve"> se redirige al Portal de Transparencia de la AGE. Aunque se posicione en los relativos a RENFE, este CTBG ya ha señalado que la remisión al Portal AGE no es válida para los organismos y entidades vinculadas o dependientes.</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99C34B4" w14:textId="72FA73C3" w:rsidR="006E1BE0" w:rsidRDefault="006E1BE0" w:rsidP="006E1BE0">
            <w:pPr>
              <w:pStyle w:val="Cuerpodelboletn"/>
              <w:spacing w:before="120" w:after="120" w:line="276" w:lineRule="auto"/>
              <w:rPr>
                <w:rStyle w:val="Ttulo2Car"/>
                <w:b w:val="0"/>
                <w:color w:val="auto"/>
                <w:sz w:val="20"/>
                <w:szCs w:val="20"/>
                <w:lang w:bidi="es-ES"/>
              </w:rPr>
            </w:pPr>
            <w:r>
              <w:rPr>
                <w:rStyle w:val="Ttulo2Car"/>
                <w:b w:val="0"/>
                <w:bCs w:val="0"/>
                <w:color w:val="auto"/>
                <w:sz w:val="20"/>
                <w:szCs w:val="20"/>
                <w:lang w:bidi="es-ES"/>
              </w:rPr>
              <w:t>En el Portal de Transparencia/</w:t>
            </w:r>
            <w:r w:rsidRPr="006E1BE0">
              <w:rPr>
                <w:rStyle w:val="Ttulo2Car"/>
                <w:b w:val="0"/>
                <w:bCs w:val="0"/>
                <w:color w:val="auto"/>
                <w:sz w:val="20"/>
                <w:szCs w:val="20"/>
                <w:lang w:bidi="es-ES"/>
              </w:rPr>
              <w:t>Indicadores transparencia/Transparencia económico-financiera</w:t>
            </w:r>
            <w:r>
              <w:rPr>
                <w:rStyle w:val="Ttulo2Car"/>
                <w:b w:val="0"/>
                <w:bCs w:val="0"/>
                <w:color w:val="auto"/>
                <w:sz w:val="20"/>
                <w:szCs w:val="20"/>
                <w:lang w:bidi="es-ES"/>
              </w:rPr>
              <w:t xml:space="preserve">/Ingresos de negocio y subvenciones se redirige a </w:t>
            </w:r>
            <w:r w:rsidR="00C0054C">
              <w:rPr>
                <w:rStyle w:val="Ttulo2Car"/>
                <w:b w:val="0"/>
                <w:bCs w:val="0"/>
                <w:color w:val="auto"/>
                <w:sz w:val="20"/>
                <w:szCs w:val="20"/>
                <w:lang w:bidi="es-ES"/>
              </w:rPr>
              <w:t>la auditoría de cuentas anuales 2021</w:t>
            </w:r>
            <w:r>
              <w:rPr>
                <w:rStyle w:val="Ttulo2Car"/>
                <w:b w:val="0"/>
                <w:bCs w:val="0"/>
                <w:color w:val="auto"/>
                <w:sz w:val="20"/>
                <w:szCs w:val="20"/>
                <w:lang w:bidi="es-ES"/>
              </w:rPr>
              <w:t xml:space="preserve">. La obligación no puede darse por cumplida porque esta información debe publicarse de forma individualizada. </w:t>
            </w:r>
            <w:r>
              <w:rPr>
                <w:rStyle w:val="Ttulo2Car"/>
                <w:b w:val="0"/>
                <w:color w:val="auto"/>
                <w:sz w:val="20"/>
                <w:szCs w:val="20"/>
                <w:lang w:bidi="es-ES"/>
              </w:rPr>
              <w:t>Por otra parte, se trata de información desactualizada.</w:t>
            </w:r>
          </w:p>
          <w:p w14:paraId="233EB2B5" w14:textId="789ECFA7" w:rsidR="006E1BE0" w:rsidRPr="005A3C4E" w:rsidRDefault="006E1BE0" w:rsidP="006E1BE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A ello se añaden las dificultades de localización y comprensión para un ciudadano medio de esta información en un documento tan complejo como son los informes de auditoría de cuentas de una entidad.</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DC47975" w:rsidR="00F47C3B" w:rsidRPr="001400C0" w:rsidRDefault="00F47C3B" w:rsidP="006E1BE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6ED151E" w:rsidR="00F47C3B" w:rsidRPr="005A3C4E" w:rsidRDefault="006E1BE0"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B31296">
              <w:rPr>
                <w:rStyle w:val="Ttulo2Car"/>
                <w:b w:val="0"/>
                <w:bCs w:val="0"/>
                <w:color w:val="auto"/>
                <w:sz w:val="20"/>
                <w:szCs w:val="20"/>
                <w:lang w:bidi="es-ES"/>
              </w:rPr>
              <w:t>, fuera del Portal de Transparencia, a través de la página home de la web/Gobierno corporativo y transparencia/Gobierno corporativo</w:t>
            </w:r>
            <w:r>
              <w:rPr>
                <w:rStyle w:val="Ttulo2Car"/>
                <w:b w:val="0"/>
                <w:bCs w:val="0"/>
                <w:color w:val="auto"/>
                <w:sz w:val="20"/>
                <w:szCs w:val="20"/>
                <w:lang w:bidi="es-ES"/>
              </w:rPr>
              <w:t>/Presupuestos Generales del Estado Grupo Renfe 2023.</w:t>
            </w:r>
            <w:r w:rsidR="00BA5707">
              <w:rPr>
                <w:rStyle w:val="Ttulo2Car"/>
                <w:b w:val="0"/>
                <w:bCs w:val="0"/>
                <w:color w:val="auto"/>
                <w:sz w:val="20"/>
                <w:szCs w:val="20"/>
                <w:lang w:bidi="es-ES"/>
              </w:rPr>
              <w:t xml:space="preserve"> No se explicita que están prorrogados.</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41681C90" w:rsidR="00F47C3B" w:rsidRPr="001400C0" w:rsidRDefault="00F47C3B" w:rsidP="006E1BE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033480FF" w:rsidR="00F47C3B" w:rsidRPr="005A3C4E" w:rsidRDefault="006E1BE0"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B31296">
              <w:rPr>
                <w:rStyle w:val="Ttulo2Car"/>
                <w:b w:val="0"/>
                <w:bCs w:val="0"/>
                <w:color w:val="auto"/>
                <w:sz w:val="20"/>
                <w:szCs w:val="20"/>
                <w:lang w:bidi="es-ES"/>
              </w:rPr>
              <w:t>Indicadores transparencia/</w:t>
            </w:r>
            <w:r>
              <w:rPr>
                <w:rStyle w:val="Ttulo2Car"/>
                <w:b w:val="0"/>
                <w:bCs w:val="0"/>
                <w:color w:val="auto"/>
                <w:sz w:val="20"/>
                <w:szCs w:val="20"/>
                <w:lang w:bidi="es-ES"/>
              </w:rPr>
              <w:t>Transparencia económico-financiera/EPE-Cuentas consolidadas.</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6D8EBB2E" w:rsidR="00F47C3B" w:rsidRPr="005A3C4E" w:rsidRDefault="00307559"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339DA">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5B522A5E" w:rsidR="00BD4582" w:rsidRPr="00091D2B" w:rsidRDefault="00307559" w:rsidP="0030755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7AD587CA" w:rsidR="00BD4582" w:rsidRPr="005A3C4E" w:rsidRDefault="00307559" w:rsidP="00307559">
            <w:pPr>
              <w:pStyle w:val="Cuerpodelboletn"/>
              <w:spacing w:before="120" w:after="120" w:line="276" w:lineRule="auto"/>
              <w:rPr>
                <w:rStyle w:val="Ttulo2Car"/>
                <w:b w:val="0"/>
                <w:bCs w:val="0"/>
                <w:color w:val="auto"/>
                <w:sz w:val="20"/>
                <w:szCs w:val="20"/>
                <w:lang w:bidi="es-ES"/>
              </w:rPr>
            </w:pPr>
            <w:r w:rsidRPr="00B43B21">
              <w:rPr>
                <w:rStyle w:val="Ttulo2Car"/>
                <w:b w:val="0"/>
                <w:color w:val="auto"/>
                <w:sz w:val="20"/>
                <w:szCs w:val="20"/>
                <w:lang w:bidi="es-ES"/>
              </w:rPr>
              <w:t>En el Portal de Transparencia/Indicadores transparencia/Relaciones con la sociedad, usuarios o partes interesadas y calidad de servicio se localiza un enlace denominado Indicadores de calidad percibida, pero redirige al informe de gobierno corporativo</w:t>
            </w:r>
            <w:r w:rsidR="00B43B21" w:rsidRPr="00B43B21">
              <w:rPr>
                <w:rStyle w:val="Ttulo2Car"/>
                <w:b w:val="0"/>
                <w:color w:val="auto"/>
                <w:sz w:val="20"/>
                <w:szCs w:val="20"/>
                <w:lang w:bidi="es-ES"/>
              </w:rPr>
              <w:t xml:space="preserve"> 2021</w:t>
            </w:r>
            <w:r w:rsidRPr="00B43B21">
              <w:rPr>
                <w:rStyle w:val="Ttulo2Car"/>
                <w:b w:val="0"/>
                <w:color w:val="auto"/>
                <w:sz w:val="20"/>
                <w:szCs w:val="20"/>
                <w:lang w:bidi="es-ES"/>
              </w:rPr>
              <w:t xml:space="preserve">, indicando la página del informe que contiene esta información. </w:t>
            </w:r>
            <w:r w:rsidRPr="00B43B21">
              <w:rPr>
                <w:rStyle w:val="Ttulo2Car"/>
                <w:b w:val="0"/>
                <w:bCs w:val="0"/>
                <w:color w:val="auto"/>
                <w:sz w:val="20"/>
                <w:szCs w:val="20"/>
                <w:lang w:bidi="es-ES"/>
              </w:rPr>
              <w:t xml:space="preserve">La obligación no puede darse por cumplida porque esta información debe publicarse de forma individualizada. </w:t>
            </w:r>
            <w:r w:rsidRPr="00B43B21">
              <w:rPr>
                <w:rStyle w:val="Ttulo2Car"/>
                <w:b w:val="0"/>
                <w:color w:val="auto"/>
                <w:sz w:val="20"/>
                <w:szCs w:val="20"/>
                <w:lang w:bidi="es-ES"/>
              </w:rPr>
              <w:t>Por otra parte, se trata de información desactualizada.</w:t>
            </w:r>
          </w:p>
        </w:tc>
      </w:tr>
    </w:tbl>
    <w:p w14:paraId="482458EF" w14:textId="46576F1A"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02A08AD">
                <wp:simplePos x="0" y="0"/>
                <wp:positionH relativeFrom="margin">
                  <wp:align>right</wp:align>
                </wp:positionH>
                <wp:positionV relativeFrom="paragraph">
                  <wp:posOffset>130175</wp:posOffset>
                </wp:positionV>
                <wp:extent cx="6391275" cy="65151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5151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6AF1F8D" w:rsidR="00091D2B" w:rsidRDefault="00BA5707"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sidR="00091D2B">
                              <w:rPr>
                                <w:sz w:val="20"/>
                                <w:szCs w:val="20"/>
                              </w:rPr>
                              <w:t>sobre modificaciones de contratos.</w:t>
                            </w:r>
                          </w:p>
                          <w:p w14:paraId="375A6AF2" w14:textId="79BBDD03" w:rsidR="00B43B21" w:rsidRDefault="00B43B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A79B042" w14:textId="77777777" w:rsidR="004B7BE8" w:rsidRPr="00154B1B" w:rsidRDefault="004B7BE8" w:rsidP="004B7B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2D2A48C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en la página web del organismo </w:t>
                            </w:r>
                            <w:r>
                              <w:rPr>
                                <w:sz w:val="20"/>
                                <w:szCs w:val="20"/>
                              </w:rPr>
                              <w:t>sobre los convenios suscritos, incluyendo todos los ítems informativos que el artículo 8.1.b de la LTAIBG establece para esta obligación.</w:t>
                            </w:r>
                          </w:p>
                          <w:p w14:paraId="37E3E7BE" w14:textId="46D3D11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B43B21">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20758BB"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Pr>
                                <w:sz w:val="20"/>
                                <w:szCs w:val="20"/>
                              </w:rPr>
                              <w:t>sobre subvenciones concedidas por el organismo a terceros.</w:t>
                            </w:r>
                          </w:p>
                          <w:p w14:paraId="1954D789" w14:textId="7ED18FE8"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accesible</w:t>
                            </w:r>
                            <w:r>
                              <w:rPr>
                                <w:sz w:val="20"/>
                                <w:szCs w:val="20"/>
                              </w:rPr>
                              <w:t xml:space="preserve"> sobre </w:t>
                            </w:r>
                            <w:r w:rsidR="00BA5707">
                              <w:rPr>
                                <w:sz w:val="20"/>
                                <w:szCs w:val="20"/>
                              </w:rPr>
                              <w:t>la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1FE3ADBE" w:rsidR="00091D2B" w:rsidRDefault="00091D2B" w:rsidP="00091D2B">
                            <w:pPr>
                              <w:pStyle w:val="Prrafodelista"/>
                              <w:numPr>
                                <w:ilvl w:val="0"/>
                                <w:numId w:val="20"/>
                              </w:numPr>
                              <w:jc w:val="both"/>
                              <w:rPr>
                                <w:sz w:val="20"/>
                                <w:szCs w:val="20"/>
                              </w:rPr>
                            </w:pPr>
                            <w:r>
                              <w:rPr>
                                <w:sz w:val="20"/>
                                <w:szCs w:val="20"/>
                              </w:rPr>
                              <w:t xml:space="preserve">No se ha localizado información estadística actualizada </w:t>
                            </w:r>
                            <w:r w:rsidR="00B43B21">
                              <w:rPr>
                                <w:sz w:val="20"/>
                                <w:szCs w:val="20"/>
                              </w:rPr>
                              <w:t xml:space="preserve">y accesible </w:t>
                            </w:r>
                            <w:r>
                              <w:rPr>
                                <w:sz w:val="20"/>
                                <w:szCs w:val="20"/>
                              </w:rPr>
                              <w:t>necesaria para valorar el grado de cumplimiento y calidad de los servicios públicos de su competencia.</w:t>
                            </w:r>
                          </w:p>
                          <w:p w14:paraId="19B088CC" w14:textId="0B30A8E9" w:rsidR="001D0329" w:rsidRPr="00091D2B" w:rsidRDefault="00091D2B" w:rsidP="00091D2B">
                            <w:pPr>
                              <w:rPr>
                                <w:sz w:val="20"/>
                                <w:szCs w:val="20"/>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25pt;width:503.25pt;height:513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6AF1F8D" w:rsidR="00091D2B" w:rsidRDefault="00BA5707"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sidR="00091D2B">
                        <w:rPr>
                          <w:sz w:val="20"/>
                          <w:szCs w:val="20"/>
                        </w:rPr>
                        <w:t>sobre modificaciones de contratos.</w:t>
                      </w:r>
                    </w:p>
                    <w:p w14:paraId="375A6AF2" w14:textId="79BBDD03" w:rsidR="00B43B21" w:rsidRDefault="00B43B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A79B042" w14:textId="77777777" w:rsidR="004B7BE8" w:rsidRPr="00154B1B" w:rsidRDefault="004B7BE8" w:rsidP="004B7B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2D2A48C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en la página web del organismo </w:t>
                      </w:r>
                      <w:r>
                        <w:rPr>
                          <w:sz w:val="20"/>
                          <w:szCs w:val="20"/>
                        </w:rPr>
                        <w:t>sobre los convenios suscritos, incluyendo todos los ítems informativos que el artículo 8.1.b de la LTAIBG establece para esta obligación.</w:t>
                      </w:r>
                    </w:p>
                    <w:p w14:paraId="37E3E7BE" w14:textId="46D3D11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B43B21">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20758BB"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Pr>
                          <w:sz w:val="20"/>
                          <w:szCs w:val="20"/>
                        </w:rPr>
                        <w:t>sobre subvenciones concedidas por el organismo a terceros.</w:t>
                      </w:r>
                    </w:p>
                    <w:p w14:paraId="1954D789" w14:textId="7ED18FE8"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accesible</w:t>
                      </w:r>
                      <w:r>
                        <w:rPr>
                          <w:sz w:val="20"/>
                          <w:szCs w:val="20"/>
                        </w:rPr>
                        <w:t xml:space="preserve"> sobre </w:t>
                      </w:r>
                      <w:r w:rsidR="00BA5707">
                        <w:rPr>
                          <w:sz w:val="20"/>
                          <w:szCs w:val="20"/>
                        </w:rPr>
                        <w:t>la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1FE3ADBE" w:rsidR="00091D2B" w:rsidRDefault="00091D2B" w:rsidP="00091D2B">
                      <w:pPr>
                        <w:pStyle w:val="Prrafodelista"/>
                        <w:numPr>
                          <w:ilvl w:val="0"/>
                          <w:numId w:val="20"/>
                        </w:numPr>
                        <w:jc w:val="both"/>
                        <w:rPr>
                          <w:sz w:val="20"/>
                          <w:szCs w:val="20"/>
                        </w:rPr>
                      </w:pPr>
                      <w:r>
                        <w:rPr>
                          <w:sz w:val="20"/>
                          <w:szCs w:val="20"/>
                        </w:rPr>
                        <w:t xml:space="preserve">No se ha localizado información estadística actualizada </w:t>
                      </w:r>
                      <w:r w:rsidR="00B43B21">
                        <w:rPr>
                          <w:sz w:val="20"/>
                          <w:szCs w:val="20"/>
                        </w:rPr>
                        <w:t xml:space="preserve">y accesible </w:t>
                      </w:r>
                      <w:r>
                        <w:rPr>
                          <w:sz w:val="20"/>
                          <w:szCs w:val="20"/>
                        </w:rPr>
                        <w:t>necesaria para valorar el grado de cumplimiento y calidad de los servicios públicos de su competencia.</w:t>
                      </w:r>
                    </w:p>
                    <w:p w14:paraId="19B088CC" w14:textId="0B30A8E9" w:rsidR="001D0329" w:rsidRPr="00091D2B" w:rsidRDefault="00091D2B" w:rsidP="00091D2B">
                      <w:pPr>
                        <w:rPr>
                          <w:sz w:val="20"/>
                          <w:szCs w:val="20"/>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5054C26C" w14:textId="5EB39AAD" w:rsidR="00091D2B" w:rsidRDefault="00091D2B" w:rsidP="00C33A23">
      <w:pPr>
        <w:pStyle w:val="Cuerpodelboletn"/>
        <w:spacing w:before="120" w:after="120" w:line="312" w:lineRule="auto"/>
        <w:ind w:left="360"/>
        <w:rPr>
          <w:b/>
          <w:color w:val="00642D"/>
          <w:szCs w:val="22"/>
        </w:rPr>
      </w:pPr>
    </w:p>
    <w:p w14:paraId="6F7A46EA" w14:textId="77777777" w:rsidR="00BA5707" w:rsidRPr="005A3C4E" w:rsidRDefault="00BA5707"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2075FDC5" w14:textId="77777777" w:rsidR="00BA5707" w:rsidRDefault="00BA5707" w:rsidP="005E0CA3">
      <w:pPr>
        <w:pStyle w:val="Cuerpodelboletn"/>
        <w:spacing w:before="120" w:after="120" w:line="312" w:lineRule="auto"/>
        <w:ind w:left="426"/>
        <w:rPr>
          <w:rStyle w:val="Ttulo2Car"/>
          <w:lang w:bidi="es-ES"/>
        </w:rPr>
      </w:pPr>
    </w:p>
    <w:p w14:paraId="56024735" w14:textId="40FF6296"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7284BB12" w14:textId="77777777" w:rsidR="00F65617" w:rsidRDefault="00F65617" w:rsidP="00521AA8">
      <w:pPr>
        <w:ind w:left="284"/>
        <w:jc w:val="both"/>
      </w:pPr>
    </w:p>
    <w:tbl>
      <w:tblPr>
        <w:tblW w:w="5000" w:type="pct"/>
        <w:tblCellMar>
          <w:left w:w="70" w:type="dxa"/>
          <w:right w:w="70" w:type="dxa"/>
        </w:tblCellMar>
        <w:tblLook w:val="04A0" w:firstRow="1" w:lastRow="0" w:firstColumn="1" w:lastColumn="0" w:noHBand="0" w:noVBand="1"/>
      </w:tblPr>
      <w:tblGrid>
        <w:gridCol w:w="4358"/>
        <w:gridCol w:w="764"/>
        <w:gridCol w:w="764"/>
        <w:gridCol w:w="764"/>
        <w:gridCol w:w="764"/>
        <w:gridCol w:w="764"/>
        <w:gridCol w:w="764"/>
        <w:gridCol w:w="765"/>
        <w:gridCol w:w="759"/>
      </w:tblGrid>
      <w:tr w:rsidR="00F65617" w:rsidRPr="00F65617" w14:paraId="267CEF60" w14:textId="77777777" w:rsidTr="004F1AD4">
        <w:trPr>
          <w:trHeight w:val="1245"/>
        </w:trPr>
        <w:tc>
          <w:tcPr>
            <w:tcW w:w="1739" w:type="pct"/>
            <w:tcBorders>
              <w:top w:val="single" w:sz="12" w:space="0" w:color="FFFFFF"/>
              <w:left w:val="nil"/>
              <w:bottom w:val="single" w:sz="12" w:space="0" w:color="FFFFFF"/>
              <w:right w:val="nil"/>
            </w:tcBorders>
            <w:shd w:val="clear" w:color="000000" w:fill="00642D"/>
            <w:noWrap/>
            <w:textDirection w:val="btLr"/>
            <w:hideMark/>
          </w:tcPr>
          <w:p w14:paraId="0894EEEB" w14:textId="77777777" w:rsidR="00F65617" w:rsidRPr="00F65617" w:rsidRDefault="00F65617" w:rsidP="00F65617">
            <w:pPr>
              <w:spacing w:after="0" w:line="240" w:lineRule="auto"/>
              <w:rPr>
                <w:rFonts w:ascii="Calibri" w:eastAsia="Times New Roman" w:hAnsi="Calibri" w:cs="Calibri"/>
                <w:color w:val="000000"/>
                <w:sz w:val="20"/>
                <w:szCs w:val="20"/>
              </w:rPr>
            </w:pPr>
            <w:r w:rsidRPr="00F65617">
              <w:rPr>
                <w:rFonts w:ascii="Calibri" w:eastAsia="Times New Roman" w:hAnsi="Calibri" w:cs="Calibri"/>
                <w:color w:val="000000"/>
                <w:sz w:val="20"/>
                <w:szCs w:val="20"/>
              </w:rPr>
              <w:t> </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549E651E"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Contenido</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5B9A0F22"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Forma</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40436005"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Estructuración</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73C78365"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Accesibilidad</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4808A2E4"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Claridad</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0E5DDF92"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Reutilización</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4256963E"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Actualización</w:t>
            </w:r>
          </w:p>
        </w:tc>
        <w:tc>
          <w:tcPr>
            <w:tcW w:w="408" w:type="pct"/>
            <w:tcBorders>
              <w:top w:val="single" w:sz="12" w:space="0" w:color="FFFFFF"/>
              <w:left w:val="nil"/>
              <w:bottom w:val="single" w:sz="12" w:space="0" w:color="auto"/>
              <w:right w:val="nil"/>
            </w:tcBorders>
            <w:shd w:val="clear" w:color="000000" w:fill="00642D"/>
            <w:noWrap/>
            <w:textDirection w:val="btLr"/>
            <w:vAlign w:val="center"/>
            <w:hideMark/>
          </w:tcPr>
          <w:p w14:paraId="0ECE96D4"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Total</w:t>
            </w:r>
          </w:p>
        </w:tc>
      </w:tr>
      <w:tr w:rsidR="00F65617" w:rsidRPr="00F65617" w14:paraId="2B38976A" w14:textId="77777777" w:rsidTr="004F1AD4">
        <w:trPr>
          <w:trHeight w:val="330"/>
        </w:trPr>
        <w:tc>
          <w:tcPr>
            <w:tcW w:w="1739" w:type="pct"/>
            <w:tcBorders>
              <w:top w:val="nil"/>
              <w:left w:val="single" w:sz="12" w:space="0" w:color="FFFFFF"/>
              <w:bottom w:val="single" w:sz="12" w:space="0" w:color="FFFFFF"/>
              <w:right w:val="single" w:sz="12" w:space="0" w:color="FFFFFF"/>
            </w:tcBorders>
            <w:shd w:val="clear" w:color="000000" w:fill="00642D"/>
            <w:noWrap/>
            <w:vAlign w:val="center"/>
            <w:hideMark/>
          </w:tcPr>
          <w:p w14:paraId="21F7FDBC" w14:textId="77777777" w:rsidR="00F65617" w:rsidRPr="00F65617" w:rsidRDefault="00F65617" w:rsidP="00F65617">
            <w:pPr>
              <w:spacing w:after="0" w:line="240" w:lineRule="auto"/>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Institucional, Organizativa y de Planificación</w:t>
            </w:r>
          </w:p>
        </w:tc>
        <w:tc>
          <w:tcPr>
            <w:tcW w:w="408" w:type="pct"/>
            <w:tcBorders>
              <w:top w:val="nil"/>
              <w:left w:val="nil"/>
              <w:bottom w:val="nil"/>
              <w:right w:val="nil"/>
            </w:tcBorders>
            <w:shd w:val="clear" w:color="000000" w:fill="D8D8D8"/>
            <w:noWrap/>
            <w:vAlign w:val="center"/>
            <w:hideMark/>
          </w:tcPr>
          <w:p w14:paraId="41CDD031"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65,0</w:t>
            </w:r>
          </w:p>
        </w:tc>
        <w:tc>
          <w:tcPr>
            <w:tcW w:w="408" w:type="pct"/>
            <w:tcBorders>
              <w:top w:val="nil"/>
              <w:left w:val="nil"/>
              <w:bottom w:val="nil"/>
              <w:right w:val="nil"/>
            </w:tcBorders>
            <w:shd w:val="clear" w:color="000000" w:fill="D8D8D8"/>
            <w:noWrap/>
            <w:vAlign w:val="center"/>
            <w:hideMark/>
          </w:tcPr>
          <w:p w14:paraId="0FB8B8CD"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70,0</w:t>
            </w:r>
          </w:p>
        </w:tc>
        <w:tc>
          <w:tcPr>
            <w:tcW w:w="408" w:type="pct"/>
            <w:tcBorders>
              <w:top w:val="nil"/>
              <w:left w:val="nil"/>
              <w:bottom w:val="nil"/>
              <w:right w:val="nil"/>
            </w:tcBorders>
            <w:shd w:val="clear" w:color="000000" w:fill="D8D8D8"/>
            <w:noWrap/>
            <w:vAlign w:val="center"/>
            <w:hideMark/>
          </w:tcPr>
          <w:p w14:paraId="3C965183"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70,0</w:t>
            </w:r>
          </w:p>
        </w:tc>
        <w:tc>
          <w:tcPr>
            <w:tcW w:w="408" w:type="pct"/>
            <w:tcBorders>
              <w:top w:val="nil"/>
              <w:left w:val="nil"/>
              <w:bottom w:val="nil"/>
              <w:right w:val="nil"/>
            </w:tcBorders>
            <w:shd w:val="clear" w:color="000000" w:fill="D8D8D8"/>
            <w:noWrap/>
            <w:vAlign w:val="center"/>
            <w:hideMark/>
          </w:tcPr>
          <w:p w14:paraId="6DC1DB8A"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70,0</w:t>
            </w:r>
          </w:p>
        </w:tc>
        <w:tc>
          <w:tcPr>
            <w:tcW w:w="408" w:type="pct"/>
            <w:tcBorders>
              <w:top w:val="nil"/>
              <w:left w:val="nil"/>
              <w:bottom w:val="nil"/>
              <w:right w:val="nil"/>
            </w:tcBorders>
            <w:shd w:val="clear" w:color="000000" w:fill="D8D8D8"/>
            <w:noWrap/>
            <w:vAlign w:val="center"/>
            <w:hideMark/>
          </w:tcPr>
          <w:p w14:paraId="41102BE1"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70,0</w:t>
            </w:r>
          </w:p>
        </w:tc>
        <w:tc>
          <w:tcPr>
            <w:tcW w:w="408" w:type="pct"/>
            <w:tcBorders>
              <w:top w:val="nil"/>
              <w:left w:val="nil"/>
              <w:bottom w:val="nil"/>
              <w:right w:val="nil"/>
            </w:tcBorders>
            <w:shd w:val="clear" w:color="000000" w:fill="D8D8D8"/>
            <w:noWrap/>
            <w:vAlign w:val="center"/>
            <w:hideMark/>
          </w:tcPr>
          <w:p w14:paraId="24701C33"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70,0</w:t>
            </w:r>
          </w:p>
        </w:tc>
        <w:tc>
          <w:tcPr>
            <w:tcW w:w="408" w:type="pct"/>
            <w:tcBorders>
              <w:top w:val="nil"/>
              <w:left w:val="nil"/>
              <w:bottom w:val="nil"/>
              <w:right w:val="nil"/>
            </w:tcBorders>
            <w:shd w:val="clear" w:color="000000" w:fill="D8D8D8"/>
            <w:noWrap/>
            <w:vAlign w:val="center"/>
            <w:hideMark/>
          </w:tcPr>
          <w:p w14:paraId="7BF6929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15,0</w:t>
            </w:r>
          </w:p>
        </w:tc>
        <w:tc>
          <w:tcPr>
            <w:tcW w:w="408" w:type="pct"/>
            <w:tcBorders>
              <w:top w:val="nil"/>
              <w:left w:val="nil"/>
              <w:bottom w:val="nil"/>
              <w:right w:val="nil"/>
            </w:tcBorders>
            <w:shd w:val="clear" w:color="000000" w:fill="D8D8D8"/>
            <w:noWrap/>
            <w:vAlign w:val="center"/>
            <w:hideMark/>
          </w:tcPr>
          <w:p w14:paraId="3D6372D1"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61,4</w:t>
            </w:r>
          </w:p>
        </w:tc>
      </w:tr>
      <w:tr w:rsidR="00F65617" w:rsidRPr="00F65617" w14:paraId="10583E26" w14:textId="77777777" w:rsidTr="004F1AD4">
        <w:trPr>
          <w:trHeight w:val="450"/>
        </w:trPr>
        <w:tc>
          <w:tcPr>
            <w:tcW w:w="1739" w:type="pct"/>
            <w:tcBorders>
              <w:top w:val="nil"/>
              <w:left w:val="single" w:sz="12" w:space="0" w:color="FFFFFF"/>
              <w:bottom w:val="single" w:sz="12" w:space="0" w:color="FFFFFF"/>
              <w:right w:val="single" w:sz="12" w:space="0" w:color="FFFFFF"/>
            </w:tcBorders>
            <w:shd w:val="clear" w:color="000000" w:fill="00642D"/>
            <w:noWrap/>
            <w:vAlign w:val="center"/>
            <w:hideMark/>
          </w:tcPr>
          <w:p w14:paraId="35158F08" w14:textId="77777777" w:rsidR="00F65617" w:rsidRPr="00F65617" w:rsidRDefault="00F65617" w:rsidP="00F65617">
            <w:pPr>
              <w:spacing w:after="0" w:line="240" w:lineRule="auto"/>
              <w:jc w:val="both"/>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 xml:space="preserve">De relevancia jurídica </w:t>
            </w:r>
          </w:p>
        </w:tc>
        <w:tc>
          <w:tcPr>
            <w:tcW w:w="408" w:type="pct"/>
            <w:tcBorders>
              <w:top w:val="nil"/>
              <w:left w:val="nil"/>
              <w:bottom w:val="nil"/>
              <w:right w:val="nil"/>
            </w:tcBorders>
            <w:shd w:val="clear" w:color="000000" w:fill="D8D8D8"/>
            <w:noWrap/>
            <w:vAlign w:val="center"/>
            <w:hideMark/>
          </w:tcPr>
          <w:p w14:paraId="171CF15D"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4C642CE4"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3A1AF1D5"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36BC4B66"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70A56BC8"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1524CEC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401E1464"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000000" w:fill="D8D8D8"/>
            <w:noWrap/>
            <w:vAlign w:val="center"/>
            <w:hideMark/>
          </w:tcPr>
          <w:p w14:paraId="5D012794"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N.A.</w:t>
            </w:r>
          </w:p>
        </w:tc>
      </w:tr>
      <w:tr w:rsidR="00F65617" w:rsidRPr="00F65617" w14:paraId="36C4B85C" w14:textId="77777777" w:rsidTr="004F1AD4">
        <w:trPr>
          <w:trHeight w:val="330"/>
        </w:trPr>
        <w:tc>
          <w:tcPr>
            <w:tcW w:w="1739" w:type="pct"/>
            <w:tcBorders>
              <w:top w:val="nil"/>
              <w:left w:val="single" w:sz="12" w:space="0" w:color="FFFFFF"/>
              <w:bottom w:val="single" w:sz="12" w:space="0" w:color="FFFFFF"/>
              <w:right w:val="single" w:sz="12" w:space="0" w:color="FFFFFF"/>
            </w:tcBorders>
            <w:shd w:val="clear" w:color="000000" w:fill="00642D"/>
            <w:noWrap/>
            <w:vAlign w:val="center"/>
            <w:hideMark/>
          </w:tcPr>
          <w:p w14:paraId="2454E211" w14:textId="77777777" w:rsidR="00F65617" w:rsidRPr="00F65617" w:rsidRDefault="00F65617" w:rsidP="00F65617">
            <w:pPr>
              <w:spacing w:after="0" w:line="240" w:lineRule="auto"/>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Económica , Presupuestaria y Estadística</w:t>
            </w:r>
          </w:p>
        </w:tc>
        <w:tc>
          <w:tcPr>
            <w:tcW w:w="408" w:type="pct"/>
            <w:tcBorders>
              <w:top w:val="nil"/>
              <w:left w:val="nil"/>
              <w:bottom w:val="nil"/>
              <w:right w:val="nil"/>
            </w:tcBorders>
            <w:shd w:val="clear" w:color="000000" w:fill="D8D8D8"/>
            <w:noWrap/>
            <w:vAlign w:val="center"/>
            <w:hideMark/>
          </w:tcPr>
          <w:p w14:paraId="67716AB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21,1</w:t>
            </w:r>
          </w:p>
        </w:tc>
        <w:tc>
          <w:tcPr>
            <w:tcW w:w="408" w:type="pct"/>
            <w:tcBorders>
              <w:top w:val="nil"/>
              <w:left w:val="nil"/>
              <w:bottom w:val="nil"/>
              <w:right w:val="nil"/>
            </w:tcBorders>
            <w:shd w:val="clear" w:color="000000" w:fill="D8D8D8"/>
            <w:noWrap/>
            <w:vAlign w:val="center"/>
            <w:hideMark/>
          </w:tcPr>
          <w:p w14:paraId="05188FD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10,5</w:t>
            </w:r>
          </w:p>
        </w:tc>
        <w:tc>
          <w:tcPr>
            <w:tcW w:w="408" w:type="pct"/>
            <w:tcBorders>
              <w:top w:val="nil"/>
              <w:left w:val="nil"/>
              <w:bottom w:val="nil"/>
              <w:right w:val="nil"/>
            </w:tcBorders>
            <w:shd w:val="clear" w:color="000000" w:fill="D8D8D8"/>
            <w:noWrap/>
            <w:vAlign w:val="center"/>
            <w:hideMark/>
          </w:tcPr>
          <w:p w14:paraId="1A538B12"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21,1</w:t>
            </w:r>
          </w:p>
        </w:tc>
        <w:tc>
          <w:tcPr>
            <w:tcW w:w="408" w:type="pct"/>
            <w:tcBorders>
              <w:top w:val="nil"/>
              <w:left w:val="nil"/>
              <w:bottom w:val="nil"/>
              <w:right w:val="nil"/>
            </w:tcBorders>
            <w:shd w:val="clear" w:color="000000" w:fill="D8D8D8"/>
            <w:noWrap/>
            <w:vAlign w:val="center"/>
            <w:hideMark/>
          </w:tcPr>
          <w:p w14:paraId="120AE219"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10,5</w:t>
            </w:r>
          </w:p>
        </w:tc>
        <w:tc>
          <w:tcPr>
            <w:tcW w:w="408" w:type="pct"/>
            <w:tcBorders>
              <w:top w:val="nil"/>
              <w:left w:val="nil"/>
              <w:bottom w:val="nil"/>
              <w:right w:val="nil"/>
            </w:tcBorders>
            <w:shd w:val="clear" w:color="000000" w:fill="D8D8D8"/>
            <w:noWrap/>
            <w:vAlign w:val="center"/>
            <w:hideMark/>
          </w:tcPr>
          <w:p w14:paraId="4690812B"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21,1</w:t>
            </w:r>
          </w:p>
        </w:tc>
        <w:tc>
          <w:tcPr>
            <w:tcW w:w="408" w:type="pct"/>
            <w:tcBorders>
              <w:top w:val="nil"/>
              <w:left w:val="nil"/>
              <w:bottom w:val="nil"/>
              <w:right w:val="nil"/>
            </w:tcBorders>
            <w:shd w:val="clear" w:color="000000" w:fill="D8D8D8"/>
            <w:noWrap/>
            <w:vAlign w:val="center"/>
            <w:hideMark/>
          </w:tcPr>
          <w:p w14:paraId="30B82F48"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21,1</w:t>
            </w:r>
          </w:p>
        </w:tc>
        <w:tc>
          <w:tcPr>
            <w:tcW w:w="408" w:type="pct"/>
            <w:tcBorders>
              <w:top w:val="nil"/>
              <w:left w:val="nil"/>
              <w:bottom w:val="nil"/>
              <w:right w:val="nil"/>
            </w:tcBorders>
            <w:shd w:val="clear" w:color="000000" w:fill="D8D8D8"/>
            <w:noWrap/>
            <w:vAlign w:val="center"/>
            <w:hideMark/>
          </w:tcPr>
          <w:p w14:paraId="24FA9CC6"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21,1</w:t>
            </w:r>
          </w:p>
        </w:tc>
        <w:tc>
          <w:tcPr>
            <w:tcW w:w="408" w:type="pct"/>
            <w:tcBorders>
              <w:top w:val="nil"/>
              <w:left w:val="nil"/>
              <w:bottom w:val="nil"/>
              <w:right w:val="nil"/>
            </w:tcBorders>
            <w:shd w:val="clear" w:color="000000" w:fill="D8D8D8"/>
            <w:noWrap/>
            <w:vAlign w:val="center"/>
            <w:hideMark/>
          </w:tcPr>
          <w:p w14:paraId="3D5D1393"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18,0</w:t>
            </w:r>
          </w:p>
        </w:tc>
      </w:tr>
      <w:tr w:rsidR="00F65617" w:rsidRPr="00F65617" w14:paraId="6E4A4FA5" w14:textId="77777777" w:rsidTr="004F1AD4">
        <w:trPr>
          <w:trHeight w:val="330"/>
        </w:trPr>
        <w:tc>
          <w:tcPr>
            <w:tcW w:w="1739" w:type="pct"/>
            <w:tcBorders>
              <w:top w:val="nil"/>
              <w:left w:val="single" w:sz="12" w:space="0" w:color="FFFFFF"/>
              <w:bottom w:val="single" w:sz="12" w:space="0" w:color="FFFFFF"/>
              <w:right w:val="single" w:sz="12" w:space="0" w:color="FFFFFF"/>
            </w:tcBorders>
            <w:shd w:val="clear" w:color="000000" w:fill="00642D"/>
            <w:noWrap/>
            <w:vAlign w:val="center"/>
            <w:hideMark/>
          </w:tcPr>
          <w:p w14:paraId="33E15F9D" w14:textId="77777777" w:rsidR="00F65617" w:rsidRPr="00F65617" w:rsidRDefault="00F65617" w:rsidP="00F65617">
            <w:pPr>
              <w:spacing w:after="0" w:line="240" w:lineRule="auto"/>
              <w:rPr>
                <w:rFonts w:ascii="Century Gothic" w:eastAsia="Times New Roman" w:hAnsi="Century Gothic" w:cs="Calibri"/>
                <w:b/>
                <w:bCs/>
                <w:color w:val="FFFFFF"/>
                <w:sz w:val="16"/>
                <w:szCs w:val="16"/>
              </w:rPr>
            </w:pPr>
            <w:r w:rsidRPr="00F65617">
              <w:rPr>
                <w:rFonts w:ascii="Century Gothic" w:eastAsia="Times New Roman" w:hAnsi="Century Gothic" w:cs="Calibri"/>
                <w:b/>
                <w:bCs/>
                <w:color w:val="FFFFFF"/>
                <w:sz w:val="16"/>
                <w:szCs w:val="16"/>
              </w:rPr>
              <w:t>Información patrimonial</w:t>
            </w:r>
          </w:p>
        </w:tc>
        <w:tc>
          <w:tcPr>
            <w:tcW w:w="408" w:type="pct"/>
            <w:tcBorders>
              <w:top w:val="nil"/>
              <w:left w:val="nil"/>
              <w:bottom w:val="nil"/>
              <w:right w:val="nil"/>
            </w:tcBorders>
            <w:shd w:val="clear" w:color="000000" w:fill="D8D8D8"/>
            <w:noWrap/>
            <w:vAlign w:val="center"/>
            <w:hideMark/>
          </w:tcPr>
          <w:p w14:paraId="681DDABB"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5C5D29D3"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7D1A6116"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780B763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6AC3D5B4"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75EA489B"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37F069EE"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1D1CA09C" w14:textId="77777777" w:rsidR="00F65617" w:rsidRPr="00F65617" w:rsidRDefault="00F65617" w:rsidP="00F65617">
            <w:pPr>
              <w:spacing w:after="0" w:line="240" w:lineRule="auto"/>
              <w:jc w:val="center"/>
              <w:rPr>
                <w:rFonts w:ascii="Century Gothic" w:eastAsia="Times New Roman" w:hAnsi="Century Gothic" w:cs="Calibri"/>
                <w:color w:val="000000"/>
                <w:sz w:val="16"/>
                <w:szCs w:val="16"/>
              </w:rPr>
            </w:pPr>
            <w:r w:rsidRPr="00F65617">
              <w:rPr>
                <w:rFonts w:ascii="Century Gothic" w:eastAsia="Times New Roman" w:hAnsi="Century Gothic" w:cs="Calibri"/>
                <w:color w:val="000000"/>
                <w:sz w:val="16"/>
                <w:szCs w:val="16"/>
              </w:rPr>
              <w:t>0,0</w:t>
            </w:r>
          </w:p>
        </w:tc>
      </w:tr>
      <w:tr w:rsidR="00F65617" w:rsidRPr="00F65617" w14:paraId="3C828262" w14:textId="77777777" w:rsidTr="004F1AD4">
        <w:trPr>
          <w:trHeight w:val="330"/>
        </w:trPr>
        <w:tc>
          <w:tcPr>
            <w:tcW w:w="1739" w:type="pct"/>
            <w:tcBorders>
              <w:top w:val="nil"/>
              <w:left w:val="single" w:sz="12" w:space="0" w:color="FFFFFF"/>
              <w:bottom w:val="single" w:sz="12" w:space="0" w:color="FFFFFF"/>
              <w:right w:val="single" w:sz="12" w:space="0" w:color="FFFFFF"/>
            </w:tcBorders>
            <w:shd w:val="clear" w:color="000000" w:fill="00642D"/>
            <w:noWrap/>
            <w:vAlign w:val="center"/>
            <w:hideMark/>
          </w:tcPr>
          <w:p w14:paraId="33DE5804" w14:textId="77777777" w:rsidR="00F65617" w:rsidRPr="00F65617" w:rsidRDefault="00F65617" w:rsidP="00F65617">
            <w:pPr>
              <w:spacing w:after="0" w:line="240" w:lineRule="auto"/>
              <w:jc w:val="center"/>
              <w:rPr>
                <w:rFonts w:ascii="Century Gothic" w:eastAsia="Times New Roman" w:hAnsi="Century Gothic" w:cs="Calibri"/>
                <w:b/>
                <w:bCs/>
                <w:i/>
                <w:iCs/>
                <w:color w:val="FFFFFF"/>
                <w:sz w:val="16"/>
                <w:szCs w:val="16"/>
              </w:rPr>
            </w:pPr>
            <w:r w:rsidRPr="00F65617">
              <w:rPr>
                <w:rFonts w:ascii="Century Gothic" w:eastAsia="Times New Roman" w:hAnsi="Century Gothic" w:cs="Calibri"/>
                <w:b/>
                <w:bCs/>
                <w:i/>
                <w:iCs/>
                <w:color w:val="FFFFFF"/>
                <w:sz w:val="16"/>
                <w:szCs w:val="16"/>
              </w:rPr>
              <w:t>Índice de Cumplimiento de la Información Obligatoria</w:t>
            </w:r>
          </w:p>
        </w:tc>
        <w:tc>
          <w:tcPr>
            <w:tcW w:w="408" w:type="pct"/>
            <w:tcBorders>
              <w:top w:val="nil"/>
              <w:left w:val="nil"/>
              <w:bottom w:val="nil"/>
              <w:right w:val="nil"/>
            </w:tcBorders>
            <w:shd w:val="clear" w:color="000000" w:fill="D8D8D8"/>
            <w:noWrap/>
            <w:vAlign w:val="center"/>
            <w:hideMark/>
          </w:tcPr>
          <w:p w14:paraId="73E35AA8"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35,0</w:t>
            </w:r>
          </w:p>
        </w:tc>
        <w:tc>
          <w:tcPr>
            <w:tcW w:w="408" w:type="pct"/>
            <w:tcBorders>
              <w:top w:val="nil"/>
              <w:left w:val="nil"/>
              <w:bottom w:val="nil"/>
              <w:right w:val="nil"/>
            </w:tcBorders>
            <w:shd w:val="clear" w:color="000000" w:fill="D8D8D8"/>
            <w:noWrap/>
            <w:vAlign w:val="center"/>
            <w:hideMark/>
          </w:tcPr>
          <w:p w14:paraId="7419CAA0"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30,0</w:t>
            </w:r>
          </w:p>
        </w:tc>
        <w:tc>
          <w:tcPr>
            <w:tcW w:w="408" w:type="pct"/>
            <w:tcBorders>
              <w:top w:val="nil"/>
              <w:left w:val="nil"/>
              <w:bottom w:val="nil"/>
              <w:right w:val="nil"/>
            </w:tcBorders>
            <w:shd w:val="clear" w:color="000000" w:fill="D8D8D8"/>
            <w:noWrap/>
            <w:vAlign w:val="center"/>
            <w:hideMark/>
          </w:tcPr>
          <w:p w14:paraId="1C7F5609"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36,7</w:t>
            </w:r>
          </w:p>
        </w:tc>
        <w:tc>
          <w:tcPr>
            <w:tcW w:w="408" w:type="pct"/>
            <w:tcBorders>
              <w:top w:val="nil"/>
              <w:left w:val="nil"/>
              <w:bottom w:val="nil"/>
              <w:right w:val="nil"/>
            </w:tcBorders>
            <w:shd w:val="clear" w:color="000000" w:fill="D8D8D8"/>
            <w:noWrap/>
            <w:vAlign w:val="center"/>
            <w:hideMark/>
          </w:tcPr>
          <w:p w14:paraId="5C145F20"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30,0</w:t>
            </w:r>
          </w:p>
        </w:tc>
        <w:tc>
          <w:tcPr>
            <w:tcW w:w="408" w:type="pct"/>
            <w:tcBorders>
              <w:top w:val="nil"/>
              <w:left w:val="nil"/>
              <w:bottom w:val="nil"/>
              <w:right w:val="nil"/>
            </w:tcBorders>
            <w:shd w:val="clear" w:color="000000" w:fill="D8D8D8"/>
            <w:noWrap/>
            <w:vAlign w:val="center"/>
            <w:hideMark/>
          </w:tcPr>
          <w:p w14:paraId="14922FE3"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36,7</w:t>
            </w:r>
          </w:p>
        </w:tc>
        <w:tc>
          <w:tcPr>
            <w:tcW w:w="408" w:type="pct"/>
            <w:tcBorders>
              <w:top w:val="nil"/>
              <w:left w:val="nil"/>
              <w:bottom w:val="nil"/>
              <w:right w:val="nil"/>
            </w:tcBorders>
            <w:shd w:val="clear" w:color="000000" w:fill="D8D8D8"/>
            <w:noWrap/>
            <w:vAlign w:val="center"/>
            <w:hideMark/>
          </w:tcPr>
          <w:p w14:paraId="4743C219"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36,7</w:t>
            </w:r>
          </w:p>
        </w:tc>
        <w:tc>
          <w:tcPr>
            <w:tcW w:w="408" w:type="pct"/>
            <w:tcBorders>
              <w:top w:val="nil"/>
              <w:left w:val="nil"/>
              <w:bottom w:val="nil"/>
              <w:right w:val="nil"/>
            </w:tcBorders>
            <w:shd w:val="clear" w:color="000000" w:fill="D8D8D8"/>
            <w:noWrap/>
            <w:vAlign w:val="center"/>
            <w:hideMark/>
          </w:tcPr>
          <w:p w14:paraId="0D7A207D"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18,3</w:t>
            </w:r>
          </w:p>
        </w:tc>
        <w:tc>
          <w:tcPr>
            <w:tcW w:w="408" w:type="pct"/>
            <w:tcBorders>
              <w:top w:val="nil"/>
              <w:left w:val="nil"/>
              <w:bottom w:val="nil"/>
              <w:right w:val="nil"/>
            </w:tcBorders>
            <w:shd w:val="clear" w:color="000000" w:fill="D8D8D8"/>
            <w:noWrap/>
            <w:vAlign w:val="center"/>
            <w:hideMark/>
          </w:tcPr>
          <w:p w14:paraId="213D0200" w14:textId="77777777" w:rsidR="00F65617" w:rsidRPr="00F65617" w:rsidRDefault="00F65617" w:rsidP="00F65617">
            <w:pPr>
              <w:spacing w:after="0" w:line="240" w:lineRule="auto"/>
              <w:jc w:val="center"/>
              <w:rPr>
                <w:rFonts w:ascii="Century Gothic" w:eastAsia="Times New Roman" w:hAnsi="Century Gothic" w:cs="Calibri"/>
                <w:b/>
                <w:bCs/>
                <w:i/>
                <w:iCs/>
                <w:color w:val="000000"/>
                <w:sz w:val="16"/>
                <w:szCs w:val="16"/>
              </w:rPr>
            </w:pPr>
            <w:r w:rsidRPr="00F65617">
              <w:rPr>
                <w:rFonts w:ascii="Century Gothic" w:eastAsia="Times New Roman" w:hAnsi="Century Gothic" w:cs="Calibri"/>
                <w:b/>
                <w:bCs/>
                <w:i/>
                <w:iCs/>
                <w:color w:val="000000"/>
                <w:sz w:val="16"/>
                <w:szCs w:val="16"/>
              </w:rPr>
              <w:t>32,4</w:t>
            </w:r>
          </w:p>
        </w:tc>
      </w:tr>
    </w:tbl>
    <w:p w14:paraId="308653AB" w14:textId="77777777" w:rsidR="00F65617" w:rsidRDefault="00F65617" w:rsidP="00521AA8">
      <w:pPr>
        <w:ind w:left="284"/>
        <w:jc w:val="both"/>
      </w:pPr>
    </w:p>
    <w:p w14:paraId="2FC41301" w14:textId="4194FF28" w:rsidR="00C44550" w:rsidRDefault="007A0664" w:rsidP="00521AA8">
      <w:pPr>
        <w:ind w:left="284"/>
        <w:jc w:val="both"/>
      </w:pPr>
      <w:r w:rsidRPr="00396A23">
        <w:t xml:space="preserve">El Índice de Cumplimiento de la Información Obligatoria (ICIO) alcanza el </w:t>
      </w:r>
      <w:r w:rsidR="0041128B">
        <w:t>3</w:t>
      </w:r>
      <w:r w:rsidR="004F1AD4">
        <w:t>2,4</w:t>
      </w:r>
      <w:r w:rsidRPr="00396A23">
        <w:t>%. Respecto de 202</w:t>
      </w:r>
      <w:r w:rsidR="003F37E3">
        <w:t>3</w:t>
      </w:r>
      <w:r w:rsidRPr="00396A23">
        <w:t xml:space="preserve">, el nivel de cumplimiento ha </w:t>
      </w:r>
      <w:r w:rsidR="00521AA8">
        <w:t xml:space="preserve">disminuido </w:t>
      </w:r>
      <w:r w:rsidR="00B43B21">
        <w:t xml:space="preserve">un </w:t>
      </w:r>
      <w:r w:rsidR="0041128B">
        <w:t>1</w:t>
      </w:r>
      <w:r w:rsidR="004F1AD4">
        <w:t>0</w:t>
      </w:r>
      <w:r w:rsidR="0041128B">
        <w:t>,4</w:t>
      </w:r>
      <w:r w:rsidR="00B43B21">
        <w:t>%</w:t>
      </w:r>
      <w:r w:rsidRPr="00396A23">
        <w:t xml:space="preserve">. </w:t>
      </w:r>
      <w:r w:rsidR="00521AA8">
        <w:t>Esta disminución</w:t>
      </w:r>
      <w:r w:rsidRPr="00396A23">
        <w:t xml:space="preserve"> </w:t>
      </w:r>
      <w:r>
        <w:t>responde</w:t>
      </w:r>
      <w:r w:rsidR="00521AA8">
        <w:t xml:space="preserve">, por un lado, a que </w:t>
      </w:r>
      <w:r w:rsidR="003F37E3">
        <w:t>sólo</w:t>
      </w:r>
      <w:r w:rsidR="00521AA8">
        <w:t xml:space="preserve"> se ha aplicado </w:t>
      </w:r>
      <w:r w:rsidR="00F6244F">
        <w:t xml:space="preserve">por completo </w:t>
      </w:r>
      <w:r w:rsidR="00521AA8">
        <w:t>una de las recomendaciones derivadas de la evaluación de 202</w:t>
      </w:r>
      <w:r w:rsidR="003F37E3">
        <w:t>3</w:t>
      </w:r>
      <w:r w:rsidR="00B31296">
        <w:t xml:space="preserve"> y parcialmente otra (Datación y actualización, porque sólo se actualiza el apartado </w:t>
      </w:r>
      <w:r w:rsidR="00F6244F">
        <w:t xml:space="preserve">Indicadores </w:t>
      </w:r>
      <w:r w:rsidR="00F6244F">
        <w:lastRenderedPageBreak/>
        <w:t xml:space="preserve">transparencia), y por otro, porque ha habido que revisar a la baja </w:t>
      </w:r>
      <w:r w:rsidR="004F1AD4">
        <w:t>las</w:t>
      </w:r>
      <w:r w:rsidR="00F6244F">
        <w:t xml:space="preserve"> obligaciones Desistimientos y renuncias</w:t>
      </w:r>
      <w:r w:rsidR="004F1AD4">
        <w:t xml:space="preserve"> </w:t>
      </w:r>
      <w:r w:rsidR="00B31296">
        <w:t>e Información estadística necesaria para valorar el grado de cumplimiento y calidad de los servicios públicos de su competencia</w:t>
      </w:r>
      <w:r w:rsidR="00521AA8">
        <w:t xml:space="preserve">, </w:t>
      </w:r>
      <w:r>
        <w:t>que en 202</w:t>
      </w:r>
      <w:r w:rsidR="00BC72D4">
        <w:t>3</w:t>
      </w:r>
      <w:r>
        <w:t xml:space="preserve"> se cumpli</w:t>
      </w:r>
      <w:r w:rsidR="00BC72D4">
        <w:t>eron,</w:t>
      </w:r>
      <w:r>
        <w:t xml:space="preserve"> pero que en 2025 no ha</w:t>
      </w:r>
      <w:r w:rsidR="00BC72D4">
        <w:t>n</w:t>
      </w:r>
      <w:r>
        <w:t xml:space="preserve"> podido darse por cumplid</w:t>
      </w:r>
      <w:r w:rsidR="00F6244F">
        <w:t>os.</w:t>
      </w:r>
    </w:p>
    <w:p w14:paraId="0CBFD59A" w14:textId="7C3F9F02" w:rsidR="007A0664" w:rsidRPr="00396A23" w:rsidRDefault="007A0664" w:rsidP="00521AA8">
      <w:pPr>
        <w:ind w:left="284"/>
        <w:jc w:val="both"/>
      </w:pPr>
      <w:r>
        <w:t>.</w:t>
      </w:r>
    </w:p>
    <w:p w14:paraId="36722D24" w14:textId="77777777" w:rsidR="007A0664" w:rsidRPr="001C00DE" w:rsidRDefault="007A0664" w:rsidP="00C44550">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1AF8C2B9" w:rsidR="007A0664" w:rsidRPr="00396A23" w:rsidRDefault="007A0664" w:rsidP="00521AA8">
      <w:pPr>
        <w:spacing w:before="120" w:after="120"/>
        <w:ind w:left="284"/>
        <w:jc w:val="both"/>
      </w:pPr>
      <w:r w:rsidRPr="00396A23">
        <w:t>En 202</w:t>
      </w:r>
      <w:r w:rsidR="00C44550">
        <w:t>2</w:t>
      </w:r>
      <w:r>
        <w:t xml:space="preserve"> </w:t>
      </w:r>
      <w:r w:rsidRPr="00396A23">
        <w:t xml:space="preserve">se realizó una primera evaluación de cumplimiento de las obligaciones de publicidad activa por parte </w:t>
      </w:r>
      <w:r w:rsidR="00C44550">
        <w:t>de RENFE Operadora</w:t>
      </w:r>
      <w:r w:rsidRPr="00396A23">
        <w:t xml:space="preserve">. El índice de cumplimiento alcanzado se situó en el </w:t>
      </w:r>
      <w:r w:rsidR="00C44550">
        <w:t>36,2</w:t>
      </w:r>
      <w:r w:rsidRPr="00396A23">
        <w:t xml:space="preserve">% y, a partir de las evidencias obtenidas en la evaluación, este Consejo efectuó </w:t>
      </w:r>
      <w:r w:rsidR="00E16E35">
        <w:t>1</w:t>
      </w:r>
      <w:r w:rsidR="00C44550">
        <w:t>8</w:t>
      </w:r>
      <w:r w:rsidRPr="00396A23">
        <w:t xml:space="preserve"> recomendaciones, cuya finalidad era la mejora del cumplimiento de la LTAIBG por parte de la organización.</w:t>
      </w:r>
    </w:p>
    <w:p w14:paraId="453614C8" w14:textId="36BABFAD" w:rsidR="007A0664" w:rsidRPr="00396A23" w:rsidRDefault="007A0664" w:rsidP="00521AA8">
      <w:pPr>
        <w:spacing w:before="120" w:after="120"/>
        <w:ind w:left="284"/>
        <w:jc w:val="both"/>
      </w:pPr>
      <w:r w:rsidRPr="00396A23">
        <w:t>En 202</w:t>
      </w:r>
      <w:r w:rsidR="00C44550">
        <w:t>3</w:t>
      </w:r>
      <w:r w:rsidRPr="00396A23">
        <w:t xml:space="preserve">, se abordó una nueva evaluación de cumplimiento, en la que se constató que </w:t>
      </w:r>
      <w:r w:rsidR="00C44550">
        <w:t>RENFE Operadora</w:t>
      </w:r>
      <w:r w:rsidR="00E16E35" w:rsidRPr="00396A23">
        <w:t xml:space="preserve"> </w:t>
      </w:r>
      <w:r w:rsidR="00C44550">
        <w:t>sólo</w:t>
      </w:r>
      <w:r w:rsidR="00E16E35">
        <w:t xml:space="preserve"> </w:t>
      </w:r>
      <w:r w:rsidRPr="00396A23">
        <w:t xml:space="preserve">había aplicado </w:t>
      </w:r>
      <w:r w:rsidR="00C44550">
        <w:t>u</w:t>
      </w:r>
      <w:r w:rsidR="00E16E35">
        <w:t>na de las</w:t>
      </w:r>
      <w:r w:rsidRPr="00396A23">
        <w:t xml:space="preserve"> recomendaciones derivadas de la evaluación 202</w:t>
      </w:r>
      <w:r w:rsidR="00C44550">
        <w:t>2</w:t>
      </w:r>
      <w:r w:rsidRPr="00396A23">
        <w:t xml:space="preserve">, lo que se tradujo en un Índice de Cumplimiento </w:t>
      </w:r>
      <w:r w:rsidR="00C44550">
        <w:t>sin modificaciones del 36,2</w:t>
      </w:r>
      <w:r w:rsidRPr="00396A23">
        <w:t>%.</w:t>
      </w:r>
    </w:p>
    <w:p w14:paraId="46C8227C" w14:textId="3F578B47" w:rsidR="007A0664" w:rsidRPr="00396A23" w:rsidRDefault="007A0664" w:rsidP="00521AA8">
      <w:pPr>
        <w:spacing w:before="120" w:after="120"/>
        <w:ind w:left="284"/>
        <w:jc w:val="both"/>
      </w:pPr>
      <w:r w:rsidRPr="00396A23">
        <w:t xml:space="preserve">Dado que el nivel de cumplimiento de la LTAIBG por parte </w:t>
      </w:r>
      <w:r w:rsidR="008F4F9E">
        <w:t>de RENFE Operadora</w:t>
      </w:r>
      <w:r w:rsidR="008F4F9E" w:rsidRPr="00396A23">
        <w:t xml:space="preserve"> </w:t>
      </w:r>
      <w:r w:rsidRPr="00396A23">
        <w:t>era insuficiente, se decidió por parte de este CTBG, incluir</w:t>
      </w:r>
      <w:r w:rsidR="008F4F9E">
        <w:t xml:space="preserve"> a</w:t>
      </w:r>
      <w:r w:rsidRPr="00396A23">
        <w:t xml:space="preserve"> </w:t>
      </w:r>
      <w:r w:rsidR="008F4F9E">
        <w:t>RENFE Operadora</w:t>
      </w:r>
      <w:r w:rsidR="008F4F9E" w:rsidRPr="00396A23">
        <w:t xml:space="preserve"> </w:t>
      </w:r>
      <w:r w:rsidRPr="00396A23">
        <w:t>en el Plan de evaluación 202</w:t>
      </w:r>
      <w:r>
        <w:t>5</w:t>
      </w:r>
      <w:r w:rsidRPr="00396A23">
        <w:t xml:space="preserve"> y realizar una tercera evaluación de cumplimiento. </w:t>
      </w:r>
    </w:p>
    <w:p w14:paraId="06DFC31F" w14:textId="6EF4C705"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w:t>
      </w:r>
      <w:r w:rsidR="00E16E35">
        <w:t xml:space="preserve"> </w:t>
      </w:r>
      <w:r w:rsidR="008F4F9E">
        <w:t>RENFE Operadora</w:t>
      </w:r>
      <w:r w:rsidR="008F4F9E" w:rsidRPr="00396A23">
        <w:t xml:space="preserve"> </w:t>
      </w:r>
      <w:r w:rsidRPr="00396A23">
        <w:t xml:space="preserve">ha </w:t>
      </w:r>
      <w:r w:rsidR="00E16E35">
        <w:t>disminuido</w:t>
      </w:r>
      <w:r w:rsidRPr="00396A23">
        <w:t xml:space="preserve"> </w:t>
      </w:r>
      <w:r>
        <w:t xml:space="preserve">en </w:t>
      </w:r>
      <w:r w:rsidR="004F1AD4">
        <w:t>3,8</w:t>
      </w:r>
      <w:r w:rsidR="00E16E35">
        <w:t xml:space="preserve"> </w:t>
      </w:r>
      <w:r>
        <w:t>puntos porcentuales</w:t>
      </w:r>
      <w:r w:rsidRPr="00396A23">
        <w:t xml:space="preserve"> respecto de los valores alcanzados en 202</w:t>
      </w:r>
      <w:r w:rsidR="008F4F9E">
        <w:t>3</w:t>
      </w:r>
      <w:r w:rsidRPr="00396A23">
        <w:t xml:space="preserve">, dado que </w:t>
      </w:r>
      <w:r w:rsidR="008F4F9E">
        <w:t>sólo</w:t>
      </w:r>
      <w:r w:rsidR="00E16E35">
        <w:t xml:space="preserve"> </w:t>
      </w:r>
      <w:r w:rsidRPr="00396A23">
        <w:t xml:space="preserve">se ha aplicado </w:t>
      </w:r>
      <w:r w:rsidR="00F6244F">
        <w:t xml:space="preserve">por completo </w:t>
      </w:r>
      <w:r w:rsidR="00E16E35">
        <w:t>una</w:t>
      </w:r>
      <w:r w:rsidRPr="00396A23">
        <w:t xml:space="preserve"> de las recomendaciones derivadas de la evaluación realizada en ese año</w:t>
      </w:r>
      <w:r w:rsidR="00E16E35">
        <w:t xml:space="preserve"> y que </w:t>
      </w:r>
      <w:r w:rsidRPr="00396A23">
        <w:t xml:space="preserve">ha sido preciso revisar a la baja la valoración de </w:t>
      </w:r>
      <w:r w:rsidR="004F1AD4">
        <w:t>dos</w:t>
      </w:r>
      <w:r w:rsidR="00082566">
        <w:t xml:space="preserve"> </w:t>
      </w:r>
      <w:r w:rsidR="00E16E35">
        <w:t>obligaciones</w:t>
      </w:r>
      <w:r w:rsidRPr="00396A23">
        <w:t xml:space="preserve">. </w:t>
      </w:r>
    </w:p>
    <w:p w14:paraId="514D2818" w14:textId="7766AB61" w:rsidR="007A0664" w:rsidRPr="00396A23" w:rsidRDefault="007A0664" w:rsidP="00521AA8">
      <w:pPr>
        <w:spacing w:before="120" w:after="120"/>
        <w:ind w:left="284"/>
        <w:jc w:val="both"/>
      </w:pPr>
      <w:r w:rsidRPr="00396A23">
        <w:t xml:space="preserve">Por todo lo que antecede y tras la realización de tres evaluaciones de cumplimiento </w:t>
      </w:r>
      <w:r w:rsidR="00E16E35">
        <w:t xml:space="preserve">en las que la progresión </w:t>
      </w:r>
      <w:r w:rsidR="00B43B21">
        <w:t xml:space="preserve">no </w:t>
      </w:r>
      <w:r w:rsidR="00E16E35">
        <w:t>ha sido</w:t>
      </w:r>
      <w:r w:rsidR="00B43B21">
        <w:t xml:space="preserve"> la esperada</w:t>
      </w:r>
      <w:r w:rsidRPr="00396A23">
        <w:t xml:space="preserve">, este Consejo de Transparencia y Buen Gobierno </w:t>
      </w:r>
      <w:r w:rsidR="004F1AD4" w:rsidRPr="004F1AD4">
        <w:rPr>
          <w:bCs/>
        </w:rPr>
        <w:t>considera necesario</w:t>
      </w:r>
      <w:r w:rsidRPr="00396A23">
        <w:t xml:space="preserve"> </w:t>
      </w:r>
      <w:r w:rsidR="00E16E35">
        <w:t xml:space="preserve">que </w:t>
      </w:r>
      <w:r w:rsidR="008F4F9E">
        <w:t>RENFE Operadora</w:t>
      </w:r>
      <w:r w:rsidR="008F4F9E" w:rsidRPr="00396A23">
        <w:t xml:space="preserve"> </w:t>
      </w:r>
      <w:r w:rsidRPr="00396A23">
        <w:t>proceda a la subsanación de los siguientes incumplimientos, en los términos que se establecen a continuación:</w:t>
      </w:r>
    </w:p>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3C2A1974" w14:textId="4D282EF5" w:rsidR="00E16E35" w:rsidRDefault="007A0664" w:rsidP="00E16E35">
      <w:pPr>
        <w:pStyle w:val="Prrafodelista"/>
        <w:numPr>
          <w:ilvl w:val="0"/>
          <w:numId w:val="35"/>
        </w:numPr>
        <w:jc w:val="both"/>
        <w:rPr>
          <w:bCs/>
        </w:rPr>
      </w:pPr>
      <w:r w:rsidRPr="00E16E35">
        <w:t xml:space="preserve">Publicar </w:t>
      </w:r>
      <w:r w:rsidR="008F4F9E">
        <w:rPr>
          <w:bCs/>
        </w:rPr>
        <w:t>el organigrama de forma independiente</w:t>
      </w:r>
      <w:r w:rsidR="00E16E35" w:rsidRPr="00E16E35">
        <w:rPr>
          <w:bCs/>
        </w:rPr>
        <w:t>.</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7897835C" w14:textId="199E4C8A" w:rsidR="007A0664" w:rsidRPr="008F4F9E" w:rsidRDefault="00E16E35" w:rsidP="00E16E35">
      <w:pPr>
        <w:pStyle w:val="Prrafodelista"/>
        <w:numPr>
          <w:ilvl w:val="0"/>
          <w:numId w:val="35"/>
        </w:numPr>
        <w:jc w:val="both"/>
      </w:pPr>
      <w:r w:rsidRPr="00E16E35">
        <w:rPr>
          <w:bCs/>
        </w:rPr>
        <w:t>Publicar los indicadores de medida y valoración del cumplimiento de los objetivos de los planes y programas.</w:t>
      </w:r>
    </w:p>
    <w:p w14:paraId="61CF549F" w14:textId="3E50FEE0" w:rsidR="00E16E35" w:rsidRDefault="00E16E35" w:rsidP="00E16E35">
      <w:pPr>
        <w:pStyle w:val="Prrafodelista"/>
        <w:numPr>
          <w:ilvl w:val="0"/>
          <w:numId w:val="35"/>
        </w:numPr>
        <w:jc w:val="both"/>
      </w:pPr>
      <w:r>
        <w:t>Publicar</w:t>
      </w:r>
      <w:r w:rsidRPr="00E16E35">
        <w:t xml:space="preserve"> información sobre modificaciones de contratos.</w:t>
      </w:r>
    </w:p>
    <w:p w14:paraId="444EAA2C" w14:textId="1C673002" w:rsidR="008F4F9E" w:rsidRPr="00E16E35" w:rsidRDefault="008F4F9E" w:rsidP="00E16E35">
      <w:pPr>
        <w:pStyle w:val="Prrafodelista"/>
        <w:numPr>
          <w:ilvl w:val="0"/>
          <w:numId w:val="35"/>
        </w:numPr>
        <w:jc w:val="both"/>
      </w:pPr>
      <w:r>
        <w:t>Publicar información sobre desistimientos y renuncias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53D26924" w14:textId="77777777" w:rsidR="003C6CC8" w:rsidRDefault="003C6CC8" w:rsidP="003C6CC8">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8ED3314" w14:textId="5F157532" w:rsidR="00E16E35" w:rsidRPr="00E16E35" w:rsidRDefault="00E16E35" w:rsidP="00E16E35">
      <w:pPr>
        <w:pStyle w:val="Prrafodelista"/>
        <w:numPr>
          <w:ilvl w:val="0"/>
          <w:numId w:val="35"/>
        </w:numPr>
        <w:jc w:val="both"/>
      </w:pPr>
      <w:r>
        <w:t>Publicar</w:t>
      </w:r>
      <w:r w:rsidRPr="00E16E35">
        <w:t xml:space="preserve"> </w:t>
      </w:r>
      <w:r w:rsidR="00B43B21">
        <w:t xml:space="preserve">en la página web del organismo </w:t>
      </w:r>
      <w:r w:rsidRPr="00E16E35">
        <w:t>información sobre los convenios suscritos, incluyendo todos los ítems informativos que el artículo 8.1.b de la LTAIBG establece para esta obligación.</w:t>
      </w:r>
    </w:p>
    <w:p w14:paraId="2ECD4488" w14:textId="1621AB36" w:rsidR="00E16E35" w:rsidRPr="00E16E35" w:rsidRDefault="00E16E35" w:rsidP="00E16E35">
      <w:pPr>
        <w:pStyle w:val="Prrafodelista"/>
        <w:numPr>
          <w:ilvl w:val="0"/>
          <w:numId w:val="35"/>
        </w:numPr>
        <w:jc w:val="both"/>
      </w:pPr>
      <w:r>
        <w:t>Publicar información</w:t>
      </w:r>
      <w:r w:rsidRPr="00E16E35">
        <w:t xml:space="preserve"> sobre encomiendas </w:t>
      </w:r>
      <w:r w:rsidR="00B43B21">
        <w:t>de gestión</w:t>
      </w:r>
      <w:r w:rsidRPr="00E16E35">
        <w:t>.</w:t>
      </w:r>
    </w:p>
    <w:p w14:paraId="13CAED13" w14:textId="4A76FC28" w:rsidR="00E16E35" w:rsidRPr="00E16E35" w:rsidRDefault="00E16E35" w:rsidP="00E16E35">
      <w:pPr>
        <w:pStyle w:val="Prrafodelista"/>
        <w:numPr>
          <w:ilvl w:val="0"/>
          <w:numId w:val="35"/>
        </w:numPr>
        <w:jc w:val="both"/>
      </w:pPr>
      <w:r>
        <w:lastRenderedPageBreak/>
        <w:t xml:space="preserve">Publicar </w:t>
      </w:r>
      <w:r w:rsidRPr="00E16E35">
        <w:t>información sobre subcontrataciones</w:t>
      </w:r>
      <w:r w:rsidR="00B43B21">
        <w:t xml:space="preserve"> derivadas de encomiendas de gestión</w:t>
      </w:r>
      <w:r w:rsidRPr="00E16E35">
        <w:t>.</w:t>
      </w:r>
    </w:p>
    <w:p w14:paraId="6AF5B94F" w14:textId="54DBC0CA" w:rsidR="00E16E35" w:rsidRPr="00E16E35" w:rsidRDefault="00E16E35" w:rsidP="00E16E35">
      <w:pPr>
        <w:pStyle w:val="Prrafodelista"/>
        <w:numPr>
          <w:ilvl w:val="0"/>
          <w:numId w:val="35"/>
        </w:numPr>
        <w:jc w:val="both"/>
      </w:pPr>
      <w:r>
        <w:t>Publicar</w:t>
      </w:r>
      <w:r w:rsidRPr="00E16E35">
        <w:t xml:space="preserve"> información sobre subvenciones concedidas por el organismo a terceros.</w:t>
      </w:r>
    </w:p>
    <w:p w14:paraId="6FD2E982" w14:textId="62CE33E6" w:rsidR="00E16E35" w:rsidRPr="00E16E35" w:rsidRDefault="00E16E35" w:rsidP="00E16E35">
      <w:pPr>
        <w:pStyle w:val="Prrafodelista"/>
        <w:numPr>
          <w:ilvl w:val="0"/>
          <w:numId w:val="35"/>
        </w:numPr>
        <w:jc w:val="both"/>
      </w:pPr>
      <w:r>
        <w:t>Publicar</w:t>
      </w:r>
      <w:r w:rsidRPr="00E16E35">
        <w:t xml:space="preserve"> información </w:t>
      </w:r>
      <w:r w:rsidR="00B43B21">
        <w:t>accesible</w:t>
      </w:r>
      <w:r w:rsidRPr="00E16E35">
        <w:t xml:space="preserve"> sobre </w:t>
      </w:r>
      <w:r w:rsidR="008F4F9E">
        <w:t>la ejecución presupuestaria</w:t>
      </w:r>
      <w:r w:rsidRPr="00E16E35">
        <w:t xml:space="preserve"> del organismo.</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5B6B3246" w:rsidR="00E16E35" w:rsidRP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4CB7A78E" w14:textId="5BD6956E" w:rsidR="00E16E35" w:rsidRDefault="00E16E35" w:rsidP="00E16E35">
      <w:pPr>
        <w:pStyle w:val="Prrafodelista"/>
        <w:numPr>
          <w:ilvl w:val="0"/>
          <w:numId w:val="35"/>
        </w:numPr>
        <w:jc w:val="both"/>
      </w:pPr>
      <w:r>
        <w:t>Publicar</w:t>
      </w:r>
      <w:r w:rsidRPr="00E16E35">
        <w:t xml:space="preserve"> información estadística </w:t>
      </w:r>
      <w:r w:rsidR="00B43B21">
        <w:t>accesible</w:t>
      </w:r>
      <w:r w:rsidRPr="00E16E35">
        <w:t xml:space="preserve"> necesaria para valorar el grado de cumplimiento y calidad de los servicios públicos de su competencia.</w:t>
      </w:r>
    </w:p>
    <w:p w14:paraId="2E1CB905" w14:textId="52F25115" w:rsidR="00082566" w:rsidRPr="00E16E35" w:rsidRDefault="00082566" w:rsidP="00E16E35">
      <w:pPr>
        <w:pStyle w:val="Prrafodelista"/>
        <w:numPr>
          <w:ilvl w:val="0"/>
          <w:numId w:val="35"/>
        </w:numPr>
        <w:jc w:val="both"/>
      </w:pPr>
      <w:r>
        <w:t>Datar y/o actualizar</w:t>
      </w:r>
      <w:r w:rsidR="008F4F9E">
        <w:t xml:space="preserve"> toda</w:t>
      </w:r>
      <w:r>
        <w:t xml:space="preserve"> la información sujeta a obligación.</w:t>
      </w:r>
    </w:p>
    <w:p w14:paraId="5AAC0AEB" w14:textId="77777777" w:rsidR="00E16E35" w:rsidRPr="005A3C4E" w:rsidRDefault="00E16E35" w:rsidP="00E16E35">
      <w:pPr>
        <w:pStyle w:val="Prrafodelista"/>
        <w:ind w:left="1440"/>
        <w:jc w:val="both"/>
      </w:pPr>
    </w:p>
    <w:p w14:paraId="67974A85" w14:textId="5B99D890" w:rsidR="007A0664" w:rsidRPr="005A3C4E" w:rsidRDefault="007A0664" w:rsidP="00C13843">
      <w:pPr>
        <w:ind w:left="6372" w:firstLine="708"/>
        <w:jc w:val="right"/>
      </w:pPr>
      <w:r w:rsidRPr="005A3C4E">
        <w:t xml:space="preserve">Madrid, </w:t>
      </w:r>
      <w:r w:rsidR="00C13843">
        <w:t>noviembre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BE2453"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F430AE9"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2BB1" w14:textId="77777777" w:rsidR="00BE2453" w:rsidRDefault="00BE2453" w:rsidP="00932008">
      <w:pPr>
        <w:spacing w:after="0" w:line="240" w:lineRule="auto"/>
      </w:pPr>
      <w:r>
        <w:separator/>
      </w:r>
    </w:p>
  </w:endnote>
  <w:endnote w:type="continuationSeparator" w:id="0">
    <w:p w14:paraId="1D563B3B" w14:textId="77777777" w:rsidR="00BE2453" w:rsidRDefault="00BE2453"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EC69" w14:textId="77777777" w:rsidR="00BE2453" w:rsidRDefault="00BE2453" w:rsidP="00932008">
      <w:pPr>
        <w:spacing w:after="0" w:line="240" w:lineRule="auto"/>
      </w:pPr>
      <w:r>
        <w:separator/>
      </w:r>
    </w:p>
  </w:footnote>
  <w:footnote w:type="continuationSeparator" w:id="0">
    <w:p w14:paraId="6A4CCC5F" w14:textId="77777777" w:rsidR="00BE2453" w:rsidRDefault="00BE2453"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D6C8D2B"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B0B2490"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3473297"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9pt;height:9pt" o:bullet="t">
        <v:imagedata r:id="rId1" o:title="BD14533_"/>
      </v:shape>
    </w:pict>
  </w:numPicBullet>
  <w:abstractNum w:abstractNumId="0" w15:restartNumberingAfterBreak="0">
    <w:nsid w:val="04847114"/>
    <w:multiLevelType w:val="hybridMultilevel"/>
    <w:tmpl w:val="A99A25C6"/>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04083E"/>
    <w:multiLevelType w:val="hybridMultilevel"/>
    <w:tmpl w:val="FBE41C5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502A92"/>
    <w:multiLevelType w:val="hybridMultilevel"/>
    <w:tmpl w:val="F6768D2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75E27BA"/>
    <w:multiLevelType w:val="hybridMultilevel"/>
    <w:tmpl w:val="6A781EA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7F70EE"/>
    <w:multiLevelType w:val="hybridMultilevel"/>
    <w:tmpl w:val="4EEC2A38"/>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35E48D6"/>
    <w:multiLevelType w:val="hybridMultilevel"/>
    <w:tmpl w:val="E3664C30"/>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5"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0FD76E8"/>
    <w:multiLevelType w:val="hybridMultilevel"/>
    <w:tmpl w:val="D5DE2CF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9111B1"/>
    <w:multiLevelType w:val="hybridMultilevel"/>
    <w:tmpl w:val="7F3A3562"/>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0"/>
  </w:num>
  <w:num w:numId="4">
    <w:abstractNumId w:val="37"/>
  </w:num>
  <w:num w:numId="5">
    <w:abstractNumId w:val="8"/>
  </w:num>
  <w:num w:numId="6">
    <w:abstractNumId w:val="17"/>
  </w:num>
  <w:num w:numId="7">
    <w:abstractNumId w:val="21"/>
  </w:num>
  <w:num w:numId="8">
    <w:abstractNumId w:val="12"/>
  </w:num>
  <w:num w:numId="9">
    <w:abstractNumId w:val="41"/>
  </w:num>
  <w:num w:numId="10">
    <w:abstractNumId w:val="34"/>
  </w:num>
  <w:num w:numId="11">
    <w:abstractNumId w:val="35"/>
  </w:num>
  <w:num w:numId="12">
    <w:abstractNumId w:val="28"/>
  </w:num>
  <w:num w:numId="13">
    <w:abstractNumId w:val="38"/>
  </w:num>
  <w:num w:numId="14">
    <w:abstractNumId w:val="16"/>
  </w:num>
  <w:num w:numId="15">
    <w:abstractNumId w:val="6"/>
  </w:num>
  <w:num w:numId="16">
    <w:abstractNumId w:val="15"/>
  </w:num>
  <w:num w:numId="17">
    <w:abstractNumId w:val="2"/>
  </w:num>
  <w:num w:numId="18">
    <w:abstractNumId w:val="11"/>
  </w:num>
  <w:num w:numId="19">
    <w:abstractNumId w:val="14"/>
  </w:num>
  <w:num w:numId="20">
    <w:abstractNumId w:val="29"/>
  </w:num>
  <w:num w:numId="21">
    <w:abstractNumId w:val="7"/>
  </w:num>
  <w:num w:numId="22">
    <w:abstractNumId w:val="3"/>
  </w:num>
  <w:num w:numId="23">
    <w:abstractNumId w:val="18"/>
  </w:num>
  <w:num w:numId="24">
    <w:abstractNumId w:val="24"/>
  </w:num>
  <w:num w:numId="25">
    <w:abstractNumId w:val="4"/>
  </w:num>
  <w:num w:numId="26">
    <w:abstractNumId w:val="13"/>
  </w:num>
  <w:num w:numId="27">
    <w:abstractNumId w:val="25"/>
  </w:num>
  <w:num w:numId="28">
    <w:abstractNumId w:val="23"/>
  </w:num>
  <w:num w:numId="29">
    <w:abstractNumId w:val="19"/>
  </w:num>
  <w:num w:numId="30">
    <w:abstractNumId w:val="20"/>
  </w:num>
  <w:num w:numId="31">
    <w:abstractNumId w:val="9"/>
  </w:num>
  <w:num w:numId="32">
    <w:abstractNumId w:val="1"/>
  </w:num>
  <w:num w:numId="33">
    <w:abstractNumId w:val="26"/>
  </w:num>
  <w:num w:numId="34">
    <w:abstractNumId w:val="40"/>
  </w:num>
  <w:num w:numId="35">
    <w:abstractNumId w:val="27"/>
  </w:num>
  <w:num w:numId="36">
    <w:abstractNumId w:val="5"/>
  </w:num>
  <w:num w:numId="37">
    <w:abstractNumId w:val="36"/>
  </w:num>
  <w:num w:numId="38">
    <w:abstractNumId w:val="22"/>
  </w:num>
  <w:num w:numId="39">
    <w:abstractNumId w:val="30"/>
  </w:num>
  <w:num w:numId="40">
    <w:abstractNumId w:val="0"/>
  </w:num>
  <w:num w:numId="41">
    <w:abstractNumId w:val="3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72BA"/>
    <w:rsid w:val="000262A3"/>
    <w:rsid w:val="00027D55"/>
    <w:rsid w:val="00055544"/>
    <w:rsid w:val="000807E2"/>
    <w:rsid w:val="00082566"/>
    <w:rsid w:val="00091D2B"/>
    <w:rsid w:val="000965B3"/>
    <w:rsid w:val="000B0FBA"/>
    <w:rsid w:val="000C6CFF"/>
    <w:rsid w:val="000D37BA"/>
    <w:rsid w:val="000E62B9"/>
    <w:rsid w:val="00102733"/>
    <w:rsid w:val="00102EC4"/>
    <w:rsid w:val="0011279F"/>
    <w:rsid w:val="00115019"/>
    <w:rsid w:val="001400C0"/>
    <w:rsid w:val="001561A4"/>
    <w:rsid w:val="00156A51"/>
    <w:rsid w:val="00173FC5"/>
    <w:rsid w:val="00186FE9"/>
    <w:rsid w:val="00194552"/>
    <w:rsid w:val="00194F25"/>
    <w:rsid w:val="001A17D1"/>
    <w:rsid w:val="001A4120"/>
    <w:rsid w:val="001C72D3"/>
    <w:rsid w:val="001D0329"/>
    <w:rsid w:val="001E30F9"/>
    <w:rsid w:val="001F1FD6"/>
    <w:rsid w:val="00204ECB"/>
    <w:rsid w:val="00206263"/>
    <w:rsid w:val="0021059E"/>
    <w:rsid w:val="00231B7E"/>
    <w:rsid w:val="00235095"/>
    <w:rsid w:val="002562C9"/>
    <w:rsid w:val="00280DE8"/>
    <w:rsid w:val="00285021"/>
    <w:rsid w:val="002A154B"/>
    <w:rsid w:val="002B7C4A"/>
    <w:rsid w:val="002D04DC"/>
    <w:rsid w:val="002D51FC"/>
    <w:rsid w:val="002E6466"/>
    <w:rsid w:val="002F1673"/>
    <w:rsid w:val="002F2850"/>
    <w:rsid w:val="00307559"/>
    <w:rsid w:val="00344FEC"/>
    <w:rsid w:val="00374113"/>
    <w:rsid w:val="00384A99"/>
    <w:rsid w:val="003B53D9"/>
    <w:rsid w:val="003B7F67"/>
    <w:rsid w:val="003C6CC8"/>
    <w:rsid w:val="003D3F6C"/>
    <w:rsid w:val="003E3018"/>
    <w:rsid w:val="003F271E"/>
    <w:rsid w:val="003F37E3"/>
    <w:rsid w:val="003F572A"/>
    <w:rsid w:val="0041128B"/>
    <w:rsid w:val="00421CCF"/>
    <w:rsid w:val="00442DDF"/>
    <w:rsid w:val="00456E7A"/>
    <w:rsid w:val="00466D7A"/>
    <w:rsid w:val="004B7BE8"/>
    <w:rsid w:val="004F1AD4"/>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E0CA3"/>
    <w:rsid w:val="005E397C"/>
    <w:rsid w:val="005E5833"/>
    <w:rsid w:val="005F0BDE"/>
    <w:rsid w:val="005F29B8"/>
    <w:rsid w:val="00605E0D"/>
    <w:rsid w:val="0060669B"/>
    <w:rsid w:val="00633F32"/>
    <w:rsid w:val="006439A2"/>
    <w:rsid w:val="00647F81"/>
    <w:rsid w:val="00671D67"/>
    <w:rsid w:val="0069157E"/>
    <w:rsid w:val="006963A9"/>
    <w:rsid w:val="006A16DF"/>
    <w:rsid w:val="006A2766"/>
    <w:rsid w:val="006A760C"/>
    <w:rsid w:val="006C58D4"/>
    <w:rsid w:val="006D1122"/>
    <w:rsid w:val="006E1BE0"/>
    <w:rsid w:val="006E5667"/>
    <w:rsid w:val="00710031"/>
    <w:rsid w:val="00715014"/>
    <w:rsid w:val="00716924"/>
    <w:rsid w:val="00716F29"/>
    <w:rsid w:val="00743756"/>
    <w:rsid w:val="007615B6"/>
    <w:rsid w:val="00783F7C"/>
    <w:rsid w:val="00795764"/>
    <w:rsid w:val="007A0664"/>
    <w:rsid w:val="007B0F99"/>
    <w:rsid w:val="00817B66"/>
    <w:rsid w:val="00827ABE"/>
    <w:rsid w:val="00840B55"/>
    <w:rsid w:val="00844FA9"/>
    <w:rsid w:val="00870A89"/>
    <w:rsid w:val="008831F3"/>
    <w:rsid w:val="0088769E"/>
    <w:rsid w:val="008C1E1E"/>
    <w:rsid w:val="008D783F"/>
    <w:rsid w:val="008F4F9E"/>
    <w:rsid w:val="00912C2E"/>
    <w:rsid w:val="009150B8"/>
    <w:rsid w:val="00923F05"/>
    <w:rsid w:val="0092723A"/>
    <w:rsid w:val="00932008"/>
    <w:rsid w:val="009609E9"/>
    <w:rsid w:val="00980F65"/>
    <w:rsid w:val="0098555C"/>
    <w:rsid w:val="00987818"/>
    <w:rsid w:val="009A5239"/>
    <w:rsid w:val="009A7780"/>
    <w:rsid w:val="009B3E60"/>
    <w:rsid w:val="009D40F6"/>
    <w:rsid w:val="009E4250"/>
    <w:rsid w:val="00A3359D"/>
    <w:rsid w:val="00A442CF"/>
    <w:rsid w:val="00A608E2"/>
    <w:rsid w:val="00AA3642"/>
    <w:rsid w:val="00AD2022"/>
    <w:rsid w:val="00AE3317"/>
    <w:rsid w:val="00AF0A48"/>
    <w:rsid w:val="00B15FC1"/>
    <w:rsid w:val="00B2173B"/>
    <w:rsid w:val="00B266D1"/>
    <w:rsid w:val="00B31296"/>
    <w:rsid w:val="00B32D40"/>
    <w:rsid w:val="00B40246"/>
    <w:rsid w:val="00B43B21"/>
    <w:rsid w:val="00B841AE"/>
    <w:rsid w:val="00BA2751"/>
    <w:rsid w:val="00BA28E1"/>
    <w:rsid w:val="00BA56E5"/>
    <w:rsid w:val="00BA5707"/>
    <w:rsid w:val="00BB6799"/>
    <w:rsid w:val="00BC15C1"/>
    <w:rsid w:val="00BC72D4"/>
    <w:rsid w:val="00BD4582"/>
    <w:rsid w:val="00BD6F08"/>
    <w:rsid w:val="00BE18B0"/>
    <w:rsid w:val="00BE2453"/>
    <w:rsid w:val="00BE6A46"/>
    <w:rsid w:val="00C0054C"/>
    <w:rsid w:val="00C13843"/>
    <w:rsid w:val="00C1491D"/>
    <w:rsid w:val="00C23166"/>
    <w:rsid w:val="00C33225"/>
    <w:rsid w:val="00C33A23"/>
    <w:rsid w:val="00C44550"/>
    <w:rsid w:val="00C5744D"/>
    <w:rsid w:val="00C65B5B"/>
    <w:rsid w:val="00C6710B"/>
    <w:rsid w:val="00CA4FB1"/>
    <w:rsid w:val="00CB4BF4"/>
    <w:rsid w:val="00CB5511"/>
    <w:rsid w:val="00CC2049"/>
    <w:rsid w:val="00CC5B4F"/>
    <w:rsid w:val="00D17380"/>
    <w:rsid w:val="00D221AE"/>
    <w:rsid w:val="00D36CD4"/>
    <w:rsid w:val="00D374C0"/>
    <w:rsid w:val="00D37742"/>
    <w:rsid w:val="00D42966"/>
    <w:rsid w:val="00D57D12"/>
    <w:rsid w:val="00D61A4E"/>
    <w:rsid w:val="00D96F84"/>
    <w:rsid w:val="00DA76E7"/>
    <w:rsid w:val="00DB3548"/>
    <w:rsid w:val="00DB63F1"/>
    <w:rsid w:val="00DB677C"/>
    <w:rsid w:val="00DF0BBA"/>
    <w:rsid w:val="00DF5F2A"/>
    <w:rsid w:val="00DF63E7"/>
    <w:rsid w:val="00E03CC0"/>
    <w:rsid w:val="00E10482"/>
    <w:rsid w:val="00E16E35"/>
    <w:rsid w:val="00E24139"/>
    <w:rsid w:val="00E3088D"/>
    <w:rsid w:val="00E30CC0"/>
    <w:rsid w:val="00E32DF8"/>
    <w:rsid w:val="00E34195"/>
    <w:rsid w:val="00E47613"/>
    <w:rsid w:val="00E65B7F"/>
    <w:rsid w:val="00E738BE"/>
    <w:rsid w:val="00EB07CA"/>
    <w:rsid w:val="00EB169A"/>
    <w:rsid w:val="00EB51D7"/>
    <w:rsid w:val="00EC3099"/>
    <w:rsid w:val="00EC5A86"/>
    <w:rsid w:val="00ED006B"/>
    <w:rsid w:val="00ED2ACB"/>
    <w:rsid w:val="00EE1A7C"/>
    <w:rsid w:val="00F14DA4"/>
    <w:rsid w:val="00F21D28"/>
    <w:rsid w:val="00F22752"/>
    <w:rsid w:val="00F22B6F"/>
    <w:rsid w:val="00F339DA"/>
    <w:rsid w:val="00F47C3B"/>
    <w:rsid w:val="00F6244F"/>
    <w:rsid w:val="00F65617"/>
    <w:rsid w:val="00F66BBF"/>
    <w:rsid w:val="00F71D7D"/>
    <w:rsid w:val="00F72800"/>
    <w:rsid w:val="00FA00FB"/>
    <w:rsid w:val="00FA460D"/>
    <w:rsid w:val="00FB0FE2"/>
    <w:rsid w:val="00FB32EE"/>
    <w:rsid w:val="00FD1549"/>
    <w:rsid w:val="00FD43B8"/>
    <w:rsid w:val="00FE0FC5"/>
    <w:rsid w:val="00FE6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7112">
      <w:bodyDiv w:val="1"/>
      <w:marLeft w:val="0"/>
      <w:marRight w:val="0"/>
      <w:marTop w:val="0"/>
      <w:marBottom w:val="0"/>
      <w:divBdr>
        <w:top w:val="none" w:sz="0" w:space="0" w:color="auto"/>
        <w:left w:val="none" w:sz="0" w:space="0" w:color="auto"/>
        <w:bottom w:val="none" w:sz="0" w:space="0" w:color="auto"/>
        <w:right w:val="none" w:sz="0" w:space="0" w:color="auto"/>
      </w:divBdr>
    </w:div>
    <w:div w:id="80197061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92485868">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52253152">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
    <w:div w:id="1778138217">
      <w:bodyDiv w:val="1"/>
      <w:marLeft w:val="0"/>
      <w:marRight w:val="0"/>
      <w:marTop w:val="0"/>
      <w:marBottom w:val="0"/>
      <w:divBdr>
        <w:top w:val="none" w:sz="0" w:space="0" w:color="auto"/>
        <w:left w:val="none" w:sz="0" w:space="0" w:color="auto"/>
        <w:bottom w:val="none" w:sz="0" w:space="0" w:color="auto"/>
        <w:right w:val="none" w:sz="0" w:space="0" w:color="auto"/>
      </w:divBdr>
    </w:div>
    <w:div w:id="1864322370">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10655252">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119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nfe.com/e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80DA6"/>
    <w:rsid w:val="001E1683"/>
    <w:rsid w:val="00225B13"/>
    <w:rsid w:val="002573DD"/>
    <w:rsid w:val="003D088C"/>
    <w:rsid w:val="00447F79"/>
    <w:rsid w:val="004D543B"/>
    <w:rsid w:val="004F291A"/>
    <w:rsid w:val="005A70FC"/>
    <w:rsid w:val="00617EB2"/>
    <w:rsid w:val="007728A6"/>
    <w:rsid w:val="008B6C28"/>
    <w:rsid w:val="009B1029"/>
    <w:rsid w:val="009C534F"/>
    <w:rsid w:val="00A324F5"/>
    <w:rsid w:val="00AC72EB"/>
    <w:rsid w:val="00B35D83"/>
    <w:rsid w:val="00B71197"/>
    <w:rsid w:val="00C55F34"/>
    <w:rsid w:val="00C763B9"/>
    <w:rsid w:val="00CA0156"/>
    <w:rsid w:val="00CE4728"/>
    <w:rsid w:val="00D35513"/>
    <w:rsid w:val="00D53198"/>
    <w:rsid w:val="00D60194"/>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31</TotalTime>
  <Pages>14</Pages>
  <Words>3605</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6</cp:revision>
  <cp:lastPrinted>2024-10-21T09:52:00Z</cp:lastPrinted>
  <dcterms:created xsi:type="dcterms:W3CDTF">2025-11-07T13:06:00Z</dcterms:created>
  <dcterms:modified xsi:type="dcterms:W3CDTF">2025-11-11T10:25:00Z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