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A2F6" w14:textId="18C945CF" w:rsidR="00E3469C" w:rsidRDefault="00E3469C" w:rsidP="003C59EE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B562A6">
        <w:rPr>
          <w:rFonts w:ascii="Arial" w:hAnsi="Arial" w:cs="Arial"/>
          <w:b/>
          <w:bCs/>
        </w:rPr>
        <w:t xml:space="preserve">COMENTARIOS DE </w:t>
      </w:r>
      <w:r w:rsidR="000B6668" w:rsidRPr="00B562A6">
        <w:rPr>
          <w:rFonts w:ascii="Arial" w:hAnsi="Arial" w:cs="Arial"/>
          <w:b/>
          <w:bCs/>
        </w:rPr>
        <w:t>AICA, O</w:t>
      </w:r>
      <w:r w:rsidRPr="00B562A6">
        <w:rPr>
          <w:rFonts w:ascii="Arial" w:hAnsi="Arial" w:cs="Arial"/>
          <w:b/>
          <w:bCs/>
        </w:rPr>
        <w:t xml:space="preserve">.A AL INFORME PROVISIONAL DE </w:t>
      </w:r>
      <w:r w:rsidR="00B562A6" w:rsidRPr="00B562A6">
        <w:rPr>
          <w:rFonts w:ascii="Arial" w:hAnsi="Arial" w:cs="Arial"/>
          <w:b/>
          <w:bCs/>
        </w:rPr>
        <w:t>EVALUACIÓ</w:t>
      </w:r>
      <w:r w:rsidR="00B562A6">
        <w:rPr>
          <w:rFonts w:ascii="Arial" w:hAnsi="Arial" w:cs="Arial"/>
          <w:b/>
          <w:bCs/>
        </w:rPr>
        <w:t>N DE LOS REQUISITOS DE PUBLICIDAD ACTIVA DEL CONSEJO DE TRANSPARENCIA Y BUEN GOBIERNO</w:t>
      </w:r>
      <w:r w:rsidR="003C59EE">
        <w:rPr>
          <w:rFonts w:ascii="Arial" w:hAnsi="Arial" w:cs="Arial"/>
          <w:b/>
          <w:bCs/>
        </w:rPr>
        <w:t>.</w:t>
      </w:r>
      <w:r w:rsidR="00B562A6">
        <w:rPr>
          <w:rFonts w:ascii="Arial" w:hAnsi="Arial" w:cs="Arial"/>
          <w:b/>
          <w:bCs/>
        </w:rPr>
        <w:t xml:space="preserve"> </w:t>
      </w:r>
    </w:p>
    <w:p w14:paraId="7BFC007F" w14:textId="77777777" w:rsidR="003C59EE" w:rsidRPr="00F14E90" w:rsidRDefault="003C59EE" w:rsidP="004E6BB5">
      <w:pPr>
        <w:jc w:val="both"/>
        <w:rPr>
          <w:rFonts w:ascii="Arial" w:hAnsi="Arial" w:cs="Arial"/>
        </w:rPr>
      </w:pPr>
    </w:p>
    <w:p w14:paraId="6BB705AC" w14:textId="08E24068" w:rsidR="00B562A6" w:rsidRPr="00F14E90" w:rsidRDefault="00B10644" w:rsidP="004E6BB5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>El pasado 15 de septiembre se recibió en AICA, O.A el tercer informe provisional de evaluación del cumplimiento de los requisitos en materia de publicidad activa</w:t>
      </w:r>
      <w:r w:rsidR="004E6BB5" w:rsidRPr="00F14E90">
        <w:rPr>
          <w:rFonts w:ascii="Arial" w:hAnsi="Arial" w:cs="Arial"/>
        </w:rPr>
        <w:t xml:space="preserve">, elaborado por el </w:t>
      </w:r>
      <w:r w:rsidR="003C59EE" w:rsidRPr="00F14E90">
        <w:rPr>
          <w:rFonts w:ascii="Arial" w:hAnsi="Arial" w:cs="Arial"/>
        </w:rPr>
        <w:t>Consejo de Transparencia y Buen Gobierno (</w:t>
      </w:r>
      <w:r w:rsidR="004E6BB5" w:rsidRPr="00F14E90">
        <w:rPr>
          <w:rFonts w:ascii="Arial" w:hAnsi="Arial" w:cs="Arial"/>
        </w:rPr>
        <w:t>CTBG</w:t>
      </w:r>
      <w:r w:rsidR="007F3620" w:rsidRPr="00F14E90">
        <w:rPr>
          <w:rFonts w:ascii="Arial" w:hAnsi="Arial" w:cs="Arial"/>
        </w:rPr>
        <w:t>)</w:t>
      </w:r>
      <w:r w:rsidR="004E6BB5" w:rsidRPr="00F14E90">
        <w:rPr>
          <w:rFonts w:ascii="Arial" w:hAnsi="Arial" w:cs="Arial"/>
        </w:rPr>
        <w:t>.</w:t>
      </w:r>
    </w:p>
    <w:p w14:paraId="42995824" w14:textId="72CEA4BC" w:rsidR="004E6BB5" w:rsidRPr="00F14E90" w:rsidRDefault="004E6BB5" w:rsidP="004E6BB5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>Tras analizar su contenido, se realizan las siguientes observaciones/puntualizaciones</w:t>
      </w:r>
      <w:r w:rsidR="00362834" w:rsidRPr="00F14E90">
        <w:rPr>
          <w:rFonts w:ascii="Arial" w:hAnsi="Arial" w:cs="Arial"/>
        </w:rPr>
        <w:t>, organizadas de acuerdo con los apartados detallados en el informe provisional:</w:t>
      </w:r>
    </w:p>
    <w:p w14:paraId="2C2BC28D" w14:textId="4CF82C07" w:rsidR="00E3469C" w:rsidRPr="00F14E90" w:rsidRDefault="00E3469C" w:rsidP="00830DA0">
      <w:pPr>
        <w:pStyle w:val="Prrafodelista"/>
        <w:numPr>
          <w:ilvl w:val="0"/>
          <w:numId w:val="11"/>
        </w:numPr>
        <w:rPr>
          <w:rFonts w:ascii="Arial" w:hAnsi="Arial" w:cs="Arial"/>
          <w:b/>
          <w:bCs/>
        </w:rPr>
      </w:pPr>
      <w:r w:rsidRPr="00F14E90">
        <w:rPr>
          <w:rFonts w:ascii="Arial" w:hAnsi="Arial" w:cs="Arial"/>
          <w:b/>
          <w:bCs/>
        </w:rPr>
        <w:t>Información Institucional, Organizativa y de Planificación</w:t>
      </w:r>
      <w:r w:rsidR="00F14E90" w:rsidRPr="00F14E90">
        <w:rPr>
          <w:rFonts w:ascii="Arial" w:hAnsi="Arial" w:cs="Arial"/>
          <w:b/>
          <w:bCs/>
        </w:rPr>
        <w:t>.</w:t>
      </w:r>
    </w:p>
    <w:p w14:paraId="707A4427" w14:textId="77777777" w:rsidR="004F3BEE" w:rsidRPr="00F14E90" w:rsidRDefault="004C654A" w:rsidP="004C654A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>AICA, O</w:t>
      </w:r>
      <w:r w:rsidR="00F81090" w:rsidRPr="00F14E90">
        <w:rPr>
          <w:rFonts w:ascii="Arial" w:hAnsi="Arial" w:cs="Arial"/>
        </w:rPr>
        <w:t xml:space="preserve">.A </w:t>
      </w:r>
      <w:r w:rsidR="00A3197C" w:rsidRPr="00F14E90">
        <w:rPr>
          <w:rFonts w:ascii="Arial" w:hAnsi="Arial" w:cs="Arial"/>
        </w:rPr>
        <w:t>es un organismo autónomo con</w:t>
      </w:r>
      <w:r w:rsidR="00E3469C" w:rsidRPr="00F14E90">
        <w:rPr>
          <w:rFonts w:ascii="Arial" w:hAnsi="Arial" w:cs="Arial"/>
        </w:rPr>
        <w:t xml:space="preserve"> rango de Subdirección </w:t>
      </w:r>
      <w:r w:rsidR="00A3197C" w:rsidRPr="00F14E90">
        <w:rPr>
          <w:rFonts w:ascii="Arial" w:hAnsi="Arial" w:cs="Arial"/>
        </w:rPr>
        <w:t>General por</w:t>
      </w:r>
      <w:r w:rsidR="00E3469C" w:rsidRPr="00F14E90">
        <w:rPr>
          <w:rFonts w:ascii="Arial" w:hAnsi="Arial" w:cs="Arial"/>
        </w:rPr>
        <w:t xml:space="preserve"> lo que no </w:t>
      </w:r>
      <w:r w:rsidR="00006CDE" w:rsidRPr="00F14E90">
        <w:rPr>
          <w:rFonts w:ascii="Arial" w:hAnsi="Arial" w:cs="Arial"/>
        </w:rPr>
        <w:t>cuenta con altos cargos</w:t>
      </w:r>
      <w:r w:rsidR="00E3469C" w:rsidRPr="00F14E90">
        <w:rPr>
          <w:rFonts w:ascii="Arial" w:hAnsi="Arial" w:cs="Arial"/>
        </w:rPr>
        <w:t>.</w:t>
      </w:r>
      <w:r w:rsidR="00006CDE" w:rsidRPr="00F14E90">
        <w:rPr>
          <w:rFonts w:ascii="Arial" w:hAnsi="Arial" w:cs="Arial"/>
        </w:rPr>
        <w:t xml:space="preserve"> La </w:t>
      </w:r>
      <w:r w:rsidRPr="00F14E90">
        <w:rPr>
          <w:rFonts w:ascii="Arial" w:hAnsi="Arial" w:cs="Arial"/>
        </w:rPr>
        <w:t>directora</w:t>
      </w:r>
      <w:r w:rsidR="00006CDE" w:rsidRPr="00F14E90">
        <w:rPr>
          <w:rFonts w:ascii="Arial" w:hAnsi="Arial" w:cs="Arial"/>
        </w:rPr>
        <w:t xml:space="preserve"> de AICA tiene rango de subdirectora general y</w:t>
      </w:r>
      <w:r w:rsidR="00E76E98" w:rsidRPr="00F14E90">
        <w:rPr>
          <w:rFonts w:ascii="Arial" w:hAnsi="Arial" w:cs="Arial"/>
        </w:rPr>
        <w:t>, de hecho, la provisión de este puesto de trabajo se realiza por concurso libre designación.</w:t>
      </w:r>
      <w:r w:rsidR="00E3469C" w:rsidRPr="00F14E90">
        <w:rPr>
          <w:rFonts w:ascii="Arial" w:hAnsi="Arial" w:cs="Arial"/>
        </w:rPr>
        <w:t xml:space="preserve"> </w:t>
      </w:r>
    </w:p>
    <w:p w14:paraId="25D362C8" w14:textId="0BBE5B21" w:rsidR="00E3469C" w:rsidRPr="00F14E90" w:rsidRDefault="00E3469C" w:rsidP="004C654A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 xml:space="preserve">La identificación de la </w:t>
      </w:r>
      <w:r w:rsidR="004C654A" w:rsidRPr="00F14E90">
        <w:rPr>
          <w:rFonts w:ascii="Arial" w:hAnsi="Arial" w:cs="Arial"/>
        </w:rPr>
        <w:t>directora</w:t>
      </w:r>
      <w:r w:rsidR="00BA1B77" w:rsidRPr="00F14E90">
        <w:rPr>
          <w:rFonts w:ascii="Arial" w:hAnsi="Arial" w:cs="Arial"/>
        </w:rPr>
        <w:t xml:space="preserve"> </w:t>
      </w:r>
      <w:r w:rsidRPr="00F14E90">
        <w:rPr>
          <w:rFonts w:ascii="Arial" w:hAnsi="Arial" w:cs="Arial"/>
        </w:rPr>
        <w:t xml:space="preserve">se encuentra en la Memoria, así como la descripción de los planes y programas del organismo en sus distintos ámbitos de actividad. Por lo tanto, en esta </w:t>
      </w:r>
      <w:hyperlink r:id="rId8" w:history="1">
        <w:r w:rsidRPr="00F14E90">
          <w:rPr>
            <w:rStyle w:val="Hipervnculo"/>
            <w:rFonts w:ascii="Arial" w:hAnsi="Arial" w:cs="Arial"/>
          </w:rPr>
          <w:t>memoria anual</w:t>
        </w:r>
      </w:hyperlink>
      <w:r w:rsidRPr="00F14E90">
        <w:rPr>
          <w:rFonts w:ascii="Arial" w:hAnsi="Arial" w:cs="Arial"/>
        </w:rPr>
        <w:t xml:space="preserve"> y en el </w:t>
      </w:r>
      <w:hyperlink r:id="rId9" w:history="1">
        <w:r w:rsidRPr="00F14E90">
          <w:rPr>
            <w:rStyle w:val="Hipervnculo"/>
            <w:rFonts w:ascii="Arial" w:hAnsi="Arial" w:cs="Arial"/>
          </w:rPr>
          <w:t>informe</w:t>
        </w:r>
      </w:hyperlink>
      <w:r w:rsidRPr="00F14E90">
        <w:rPr>
          <w:rFonts w:ascii="Arial" w:hAnsi="Arial" w:cs="Arial"/>
        </w:rPr>
        <w:t xml:space="preserve"> que se publica semestralmente está parte de la información que no se ha localizado.</w:t>
      </w:r>
      <w:r w:rsidR="00BA1B77" w:rsidRPr="00F14E90">
        <w:rPr>
          <w:rFonts w:ascii="Arial" w:hAnsi="Arial" w:cs="Arial"/>
        </w:rPr>
        <w:t xml:space="preserve"> Además, la página web del </w:t>
      </w:r>
      <w:r w:rsidR="004C654A" w:rsidRPr="00F14E90">
        <w:rPr>
          <w:rFonts w:ascii="Arial" w:hAnsi="Arial" w:cs="Arial"/>
        </w:rPr>
        <w:t>Ministerio</w:t>
      </w:r>
      <w:r w:rsidR="00BA1B77" w:rsidRPr="00F14E90">
        <w:rPr>
          <w:rFonts w:ascii="Arial" w:hAnsi="Arial" w:cs="Arial"/>
        </w:rPr>
        <w:t xml:space="preserve"> de Agricultura, Pesca y Alimentación incluye, en el organigrama del </w:t>
      </w:r>
      <w:r w:rsidR="004C654A" w:rsidRPr="00F14E90">
        <w:rPr>
          <w:rFonts w:ascii="Arial" w:hAnsi="Arial" w:cs="Arial"/>
        </w:rPr>
        <w:t>Ministerio</w:t>
      </w:r>
      <w:r w:rsidR="00BA1B77" w:rsidRPr="00F14E90">
        <w:rPr>
          <w:rFonts w:ascii="Arial" w:hAnsi="Arial" w:cs="Arial"/>
        </w:rPr>
        <w:t xml:space="preserve">, la identificación de la </w:t>
      </w:r>
      <w:r w:rsidR="004F3BEE" w:rsidRPr="00F14E90">
        <w:rPr>
          <w:rFonts w:ascii="Arial" w:hAnsi="Arial" w:cs="Arial"/>
        </w:rPr>
        <w:t>directora</w:t>
      </w:r>
      <w:r w:rsidR="00BA1B77" w:rsidRPr="00F14E90">
        <w:rPr>
          <w:rFonts w:ascii="Arial" w:hAnsi="Arial" w:cs="Arial"/>
        </w:rPr>
        <w:t xml:space="preserve"> y el </w:t>
      </w:r>
      <w:r w:rsidR="004C654A" w:rsidRPr="00F14E90">
        <w:rPr>
          <w:rFonts w:ascii="Arial" w:hAnsi="Arial" w:cs="Arial"/>
        </w:rPr>
        <w:t>Boletín</w:t>
      </w:r>
      <w:r w:rsidR="00BA1B77" w:rsidRPr="00F14E90">
        <w:rPr>
          <w:rFonts w:ascii="Arial" w:hAnsi="Arial" w:cs="Arial"/>
        </w:rPr>
        <w:t xml:space="preserve"> oficial del Estado en el que fue nombrada</w:t>
      </w:r>
      <w:r w:rsidR="004C654A" w:rsidRPr="00F14E90">
        <w:rPr>
          <w:rFonts w:ascii="Arial" w:hAnsi="Arial" w:cs="Arial"/>
        </w:rPr>
        <w:t xml:space="preserve"> (</w:t>
      </w:r>
      <w:hyperlink r:id="rId10" w:history="1">
        <w:r w:rsidR="002943CF" w:rsidRPr="00F14E90">
          <w:rPr>
            <w:rStyle w:val="Hipervnculo"/>
            <w:rFonts w:ascii="Arial" w:hAnsi="Arial" w:cs="Arial"/>
          </w:rPr>
          <w:t>https://www.mapa.gob.es/es/ministerio/funciones-estructura/organigrama/sg_recursos-agrarios</w:t>
        </w:r>
      </w:hyperlink>
      <w:r w:rsidR="004C654A" w:rsidRPr="00F14E90">
        <w:rPr>
          <w:rFonts w:ascii="Arial" w:hAnsi="Arial" w:cs="Arial"/>
        </w:rPr>
        <w:t>).</w:t>
      </w:r>
    </w:p>
    <w:p w14:paraId="3981580A" w14:textId="118F269E" w:rsidR="00E3469C" w:rsidRPr="00F14E90" w:rsidRDefault="00E3469C" w:rsidP="002943CF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>Cabe señalar que</w:t>
      </w:r>
      <w:r w:rsidR="002943CF" w:rsidRPr="00F14E90">
        <w:rPr>
          <w:rFonts w:ascii="Arial" w:hAnsi="Arial" w:cs="Arial"/>
        </w:rPr>
        <w:t xml:space="preserve">, </w:t>
      </w:r>
      <w:r w:rsidRPr="00F14E90">
        <w:rPr>
          <w:rFonts w:ascii="Arial" w:hAnsi="Arial" w:cs="Arial"/>
        </w:rPr>
        <w:t>conforme se indica en la memoria, el Plan Anual de Control es aprobado por la Dirección de AICA, O. A.,</w:t>
      </w:r>
      <w:r w:rsidR="0036683A" w:rsidRPr="00F14E90">
        <w:rPr>
          <w:rFonts w:ascii="Arial" w:hAnsi="Arial" w:cs="Arial"/>
        </w:rPr>
        <w:t xml:space="preserve"> y</w:t>
      </w:r>
      <w:r w:rsidRPr="00F14E90">
        <w:rPr>
          <w:rFonts w:ascii="Arial" w:hAnsi="Arial" w:cs="Arial"/>
        </w:rPr>
        <w:t xml:space="preserve"> presentado al Consejo Asesor, cuyos miembros se identifican en la memoria.  Sin embargo, las actuaciones recogidas en los planes de trabajo contenidos en el plan tienen carácter reservado y no son objeto de publicidad, de acuerdo con lo establecido por el Real Decreto 66/2015, de 6 de febrero, por el que se regula el régimen de controles a aplicar por la Agencia de Información y Control Alimentarios, previstos en la Ley 12/2013, de 2 de agosto, de medidas para mejorar el funcionamiento de la cadena alimentaria. </w:t>
      </w:r>
    </w:p>
    <w:p w14:paraId="321B591E" w14:textId="25AB7FAF" w:rsidR="00E3469C" w:rsidRPr="00F14E90" w:rsidRDefault="00E3469C" w:rsidP="002943CF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 xml:space="preserve">Los </w:t>
      </w:r>
      <w:r w:rsidR="002943CF" w:rsidRPr="00F14E90">
        <w:rPr>
          <w:rFonts w:ascii="Arial" w:hAnsi="Arial" w:cs="Arial"/>
        </w:rPr>
        <w:t>resultados de</w:t>
      </w:r>
      <w:r w:rsidRPr="00F14E90">
        <w:rPr>
          <w:rFonts w:ascii="Arial" w:hAnsi="Arial" w:cs="Arial"/>
        </w:rPr>
        <w:t xml:space="preserve"> los planes de trabajo </w:t>
      </w:r>
      <w:r w:rsidR="002943CF" w:rsidRPr="00F14E90">
        <w:rPr>
          <w:rFonts w:ascii="Arial" w:hAnsi="Arial" w:cs="Arial"/>
        </w:rPr>
        <w:t>y el</w:t>
      </w:r>
      <w:r w:rsidRPr="00F14E90">
        <w:rPr>
          <w:rFonts w:ascii="Arial" w:hAnsi="Arial" w:cs="Arial"/>
        </w:rPr>
        <w:t xml:space="preserve"> detalle del resto de la actividad se encuentran </w:t>
      </w:r>
      <w:r w:rsidR="002943CF" w:rsidRPr="00F14E90">
        <w:rPr>
          <w:rFonts w:ascii="Arial" w:hAnsi="Arial" w:cs="Arial"/>
        </w:rPr>
        <w:t xml:space="preserve">recogidos </w:t>
      </w:r>
      <w:r w:rsidRPr="00F14E90">
        <w:rPr>
          <w:rFonts w:ascii="Arial" w:hAnsi="Arial" w:cs="Arial"/>
        </w:rPr>
        <w:t>en la Memoria y en los Informes</w:t>
      </w:r>
      <w:r w:rsidR="002943CF" w:rsidRPr="00F14E90">
        <w:rPr>
          <w:rFonts w:ascii="Arial" w:hAnsi="Arial" w:cs="Arial"/>
        </w:rPr>
        <w:t xml:space="preserve"> de actividad</w:t>
      </w:r>
      <w:r w:rsidRPr="00F14E90">
        <w:rPr>
          <w:rFonts w:ascii="Arial" w:hAnsi="Arial" w:cs="Arial"/>
        </w:rPr>
        <w:t xml:space="preserve">. En ellos se incluye información cuantitativa, agregada por eslabones de la cadena y sectores de los controles, denuncias, infracciones, sanciones y resto de actividades de información de mercados y coordinación con la </w:t>
      </w:r>
      <w:r w:rsidR="0036683A" w:rsidRPr="00F14E90">
        <w:rPr>
          <w:rFonts w:ascii="Arial" w:hAnsi="Arial" w:cs="Arial"/>
        </w:rPr>
        <w:t>Unión Europea y las Comunidades Autónomas.</w:t>
      </w:r>
    </w:p>
    <w:p w14:paraId="5E369370" w14:textId="77777777" w:rsidR="00E3469C" w:rsidRPr="00F14E90" w:rsidRDefault="00E3469C" w:rsidP="00E3469C">
      <w:pPr>
        <w:rPr>
          <w:rFonts w:ascii="Arial" w:hAnsi="Arial" w:cs="Arial"/>
        </w:rPr>
      </w:pPr>
    </w:p>
    <w:p w14:paraId="6EC30AB9" w14:textId="6ACD9DB6" w:rsidR="00E3469C" w:rsidRPr="00F14E90" w:rsidRDefault="00E3469C" w:rsidP="003E7BFD">
      <w:pPr>
        <w:pStyle w:val="Prrafodelista"/>
        <w:numPr>
          <w:ilvl w:val="0"/>
          <w:numId w:val="11"/>
        </w:numPr>
        <w:rPr>
          <w:rFonts w:ascii="Arial" w:hAnsi="Arial" w:cs="Arial"/>
          <w:b/>
          <w:bCs/>
        </w:rPr>
      </w:pPr>
      <w:r w:rsidRPr="00F14E90">
        <w:rPr>
          <w:rFonts w:ascii="Arial" w:hAnsi="Arial" w:cs="Arial"/>
          <w:b/>
          <w:bCs/>
        </w:rPr>
        <w:t>Información de Relevancia Jurídica</w:t>
      </w:r>
      <w:r w:rsidR="007F3620" w:rsidRPr="00F14E90">
        <w:rPr>
          <w:rFonts w:ascii="Arial" w:hAnsi="Arial" w:cs="Arial"/>
          <w:b/>
          <w:bCs/>
        </w:rPr>
        <w:t>.</w:t>
      </w:r>
      <w:r w:rsidRPr="00F14E90">
        <w:rPr>
          <w:rFonts w:ascii="Arial" w:hAnsi="Arial" w:cs="Arial"/>
          <w:b/>
          <w:bCs/>
        </w:rPr>
        <w:t xml:space="preserve"> </w:t>
      </w:r>
    </w:p>
    <w:p w14:paraId="09FB7B08" w14:textId="77777777" w:rsidR="00D812F5" w:rsidRPr="00F14E90" w:rsidRDefault="0036683A" w:rsidP="003B7D49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 xml:space="preserve">En la web </w:t>
      </w:r>
      <w:r w:rsidR="00E3469C" w:rsidRPr="00F14E90">
        <w:rPr>
          <w:rFonts w:ascii="Arial" w:hAnsi="Arial" w:cs="Arial"/>
        </w:rPr>
        <w:t xml:space="preserve"> </w:t>
      </w:r>
      <w:r w:rsidR="003B7D49" w:rsidRPr="00F14E90">
        <w:rPr>
          <w:rFonts w:ascii="Arial" w:hAnsi="Arial" w:cs="Arial"/>
        </w:rPr>
        <w:t xml:space="preserve">del organismo </w:t>
      </w:r>
      <w:r w:rsidRPr="00F14E90">
        <w:rPr>
          <w:rFonts w:ascii="Arial" w:hAnsi="Arial" w:cs="Arial"/>
        </w:rPr>
        <w:t xml:space="preserve">existe </w:t>
      </w:r>
      <w:r w:rsidR="00E3469C" w:rsidRPr="00F14E90">
        <w:rPr>
          <w:rFonts w:ascii="Arial" w:hAnsi="Arial" w:cs="Arial"/>
        </w:rPr>
        <w:t>un apartado de preguntas frecuentes tanto para la Ley de la cadena alimentaria en general (</w:t>
      </w:r>
      <w:hyperlink r:id="rId11" w:history="1">
        <w:r w:rsidR="00E3469C" w:rsidRPr="00F14E90">
          <w:rPr>
            <w:rStyle w:val="Hipervnculo"/>
            <w:rFonts w:ascii="Arial" w:hAnsi="Arial" w:cs="Arial"/>
          </w:rPr>
          <w:t>https://www.aica.gob.es/faqs-de-la-cadena-alimentaria/</w:t>
        </w:r>
      </w:hyperlink>
      <w:r w:rsidR="00E3469C" w:rsidRPr="00F14E90">
        <w:rPr>
          <w:rFonts w:ascii="Arial" w:hAnsi="Arial" w:cs="Arial"/>
        </w:rPr>
        <w:t>) como para Registro de Contratos Alimentarios (</w:t>
      </w:r>
      <w:hyperlink r:id="rId12" w:history="1">
        <w:r w:rsidR="00E3469C" w:rsidRPr="00F14E90">
          <w:rPr>
            <w:rStyle w:val="Hipervnculo"/>
            <w:rFonts w:ascii="Arial" w:hAnsi="Arial" w:cs="Arial"/>
          </w:rPr>
          <w:t>https://www.aica.gob.es/faqs-sobre-el-registro-de-contratos-alimentarios/</w:t>
        </w:r>
      </w:hyperlink>
      <w:r w:rsidR="00E3469C" w:rsidRPr="00F14E90">
        <w:rPr>
          <w:rFonts w:ascii="Arial" w:hAnsi="Arial" w:cs="Arial"/>
        </w:rPr>
        <w:t> )</w:t>
      </w:r>
      <w:r w:rsidR="003B7D49" w:rsidRPr="00F14E90">
        <w:rPr>
          <w:rFonts w:ascii="Arial" w:hAnsi="Arial" w:cs="Arial"/>
        </w:rPr>
        <w:t xml:space="preserve">. </w:t>
      </w:r>
    </w:p>
    <w:p w14:paraId="4B7F4FA5" w14:textId="0FAB9C48" w:rsidR="00E3469C" w:rsidRPr="00F14E90" w:rsidRDefault="00E3469C" w:rsidP="003B7D49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lastRenderedPageBreak/>
        <w:t xml:space="preserve">Estas preguntas tienen carácter didáctico y no reproducen exactamente los preceptos de la Ley 12/2013, de 2 de agosto, de medidas para mejorar el funcionamiento de la cadena alimentaria. </w:t>
      </w:r>
    </w:p>
    <w:p w14:paraId="6E1F5145" w14:textId="074D8DEA" w:rsidR="00E3469C" w:rsidRPr="00F14E90" w:rsidRDefault="00E3469C" w:rsidP="003B7D49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 xml:space="preserve">En cuanto a los documentos que deban ser sometidos a información pública, cuando AICA somete a consulta pública algún documento normativo lo hace a través de la </w:t>
      </w:r>
      <w:r w:rsidR="003B7D49" w:rsidRPr="00F14E90">
        <w:rPr>
          <w:rFonts w:ascii="Arial" w:hAnsi="Arial" w:cs="Arial"/>
        </w:rPr>
        <w:t xml:space="preserve">página </w:t>
      </w:r>
      <w:r w:rsidRPr="00F14E90">
        <w:rPr>
          <w:rFonts w:ascii="Arial" w:hAnsi="Arial" w:cs="Arial"/>
        </w:rPr>
        <w:t xml:space="preserve">web del Ministerio de Agricultura, Pesca y Alimentación. </w:t>
      </w:r>
      <w:r w:rsidR="008963B8" w:rsidRPr="00F14E90">
        <w:rPr>
          <w:rFonts w:ascii="Arial" w:hAnsi="Arial" w:cs="Arial"/>
        </w:rPr>
        <w:t xml:space="preserve">Se ha de tener en cuenta que los reales decretos que afectan a AICA, O.A, son firmados por el </w:t>
      </w:r>
      <w:proofErr w:type="gramStart"/>
      <w:r w:rsidR="008963B8" w:rsidRPr="00F14E90">
        <w:rPr>
          <w:rFonts w:ascii="Arial" w:hAnsi="Arial" w:cs="Arial"/>
        </w:rPr>
        <w:t>Ministro</w:t>
      </w:r>
      <w:proofErr w:type="gramEnd"/>
      <w:r w:rsidR="008963B8" w:rsidRPr="00F14E90">
        <w:rPr>
          <w:rFonts w:ascii="Arial" w:hAnsi="Arial" w:cs="Arial"/>
        </w:rPr>
        <w:t xml:space="preserve"> de Agricultura, Pesca y Alimentación.</w:t>
      </w:r>
    </w:p>
    <w:p w14:paraId="427DA639" w14:textId="77777777" w:rsidR="00E3469C" w:rsidRPr="00F14E90" w:rsidRDefault="00E3469C" w:rsidP="00E3469C">
      <w:pPr>
        <w:rPr>
          <w:rFonts w:ascii="Arial" w:hAnsi="Arial" w:cs="Arial"/>
        </w:rPr>
      </w:pPr>
    </w:p>
    <w:p w14:paraId="576F6B3B" w14:textId="6D283757" w:rsidR="00CD6F41" w:rsidRPr="00F14E90" w:rsidRDefault="00E3469C" w:rsidP="003E7BFD">
      <w:pPr>
        <w:pStyle w:val="Prrafodelista"/>
        <w:numPr>
          <w:ilvl w:val="0"/>
          <w:numId w:val="11"/>
        </w:numPr>
        <w:rPr>
          <w:rFonts w:ascii="Arial" w:hAnsi="Arial" w:cs="Arial"/>
          <w:b/>
          <w:bCs/>
        </w:rPr>
      </w:pPr>
      <w:r w:rsidRPr="00F14E90">
        <w:rPr>
          <w:rFonts w:ascii="Arial" w:hAnsi="Arial" w:cs="Arial"/>
          <w:b/>
          <w:bCs/>
        </w:rPr>
        <w:t>Información Económica, Presupuestaria y Estadística</w:t>
      </w:r>
      <w:r w:rsidR="007F3620" w:rsidRPr="00F14E90">
        <w:rPr>
          <w:rFonts w:ascii="Arial" w:hAnsi="Arial" w:cs="Arial"/>
          <w:b/>
          <w:bCs/>
        </w:rPr>
        <w:t>.</w:t>
      </w:r>
    </w:p>
    <w:p w14:paraId="70AF79A2" w14:textId="0808913A" w:rsidR="00E3469C" w:rsidRPr="00F14E90" w:rsidRDefault="00CD6F41" w:rsidP="003B7D49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 xml:space="preserve">En relación con la información relativa a </w:t>
      </w:r>
      <w:r w:rsidR="00E3469C" w:rsidRPr="00F14E90">
        <w:rPr>
          <w:rFonts w:ascii="Arial" w:hAnsi="Arial" w:cs="Arial"/>
        </w:rPr>
        <w:t>Retribuciones de altos cargos</w:t>
      </w:r>
      <w:r w:rsidRPr="00F14E90">
        <w:rPr>
          <w:rFonts w:ascii="Arial" w:hAnsi="Arial" w:cs="Arial"/>
        </w:rPr>
        <w:t xml:space="preserve">, nos remitimos a la información recogida en el punto 1 de este informe: </w:t>
      </w:r>
      <w:r w:rsidR="00E3469C" w:rsidRPr="00F14E90">
        <w:rPr>
          <w:rFonts w:ascii="Arial" w:hAnsi="Arial" w:cs="Arial"/>
        </w:rPr>
        <w:t>no existe la figura de alto cargo en AICA, O.A.</w:t>
      </w:r>
    </w:p>
    <w:p w14:paraId="16DA2B6C" w14:textId="7C464863" w:rsidR="00E3469C" w:rsidRPr="00F14E90" w:rsidRDefault="00E3469C" w:rsidP="003B7D49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 xml:space="preserve"> AICA, O.A. no concede subvenciones ni ayudas públicas</w:t>
      </w:r>
      <w:r w:rsidR="00CD6F41" w:rsidRPr="00F14E90">
        <w:rPr>
          <w:rFonts w:ascii="Arial" w:hAnsi="Arial" w:cs="Arial"/>
        </w:rPr>
        <w:t xml:space="preserve">, </w:t>
      </w:r>
      <w:r w:rsidR="00F14E90" w:rsidRPr="00F14E90">
        <w:rPr>
          <w:rFonts w:ascii="Arial" w:hAnsi="Arial" w:cs="Arial"/>
        </w:rPr>
        <w:t>por</w:t>
      </w:r>
      <w:r w:rsidR="00CD6F41" w:rsidRPr="00F14E90">
        <w:rPr>
          <w:rFonts w:ascii="Arial" w:hAnsi="Arial" w:cs="Arial"/>
        </w:rPr>
        <w:t xml:space="preserve"> lo que no tiene sentido que la web incluya un apartado de subvenciones. Los fines del organismo se incluyen e</w:t>
      </w:r>
      <w:r w:rsidR="00F85C8C" w:rsidRPr="00F14E90">
        <w:rPr>
          <w:rFonts w:ascii="Arial" w:hAnsi="Arial" w:cs="Arial"/>
        </w:rPr>
        <w:t>n</w:t>
      </w:r>
      <w:r w:rsidR="00CD6F41" w:rsidRPr="00F14E90">
        <w:rPr>
          <w:rFonts w:ascii="Arial" w:hAnsi="Arial" w:cs="Arial"/>
        </w:rPr>
        <w:t xml:space="preserve"> la Disposición adicional primera de la ley de medidas para mejorar el funcionamiento de la cadena alimentaria y son:</w:t>
      </w:r>
    </w:p>
    <w:p w14:paraId="7AFC740E" w14:textId="77777777" w:rsidR="00F85C8C" w:rsidRPr="00F14E90" w:rsidRDefault="00F85C8C" w:rsidP="003B7D49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 xml:space="preserve">a) La gestión de los sistemas de información y control de los mercados oleícolas, lácteos y la de aquellos otros que se determinen reglamentariamente. </w:t>
      </w:r>
    </w:p>
    <w:p w14:paraId="1666D778" w14:textId="0769A570" w:rsidR="00CD6F41" w:rsidRPr="00F14E90" w:rsidRDefault="00F85C8C" w:rsidP="003B7D49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>b) El control del cumplimiento de lo dispuesto en la Ley 12/2013, de 2 de agosto, de medidas para mejorar el funcionamiento de la cadena alimentaria.</w:t>
      </w:r>
    </w:p>
    <w:p w14:paraId="4AC0938B" w14:textId="2D6D4273" w:rsidR="00E3469C" w:rsidRPr="00F14E90" w:rsidRDefault="003E7BFD" w:rsidP="003B7D49">
      <w:pPr>
        <w:jc w:val="both"/>
        <w:rPr>
          <w:rFonts w:ascii="Arial" w:hAnsi="Arial" w:cs="Arial"/>
        </w:rPr>
      </w:pPr>
      <w:r w:rsidRPr="00F14E90">
        <w:rPr>
          <w:rFonts w:ascii="Arial" w:hAnsi="Arial" w:cs="Arial"/>
        </w:rPr>
        <w:t xml:space="preserve">No existe reconocimiento de compatibilidades para los empleados y, como se ha reiterado a lo </w:t>
      </w:r>
      <w:r w:rsidR="007F3620" w:rsidRPr="00F14E90">
        <w:rPr>
          <w:rFonts w:ascii="Arial" w:hAnsi="Arial" w:cs="Arial"/>
        </w:rPr>
        <w:t>largo</w:t>
      </w:r>
      <w:r w:rsidRPr="00F14E90">
        <w:rPr>
          <w:rFonts w:ascii="Arial" w:hAnsi="Arial" w:cs="Arial"/>
        </w:rPr>
        <w:t xml:space="preserve"> de este informe, no existen altos cargos en </w:t>
      </w:r>
      <w:r w:rsidR="00F14E90" w:rsidRPr="00F14E90">
        <w:rPr>
          <w:rFonts w:ascii="Arial" w:hAnsi="Arial" w:cs="Arial"/>
        </w:rPr>
        <w:t>AICA, O.A.</w:t>
      </w:r>
      <w:r w:rsidR="00E3469C" w:rsidRPr="00F14E90">
        <w:rPr>
          <w:rFonts w:ascii="Arial" w:hAnsi="Arial" w:cs="Arial"/>
        </w:rPr>
        <w:t xml:space="preserve"> </w:t>
      </w:r>
    </w:p>
    <w:p w14:paraId="58E91602" w14:textId="77777777" w:rsidR="00E3469C" w:rsidRPr="00F14E90" w:rsidRDefault="00E3469C" w:rsidP="00E3469C">
      <w:pPr>
        <w:rPr>
          <w:rFonts w:ascii="Arial" w:hAnsi="Arial" w:cs="Arial"/>
        </w:rPr>
      </w:pPr>
    </w:p>
    <w:p w14:paraId="2273A351" w14:textId="353C557C" w:rsidR="00FE4D67" w:rsidRPr="00F14E90" w:rsidRDefault="007F3620" w:rsidP="007F3620">
      <w:pPr>
        <w:pStyle w:val="Prrafodelista"/>
        <w:numPr>
          <w:ilvl w:val="0"/>
          <w:numId w:val="11"/>
        </w:numPr>
        <w:rPr>
          <w:rFonts w:ascii="Arial" w:hAnsi="Arial" w:cs="Arial"/>
          <w:bCs/>
        </w:rPr>
      </w:pPr>
      <w:r w:rsidRPr="00F14E90">
        <w:rPr>
          <w:rFonts w:ascii="Arial" w:hAnsi="Arial" w:cs="Arial"/>
          <w:b/>
          <w:bCs/>
        </w:rPr>
        <w:t>Subsanaciones propuestas en el informe provisional del CTBG y comentarios de AICA O.A.</w:t>
      </w:r>
      <w:r w:rsidR="002A5569" w:rsidRPr="00F14E90">
        <w:rPr>
          <w:rFonts w:ascii="Arial" w:hAnsi="Arial" w:cs="Arial"/>
        </w:rPr>
        <w:br/>
      </w:r>
      <w:bookmarkStart w:id="0" w:name="_Hlk209529985"/>
    </w:p>
    <w:tbl>
      <w:tblPr>
        <w:tblStyle w:val="Tablaconcuadrcu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4129"/>
        <w:gridCol w:w="5103"/>
      </w:tblGrid>
      <w:tr w:rsidR="00870DB5" w:rsidRPr="00F14E90" w14:paraId="32EA7011" w14:textId="77777777" w:rsidTr="003B1B0D">
        <w:trPr>
          <w:trHeight w:val="290"/>
          <w:tblHeader/>
          <w:jc w:val="center"/>
        </w:trPr>
        <w:tc>
          <w:tcPr>
            <w:tcW w:w="686" w:type="dxa"/>
            <w:shd w:val="clear" w:color="auto" w:fill="E8E8E8" w:themeFill="background2"/>
            <w:noWrap/>
            <w:hideMark/>
          </w:tcPr>
          <w:bookmarkEnd w:id="0"/>
          <w:p w14:paraId="615C6CB8" w14:textId="77777777" w:rsidR="006066C6" w:rsidRPr="00F14E90" w:rsidRDefault="006066C6" w:rsidP="006066C6">
            <w:pPr>
              <w:jc w:val="both"/>
              <w:rPr>
                <w:rFonts w:ascii="Arial" w:hAnsi="Arial" w:cs="Arial"/>
              </w:rPr>
            </w:pPr>
            <w:proofErr w:type="spellStart"/>
            <w:r w:rsidRPr="00F14E90">
              <w:rPr>
                <w:rFonts w:ascii="Arial" w:hAnsi="Arial" w:cs="Arial"/>
              </w:rPr>
              <w:t>Nº</w:t>
            </w:r>
            <w:proofErr w:type="spellEnd"/>
          </w:p>
        </w:tc>
        <w:tc>
          <w:tcPr>
            <w:tcW w:w="4129" w:type="dxa"/>
            <w:shd w:val="clear" w:color="auto" w:fill="E8E8E8" w:themeFill="background2"/>
            <w:hideMark/>
          </w:tcPr>
          <w:p w14:paraId="31C3B738" w14:textId="77777777" w:rsidR="006066C6" w:rsidRPr="00F14E90" w:rsidRDefault="006066C6" w:rsidP="006066C6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SUBSANACIONES PROPUESTAS POR EL CTBG</w:t>
            </w:r>
          </w:p>
        </w:tc>
        <w:tc>
          <w:tcPr>
            <w:tcW w:w="5103" w:type="dxa"/>
            <w:shd w:val="clear" w:color="auto" w:fill="E8E8E8" w:themeFill="background2"/>
            <w:noWrap/>
            <w:hideMark/>
          </w:tcPr>
          <w:p w14:paraId="3C58BA28" w14:textId="77777777" w:rsidR="006066C6" w:rsidRPr="00F14E90" w:rsidRDefault="006066C6" w:rsidP="00870DB5">
            <w:pPr>
              <w:jc w:val="center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COMENTARIOS DE AICA O.A.</w:t>
            </w:r>
          </w:p>
        </w:tc>
      </w:tr>
      <w:tr w:rsidR="00AD7685" w:rsidRPr="00F14E90" w14:paraId="5DA14F4C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66DA065A" w14:textId="77777777" w:rsidR="006066C6" w:rsidRPr="00F14E90" w:rsidRDefault="006066C6" w:rsidP="006066C6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</w:t>
            </w:r>
          </w:p>
        </w:tc>
        <w:tc>
          <w:tcPr>
            <w:tcW w:w="4129" w:type="dxa"/>
            <w:hideMark/>
          </w:tcPr>
          <w:p w14:paraId="5532A427" w14:textId="77777777" w:rsidR="006066C6" w:rsidRPr="00F14E90" w:rsidRDefault="006066C6" w:rsidP="006066C6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  <w:bCs/>
              </w:rPr>
              <w:t>Habilitar un espacio específico para la publicación de las informaciones sujetas a obligaciones de publicidad activa.</w:t>
            </w:r>
          </w:p>
        </w:tc>
        <w:tc>
          <w:tcPr>
            <w:tcW w:w="5103" w:type="dxa"/>
            <w:hideMark/>
          </w:tcPr>
          <w:p w14:paraId="12D056DE" w14:textId="0F2C6FBA" w:rsidR="006066C6" w:rsidRPr="00F14E90" w:rsidRDefault="006066C6" w:rsidP="006066C6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 w:rsidR="00B51E88"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74D30ACD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106C0FD9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2</w:t>
            </w:r>
          </w:p>
        </w:tc>
        <w:tc>
          <w:tcPr>
            <w:tcW w:w="4129" w:type="dxa"/>
            <w:hideMark/>
          </w:tcPr>
          <w:p w14:paraId="1CA8A744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  <w:bCs/>
              </w:rPr>
              <w:t>Publicar la descripción de la estructura organizativa del organismo, incluyendo órganos de gobierno y de gestión.</w:t>
            </w:r>
          </w:p>
        </w:tc>
        <w:tc>
          <w:tcPr>
            <w:tcW w:w="5103" w:type="dxa"/>
            <w:hideMark/>
          </w:tcPr>
          <w:p w14:paraId="0D258E5C" w14:textId="495E1CAB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5DB33E8D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5F526131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3</w:t>
            </w:r>
          </w:p>
        </w:tc>
        <w:tc>
          <w:tcPr>
            <w:tcW w:w="4129" w:type="dxa"/>
            <w:hideMark/>
          </w:tcPr>
          <w:p w14:paraId="7667856A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el organigrama.</w:t>
            </w:r>
          </w:p>
        </w:tc>
        <w:tc>
          <w:tcPr>
            <w:tcW w:w="5103" w:type="dxa"/>
            <w:hideMark/>
          </w:tcPr>
          <w:p w14:paraId="7C7633EE" w14:textId="27C797B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2A384429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40738243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129" w:type="dxa"/>
            <w:hideMark/>
          </w:tcPr>
          <w:p w14:paraId="2A59126B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  <w:bCs/>
              </w:rPr>
              <w:t>Publicar la identificación de los responsables del organismo.</w:t>
            </w:r>
          </w:p>
        </w:tc>
        <w:tc>
          <w:tcPr>
            <w:tcW w:w="5103" w:type="dxa"/>
            <w:hideMark/>
          </w:tcPr>
          <w:p w14:paraId="362450B0" w14:textId="5516511E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Información que se puede encontrar en la Memoria e informes periódicamente publicados (cuando son objeto de publicidad) o en los espacios habilitados en la web</w:t>
            </w:r>
            <w:r>
              <w:rPr>
                <w:rFonts w:ascii="Arial" w:hAnsi="Arial" w:cs="Arial"/>
              </w:rPr>
              <w:t>. Se incluirá también de manera más accesible en la nueva web que está en proceso.</w:t>
            </w:r>
          </w:p>
        </w:tc>
      </w:tr>
      <w:tr w:rsidR="00B51E88" w:rsidRPr="00F14E90" w14:paraId="1138827E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4B9B92AA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5</w:t>
            </w:r>
          </w:p>
        </w:tc>
        <w:tc>
          <w:tcPr>
            <w:tcW w:w="4129" w:type="dxa"/>
            <w:hideMark/>
          </w:tcPr>
          <w:p w14:paraId="2A565F52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  <w:bCs/>
              </w:rPr>
              <w:t xml:space="preserve"> Publicar el perfil y trayectoria profesional de sus máximos responsables.</w:t>
            </w:r>
          </w:p>
        </w:tc>
        <w:tc>
          <w:tcPr>
            <w:tcW w:w="5103" w:type="dxa"/>
            <w:hideMark/>
          </w:tcPr>
          <w:p w14:paraId="4E93A547" w14:textId="447EC8C5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15A8BFBE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3FF2CC41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6</w:t>
            </w:r>
          </w:p>
        </w:tc>
        <w:tc>
          <w:tcPr>
            <w:tcW w:w="4129" w:type="dxa"/>
            <w:hideMark/>
          </w:tcPr>
          <w:p w14:paraId="6092A118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los planes y programas que ordenan estratégica y operativamente las actividades del organismo.</w:t>
            </w:r>
          </w:p>
        </w:tc>
        <w:tc>
          <w:tcPr>
            <w:tcW w:w="5103" w:type="dxa"/>
            <w:hideMark/>
          </w:tcPr>
          <w:p w14:paraId="743AFA7F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Información que se puede encontrar en la Memoria e informes periódicamente publicados (cuando son objeto de publicidad) o en los espacios habilitados en la web</w:t>
            </w:r>
          </w:p>
        </w:tc>
      </w:tr>
      <w:tr w:rsidR="00B51E88" w:rsidRPr="00F14E90" w14:paraId="2C5CE8BC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05D09B31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7</w:t>
            </w:r>
          </w:p>
        </w:tc>
        <w:tc>
          <w:tcPr>
            <w:tcW w:w="4129" w:type="dxa"/>
            <w:hideMark/>
          </w:tcPr>
          <w:p w14:paraId="2EDE5F00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el grado de cumplimiento y resultados de los planes y programas.</w:t>
            </w:r>
          </w:p>
        </w:tc>
        <w:tc>
          <w:tcPr>
            <w:tcW w:w="5103" w:type="dxa"/>
            <w:hideMark/>
          </w:tcPr>
          <w:p w14:paraId="23EF3F52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Información que se puede encontrar en la Memoria e informes periódicamente publicados (cuando son objeto de publicidad) o en los espacios habilitados en la web</w:t>
            </w:r>
          </w:p>
        </w:tc>
      </w:tr>
      <w:tr w:rsidR="00B51E88" w:rsidRPr="00F14E90" w14:paraId="2DE1D2E9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035933C4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8</w:t>
            </w:r>
          </w:p>
        </w:tc>
        <w:tc>
          <w:tcPr>
            <w:tcW w:w="4129" w:type="dxa"/>
            <w:hideMark/>
          </w:tcPr>
          <w:p w14:paraId="102393EA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los indicadores de medida y valoración del cumplimiento de los objetivos de los planes y programas.</w:t>
            </w:r>
          </w:p>
        </w:tc>
        <w:tc>
          <w:tcPr>
            <w:tcW w:w="5103" w:type="dxa"/>
            <w:hideMark/>
          </w:tcPr>
          <w:p w14:paraId="3FEE23D7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Información que se puede encontrar en la Memoria e informes periódicamente publicados (cuando son objeto de publicidad) o en los espacios habilitados en la web</w:t>
            </w:r>
          </w:p>
        </w:tc>
      </w:tr>
      <w:tr w:rsidR="00B51E88" w:rsidRPr="00F14E90" w14:paraId="26529E6C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4B650C63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9</w:t>
            </w:r>
          </w:p>
        </w:tc>
        <w:tc>
          <w:tcPr>
            <w:tcW w:w="4129" w:type="dxa"/>
            <w:hideMark/>
          </w:tcPr>
          <w:p w14:paraId="7E990056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las directrices, instrucciones, acuerdos, circulares o respuestas a consultas.</w:t>
            </w:r>
          </w:p>
        </w:tc>
        <w:tc>
          <w:tcPr>
            <w:tcW w:w="5103" w:type="dxa"/>
            <w:hideMark/>
          </w:tcPr>
          <w:p w14:paraId="4EAEE34B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Información que se puede encontrar en la Memoria e informes periódicamente publicados (cuando son objeto de publicidad) o en los espacios habilitados en la web</w:t>
            </w:r>
          </w:p>
        </w:tc>
      </w:tr>
      <w:tr w:rsidR="00B51E88" w:rsidRPr="00F14E90" w14:paraId="239C8F1A" w14:textId="77777777" w:rsidTr="003B1B0D">
        <w:trPr>
          <w:trHeight w:val="1690"/>
          <w:jc w:val="center"/>
        </w:trPr>
        <w:tc>
          <w:tcPr>
            <w:tcW w:w="686" w:type="dxa"/>
            <w:hideMark/>
          </w:tcPr>
          <w:p w14:paraId="4A945778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10</w:t>
            </w:r>
          </w:p>
        </w:tc>
        <w:tc>
          <w:tcPr>
            <w:tcW w:w="4129" w:type="dxa"/>
            <w:hideMark/>
          </w:tcPr>
          <w:p w14:paraId="37EC8650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los documentos que deban ser sometidos a información pública en aplicación de la normativa sectorial</w:t>
            </w:r>
          </w:p>
        </w:tc>
        <w:tc>
          <w:tcPr>
            <w:tcW w:w="5103" w:type="dxa"/>
            <w:hideMark/>
          </w:tcPr>
          <w:p w14:paraId="07E97E3D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Se hacen a través de la web ministerial. A continuación, se incluye un ejemplo:</w:t>
            </w:r>
            <w:r w:rsidRPr="00F14E90">
              <w:rPr>
                <w:rFonts w:ascii="Arial" w:hAnsi="Arial" w:cs="Arial"/>
              </w:rPr>
              <w:br/>
              <w:t>https://www.mapa.gob.es/es/ministerio/servicios/participacion-publica/eiple/detalle/propuesta_reglamento_directiva_practicas_comerciales_desleales</w:t>
            </w:r>
          </w:p>
        </w:tc>
      </w:tr>
      <w:tr w:rsidR="00B51E88" w:rsidRPr="00F14E90" w14:paraId="7E9A602F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482AA0FA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11</w:t>
            </w:r>
          </w:p>
        </w:tc>
        <w:tc>
          <w:tcPr>
            <w:tcW w:w="4129" w:type="dxa"/>
            <w:hideMark/>
          </w:tcPr>
          <w:p w14:paraId="266E6A11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contratos adjudicados.</w:t>
            </w:r>
          </w:p>
        </w:tc>
        <w:tc>
          <w:tcPr>
            <w:tcW w:w="5103" w:type="dxa"/>
            <w:hideMark/>
          </w:tcPr>
          <w:p w14:paraId="74E7E072" w14:textId="3804CB68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7E63053F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0368E523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12</w:t>
            </w:r>
          </w:p>
        </w:tc>
        <w:tc>
          <w:tcPr>
            <w:tcW w:w="4129" w:type="dxa"/>
            <w:hideMark/>
          </w:tcPr>
          <w:p w14:paraId="6A2B1F24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modificaciones de contratos.</w:t>
            </w:r>
          </w:p>
        </w:tc>
        <w:tc>
          <w:tcPr>
            <w:tcW w:w="5103" w:type="dxa"/>
            <w:hideMark/>
          </w:tcPr>
          <w:p w14:paraId="1356A776" w14:textId="2D635805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51429378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37CD489C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13</w:t>
            </w:r>
          </w:p>
        </w:tc>
        <w:tc>
          <w:tcPr>
            <w:tcW w:w="4129" w:type="dxa"/>
            <w:hideMark/>
          </w:tcPr>
          <w:p w14:paraId="596752ED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desistimientos y renuncias de contratos.</w:t>
            </w:r>
          </w:p>
        </w:tc>
        <w:tc>
          <w:tcPr>
            <w:tcW w:w="5103" w:type="dxa"/>
            <w:hideMark/>
          </w:tcPr>
          <w:p w14:paraId="6BE52829" w14:textId="11F38330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7B755E1D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02205610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14</w:t>
            </w:r>
          </w:p>
        </w:tc>
        <w:tc>
          <w:tcPr>
            <w:tcW w:w="4129" w:type="dxa"/>
            <w:hideMark/>
          </w:tcPr>
          <w:p w14:paraId="2D9253C5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 xml:space="preserve">Publicar información sobre la distribución porcentual expresada en términos presupuestarios de los </w:t>
            </w:r>
            <w:r w:rsidRPr="00F14E90">
              <w:rPr>
                <w:rFonts w:ascii="Arial" w:hAnsi="Arial" w:cs="Arial"/>
              </w:rPr>
              <w:lastRenderedPageBreak/>
              <w:t>contratos adjudicados según procedimiento de licitación</w:t>
            </w:r>
          </w:p>
        </w:tc>
        <w:tc>
          <w:tcPr>
            <w:tcW w:w="5103" w:type="dxa"/>
            <w:hideMark/>
          </w:tcPr>
          <w:p w14:paraId="61A469A2" w14:textId="0294ECE6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lastRenderedPageBreak/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</w:t>
            </w:r>
            <w:r>
              <w:rPr>
                <w:rFonts w:ascii="Arial" w:hAnsi="Arial" w:cs="Arial"/>
              </w:rPr>
              <w:lastRenderedPageBreak/>
              <w:t>esté en funcionamiento pleno en el tercer trimestre de 2026.</w:t>
            </w:r>
          </w:p>
        </w:tc>
      </w:tr>
      <w:tr w:rsidR="00B51E88" w:rsidRPr="00F14E90" w14:paraId="318EAD7F" w14:textId="77777777" w:rsidTr="003B1B0D">
        <w:trPr>
          <w:trHeight w:val="1120"/>
          <w:jc w:val="center"/>
        </w:trPr>
        <w:tc>
          <w:tcPr>
            <w:tcW w:w="686" w:type="dxa"/>
            <w:hideMark/>
          </w:tcPr>
          <w:p w14:paraId="60A87ED0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4129" w:type="dxa"/>
            <w:hideMark/>
          </w:tcPr>
          <w:p w14:paraId="3B15CA34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estadística sobre el número y el porcentaje en volumen presupuestario de contratos adjudicados a PYMES según tipo de contrato y según procedimiento de licitación.</w:t>
            </w:r>
          </w:p>
        </w:tc>
        <w:tc>
          <w:tcPr>
            <w:tcW w:w="5103" w:type="dxa"/>
            <w:hideMark/>
          </w:tcPr>
          <w:p w14:paraId="4DFB0229" w14:textId="4261E29D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356E92D6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49A2A95E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16</w:t>
            </w:r>
          </w:p>
        </w:tc>
        <w:tc>
          <w:tcPr>
            <w:tcW w:w="4129" w:type="dxa"/>
            <w:hideMark/>
          </w:tcPr>
          <w:p w14:paraId="004858E3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una relación de contratos menores.</w:t>
            </w:r>
          </w:p>
        </w:tc>
        <w:tc>
          <w:tcPr>
            <w:tcW w:w="5103" w:type="dxa"/>
            <w:hideMark/>
          </w:tcPr>
          <w:p w14:paraId="7286B8DB" w14:textId="5B62D730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3821641E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6E03E58B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17</w:t>
            </w:r>
          </w:p>
        </w:tc>
        <w:tc>
          <w:tcPr>
            <w:tcW w:w="4129" w:type="dxa"/>
            <w:hideMark/>
          </w:tcPr>
          <w:p w14:paraId="268A027A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subvenciones concedidas por el organismo a terceros.</w:t>
            </w:r>
          </w:p>
        </w:tc>
        <w:tc>
          <w:tcPr>
            <w:tcW w:w="5103" w:type="dxa"/>
            <w:hideMark/>
          </w:tcPr>
          <w:p w14:paraId="178DDB43" w14:textId="77777777" w:rsidR="00B51E88" w:rsidRPr="00F14E90" w:rsidRDefault="00B51E88" w:rsidP="00B51E88">
            <w:pPr>
              <w:jc w:val="center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NO APLICA</w:t>
            </w:r>
          </w:p>
        </w:tc>
      </w:tr>
      <w:tr w:rsidR="00B51E88" w:rsidRPr="00F14E90" w14:paraId="0171C017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740AB760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18</w:t>
            </w:r>
          </w:p>
        </w:tc>
        <w:tc>
          <w:tcPr>
            <w:tcW w:w="4129" w:type="dxa"/>
            <w:hideMark/>
          </w:tcPr>
          <w:p w14:paraId="5A29CDF7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los presupuestos del organismo.</w:t>
            </w:r>
          </w:p>
        </w:tc>
        <w:tc>
          <w:tcPr>
            <w:tcW w:w="5103" w:type="dxa"/>
            <w:hideMark/>
          </w:tcPr>
          <w:p w14:paraId="10CF72BF" w14:textId="2D9581FF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7209A521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03E2D666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19</w:t>
            </w:r>
          </w:p>
        </w:tc>
        <w:tc>
          <w:tcPr>
            <w:tcW w:w="4129" w:type="dxa"/>
            <w:hideMark/>
          </w:tcPr>
          <w:p w14:paraId="3047C8B2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ejecución presupuestaria.</w:t>
            </w:r>
          </w:p>
        </w:tc>
        <w:tc>
          <w:tcPr>
            <w:tcW w:w="5103" w:type="dxa"/>
            <w:hideMark/>
          </w:tcPr>
          <w:p w14:paraId="4CEB1822" w14:textId="7A497763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1345E611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7710E429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20</w:t>
            </w:r>
          </w:p>
        </w:tc>
        <w:tc>
          <w:tcPr>
            <w:tcW w:w="4129" w:type="dxa"/>
            <w:hideMark/>
          </w:tcPr>
          <w:p w14:paraId="5E0DFECA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los informes de auditoría de cuentas y de fiscalización realizados por el Tribunal de Cuentas</w:t>
            </w:r>
          </w:p>
        </w:tc>
        <w:tc>
          <w:tcPr>
            <w:tcW w:w="5103" w:type="dxa"/>
            <w:hideMark/>
          </w:tcPr>
          <w:p w14:paraId="59F47C00" w14:textId="1D6C882B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5E20FA55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7B97DA63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21</w:t>
            </w:r>
          </w:p>
        </w:tc>
        <w:tc>
          <w:tcPr>
            <w:tcW w:w="4129" w:type="dxa"/>
            <w:hideMark/>
          </w:tcPr>
          <w:p w14:paraId="0BA1FB5C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las retribuciones anuales de los altos cargos y máximos responsables.</w:t>
            </w:r>
          </w:p>
        </w:tc>
        <w:tc>
          <w:tcPr>
            <w:tcW w:w="5103" w:type="dxa"/>
            <w:hideMark/>
          </w:tcPr>
          <w:p w14:paraId="6034A168" w14:textId="77777777" w:rsidR="00B51E88" w:rsidRPr="00F14E90" w:rsidRDefault="00B51E88" w:rsidP="00B51E88">
            <w:pPr>
              <w:jc w:val="center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NO APLICA</w:t>
            </w:r>
          </w:p>
        </w:tc>
      </w:tr>
      <w:tr w:rsidR="00B51E88" w:rsidRPr="00F14E90" w14:paraId="40C36A08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323069C5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22</w:t>
            </w:r>
          </w:p>
        </w:tc>
        <w:tc>
          <w:tcPr>
            <w:tcW w:w="4129" w:type="dxa"/>
            <w:hideMark/>
          </w:tcPr>
          <w:p w14:paraId="06566AB5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indemnizaciones percibidas por altos cargos y máximos responsables con ocasión del abandono del cargo.</w:t>
            </w:r>
          </w:p>
        </w:tc>
        <w:tc>
          <w:tcPr>
            <w:tcW w:w="5103" w:type="dxa"/>
            <w:hideMark/>
          </w:tcPr>
          <w:p w14:paraId="3C4867D0" w14:textId="77777777" w:rsidR="00B51E88" w:rsidRPr="00F14E90" w:rsidRDefault="00B51E88" w:rsidP="00B51E88">
            <w:pPr>
              <w:jc w:val="center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NO APLICA</w:t>
            </w:r>
          </w:p>
        </w:tc>
      </w:tr>
      <w:tr w:rsidR="00B51E88" w:rsidRPr="00F14E90" w14:paraId="5715016C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23C79C16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23</w:t>
            </w:r>
          </w:p>
        </w:tc>
        <w:tc>
          <w:tcPr>
            <w:tcW w:w="4129" w:type="dxa"/>
            <w:hideMark/>
          </w:tcPr>
          <w:p w14:paraId="3BBBB00A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las resoluciones de autorización o reconocimiento de compatibilidad que afecten a los empleados del organismo.</w:t>
            </w:r>
          </w:p>
        </w:tc>
        <w:tc>
          <w:tcPr>
            <w:tcW w:w="5103" w:type="dxa"/>
            <w:hideMark/>
          </w:tcPr>
          <w:p w14:paraId="2A5D4461" w14:textId="77777777" w:rsidR="00B51E88" w:rsidRPr="00F14E90" w:rsidRDefault="00B51E88" w:rsidP="00B51E88">
            <w:pPr>
              <w:jc w:val="center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NO APLICA</w:t>
            </w:r>
          </w:p>
        </w:tc>
      </w:tr>
      <w:tr w:rsidR="00B51E88" w:rsidRPr="00F14E90" w14:paraId="05C21064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5BE47150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24</w:t>
            </w:r>
          </w:p>
        </w:tc>
        <w:tc>
          <w:tcPr>
            <w:tcW w:w="4129" w:type="dxa"/>
            <w:hideMark/>
          </w:tcPr>
          <w:p w14:paraId="65DBE52C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información sobre autorizaciones para actividad privada al cese de altos cargos en la AGE.</w:t>
            </w:r>
          </w:p>
        </w:tc>
        <w:tc>
          <w:tcPr>
            <w:tcW w:w="5103" w:type="dxa"/>
            <w:hideMark/>
          </w:tcPr>
          <w:p w14:paraId="3FF3C464" w14:textId="77777777" w:rsidR="00B51E88" w:rsidRPr="00F14E90" w:rsidRDefault="00B51E88" w:rsidP="00B51E88">
            <w:pPr>
              <w:jc w:val="center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NO APLICA</w:t>
            </w:r>
          </w:p>
        </w:tc>
      </w:tr>
      <w:tr w:rsidR="00B51E88" w:rsidRPr="00F14E90" w14:paraId="6EDBC7E4" w14:textId="77777777" w:rsidTr="003B1B0D">
        <w:trPr>
          <w:trHeight w:val="840"/>
          <w:jc w:val="center"/>
        </w:trPr>
        <w:tc>
          <w:tcPr>
            <w:tcW w:w="686" w:type="dxa"/>
            <w:hideMark/>
          </w:tcPr>
          <w:p w14:paraId="00FB7A90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25</w:t>
            </w:r>
          </w:p>
        </w:tc>
        <w:tc>
          <w:tcPr>
            <w:tcW w:w="4129" w:type="dxa"/>
            <w:hideMark/>
          </w:tcPr>
          <w:p w14:paraId="4A999C8F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Publicar una relación de los bienes inmuebles que sean propiedad del organismo o sobre los que ostente algún derecho real.</w:t>
            </w:r>
          </w:p>
        </w:tc>
        <w:tc>
          <w:tcPr>
            <w:tcW w:w="5103" w:type="dxa"/>
            <w:hideMark/>
          </w:tcPr>
          <w:p w14:paraId="02180746" w14:textId="6A8798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  <w:tr w:rsidR="00B51E88" w:rsidRPr="00F14E90" w14:paraId="0C911BEF" w14:textId="77777777" w:rsidTr="003B1B0D">
        <w:trPr>
          <w:trHeight w:val="560"/>
          <w:jc w:val="center"/>
        </w:trPr>
        <w:tc>
          <w:tcPr>
            <w:tcW w:w="686" w:type="dxa"/>
            <w:hideMark/>
          </w:tcPr>
          <w:p w14:paraId="00907044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4129" w:type="dxa"/>
            <w:hideMark/>
          </w:tcPr>
          <w:p w14:paraId="402FA39D" w14:textId="77777777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Datar y/o actualizar la información sujeta a obligación.</w:t>
            </w:r>
          </w:p>
        </w:tc>
        <w:tc>
          <w:tcPr>
            <w:tcW w:w="5103" w:type="dxa"/>
            <w:hideMark/>
          </w:tcPr>
          <w:p w14:paraId="7EA49FBD" w14:textId="74687A64" w:rsidR="00B51E88" w:rsidRPr="00F14E90" w:rsidRDefault="00B51E88" w:rsidP="00B51E88">
            <w:pPr>
              <w:jc w:val="both"/>
              <w:rPr>
                <w:rFonts w:ascii="Arial" w:hAnsi="Arial" w:cs="Arial"/>
              </w:rPr>
            </w:pPr>
            <w:r w:rsidRPr="00F14E90">
              <w:rPr>
                <w:rFonts w:ascii="Arial" w:hAnsi="Arial" w:cs="Arial"/>
              </w:rPr>
              <w:t>Está previsto en la reestructuración de la web que se está haciendo en este momento</w:t>
            </w:r>
            <w:r>
              <w:rPr>
                <w:rFonts w:ascii="Arial" w:hAnsi="Arial" w:cs="Arial"/>
              </w:rPr>
              <w:t xml:space="preserve"> y que se prevé esté en funcionamiento pleno en el tercer trimestre de 2026.</w:t>
            </w:r>
          </w:p>
        </w:tc>
      </w:tr>
    </w:tbl>
    <w:p w14:paraId="37C9634C" w14:textId="77777777" w:rsidR="00AB69AF" w:rsidRPr="00F14E90" w:rsidRDefault="00AB69AF" w:rsidP="006066C6">
      <w:pPr>
        <w:jc w:val="both"/>
        <w:rPr>
          <w:rFonts w:ascii="Arial" w:hAnsi="Arial" w:cs="Arial"/>
        </w:rPr>
      </w:pPr>
    </w:p>
    <w:sectPr w:rsidR="00AB69AF" w:rsidRPr="00F14E90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3A28" w14:textId="77777777" w:rsidR="00110E7F" w:rsidRDefault="00110E7F" w:rsidP="00662FAD">
      <w:pPr>
        <w:spacing w:after="0" w:line="240" w:lineRule="auto"/>
      </w:pPr>
      <w:r>
        <w:separator/>
      </w:r>
    </w:p>
  </w:endnote>
  <w:endnote w:type="continuationSeparator" w:id="0">
    <w:p w14:paraId="3F755CCD" w14:textId="77777777" w:rsidR="00110E7F" w:rsidRDefault="00110E7F" w:rsidP="0066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7313"/>
      <w:docPartObj>
        <w:docPartGallery w:val="Page Numbers (Bottom of Page)"/>
        <w:docPartUnique/>
      </w:docPartObj>
    </w:sdtPr>
    <w:sdtEndPr/>
    <w:sdtContent>
      <w:p w14:paraId="1406EF22" w14:textId="3E5674EE" w:rsidR="00662FAD" w:rsidRDefault="00662F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3C2CB" w14:textId="77777777" w:rsidR="00662FAD" w:rsidRDefault="00662F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0D05" w14:textId="77777777" w:rsidR="00110E7F" w:rsidRDefault="00110E7F" w:rsidP="00662FAD">
      <w:pPr>
        <w:spacing w:after="0" w:line="240" w:lineRule="auto"/>
      </w:pPr>
      <w:r>
        <w:separator/>
      </w:r>
    </w:p>
  </w:footnote>
  <w:footnote w:type="continuationSeparator" w:id="0">
    <w:p w14:paraId="30824947" w14:textId="77777777" w:rsidR="00110E7F" w:rsidRDefault="00110E7F" w:rsidP="0066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4" w:type="dxa"/>
      <w:tblInd w:w="-104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0"/>
      <w:gridCol w:w="5907"/>
      <w:gridCol w:w="3447"/>
    </w:tblGrid>
    <w:tr w:rsidR="00662FAD" w14:paraId="2AB2C7B6" w14:textId="77777777" w:rsidTr="002F16CF">
      <w:trPr>
        <w:cantSplit/>
        <w:trHeight w:val="173"/>
      </w:trPr>
      <w:tc>
        <w:tcPr>
          <w:tcW w:w="1250" w:type="dxa"/>
          <w:vMerge w:val="restart"/>
        </w:tcPr>
        <w:p w14:paraId="438AE5E9" w14:textId="77777777" w:rsidR="00662FAD" w:rsidRDefault="00662FAD" w:rsidP="00662FAD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anchor distT="0" distB="0" distL="0" distR="0" simplePos="0" relativeHeight="251659264" behindDoc="0" locked="0" layoutInCell="1" allowOverlap="1" wp14:anchorId="6E62668A" wp14:editId="5004BF68">
                <wp:simplePos x="0" y="0"/>
                <wp:positionH relativeFrom="column">
                  <wp:posOffset>15240</wp:posOffset>
                </wp:positionH>
                <wp:positionV relativeFrom="paragraph">
                  <wp:posOffset>32385</wp:posOffset>
                </wp:positionV>
                <wp:extent cx="699135" cy="730885"/>
                <wp:effectExtent l="0" t="0" r="5715" b="0"/>
                <wp:wrapTopAndBottom/>
                <wp:docPr id="2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13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07" w:type="dxa"/>
          <w:vMerge w:val="restart"/>
        </w:tcPr>
        <w:p w14:paraId="42A2E8F8" w14:textId="77777777" w:rsidR="00662FAD" w:rsidRDefault="00662FAD" w:rsidP="00662FAD">
          <w:pPr>
            <w:pStyle w:val="Encabezado"/>
            <w:rPr>
              <w:rFonts w:ascii="Arial" w:hAnsi="Arial"/>
            </w:rPr>
          </w:pPr>
        </w:p>
        <w:p w14:paraId="7ED05D50" w14:textId="77777777" w:rsidR="00662FAD" w:rsidRDefault="00662FAD" w:rsidP="00662FAD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MINISTERIO</w:t>
          </w:r>
        </w:p>
        <w:p w14:paraId="1A98C37F" w14:textId="77777777" w:rsidR="00662FAD" w:rsidRDefault="00662FAD" w:rsidP="00662FAD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>DE AGRICULTURA, PESCA</w:t>
          </w:r>
        </w:p>
        <w:p w14:paraId="7190954F" w14:textId="77777777" w:rsidR="00662FAD" w:rsidRDefault="00662FAD" w:rsidP="00662FAD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</w:rPr>
            <w:t xml:space="preserve">Y ALIMENTACIÓN </w:t>
          </w:r>
        </w:p>
        <w:p w14:paraId="52BCDE0D" w14:textId="77777777" w:rsidR="00662FAD" w:rsidRDefault="00662FAD" w:rsidP="00662FAD">
          <w:pPr>
            <w:pStyle w:val="Encabezado"/>
            <w:rPr>
              <w:rFonts w:ascii="Arial" w:hAnsi="Arial"/>
            </w:rPr>
          </w:pPr>
        </w:p>
      </w:tc>
      <w:tc>
        <w:tcPr>
          <w:tcW w:w="3447" w:type="dxa"/>
          <w:tcBorders>
            <w:bottom w:val="single" w:sz="4" w:space="0" w:color="auto"/>
          </w:tcBorders>
          <w:vAlign w:val="center"/>
        </w:tcPr>
        <w:p w14:paraId="329F775C" w14:textId="77777777" w:rsidR="00662FAD" w:rsidRDefault="00662FAD" w:rsidP="00662FAD">
          <w:pPr>
            <w:pStyle w:val="Encabezado"/>
            <w:jc w:val="center"/>
            <w:rPr>
              <w:rFonts w:ascii="Arial" w:hAnsi="Arial"/>
              <w:sz w:val="16"/>
            </w:rPr>
          </w:pPr>
        </w:p>
      </w:tc>
    </w:tr>
    <w:tr w:rsidR="00662FAD" w14:paraId="347A4232" w14:textId="77777777" w:rsidTr="002F16CF">
      <w:trPr>
        <w:cantSplit/>
        <w:trHeight w:val="525"/>
      </w:trPr>
      <w:tc>
        <w:tcPr>
          <w:tcW w:w="1250" w:type="dxa"/>
          <w:vMerge/>
        </w:tcPr>
        <w:p w14:paraId="27A448F1" w14:textId="77777777" w:rsidR="00662FAD" w:rsidRDefault="00662FAD" w:rsidP="00662FAD">
          <w:pPr>
            <w:pStyle w:val="Encabezado"/>
            <w:rPr>
              <w:rFonts w:ascii="Arial" w:hAnsi="Arial"/>
              <w:noProof/>
            </w:rPr>
          </w:pPr>
        </w:p>
      </w:tc>
      <w:tc>
        <w:tcPr>
          <w:tcW w:w="5907" w:type="dxa"/>
          <w:vMerge/>
          <w:tcBorders>
            <w:right w:val="single" w:sz="4" w:space="0" w:color="auto"/>
          </w:tcBorders>
        </w:tcPr>
        <w:p w14:paraId="648F0563" w14:textId="77777777" w:rsidR="00662FAD" w:rsidRDefault="00662FAD" w:rsidP="00662FAD">
          <w:pPr>
            <w:pStyle w:val="Encabezado"/>
            <w:rPr>
              <w:rFonts w:ascii="Arial" w:hAnsi="Arial"/>
            </w:rPr>
          </w:pPr>
        </w:p>
      </w:tc>
      <w:tc>
        <w:tcPr>
          <w:tcW w:w="34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CE9DE0" w14:textId="77777777" w:rsidR="00662FAD" w:rsidRDefault="00662FAD" w:rsidP="00662FAD">
          <w:pPr>
            <w:pStyle w:val="Encabezad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AGENCIA DE INFORMACIÓN Y</w:t>
          </w:r>
        </w:p>
        <w:p w14:paraId="5A8B7E54" w14:textId="77777777" w:rsidR="00662FAD" w:rsidRDefault="00662FAD" w:rsidP="00662FAD">
          <w:pPr>
            <w:pStyle w:val="Encabezad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CONTROL ALIMENTARIOS O.A.</w:t>
          </w:r>
        </w:p>
      </w:tc>
    </w:tr>
    <w:tr w:rsidR="00662FAD" w14:paraId="3C1E384B" w14:textId="77777777" w:rsidTr="002F16CF">
      <w:trPr>
        <w:cantSplit/>
        <w:trHeight w:val="696"/>
      </w:trPr>
      <w:tc>
        <w:tcPr>
          <w:tcW w:w="1250" w:type="dxa"/>
          <w:vMerge/>
        </w:tcPr>
        <w:p w14:paraId="514A3E4C" w14:textId="77777777" w:rsidR="00662FAD" w:rsidRDefault="00662FAD" w:rsidP="00662FAD">
          <w:pPr>
            <w:pStyle w:val="Encabezado"/>
            <w:rPr>
              <w:rFonts w:ascii="Arial" w:hAnsi="Arial"/>
              <w:noProof/>
            </w:rPr>
          </w:pPr>
        </w:p>
      </w:tc>
      <w:tc>
        <w:tcPr>
          <w:tcW w:w="5907" w:type="dxa"/>
          <w:vMerge/>
        </w:tcPr>
        <w:p w14:paraId="2844C40D" w14:textId="77777777" w:rsidR="00662FAD" w:rsidRDefault="00662FAD" w:rsidP="00662FAD">
          <w:pPr>
            <w:pStyle w:val="Encabezado"/>
            <w:rPr>
              <w:rFonts w:ascii="Arial" w:hAnsi="Arial"/>
            </w:rPr>
          </w:pPr>
        </w:p>
      </w:tc>
      <w:tc>
        <w:tcPr>
          <w:tcW w:w="3447" w:type="dxa"/>
          <w:tcBorders>
            <w:top w:val="single" w:sz="4" w:space="0" w:color="auto"/>
          </w:tcBorders>
          <w:tcMar>
            <w:top w:w="113" w:type="dxa"/>
            <w:left w:w="113" w:type="dxa"/>
            <w:bottom w:w="113" w:type="dxa"/>
            <w:right w:w="113" w:type="dxa"/>
          </w:tcMar>
        </w:tcPr>
        <w:p w14:paraId="7121E369" w14:textId="77777777" w:rsidR="00662FAD" w:rsidRDefault="00662FAD" w:rsidP="00662FAD">
          <w:pPr>
            <w:pStyle w:val="Encabezado"/>
            <w:jc w:val="center"/>
            <w:rPr>
              <w:rFonts w:ascii="Arial" w:hAnsi="Arial"/>
            </w:rPr>
          </w:pPr>
        </w:p>
      </w:tc>
    </w:tr>
  </w:tbl>
  <w:p w14:paraId="008AB31C" w14:textId="77777777" w:rsidR="00662FAD" w:rsidRDefault="00662F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5119"/>
    <w:multiLevelType w:val="hybridMultilevel"/>
    <w:tmpl w:val="1986739E"/>
    <w:lvl w:ilvl="0" w:tplc="9F086F38">
      <w:start w:val="25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88505D"/>
    <w:multiLevelType w:val="hybridMultilevel"/>
    <w:tmpl w:val="454866E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1DE7"/>
    <w:multiLevelType w:val="hybridMultilevel"/>
    <w:tmpl w:val="7DA8F578"/>
    <w:lvl w:ilvl="0" w:tplc="6A36FFD0">
      <w:start w:val="5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2F1E96"/>
    <w:multiLevelType w:val="hybridMultilevel"/>
    <w:tmpl w:val="48740D68"/>
    <w:lvl w:ilvl="0" w:tplc="3A16E5E6">
      <w:start w:val="1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245BFC"/>
    <w:multiLevelType w:val="hybridMultilevel"/>
    <w:tmpl w:val="2282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07B6B"/>
    <w:multiLevelType w:val="hybridMultilevel"/>
    <w:tmpl w:val="32926A0A"/>
    <w:lvl w:ilvl="0" w:tplc="94E0D2FA">
      <w:start w:val="1"/>
      <w:numFmt w:val="decimal"/>
      <w:lvlText w:val="%1."/>
      <w:lvlJc w:val="left"/>
      <w:pPr>
        <w:ind w:left="720" w:hanging="360"/>
      </w:pPr>
    </w:lvl>
    <w:lvl w:ilvl="1" w:tplc="5BAAFB42">
      <w:start w:val="1"/>
      <w:numFmt w:val="decimal"/>
      <w:lvlText w:val="%2."/>
      <w:lvlJc w:val="left"/>
      <w:pPr>
        <w:ind w:left="720" w:hanging="360"/>
      </w:pPr>
    </w:lvl>
    <w:lvl w:ilvl="2" w:tplc="DC540F5A">
      <w:start w:val="1"/>
      <w:numFmt w:val="decimal"/>
      <w:lvlText w:val="%3."/>
      <w:lvlJc w:val="left"/>
      <w:pPr>
        <w:ind w:left="720" w:hanging="360"/>
      </w:pPr>
    </w:lvl>
    <w:lvl w:ilvl="3" w:tplc="374225FA">
      <w:start w:val="1"/>
      <w:numFmt w:val="decimal"/>
      <w:lvlText w:val="%4."/>
      <w:lvlJc w:val="left"/>
      <w:pPr>
        <w:ind w:left="720" w:hanging="360"/>
      </w:pPr>
    </w:lvl>
    <w:lvl w:ilvl="4" w:tplc="74D82828">
      <w:start w:val="1"/>
      <w:numFmt w:val="decimal"/>
      <w:lvlText w:val="%5."/>
      <w:lvlJc w:val="left"/>
      <w:pPr>
        <w:ind w:left="720" w:hanging="360"/>
      </w:pPr>
    </w:lvl>
    <w:lvl w:ilvl="5" w:tplc="03E25118">
      <w:start w:val="1"/>
      <w:numFmt w:val="decimal"/>
      <w:lvlText w:val="%6."/>
      <w:lvlJc w:val="left"/>
      <w:pPr>
        <w:ind w:left="720" w:hanging="360"/>
      </w:pPr>
    </w:lvl>
    <w:lvl w:ilvl="6" w:tplc="703AE278">
      <w:start w:val="1"/>
      <w:numFmt w:val="decimal"/>
      <w:lvlText w:val="%7."/>
      <w:lvlJc w:val="left"/>
      <w:pPr>
        <w:ind w:left="720" w:hanging="360"/>
      </w:pPr>
    </w:lvl>
    <w:lvl w:ilvl="7" w:tplc="D46A8794">
      <w:start w:val="1"/>
      <w:numFmt w:val="decimal"/>
      <w:lvlText w:val="%8."/>
      <w:lvlJc w:val="left"/>
      <w:pPr>
        <w:ind w:left="720" w:hanging="360"/>
      </w:pPr>
    </w:lvl>
    <w:lvl w:ilvl="8" w:tplc="B4FCBA4A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53830ECC"/>
    <w:multiLevelType w:val="hybridMultilevel"/>
    <w:tmpl w:val="AF0262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801B65"/>
    <w:multiLevelType w:val="hybridMultilevel"/>
    <w:tmpl w:val="9AFAF6A0"/>
    <w:lvl w:ilvl="0" w:tplc="16A2862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827391"/>
    <w:multiLevelType w:val="hybridMultilevel"/>
    <w:tmpl w:val="BEAAE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D3E3B"/>
    <w:multiLevelType w:val="hybridMultilevel"/>
    <w:tmpl w:val="3E268642"/>
    <w:lvl w:ilvl="0" w:tplc="DBD87182">
      <w:start w:val="18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20"/>
    <w:rsid w:val="00006CDE"/>
    <w:rsid w:val="000B6668"/>
    <w:rsid w:val="000C66B3"/>
    <w:rsid w:val="000F0964"/>
    <w:rsid w:val="00110E7F"/>
    <w:rsid w:val="00123754"/>
    <w:rsid w:val="00131E62"/>
    <w:rsid w:val="0013782E"/>
    <w:rsid w:val="0014275B"/>
    <w:rsid w:val="002126C7"/>
    <w:rsid w:val="002210B1"/>
    <w:rsid w:val="00224B86"/>
    <w:rsid w:val="00235A21"/>
    <w:rsid w:val="0024185B"/>
    <w:rsid w:val="00275EE5"/>
    <w:rsid w:val="002943CF"/>
    <w:rsid w:val="002A5569"/>
    <w:rsid w:val="002E1704"/>
    <w:rsid w:val="00301C48"/>
    <w:rsid w:val="00321B15"/>
    <w:rsid w:val="00330B1E"/>
    <w:rsid w:val="00361DF1"/>
    <w:rsid w:val="00362834"/>
    <w:rsid w:val="0036683A"/>
    <w:rsid w:val="00370B3D"/>
    <w:rsid w:val="003B1B0D"/>
    <w:rsid w:val="003B7D49"/>
    <w:rsid w:val="003C59EE"/>
    <w:rsid w:val="003E7BFD"/>
    <w:rsid w:val="00407DA6"/>
    <w:rsid w:val="0043449F"/>
    <w:rsid w:val="004C654A"/>
    <w:rsid w:val="004E6BB5"/>
    <w:rsid w:val="004F3BEE"/>
    <w:rsid w:val="005107B8"/>
    <w:rsid w:val="0054414C"/>
    <w:rsid w:val="00550867"/>
    <w:rsid w:val="00577E74"/>
    <w:rsid w:val="005D5934"/>
    <w:rsid w:val="005E60E9"/>
    <w:rsid w:val="006066C6"/>
    <w:rsid w:val="006342F1"/>
    <w:rsid w:val="0065059A"/>
    <w:rsid w:val="00657866"/>
    <w:rsid w:val="00662FAD"/>
    <w:rsid w:val="00684A5B"/>
    <w:rsid w:val="006D149A"/>
    <w:rsid w:val="00726D3B"/>
    <w:rsid w:val="00774BA5"/>
    <w:rsid w:val="00777F93"/>
    <w:rsid w:val="007F35D1"/>
    <w:rsid w:val="007F3620"/>
    <w:rsid w:val="007F3DE1"/>
    <w:rsid w:val="00830DA0"/>
    <w:rsid w:val="00870DB5"/>
    <w:rsid w:val="008963B8"/>
    <w:rsid w:val="008E41F2"/>
    <w:rsid w:val="009100CB"/>
    <w:rsid w:val="009111ED"/>
    <w:rsid w:val="009424E6"/>
    <w:rsid w:val="009705C7"/>
    <w:rsid w:val="009A4E2B"/>
    <w:rsid w:val="009E3BDC"/>
    <w:rsid w:val="00A3197C"/>
    <w:rsid w:val="00A74103"/>
    <w:rsid w:val="00AA0929"/>
    <w:rsid w:val="00AA6333"/>
    <w:rsid w:val="00AB69AF"/>
    <w:rsid w:val="00AD5E3A"/>
    <w:rsid w:val="00AD7685"/>
    <w:rsid w:val="00AE52ED"/>
    <w:rsid w:val="00B10644"/>
    <w:rsid w:val="00B13710"/>
    <w:rsid w:val="00B51E88"/>
    <w:rsid w:val="00B562A6"/>
    <w:rsid w:val="00B974E9"/>
    <w:rsid w:val="00BA1B77"/>
    <w:rsid w:val="00BA31AA"/>
    <w:rsid w:val="00C64933"/>
    <w:rsid w:val="00C87A76"/>
    <w:rsid w:val="00C87A86"/>
    <w:rsid w:val="00CD6F41"/>
    <w:rsid w:val="00D30E83"/>
    <w:rsid w:val="00D613AA"/>
    <w:rsid w:val="00D812F5"/>
    <w:rsid w:val="00DC521C"/>
    <w:rsid w:val="00E062A3"/>
    <w:rsid w:val="00E3469C"/>
    <w:rsid w:val="00E70DA4"/>
    <w:rsid w:val="00E76E98"/>
    <w:rsid w:val="00ED2601"/>
    <w:rsid w:val="00F01F2A"/>
    <w:rsid w:val="00F07BDB"/>
    <w:rsid w:val="00F14E90"/>
    <w:rsid w:val="00F43244"/>
    <w:rsid w:val="00F43520"/>
    <w:rsid w:val="00F77240"/>
    <w:rsid w:val="00F81090"/>
    <w:rsid w:val="00F85C8C"/>
    <w:rsid w:val="00FB0205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75CF"/>
  <w15:chartTrackingRefBased/>
  <w15:docId w15:val="{A0BC7878-4165-4621-B040-E8526F6B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4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5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35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35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35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35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35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3520"/>
    <w:rPr>
      <w:i/>
      <w:iCs/>
      <w:color w:val="404040" w:themeColor="text1" w:themeTint="BF"/>
    </w:rPr>
  </w:style>
  <w:style w:type="paragraph" w:styleId="Prrafodelista">
    <w:name w:val="List Paragraph"/>
    <w:aliases w:val="Párrafo de lista - cat,Bullet,Resume Title,Dot pt,No Spacing1,List Paragraph Char Char Char,Indicator Text,Numbered Para 1,List Paragraph1,Bullet Points,MAIN CONTENT,List Paragraph12,List Paragraph11,OBC Bullet,F5 List Paragraph,Lista1"/>
    <w:basedOn w:val="Normal"/>
    <w:link w:val="PrrafodelistaCar"/>
    <w:uiPriority w:val="34"/>
    <w:qFormat/>
    <w:rsid w:val="00F435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35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3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35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3520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6505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05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05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5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59A"/>
    <w:rPr>
      <w:b/>
      <w:bCs/>
      <w:sz w:val="20"/>
      <w:szCs w:val="20"/>
    </w:rPr>
  </w:style>
  <w:style w:type="character" w:customStyle="1" w:styleId="PrrafodelistaCar">
    <w:name w:val="Párrafo de lista Car"/>
    <w:aliases w:val="Párrafo de lista - cat Car,Bullet Car,Resume Title Car,Dot pt Car,No Spacing1 Car,List Paragraph Char Char Char Car,Indicator Text Car,Numbered Para 1 Car,List Paragraph1 Car,Bullet Points Car,MAIN CONTENT Car,List Paragraph12 Car"/>
    <w:link w:val="Prrafodelista"/>
    <w:uiPriority w:val="34"/>
    <w:qFormat/>
    <w:locked/>
    <w:rsid w:val="00662FAD"/>
  </w:style>
  <w:style w:type="paragraph" w:styleId="Encabezado">
    <w:name w:val="header"/>
    <w:basedOn w:val="Normal"/>
    <w:link w:val="EncabezadoCar"/>
    <w:uiPriority w:val="99"/>
    <w:unhideWhenUsed/>
    <w:rsid w:val="00662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FAD"/>
  </w:style>
  <w:style w:type="paragraph" w:styleId="Piedepgina">
    <w:name w:val="footer"/>
    <w:basedOn w:val="Normal"/>
    <w:link w:val="PiedepginaCar"/>
    <w:uiPriority w:val="99"/>
    <w:unhideWhenUsed/>
    <w:rsid w:val="00662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FAD"/>
  </w:style>
  <w:style w:type="paragraph" w:customStyle="1" w:styleId="Default">
    <w:name w:val="Default"/>
    <w:rsid w:val="00662F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21B1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1B1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6493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0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a.gob.es/memorias-anual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ica.gob.es/faqs-sobre-el-registro-de-contratos-alimentario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ca.gob.es/faqs-de-la-cadena-alimentari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pa.gob.es/es/ministerio/funciones-estructura/organigrama/sg_recursos-agrari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ca.gob.es/informes-de-la-actividad-de-aica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0607-5CCD-4573-9945-CAE95534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1693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AICA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Ruiz de Hoyos</dc:creator>
  <cp:keywords/>
  <dc:description/>
  <cp:lastModifiedBy>GONZALO GOMEZ DE VILLALOBOS</cp:lastModifiedBy>
  <cp:revision>2</cp:revision>
  <dcterms:created xsi:type="dcterms:W3CDTF">2025-09-29T09:14:00Z</dcterms:created>
  <dcterms:modified xsi:type="dcterms:W3CDTF">2025-09-29T09:14:00Z</dcterms:modified>
</cp:coreProperties>
</file>