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6859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A736136" w:rsidR="000C6CFF" w:rsidRPr="005A3C4E" w:rsidRDefault="00A2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Autoridad Portuaria de </w:t>
            </w:r>
            <w:r w:rsidR="00915FD7">
              <w:rPr>
                <w:sz w:val="24"/>
                <w:szCs w:val="24"/>
              </w:rPr>
              <w:t>Marín y la Ría de Pontevedra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48316ACF" w:rsidR="00CB4BF4" w:rsidRDefault="007D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5FD7">
              <w:rPr>
                <w:sz w:val="24"/>
                <w:szCs w:val="24"/>
              </w:rPr>
              <w:t>9</w:t>
            </w:r>
            <w:r w:rsidR="00A97F0A">
              <w:rPr>
                <w:sz w:val="24"/>
                <w:szCs w:val="24"/>
              </w:rPr>
              <w:t>/04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61DCCC0E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3E7AD2">
              <w:rPr>
                <w:sz w:val="24"/>
                <w:szCs w:val="24"/>
              </w:rPr>
              <w:t>16/07/2025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8B685ED" w:rsidR="00915FD7" w:rsidRPr="00915FD7" w:rsidRDefault="006E5609" w:rsidP="00915FD7">
            <w:pPr>
              <w:rPr>
                <w:sz w:val="24"/>
                <w:szCs w:val="24"/>
              </w:rPr>
            </w:pPr>
            <w:hyperlink r:id="rId9" w:history="1">
              <w:r w:rsidR="00915FD7" w:rsidRPr="002E5542">
                <w:rPr>
                  <w:rStyle w:val="Hipervnculo"/>
                  <w:sz w:val="24"/>
                  <w:szCs w:val="24"/>
                </w:rPr>
                <w:t>https://www.apmarin.com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6E5609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0D7634C4" w:rsidR="00CB5511" w:rsidRPr="005A3C4E" w:rsidRDefault="00A20D73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9C19D12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D9D8C08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2755464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9DCF418" w:rsidR="00932008" w:rsidRPr="005A3C4E" w:rsidRDefault="00A20D73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257E1732" w:rsidR="00560D54" w:rsidRPr="005A3C4E" w:rsidRDefault="00560D54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3B37B3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B092BAB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01E96BCC" w:rsidR="00E24139" w:rsidRPr="00396A23" w:rsidRDefault="00DA7C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  <w:r w:rsidRPr="00DA7C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3%</w:t>
            </w:r>
          </w:p>
        </w:tc>
        <w:tc>
          <w:tcPr>
            <w:tcW w:w="2728" w:type="dxa"/>
          </w:tcPr>
          <w:p w14:paraId="1B3D21B6" w14:textId="38A8CBEB" w:rsidR="00E24139" w:rsidRPr="00396A23" w:rsidRDefault="00DA7C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DA7C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  <w:tc>
          <w:tcPr>
            <w:tcW w:w="2051" w:type="dxa"/>
          </w:tcPr>
          <w:p w14:paraId="1343146B" w14:textId="3EA3B7DC" w:rsidR="00E24139" w:rsidRPr="00396A23" w:rsidRDefault="00DA7C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7F480EBF" w:rsidR="00E24139" w:rsidRPr="00396A23" w:rsidRDefault="00DA7C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  <w:r w:rsidRPr="00DA7C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1%</w:t>
            </w:r>
          </w:p>
        </w:tc>
        <w:tc>
          <w:tcPr>
            <w:tcW w:w="2728" w:type="dxa"/>
          </w:tcPr>
          <w:p w14:paraId="78459DA6" w14:textId="5C1076CE" w:rsidR="00E24139" w:rsidRPr="00396A23" w:rsidRDefault="00DA7C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DA7C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051" w:type="dxa"/>
          </w:tcPr>
          <w:p w14:paraId="21BDE47D" w14:textId="5F8DE60F" w:rsidR="00E24139" w:rsidRPr="00396A23" w:rsidRDefault="00B1492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FC0352">
        <w:trPr>
          <w:trHeight w:val="11043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5DF0AFD3" w14:textId="44994BFC" w:rsidR="00EE54A7" w:rsidRPr="003E7AD2" w:rsidRDefault="00EE54A7" w:rsidP="00FC0352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se publica toda la </w:t>
            </w:r>
            <w:r w:rsidRPr="003E7AD2">
              <w:rPr>
                <w:sz w:val="20"/>
                <w:szCs w:val="20"/>
              </w:rPr>
              <w:t>información sujeta a obligación en el Portal de Transparencia.</w:t>
            </w:r>
          </w:p>
          <w:p w14:paraId="4804D99D" w14:textId="77777777" w:rsidR="00EE54A7" w:rsidRPr="003E7AD2" w:rsidRDefault="00EE54A7" w:rsidP="00EE54A7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39784B2C" w14:textId="1236DE09" w:rsidR="00A20D73" w:rsidRPr="003E7AD2" w:rsidRDefault="00A20D73" w:rsidP="00A20D73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Respecto de la publicación de contenidos, sigue sin publicarse:</w:t>
            </w:r>
          </w:p>
          <w:p w14:paraId="56E8A775" w14:textId="77777777" w:rsidR="00A20D73" w:rsidRPr="003E7AD2" w:rsidRDefault="00A20D73" w:rsidP="00A20D73">
            <w:pPr>
              <w:pStyle w:val="Prrafodelista"/>
              <w:rPr>
                <w:sz w:val="20"/>
                <w:szCs w:val="20"/>
              </w:rPr>
            </w:pPr>
          </w:p>
          <w:p w14:paraId="70446B00" w14:textId="7EAB7CD0" w:rsidR="00DA7CC0" w:rsidRPr="003E7AD2" w:rsidRDefault="00DA7CC0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Dentro del bloque de Información institucional y organizativa:</w:t>
            </w:r>
          </w:p>
          <w:p w14:paraId="0BC9CDBF" w14:textId="3A3726E5" w:rsidR="00DA7CC0" w:rsidRPr="003E7AD2" w:rsidRDefault="00DA7CC0" w:rsidP="00FC0352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 descripción de la estructura organizativa</w:t>
            </w:r>
          </w:p>
          <w:p w14:paraId="57E6DDD8" w14:textId="4F361DA2" w:rsidR="00DA7CC0" w:rsidRPr="003E7AD2" w:rsidRDefault="00DA7CC0" w:rsidP="00FC0352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 xml:space="preserve">El perfil y trayectoria del </w:t>
            </w:r>
            <w:proofErr w:type="gramStart"/>
            <w:r w:rsidRPr="003E7AD2">
              <w:rPr>
                <w:sz w:val="20"/>
                <w:szCs w:val="20"/>
              </w:rPr>
              <w:t>Presidente</w:t>
            </w:r>
            <w:proofErr w:type="gramEnd"/>
            <w:r w:rsidRPr="003E7AD2">
              <w:rPr>
                <w:sz w:val="20"/>
                <w:szCs w:val="20"/>
              </w:rPr>
              <w:t xml:space="preserve"> de la AP </w:t>
            </w:r>
          </w:p>
          <w:p w14:paraId="4ED98FEB" w14:textId="750B0496" w:rsidR="00DA7CC0" w:rsidRPr="003E7AD2" w:rsidRDefault="00DA7CC0" w:rsidP="00FC0352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Los planes y programas</w:t>
            </w:r>
          </w:p>
          <w:p w14:paraId="0B730C28" w14:textId="7FB90DF4" w:rsidR="00DA7CC0" w:rsidRPr="003E7AD2" w:rsidRDefault="00DA7CC0" w:rsidP="00FC0352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 información sobre el grado de cumplimiento de planes y programas</w:t>
            </w:r>
          </w:p>
          <w:p w14:paraId="57A60F94" w14:textId="77777777" w:rsidR="00DA7CC0" w:rsidRPr="003E7AD2" w:rsidRDefault="00DA7CC0" w:rsidP="00FC0352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Los indicadores de medida y valoración del grado de cumplimiento de los objetivos</w:t>
            </w:r>
          </w:p>
          <w:p w14:paraId="18B091AF" w14:textId="3A2B17A7" w:rsidR="00DA7CC0" w:rsidRPr="003E7AD2" w:rsidRDefault="00DA7CC0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 xml:space="preserve">En el bloque de Información de </w:t>
            </w:r>
            <w:r w:rsidR="000333DE" w:rsidRPr="003E7AD2">
              <w:rPr>
                <w:sz w:val="20"/>
                <w:szCs w:val="20"/>
              </w:rPr>
              <w:t>r</w:t>
            </w:r>
            <w:r w:rsidRPr="003E7AD2">
              <w:rPr>
                <w:sz w:val="20"/>
                <w:szCs w:val="20"/>
              </w:rPr>
              <w:t xml:space="preserve">elevancia </w:t>
            </w:r>
            <w:r w:rsidR="000333DE" w:rsidRPr="003E7AD2">
              <w:rPr>
                <w:sz w:val="20"/>
                <w:szCs w:val="20"/>
              </w:rPr>
              <w:t>j</w:t>
            </w:r>
            <w:r w:rsidRPr="003E7AD2">
              <w:rPr>
                <w:sz w:val="20"/>
                <w:szCs w:val="20"/>
              </w:rPr>
              <w:t>urídica:</w:t>
            </w:r>
          </w:p>
          <w:p w14:paraId="48D1B626" w14:textId="77777777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Los documentos que deban ser sometidos a información pública en aplicación de normativa sectorial.</w:t>
            </w:r>
          </w:p>
          <w:p w14:paraId="3045A5E6" w14:textId="77777777" w:rsidR="00DA7CC0" w:rsidRPr="003E7AD2" w:rsidRDefault="00DA7CC0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3E7AD2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7AFA3714" w14:textId="27D1BDBC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modificaciones de contratos adjudicados.</w:t>
            </w:r>
          </w:p>
          <w:p w14:paraId="6C1FE1E4" w14:textId="0BADCCF7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1E29C9C3" w14:textId="62643CFC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442E00E7" w14:textId="7DBB2178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Los convenios.</w:t>
            </w:r>
          </w:p>
          <w:p w14:paraId="33E56733" w14:textId="53C86A58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encomiendas de gestión.</w:t>
            </w:r>
          </w:p>
          <w:p w14:paraId="02B4DBBC" w14:textId="21D0A351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subcontrataciones derivadas de las encomiendas de gestión.</w:t>
            </w:r>
          </w:p>
          <w:p w14:paraId="6F5E645B" w14:textId="232145AF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subvenciones o ayudas públicas concedidas por la AP.</w:t>
            </w:r>
          </w:p>
          <w:p w14:paraId="133CE595" w14:textId="01D8FA9B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El presupuesto.</w:t>
            </w:r>
          </w:p>
          <w:p w14:paraId="22404C8A" w14:textId="4586516B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17C50195" w14:textId="29E9A86C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retribuciones percibidas por altos cargos y máximos responsables.</w:t>
            </w:r>
          </w:p>
          <w:p w14:paraId="7BDA747C" w14:textId="7CB82642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06B3C491" w14:textId="2C79D3E4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autorizaciones de compatibilidad concedidas a empleados de la AP.</w:t>
            </w:r>
          </w:p>
          <w:p w14:paraId="3988AA8B" w14:textId="0AFBA910" w:rsidR="00DA7CC0" w:rsidRPr="003E7AD2" w:rsidRDefault="00DA7CC0" w:rsidP="00FC0352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4B03755B" w14:textId="77777777" w:rsidR="00DA7CC0" w:rsidRPr="003E7AD2" w:rsidRDefault="00DA7CC0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En el bloque de información patrimonial no se informa sobre los bienes inmuebles propiedad de la AP o sobre los que ejerza algún derecho real</w:t>
            </w:r>
          </w:p>
          <w:p w14:paraId="5EB9FC3F" w14:textId="77777777" w:rsidR="00DA7CC0" w:rsidRPr="003E7AD2" w:rsidRDefault="00DA7CC0" w:rsidP="00DA7CC0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5A044A08" w14:textId="77777777" w:rsidR="00EE54A7" w:rsidRPr="003E7AD2" w:rsidRDefault="00DA7CC0" w:rsidP="00EE54A7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Respecto del cumplimiento de los criterios de calidad en la publicación de la información</w:t>
            </w:r>
            <w:r w:rsidR="00EE54A7" w:rsidRPr="003E7AD2">
              <w:rPr>
                <w:sz w:val="20"/>
                <w:szCs w:val="20"/>
              </w:rPr>
              <w:t>:</w:t>
            </w:r>
          </w:p>
          <w:p w14:paraId="4F346E55" w14:textId="77777777" w:rsidR="008E6385" w:rsidRPr="003E7AD2" w:rsidRDefault="00EE54A7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E7AD2">
              <w:rPr>
                <w:sz w:val="20"/>
                <w:szCs w:val="20"/>
              </w:rPr>
              <w:t>G</w:t>
            </w:r>
            <w:r w:rsidR="00DA7CC0" w:rsidRPr="003E7AD2">
              <w:rPr>
                <w:sz w:val="20"/>
                <w:szCs w:val="20"/>
              </w:rPr>
              <w:t>ran parte de la información no está datada y sigue sin publicarse la fecha en que se revisó o actualizó por última vez la información obligatoria publicada en el Portal de Transparencia o en la web de la entidad.</w:t>
            </w:r>
          </w:p>
          <w:p w14:paraId="0E7D5D8F" w14:textId="7F3C1854" w:rsidR="00FC0352" w:rsidRPr="00FC0352" w:rsidRDefault="00FC0352" w:rsidP="00FC0352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color w:val="auto"/>
                <w:sz w:val="20"/>
                <w:szCs w:val="20"/>
              </w:rPr>
            </w:pPr>
            <w:r w:rsidRPr="003E7AD2">
              <w:t>S</w:t>
            </w:r>
            <w:r w:rsidRPr="003E7AD2">
              <w:rPr>
                <w:sz w:val="20"/>
                <w:szCs w:val="20"/>
              </w:rPr>
              <w:t>e redirige al Portal de Transparencia de la</w:t>
            </w:r>
            <w:r w:rsidRPr="00FC0352">
              <w:rPr>
                <w:sz w:val="20"/>
                <w:szCs w:val="20"/>
              </w:rPr>
              <w:t xml:space="preserve"> AGE para publicar información obligatoria.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0923F26B" w:rsidR="00E34195" w:rsidRPr="005A3C4E" w:rsidRDefault="00BA5247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de relevancia jurídica. </w:t>
            </w:r>
            <w:r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1188569B" w:rsidR="00E34195" w:rsidRPr="00B42B98" w:rsidRDefault="00E34195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3236BBB" w:rsidR="00E34195" w:rsidRPr="005A3C4E" w:rsidRDefault="00BC010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Localizable, fuera del Portal de Transparencia, a través de la página home de la web/El Puerto/Misión, visión y valores. </w:t>
            </w:r>
            <w:r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B42B9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10E6F6A" w:rsidR="00560D54" w:rsidRPr="00B42B98" w:rsidRDefault="00560D54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3911DF09" w:rsidR="00560D54" w:rsidRPr="005A3C4E" w:rsidRDefault="00BC0101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Transparencia/Otra información/Registro de Actividades de Tratamiento. </w:t>
            </w:r>
            <w:r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B42B9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3F12E6C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ED73367" w:rsidR="00560D54" w:rsidRPr="005A3C4E" w:rsidRDefault="0069157E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47746D4" w:rsidR="00560D54" w:rsidRPr="005A3C4E" w:rsidRDefault="00B85683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 w:rsidR="00B42B9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planificación/Organigrama. Se publica en formato</w:t>
            </w:r>
            <w:r w:rsidRPr="00586BB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reutilizable</w:t>
            </w:r>
            <w:r w:rsidR="00B42B9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C068F1"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C068F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717E1027" w:rsidR="00560D54" w:rsidRPr="005A3C4E" w:rsidRDefault="00B85683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 w:rsidR="000504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planificación/Consejo de Administración. La información no está datada y tampoco existen referencias a la última fecha en la que se revisó o actualizó la información.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DEA8660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4DC6EB4" w:rsidR="00560D54" w:rsidRPr="005A3C4E" w:rsidRDefault="00C068F1" w:rsidP="00B8568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Parcial. E</w:t>
            </w:r>
            <w:r w:rsidR="000504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 el Portal de Transparencia/Información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económica, presupuestaria y estadística/Perfiles se publica el perfil del director, pero no del presidente. </w:t>
            </w:r>
            <w:r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7BD42ED3" w:rsidR="00560D54" w:rsidRPr="00B85683" w:rsidRDefault="00B85683" w:rsidP="00B8568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3EE54974" w:rsidR="00560D54" w:rsidRPr="00176591" w:rsidRDefault="00176591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17659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</w:t>
            </w:r>
            <w:r w:rsidRPr="0017659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hace mención al Plan Estratégico 2019-2023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</w:t>
            </w:r>
            <w:r w:rsidRPr="0017659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https://www.apmarin.com/es/paginas/plan_estrategico, sin incluir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 contenido. Dando el tiempo trascurrido y la escasa información publicada no se puede dar por cumplida esta obligación.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A2C03CD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D47E562" w:rsidR="00560D54" w:rsidRPr="005A3C4E" w:rsidRDefault="00F72800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A37BBB8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34CD403" w:rsidR="00560D54" w:rsidRPr="005A3C4E" w:rsidRDefault="003630AF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87D76E7" w14:textId="77777777" w:rsidR="00BB6FE4" w:rsidRPr="005A3C4E" w:rsidRDefault="00BB6FE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777777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4BF29A0">
                <wp:simplePos x="0" y="0"/>
                <wp:positionH relativeFrom="column">
                  <wp:posOffset>285750</wp:posOffset>
                </wp:positionH>
                <wp:positionV relativeFrom="paragraph">
                  <wp:posOffset>141605</wp:posOffset>
                </wp:positionV>
                <wp:extent cx="6353175" cy="381635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81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43ED808A" w14:textId="5071809F" w:rsidR="00231B7E" w:rsidRDefault="00BB6FE4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</w:t>
                            </w:r>
                            <w:r w:rsidR="00231B7E">
                              <w:rPr>
                                <w:bCs/>
                                <w:sz w:val="20"/>
                                <w:szCs w:val="20"/>
                              </w:rPr>
                              <w:t>la descripción de la estructura organizativa del organismo, incluyendo órganos de gobierno y de gestión.</w:t>
                            </w:r>
                          </w:p>
                          <w:p w14:paraId="2D604415" w14:textId="78D7F1A6" w:rsidR="000333DE" w:rsidRDefault="000333DE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perfil y trayectoria profesional del presidente de la AP.</w:t>
                            </w:r>
                          </w:p>
                          <w:p w14:paraId="4D0F4BF1" w14:textId="7FBCAF1A" w:rsidR="00231B7E" w:rsidRPr="00EF3627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</w:t>
                            </w:r>
                            <w:r w:rsidR="00BB6FE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los planes y programas que ordenan estratégica y operativamente las actividades del organismo.</w:t>
                            </w:r>
                          </w:p>
                          <w:p w14:paraId="5EE12C46" w14:textId="77777777" w:rsidR="00231B7E" w:rsidRPr="00BF12A0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información sobre el grado de cumplimiento y resultados de los planes y programas.</w:t>
                            </w:r>
                          </w:p>
                          <w:p w14:paraId="7F6C5D75" w14:textId="77777777" w:rsidR="00231B7E" w:rsidRPr="00BF12A0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del cumplimiento de los objetivos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siempre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 ni existen referencias a la última vez que se revisó o actualizó la información.</w:t>
                            </w:r>
                          </w:p>
                          <w:p w14:paraId="3122AFEC" w14:textId="5600F9DC" w:rsidR="001C72D3" w:rsidRPr="00231B7E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31B7E">
                              <w:rPr>
                                <w:bCs/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15pt;width:500.25pt;height:3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43ED808A" w14:textId="5071809F" w:rsidR="00231B7E" w:rsidRDefault="00BB6FE4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</w:t>
                      </w:r>
                      <w:r w:rsidR="00231B7E">
                        <w:rPr>
                          <w:bCs/>
                          <w:sz w:val="20"/>
                          <w:szCs w:val="20"/>
                        </w:rPr>
                        <w:t>la descripción de la estructura organizativa del organismo, incluyendo órganos de gobierno y de gestión.</w:t>
                      </w:r>
                    </w:p>
                    <w:p w14:paraId="2D604415" w14:textId="78D7F1A6" w:rsidR="000333DE" w:rsidRDefault="000333DE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perfil y trayectoria profesional del presidente de la AP.</w:t>
                      </w:r>
                    </w:p>
                    <w:p w14:paraId="4D0F4BF1" w14:textId="7FBCAF1A" w:rsidR="00231B7E" w:rsidRPr="00EF3627" w:rsidRDefault="00231B7E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</w:t>
                      </w:r>
                      <w:r w:rsidR="00BB6FE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los planes y programas que ordenan estratégica y operativamente las actividades del organismo.</w:t>
                      </w:r>
                    </w:p>
                    <w:p w14:paraId="5EE12C46" w14:textId="77777777" w:rsidR="00231B7E" w:rsidRPr="00BF12A0" w:rsidRDefault="00231B7E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información sobre el grado de cumplimiento y resultados de los planes y programas.</w:t>
                      </w:r>
                    </w:p>
                    <w:p w14:paraId="7F6C5D75" w14:textId="77777777" w:rsidR="00231B7E" w:rsidRPr="00BF12A0" w:rsidRDefault="00231B7E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del cumplimiento de los objetivos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FC035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siempre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 xml:space="preserve"> datada ni existen referencias a la última vez que se revisó o actualizó la información.</w:t>
                      </w:r>
                    </w:p>
                    <w:p w14:paraId="3122AFEC" w14:textId="5600F9DC" w:rsidR="001C72D3" w:rsidRPr="00231B7E" w:rsidRDefault="00231B7E" w:rsidP="00FC035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231B7E">
                        <w:rPr>
                          <w:bCs/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A7CEAD" w14:textId="39B0A5C1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D3ADF6" w14:textId="7BC58FD4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2BB392" w14:textId="5894D61C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E6C37E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A4A195" w14:textId="1B7C63BF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6F42C8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Directrices, instrucciones, acuerdos,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DAE0FFD" w:rsidR="006A2766" w:rsidRPr="000E4352" w:rsidRDefault="006A2766" w:rsidP="00436A15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6710D7CA" w:rsidR="006A2766" w:rsidRPr="005A3C4E" w:rsidRDefault="00436A15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web/Control tráfico marítimo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19D35451" w:rsidR="001E30F9" w:rsidRPr="00012FDA" w:rsidRDefault="001E30F9" w:rsidP="000E4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43C85012" w:rsidR="001E30F9" w:rsidRPr="005A3C4E" w:rsidRDefault="000E4352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de relevancia jurídica/Información pública</w:t>
            </w:r>
            <w:r w:rsidR="007F799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962725F" w14:textId="7FBEF98E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4577A1AE" w14:textId="7B73B8DC" w:rsidR="00012FDA" w:rsidRPr="0060669B" w:rsidRDefault="00012FDA" w:rsidP="00012FDA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>de relevancia jurídica</w:t>
      </w:r>
    </w:p>
    <w:p w14:paraId="198267E1" w14:textId="77777777" w:rsidR="00012FDA" w:rsidRPr="005A3C4E" w:rsidRDefault="00012FDA" w:rsidP="00012FDA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06CD4" wp14:editId="7D3925CF">
                <wp:simplePos x="0" y="0"/>
                <wp:positionH relativeFrom="column">
                  <wp:posOffset>285750</wp:posOffset>
                </wp:positionH>
                <wp:positionV relativeFrom="paragraph">
                  <wp:posOffset>135255</wp:posOffset>
                </wp:positionV>
                <wp:extent cx="6353175" cy="8382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E54A" w14:textId="77777777" w:rsidR="00012FDA" w:rsidRPr="0060669B" w:rsidRDefault="00012FDA" w:rsidP="00012FDA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59813A2" w14:textId="41BC3D9B" w:rsidR="00012FDA" w:rsidRPr="002230AE" w:rsidRDefault="00012FDA" w:rsidP="00012FD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artículo 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436A1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6CD4" id="_x0000_s1027" type="#_x0000_t202" style="position:absolute;left:0;text-align:left;margin-left:22.5pt;margin-top:10.65pt;width:500.25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">
                <v:textbox>
                  <w:txbxContent>
                    <w:p w14:paraId="37FBE54A" w14:textId="77777777" w:rsidR="00012FDA" w:rsidRPr="0060669B" w:rsidRDefault="00012FDA" w:rsidP="00012FDA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59813A2" w14:textId="41BC3D9B" w:rsidR="00012FDA" w:rsidRPr="002230AE" w:rsidRDefault="00012FDA" w:rsidP="00012FD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</w:t>
                      </w:r>
                      <w:r>
                        <w:rPr>
                          <w:sz w:val="20"/>
                          <w:szCs w:val="20"/>
                        </w:rPr>
                        <w:t>artículo 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436A1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D7EA25" w14:textId="77777777" w:rsidR="00012FDA" w:rsidRPr="005A3C4E" w:rsidRDefault="00012FDA" w:rsidP="00012FDA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83E6B41" w14:textId="77777777" w:rsidR="00012FDA" w:rsidRPr="005A3C4E" w:rsidRDefault="00012FDA" w:rsidP="00012FDA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A55FF9" w14:textId="77777777" w:rsidR="00012FDA" w:rsidRPr="005A3C4E" w:rsidRDefault="00012FDA" w:rsidP="00012FDA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D613CA" w14:textId="77777777" w:rsidR="00012FDA" w:rsidRPr="005A3C4E" w:rsidRDefault="00012FDA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01DE34D3" w:rsidR="00C33A23" w:rsidRPr="007F7992" w:rsidRDefault="00C33A23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48970AB" w:rsidR="00C33A23" w:rsidRPr="005A3C4E" w:rsidRDefault="00203CD9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</w:t>
            </w:r>
            <w:r w:rsidR="00934CD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un</w:t>
            </w:r>
            <w:r w:rsidR="00175B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enlace denominado Perfil del contratante que redirige a la PCSP, posicionando en el perfil del contratante de la AP</w:t>
            </w:r>
            <w:r w:rsidR="007F799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1DD890F" w:rsidR="00C33A23" w:rsidRPr="007F7992" w:rsidRDefault="00C33A23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256DFE2D" w:rsidR="00C33A23" w:rsidRPr="005A3C4E" w:rsidRDefault="00175BC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porcentaje en volumen presupuestario de contratos adjudicados a PYMES según tipo de contrato y según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2AAF8212" w:rsidR="00C33A23" w:rsidRPr="007F7992" w:rsidRDefault="00C33A23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23553C73" w:rsidR="00C33A23" w:rsidRPr="005A3C4E" w:rsidRDefault="00934CD5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 un enlace denominado </w:t>
            </w:r>
            <w:r w:rsidR="00436A1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Contratos menores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PCSP, posicionando en el perfil del contratante de la AP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BB41E6B" w:rsidR="00C33A23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318AFBF" w:rsidR="00C33A23" w:rsidRPr="005A3C4E" w:rsidRDefault="007612B1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D823E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nformación económica, presupuestaria y estadística/</w:t>
            </w:r>
            <w:r w:rsidR="00934CD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Relación de 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onvenios suscritos se enlaza con el Portal de Transparencia de la AGE. Este Consejo mantiene el criterio de que los organismos y entidades vinculadas o dependientes publiquen la información obligatoria en sus propias webs sin remisión al Portal AGE. Por esta razón, se ha considerado no cumplida esta obligación.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B809159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FF01C99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ECC177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AC3F564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717CD1D" w:rsidR="001C72D3" w:rsidRPr="005A3C4E" w:rsidRDefault="00934CD5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D823E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674120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618C70E8" w:rsidR="00F47C3B" w:rsidRPr="005A3C4E" w:rsidRDefault="007F7992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07248CE2" w:rsidR="00F47C3B" w:rsidRPr="001400C0" w:rsidRDefault="00F47C3B" w:rsidP="00934CD5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222AB9D" w:rsidR="00F47C3B" w:rsidRPr="005A3C4E" w:rsidRDefault="00934CD5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económica, presupuestaria y estadística/Cuentas anuales las correspondientes a 2023</w:t>
            </w:r>
            <w:r w:rsidR="000459C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F47C3B" w:rsidRPr="00F339DA" w:rsidRDefault="00F339DA" w:rsidP="00F3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6AAE89E4" w:rsidR="00F47C3B" w:rsidRPr="005A3C4E" w:rsidRDefault="00DC3EE0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Cuentas anuales se publica el último informe de la IGAE, que es un órgano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control interno, pero no los del Tribunal de Cuentas, órgano de control externo de la AGE, que es a lo que se refiere el contenido material de esta obligación.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Retribuciones anuales Altos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6AC5107" w:rsidR="00C23166" w:rsidRPr="005A3C4E" w:rsidRDefault="00DC3EE0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económica, presupuestaria y estadística/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sobre el director, sin datar, y sobre el </w:t>
            </w:r>
            <w:proofErr w:type="gramStart"/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Presidente</w:t>
            </w:r>
            <w:proofErr w:type="gramEnd"/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correspondiente a 2022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Dado el tiempo transcurrido, no puede darse por cumplida la obligación, dado que la información ha quedado obsoleta.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2DF4AA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B67AAE0" w:rsidR="00C23166" w:rsidRPr="00091D2B" w:rsidRDefault="00DA26FE" w:rsidP="00DA26F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0B09E611" w:rsidR="00C23166" w:rsidRPr="005A3C4E" w:rsidRDefault="00DA26FE" w:rsidP="00E67F6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</w:t>
            </w:r>
            <w:r w:rsidR="002044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Reconocimiento de compatibilidades se enlaza con el Portal de Transparencia de la AGE. No se puede dar por cumplida la obligación porque, a criterio de este Consejo, los organismos y entidades vinculados y dependientes deben publicar la información obligatoria en sus propias webs.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43E49AD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BD4582" w:rsidRPr="00091D2B" w:rsidRDefault="00BD4582" w:rsidP="00FC0352">
            <w:pPr>
              <w:pStyle w:val="Cuerpodelboletn"/>
              <w:numPr>
                <w:ilvl w:val="0"/>
                <w:numId w:val="8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384BD0A7" w:rsidR="00BD4582" w:rsidRPr="005A3C4E" w:rsidRDefault="00E67F66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</w:t>
            </w:r>
            <w:r w:rsidR="002044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Estadísticas del puerto y en Estadísticas de Puertos del Estado.</w:t>
            </w:r>
          </w:p>
        </w:tc>
      </w:tr>
    </w:tbl>
    <w:p w14:paraId="695030C1" w14:textId="40A1A222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7DB53EC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AECA0CF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7E73BFF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D540917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77733D8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4F571DB" w14:textId="77777777" w:rsidR="00E67F66" w:rsidRDefault="00E67F6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18E40109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1055470">
                <wp:simplePos x="0" y="0"/>
                <wp:positionH relativeFrom="margin">
                  <wp:posOffset>228600</wp:posOffset>
                </wp:positionH>
                <wp:positionV relativeFrom="paragraph">
                  <wp:posOffset>130175</wp:posOffset>
                </wp:positionV>
                <wp:extent cx="6391275" cy="530542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74DF265D" w:rsidR="00091D2B" w:rsidRDefault="007F7992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modificaciones de contratos.</w:t>
                            </w:r>
                          </w:p>
                          <w:p w14:paraId="1C5F8587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49869AB4" w14:textId="77777777" w:rsidR="00315EBF" w:rsidRPr="00154B1B" w:rsidRDefault="00315EBF" w:rsidP="00315EB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620012F3" w14:textId="61DB7385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3624F2">
                              <w:rPr>
                                <w:sz w:val="20"/>
                                <w:szCs w:val="20"/>
                              </w:rPr>
                              <w:t>accesible</w:t>
                            </w:r>
                            <w:r w:rsidR="007F79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los convenios suscritos, incluyendo todos los ítems informativos que el artículo 8.1.b de la LTAIBG establece para esta obligación.</w:t>
                            </w:r>
                          </w:p>
                          <w:p w14:paraId="37E3E7BE" w14:textId="6D0FE832" w:rsidR="00091D2B" w:rsidRPr="00145C38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5C38">
                              <w:rPr>
                                <w:sz w:val="20"/>
                                <w:szCs w:val="20"/>
                              </w:rPr>
                              <w:t xml:space="preserve">No se ha localizado sobre encomiendas </w:t>
                            </w:r>
                            <w:r w:rsidR="003624F2">
                              <w:rPr>
                                <w:sz w:val="20"/>
                                <w:szCs w:val="20"/>
                              </w:rPr>
                              <w:t>de gestión</w:t>
                            </w:r>
                            <w:r w:rsidRPr="00145C3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3E3A57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subcontrataciones.</w:t>
                            </w:r>
                          </w:p>
                          <w:p w14:paraId="1750FF0A" w14:textId="151D4DE3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concedidas por el organismo a terceros.</w:t>
                            </w:r>
                          </w:p>
                          <w:p w14:paraId="1954D789" w14:textId="4325579D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7F799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obre los presupuestos del organismo.</w:t>
                            </w:r>
                          </w:p>
                          <w:p w14:paraId="55A130C8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3A0EDDB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712FD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las retribuciones anuales de los altos cargos y máximos responsables.</w:t>
                            </w:r>
                          </w:p>
                          <w:p w14:paraId="602C5B91" w14:textId="3E766C89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y máximos responsables con ocasión del abandono del cargo.</w:t>
                            </w:r>
                          </w:p>
                          <w:p w14:paraId="602E919E" w14:textId="114FA5D2" w:rsidR="00204440" w:rsidRDefault="00204440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accesible en la web sobre resoluciones de autorización o reconocimiento de compatibilidad que afecten a los empleados.</w:t>
                            </w:r>
                          </w:p>
                          <w:p w14:paraId="4228F3EA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 en la AGE.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25pt;width:503.25pt;height:4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74DF265D" w:rsidR="00091D2B" w:rsidRDefault="007F7992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091D2B">
                        <w:rPr>
                          <w:sz w:val="20"/>
                          <w:szCs w:val="20"/>
                        </w:rPr>
                        <w:t>modificaciones de contratos.</w:t>
                      </w:r>
                    </w:p>
                    <w:p w14:paraId="1C5F8587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49869AB4" w14:textId="77777777" w:rsidR="00315EBF" w:rsidRPr="00154B1B" w:rsidRDefault="00315EBF" w:rsidP="00315EB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620012F3" w14:textId="61DB7385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3624F2">
                        <w:rPr>
                          <w:sz w:val="20"/>
                          <w:szCs w:val="20"/>
                        </w:rPr>
                        <w:t>accesible</w:t>
                      </w:r>
                      <w:r w:rsidR="007F79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sobre los convenios suscritos, incluyendo todos los ítems informativos que el artículo 8.1.b de la LTAIBG establece para esta obligación.</w:t>
                      </w:r>
                    </w:p>
                    <w:p w14:paraId="37E3E7BE" w14:textId="6D0FE832" w:rsidR="00091D2B" w:rsidRPr="00145C38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45C38">
                        <w:rPr>
                          <w:sz w:val="20"/>
                          <w:szCs w:val="20"/>
                        </w:rPr>
                        <w:t xml:space="preserve">No se ha localizado sobre encomiendas </w:t>
                      </w:r>
                      <w:r w:rsidR="003624F2">
                        <w:rPr>
                          <w:sz w:val="20"/>
                          <w:szCs w:val="20"/>
                        </w:rPr>
                        <w:t>de gestión</w:t>
                      </w:r>
                      <w:r w:rsidRPr="00145C3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D3E3A57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subcontrataciones.</w:t>
                      </w:r>
                    </w:p>
                    <w:p w14:paraId="1750FF0A" w14:textId="151D4DE3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concedidas por el organismo a terceros.</w:t>
                      </w:r>
                    </w:p>
                    <w:p w14:paraId="1954D789" w14:textId="4325579D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7F7992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obre los presupuestos del organismo.</w:t>
                      </w:r>
                    </w:p>
                    <w:p w14:paraId="55A130C8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3A0EDDB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712FD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las retribuciones anuales de los altos cargos y máximos responsables.</w:t>
                      </w:r>
                    </w:p>
                    <w:p w14:paraId="602C5B91" w14:textId="3E766C89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indemnizaciones percibidas por altos cargos y máximos responsables con ocasión del abandono del cargo.</w:t>
                      </w:r>
                    </w:p>
                    <w:p w14:paraId="602E919E" w14:textId="114FA5D2" w:rsidR="00204440" w:rsidRDefault="00204440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accesible en la web sobre resoluciones de autorización o reconocimiento de compatibilidad que afecten a los empleados.</w:t>
                      </w:r>
                    </w:p>
                    <w:p w14:paraId="4228F3EA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 en la AGE.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37145B01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F4163F" w14:textId="3FA2E9F4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7F617DF" w14:textId="77777777" w:rsidR="003624F2" w:rsidRDefault="003624F2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497EEC26" w:rsidR="00BD4582" w:rsidRPr="007A0664" w:rsidRDefault="007A0664" w:rsidP="007A06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6518DED" w:rsidR="00BD4582" w:rsidRPr="005A3C4E" w:rsidRDefault="007A0664" w:rsidP="00BD4582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774167DF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lastRenderedPageBreak/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7777777" w:rsidR="007A0664" w:rsidRDefault="007A066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publican los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7777777" w:rsidR="007A0664" w:rsidRDefault="007A066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publican los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8.3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2B80B7E6" w14:textId="587D9B59" w:rsidR="006C07B2" w:rsidRDefault="000C0C8A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6C07B2">
        <w:instrText xml:space="preserve">Excel.Sheet.12 "\\\\DSIC.ES\\sscc\\550Grupos\\ctbg-sgtbg\\14 MEMORIA\\MEMORIA 2025\\Terceras evaluaciones\\250-AP Marín\\Tercera evaluación\\250-AP Marín 2025.xlsx" Tablas!F2C1:F7C9 </w:instrText>
      </w:r>
      <w:r>
        <w:instrText xml:space="preserve">\a \f 4 \h  \* MERGEFORMAT </w:instrText>
      </w:r>
      <w:r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31"/>
        <w:gridCol w:w="726"/>
      </w:tblGrid>
      <w:tr w:rsidR="006C07B2" w:rsidRPr="006C07B2" w14:paraId="16AA246A" w14:textId="77777777" w:rsidTr="006C07B2">
        <w:trPr>
          <w:divId w:val="345641558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6E977BDA" w14:textId="7AB276B3" w:rsidR="006C07B2" w:rsidRPr="006C07B2" w:rsidRDefault="006C07B2" w:rsidP="006C0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07B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47753BB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0D3F863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EECC46E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C38A153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391E689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F45F98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A817445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35673ED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6C07B2" w:rsidRPr="006C07B2" w14:paraId="10A99264" w14:textId="77777777" w:rsidTr="006C07B2">
        <w:trPr>
          <w:divId w:val="345641558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843BDC4" w14:textId="77777777" w:rsidR="006C07B2" w:rsidRPr="006C07B2" w:rsidRDefault="006C07B2" w:rsidP="006C07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D3D813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1542DE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B3232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5772B7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D8CC7F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29DAD6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BD0E26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D48971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46,4</w:t>
            </w:r>
          </w:p>
        </w:tc>
      </w:tr>
      <w:tr w:rsidR="006C07B2" w:rsidRPr="006C07B2" w14:paraId="0FDCFBAD" w14:textId="77777777" w:rsidTr="006C07B2">
        <w:trPr>
          <w:divId w:val="345641558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461C4BE" w14:textId="77777777" w:rsidR="006C07B2" w:rsidRPr="006C07B2" w:rsidRDefault="006C07B2" w:rsidP="006C07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C592A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96E9A7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8E8A3B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59B5C1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9E690F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3123EA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3B9C14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DF7D76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6C07B2" w:rsidRPr="006C07B2" w14:paraId="3F04260B" w14:textId="77777777" w:rsidTr="006C07B2">
        <w:trPr>
          <w:divId w:val="345641558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BAFCD3A" w14:textId="4D0EBEF3" w:rsidR="006C07B2" w:rsidRPr="006C07B2" w:rsidRDefault="006C07B2" w:rsidP="006C07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</w:t>
            </w:r>
            <w:r w:rsidR="004B435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,</w:t>
            </w: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60F873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28071B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A55A8A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8F6821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9A8789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C4E92E6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664C68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8E1D3B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20,2</w:t>
            </w:r>
          </w:p>
        </w:tc>
      </w:tr>
      <w:tr w:rsidR="006C07B2" w:rsidRPr="006C07B2" w14:paraId="7A414432" w14:textId="77777777" w:rsidTr="006C07B2">
        <w:trPr>
          <w:divId w:val="345641558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D344406" w14:textId="77777777" w:rsidR="006C07B2" w:rsidRPr="006C07B2" w:rsidRDefault="006C07B2" w:rsidP="006C07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224D5A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FE7839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56E65E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D07ED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9DC328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54CE52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7BCBC6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45365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6C07B2" w:rsidRPr="006C07B2" w14:paraId="6AE7DDC5" w14:textId="77777777" w:rsidTr="006C07B2">
        <w:trPr>
          <w:divId w:val="345641558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4E227A7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1812B3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923F7C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9A4572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67189A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27C542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C72B60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D7D6C5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5715B1" w14:textId="77777777" w:rsidR="006C07B2" w:rsidRPr="006C07B2" w:rsidRDefault="006C07B2" w:rsidP="006C07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07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33,8</w:t>
            </w:r>
          </w:p>
        </w:tc>
      </w:tr>
    </w:tbl>
    <w:p w14:paraId="04698BAA" w14:textId="1BEF227C" w:rsidR="00B40246" w:rsidRDefault="000C0C8A" w:rsidP="007A0664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5B42CF1A" w:rsidR="007A0664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0C0C8A">
        <w:t>3</w:t>
      </w:r>
      <w:r w:rsidR="003624F2">
        <w:t>3,</w:t>
      </w:r>
      <w:r w:rsidR="00A3167F">
        <w:t>8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3624F2">
        <w:t xml:space="preserve">incrementa un </w:t>
      </w:r>
      <w:r w:rsidR="00A3167F">
        <w:t>2,58</w:t>
      </w:r>
      <w:r w:rsidR="003624F2">
        <w:t>%,</w:t>
      </w:r>
      <w:r w:rsidR="000C0C8A">
        <w:t xml:space="preserve"> ya que se ha aplicado una de</w:t>
      </w:r>
      <w:r w:rsidR="00521AA8">
        <w:t xml:space="preserve"> las recomendaciones derivadas de la evaluación de 2024</w:t>
      </w:r>
      <w:r>
        <w:t>.</w:t>
      </w: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31F80B6A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2E3EA8">
        <w:t xml:space="preserve">de </w:t>
      </w:r>
      <w:r w:rsidR="00021D8F">
        <w:t xml:space="preserve">la Autoridad Portuaria de </w:t>
      </w:r>
      <w:r w:rsidR="000C0C8A">
        <w:t>Marín y la Ría de Pontevedra</w:t>
      </w:r>
      <w:r w:rsidRPr="00396A23">
        <w:t xml:space="preserve">. El índice de cumplimiento alcanzado se situó en el </w:t>
      </w:r>
      <w:r w:rsidR="00021D8F">
        <w:t>3</w:t>
      </w:r>
      <w:r w:rsidR="000C0C8A">
        <w:t>3</w:t>
      </w:r>
      <w:r w:rsidRPr="00396A23">
        <w:t xml:space="preserve">% y, a partir de las evidencias obtenidas en la evaluación, este Consejo efectuó </w:t>
      </w:r>
      <w:r w:rsidR="001A3A54">
        <w:t>2</w:t>
      </w:r>
      <w:r w:rsidR="000C0C8A">
        <w:t>2</w:t>
      </w:r>
      <w:r w:rsidRPr="00396A23">
        <w:t xml:space="preserve"> recomendaciones, cuya finalidad era la mejora del cumplimiento de la LTAIBG por parte de la organización.</w:t>
      </w:r>
    </w:p>
    <w:p w14:paraId="453614C8" w14:textId="25FC9EE4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021D8F">
        <w:t xml:space="preserve">la Autoridad Portuaria de </w:t>
      </w:r>
      <w:r w:rsidR="000C0C8A">
        <w:t>Marín y la Ría de Pontevedra</w:t>
      </w:r>
      <w:r w:rsidR="00021D8F">
        <w:t xml:space="preserve"> </w:t>
      </w:r>
      <w:r w:rsidR="000C0C8A">
        <w:t>no h</w:t>
      </w:r>
      <w:r w:rsidRPr="00396A23">
        <w:t xml:space="preserve">abía aplicado </w:t>
      </w:r>
      <w:r w:rsidR="000C0C8A">
        <w:t>ning</w:t>
      </w:r>
      <w:r w:rsidR="00E16E35">
        <w:t>una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B14926">
        <w:t xml:space="preserve"> y que había habido que revisar a la baja otra cumplida en ese año</w:t>
      </w:r>
      <w:r w:rsidRPr="00396A23">
        <w:t xml:space="preserve">, lo que se tradujo en un </w:t>
      </w:r>
      <w:r w:rsidR="00E16E35">
        <w:t>de</w:t>
      </w:r>
      <w:r w:rsidRPr="00396A23">
        <w:t xml:space="preserve">cremento de su Índice de Cumplimiento en </w:t>
      </w:r>
      <w:r w:rsidR="000C0C8A">
        <w:t>2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B14926">
        <w:t>31</w:t>
      </w:r>
      <w:r w:rsidRPr="00396A23">
        <w:t>%.</w:t>
      </w:r>
    </w:p>
    <w:p w14:paraId="46C8227C" w14:textId="0865676E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1A3A54">
        <w:t xml:space="preserve">de </w:t>
      </w:r>
      <w:r w:rsidR="007D1FDC">
        <w:t xml:space="preserve">la </w:t>
      </w:r>
      <w:r w:rsidR="00B14926">
        <w:t>Autoridad Portuaria de Marín y la Ría de Pontevedra</w:t>
      </w:r>
      <w:r w:rsidR="00B14926" w:rsidRPr="00396A23">
        <w:t xml:space="preserve"> </w:t>
      </w:r>
      <w:r w:rsidRPr="00396A23">
        <w:t xml:space="preserve">era insuficiente, se decidió por parte de este CTBG incluir </w:t>
      </w:r>
      <w:r w:rsidR="001A3A54">
        <w:t xml:space="preserve">a </w:t>
      </w:r>
      <w:r w:rsidR="007D1FDC">
        <w:t xml:space="preserve">la </w:t>
      </w:r>
      <w:r w:rsidR="00B14926">
        <w:t xml:space="preserve">Autoridad Portuaria de </w:t>
      </w:r>
      <w:r w:rsidR="00B14926">
        <w:lastRenderedPageBreak/>
        <w:t>Marín y la Ría de Pontevedra</w:t>
      </w:r>
      <w:r w:rsidR="001A3A54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59BA3613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7D1FDC">
        <w:t xml:space="preserve">la </w:t>
      </w:r>
      <w:r w:rsidR="00B14926">
        <w:t>Autoridad Portuaria de Marín y la Ría de Pontevedra</w:t>
      </w:r>
      <w:r w:rsidR="003624F2">
        <w:t xml:space="preserve"> ha incrementado en 2,</w:t>
      </w:r>
      <w:r w:rsidR="00A3167F">
        <w:t>8</w:t>
      </w:r>
      <w:r w:rsidR="003624F2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B14926">
        <w:t xml:space="preserve"> </w:t>
      </w:r>
      <w:r w:rsidRPr="00396A23">
        <w:t xml:space="preserve">se ha aplicado </w:t>
      </w:r>
      <w:r w:rsidR="00E16E35">
        <w:t>una</w:t>
      </w:r>
      <w:r w:rsidRPr="00396A23">
        <w:t xml:space="preserve"> de las recomendaciones derivadas de la evaluación realizada en ese año. </w:t>
      </w:r>
    </w:p>
    <w:p w14:paraId="34D393A8" w14:textId="2BDE511B" w:rsidR="006C07B2" w:rsidRPr="00396A23" w:rsidRDefault="006C07B2" w:rsidP="00521AA8">
      <w:pPr>
        <w:spacing w:before="120" w:after="120"/>
        <w:ind w:left="284"/>
        <w:jc w:val="both"/>
      </w:pPr>
      <w:r w:rsidRPr="006C07B2">
        <w:t xml:space="preserve">Por todo lo que antecede, y tras la realización de tres evaluaciones </w:t>
      </w:r>
      <w:r>
        <w:t>en las que la progresión no ha sido la esperada</w:t>
      </w:r>
      <w:r w:rsidRPr="006C07B2">
        <w:t xml:space="preserve">, este Consejo considera necesario que, para lograr el pleno cumplimiento de las obligaciones establecidas en la LTAIBG, </w:t>
      </w:r>
      <w:r>
        <w:t>la Autoridad Portuaria de Marín y la Ría de Pontevedra</w:t>
      </w:r>
      <w:r w:rsidRPr="00396A23">
        <w:t xml:space="preserve"> </w:t>
      </w:r>
      <w:r w:rsidRPr="006C07B2">
        <w:t>proceda a la subsanación de los siguientes incumplimientos en los términos que se establecen a continuación:</w:t>
      </w:r>
    </w:p>
    <w:p w14:paraId="313D98CE" w14:textId="0C1C2A3C" w:rsidR="004A4F6E" w:rsidRPr="004A4F6E" w:rsidRDefault="004A4F6E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toda la información sujeta a obligación en el Portal de Transparencia.</w:t>
      </w:r>
    </w:p>
    <w:p w14:paraId="3C2A1974" w14:textId="2F8CFE97" w:rsidR="00E16E35" w:rsidRDefault="007A0664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 w:rsidRPr="00E16E35">
        <w:t xml:space="preserve">Publicar </w:t>
      </w:r>
      <w:r w:rsidR="00E16E35" w:rsidRPr="00E16E35">
        <w:rPr>
          <w:bCs/>
        </w:rPr>
        <w:t>la descripción de la estructura organizativa del organismo, incluyendo órganos de gobierno y de gestión.</w:t>
      </w:r>
    </w:p>
    <w:p w14:paraId="4F0FA293" w14:textId="2FEA703F" w:rsidR="004A4F6E" w:rsidRDefault="004A4F6E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 el perfil y trayectoria del </w:t>
      </w:r>
      <w:proofErr w:type="gramStart"/>
      <w:r>
        <w:rPr>
          <w:bCs/>
        </w:rPr>
        <w:t>Presidente</w:t>
      </w:r>
      <w:proofErr w:type="gramEnd"/>
      <w:r>
        <w:rPr>
          <w:bCs/>
        </w:rPr>
        <w:t xml:space="preserve"> de la AP.</w:t>
      </w:r>
    </w:p>
    <w:p w14:paraId="066CE2FC" w14:textId="5D76596B" w:rsidR="00E16E35" w:rsidRPr="00E16E35" w:rsidRDefault="00E16E35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Publicar, </w:t>
      </w:r>
      <w:r w:rsidRPr="00E16E35">
        <w:rPr>
          <w:bCs/>
        </w:rPr>
        <w:t xml:space="preserve">de forma </w:t>
      </w:r>
      <w:r w:rsidR="001A3A54">
        <w:rPr>
          <w:bCs/>
        </w:rPr>
        <w:t>accesible</w:t>
      </w:r>
      <w:r w:rsidRPr="00E16E35">
        <w:rPr>
          <w:bCs/>
        </w:rPr>
        <w:t>, los planes y programas que ordenan estratégica y operativamente las actividades del organismo.</w:t>
      </w:r>
    </w:p>
    <w:p w14:paraId="1A4C8C28" w14:textId="678B4C27" w:rsidR="00E16E35" w:rsidRPr="00E16E35" w:rsidRDefault="00E16E35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 w:rsidRPr="00E16E35">
        <w:rPr>
          <w:bCs/>
        </w:rPr>
        <w:t>Publicar el grado de cumplimiento y resultados de los planes y programas.</w:t>
      </w:r>
    </w:p>
    <w:p w14:paraId="7897835C" w14:textId="7D314C57" w:rsidR="007A0664" w:rsidRPr="00B14926" w:rsidRDefault="00E16E35" w:rsidP="00FC0352">
      <w:pPr>
        <w:pStyle w:val="Prrafodelista"/>
        <w:numPr>
          <w:ilvl w:val="0"/>
          <w:numId w:val="7"/>
        </w:numPr>
        <w:jc w:val="both"/>
      </w:pPr>
      <w:r w:rsidRPr="00E16E35">
        <w:rPr>
          <w:bCs/>
        </w:rPr>
        <w:t>Publicar los indicadores de medida y valoración del cumplimiento de los objetivos de los planes y programas.</w:t>
      </w:r>
    </w:p>
    <w:p w14:paraId="61CF549F" w14:textId="38E02B29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69EE3DBD" w14:textId="74B726B3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21285BE6" w14:textId="77777777" w:rsidR="00CF639D" w:rsidRDefault="00CF639D" w:rsidP="00CF639D">
      <w:pPr>
        <w:pStyle w:val="Prrafodelista"/>
        <w:numPr>
          <w:ilvl w:val="0"/>
          <w:numId w:val="7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28ED3314" w14:textId="4C69F8FF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</w:t>
      </w:r>
      <w:r w:rsidR="003624F2">
        <w:t xml:space="preserve">accesible </w:t>
      </w:r>
      <w:r w:rsidRPr="00E16E35">
        <w:t>sobre los convenios suscritos, incluyendo todos los ítems informativos que el artículo 8.1.b de la LTAIBG establece para esta obligación.</w:t>
      </w:r>
    </w:p>
    <w:p w14:paraId="2ECD4488" w14:textId="5DBD1E8F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 información</w:t>
      </w:r>
      <w:r w:rsidRPr="00E16E35">
        <w:t xml:space="preserve"> sobre encomiendas </w:t>
      </w:r>
      <w:r w:rsidR="003624F2">
        <w:t>de gestión</w:t>
      </w:r>
      <w:r w:rsidRPr="00E16E35">
        <w:t>.</w:t>
      </w:r>
    </w:p>
    <w:p w14:paraId="13CAED13" w14:textId="258766CC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 xml:space="preserve">Publicar </w:t>
      </w:r>
      <w:r w:rsidRPr="00E16E35">
        <w:t>información sobre subcontrataciones.</w:t>
      </w:r>
    </w:p>
    <w:p w14:paraId="6AF5B94F" w14:textId="54DBC0CA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subvenciones concedidas por el organismo a terceros.</w:t>
      </w:r>
    </w:p>
    <w:p w14:paraId="6FD2E982" w14:textId="3BECA9E8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actualizada sobre los presupuestos del organismo.</w:t>
      </w:r>
    </w:p>
    <w:p w14:paraId="1E6B9482" w14:textId="125531E6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742BBCEB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</w:t>
      </w:r>
      <w:r w:rsidR="007D1FDC">
        <w:t xml:space="preserve">actualizada </w:t>
      </w:r>
      <w:r w:rsidRPr="00E16E35">
        <w:t>sobre las retribuciones anuales de los altos cargos y máximos responsables.</w:t>
      </w:r>
    </w:p>
    <w:p w14:paraId="79AF3ACE" w14:textId="12709337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03CC5277" w14:textId="57D79A5F" w:rsidR="00B14926" w:rsidRPr="00E16E35" w:rsidRDefault="00B14926" w:rsidP="00FC0352">
      <w:pPr>
        <w:pStyle w:val="Prrafodelista"/>
        <w:numPr>
          <w:ilvl w:val="0"/>
          <w:numId w:val="7"/>
        </w:numPr>
        <w:jc w:val="both"/>
      </w:pPr>
      <w:r>
        <w:t>Publicar las resoluciones de autorización o reconocimiento de compatibilidad que afecten a los empleados.</w:t>
      </w:r>
    </w:p>
    <w:p w14:paraId="2C8A3247" w14:textId="14CE43F5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autorizaciones para actividad privada al cese de altos cargos en la AGE.</w:t>
      </w:r>
    </w:p>
    <w:p w14:paraId="002AF39D" w14:textId="7F1951B3" w:rsidR="001A3A54" w:rsidRDefault="001A3A54" w:rsidP="00FC0352">
      <w:pPr>
        <w:pStyle w:val="Prrafodelista"/>
        <w:numPr>
          <w:ilvl w:val="0"/>
          <w:numId w:val="7"/>
        </w:numPr>
        <w:jc w:val="both"/>
      </w:pPr>
      <w:r>
        <w:t>Publicar la relación de los bienes inmuebles que sean propiedad del organismo o sobre los que ostente algún derecho real.</w:t>
      </w:r>
    </w:p>
    <w:p w14:paraId="2E1CB905" w14:textId="4FE0EF09" w:rsidR="00082566" w:rsidRDefault="00082566" w:rsidP="00FC0352">
      <w:pPr>
        <w:pStyle w:val="Prrafodelista"/>
        <w:numPr>
          <w:ilvl w:val="0"/>
          <w:numId w:val="7"/>
        </w:numPr>
        <w:jc w:val="both"/>
      </w:pPr>
      <w:r>
        <w:lastRenderedPageBreak/>
        <w:t>Datar y/o actualizar la información sujeta a obligación.</w:t>
      </w:r>
    </w:p>
    <w:p w14:paraId="033F176C" w14:textId="1DEBFF1E" w:rsidR="004A4F6E" w:rsidRPr="00E16E35" w:rsidRDefault="004A4F6E" w:rsidP="00FC0352">
      <w:pPr>
        <w:pStyle w:val="Prrafodelista"/>
        <w:numPr>
          <w:ilvl w:val="0"/>
          <w:numId w:val="7"/>
        </w:numPr>
        <w:jc w:val="both"/>
      </w:pPr>
      <w:r>
        <w:t>No redirigir al Portal de Transparencia de la AGE para publicar información obligatoria.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0E977976" w:rsidR="007A0664" w:rsidRPr="005A3C4E" w:rsidRDefault="007A0664" w:rsidP="006E5609">
      <w:pPr>
        <w:ind w:left="6372" w:firstLine="708"/>
        <w:jc w:val="right"/>
      </w:pPr>
      <w:r w:rsidRPr="005A3C4E">
        <w:t xml:space="preserve">Madrid, </w:t>
      </w:r>
      <w:r w:rsidR="006E5609">
        <w:t>noviembre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6E5609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5F0F8D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663719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659EEF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A547D9B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A92"/>
    <w:multiLevelType w:val="hybridMultilevel"/>
    <w:tmpl w:val="E282424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21D8F"/>
    <w:rsid w:val="000262A3"/>
    <w:rsid w:val="00027D55"/>
    <w:rsid w:val="000333DE"/>
    <w:rsid w:val="000459CC"/>
    <w:rsid w:val="000504F6"/>
    <w:rsid w:val="00055544"/>
    <w:rsid w:val="000807E2"/>
    <w:rsid w:val="00082566"/>
    <w:rsid w:val="00091D2B"/>
    <w:rsid w:val="000965B3"/>
    <w:rsid w:val="000B0FBA"/>
    <w:rsid w:val="000C0C8A"/>
    <w:rsid w:val="000C6CFF"/>
    <w:rsid w:val="000D37BA"/>
    <w:rsid w:val="000E4352"/>
    <w:rsid w:val="000E62B9"/>
    <w:rsid w:val="000F2417"/>
    <w:rsid w:val="00102733"/>
    <w:rsid w:val="00102EC4"/>
    <w:rsid w:val="0011279F"/>
    <w:rsid w:val="001400C0"/>
    <w:rsid w:val="001561A4"/>
    <w:rsid w:val="00156A51"/>
    <w:rsid w:val="00175BCB"/>
    <w:rsid w:val="00176591"/>
    <w:rsid w:val="00186FE9"/>
    <w:rsid w:val="00194552"/>
    <w:rsid w:val="001A17D1"/>
    <w:rsid w:val="001A3A54"/>
    <w:rsid w:val="001C72D3"/>
    <w:rsid w:val="001D0329"/>
    <w:rsid w:val="001E30F9"/>
    <w:rsid w:val="001F1FD6"/>
    <w:rsid w:val="00203CD9"/>
    <w:rsid w:val="00204440"/>
    <w:rsid w:val="00206263"/>
    <w:rsid w:val="0021059E"/>
    <w:rsid w:val="00231B7E"/>
    <w:rsid w:val="00235095"/>
    <w:rsid w:val="002562C9"/>
    <w:rsid w:val="00280DE8"/>
    <w:rsid w:val="00285021"/>
    <w:rsid w:val="002A154B"/>
    <w:rsid w:val="002D04DC"/>
    <w:rsid w:val="002D51FC"/>
    <w:rsid w:val="002E3EA8"/>
    <w:rsid w:val="002E6466"/>
    <w:rsid w:val="002F2850"/>
    <w:rsid w:val="00315EBF"/>
    <w:rsid w:val="00353A72"/>
    <w:rsid w:val="003624F2"/>
    <w:rsid w:val="003630AF"/>
    <w:rsid w:val="00374113"/>
    <w:rsid w:val="00384A99"/>
    <w:rsid w:val="003B1B0D"/>
    <w:rsid w:val="003B4274"/>
    <w:rsid w:val="003B7F67"/>
    <w:rsid w:val="003D3F6C"/>
    <w:rsid w:val="003E3018"/>
    <w:rsid w:val="003E7AD2"/>
    <w:rsid w:val="003F271E"/>
    <w:rsid w:val="003F572A"/>
    <w:rsid w:val="00421CCF"/>
    <w:rsid w:val="00436A15"/>
    <w:rsid w:val="00442DDF"/>
    <w:rsid w:val="00466D7A"/>
    <w:rsid w:val="004A4F6E"/>
    <w:rsid w:val="004B4350"/>
    <w:rsid w:val="004F2655"/>
    <w:rsid w:val="00521AA8"/>
    <w:rsid w:val="00521DA9"/>
    <w:rsid w:val="00524341"/>
    <w:rsid w:val="005260B7"/>
    <w:rsid w:val="005366E7"/>
    <w:rsid w:val="00544E0C"/>
    <w:rsid w:val="00547DC2"/>
    <w:rsid w:val="00560D54"/>
    <w:rsid w:val="00561402"/>
    <w:rsid w:val="0057532F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15BE4"/>
    <w:rsid w:val="006439A2"/>
    <w:rsid w:val="00647F81"/>
    <w:rsid w:val="00671D67"/>
    <w:rsid w:val="0069157E"/>
    <w:rsid w:val="006963A9"/>
    <w:rsid w:val="006A16DF"/>
    <w:rsid w:val="006A2766"/>
    <w:rsid w:val="006A760C"/>
    <w:rsid w:val="006C07B2"/>
    <w:rsid w:val="006D1122"/>
    <w:rsid w:val="006E5609"/>
    <w:rsid w:val="006E5667"/>
    <w:rsid w:val="00710031"/>
    <w:rsid w:val="00715014"/>
    <w:rsid w:val="00716924"/>
    <w:rsid w:val="00716F29"/>
    <w:rsid w:val="00717477"/>
    <w:rsid w:val="00743756"/>
    <w:rsid w:val="007612B1"/>
    <w:rsid w:val="007615B6"/>
    <w:rsid w:val="00783F7C"/>
    <w:rsid w:val="007A0664"/>
    <w:rsid w:val="007B0F99"/>
    <w:rsid w:val="007C01FD"/>
    <w:rsid w:val="007D1FDC"/>
    <w:rsid w:val="007F7992"/>
    <w:rsid w:val="00817B66"/>
    <w:rsid w:val="00827ABE"/>
    <w:rsid w:val="00840B55"/>
    <w:rsid w:val="00844FA9"/>
    <w:rsid w:val="00870A89"/>
    <w:rsid w:val="008831F3"/>
    <w:rsid w:val="008C1E1E"/>
    <w:rsid w:val="008D783F"/>
    <w:rsid w:val="008E6385"/>
    <w:rsid w:val="00912C2E"/>
    <w:rsid w:val="009150B8"/>
    <w:rsid w:val="00915FD7"/>
    <w:rsid w:val="00923F05"/>
    <w:rsid w:val="0092723A"/>
    <w:rsid w:val="00932008"/>
    <w:rsid w:val="00934CD5"/>
    <w:rsid w:val="009609E9"/>
    <w:rsid w:val="00980F65"/>
    <w:rsid w:val="0098555C"/>
    <w:rsid w:val="00987818"/>
    <w:rsid w:val="009A5239"/>
    <w:rsid w:val="009A7780"/>
    <w:rsid w:val="009D75BF"/>
    <w:rsid w:val="00A20D73"/>
    <w:rsid w:val="00A3167F"/>
    <w:rsid w:val="00A3359D"/>
    <w:rsid w:val="00A442CF"/>
    <w:rsid w:val="00A608E2"/>
    <w:rsid w:val="00A712FD"/>
    <w:rsid w:val="00A97F0A"/>
    <w:rsid w:val="00AA3642"/>
    <w:rsid w:val="00AD2022"/>
    <w:rsid w:val="00AE3317"/>
    <w:rsid w:val="00AF0A48"/>
    <w:rsid w:val="00B14926"/>
    <w:rsid w:val="00B15FC1"/>
    <w:rsid w:val="00B2173B"/>
    <w:rsid w:val="00B266D1"/>
    <w:rsid w:val="00B32D40"/>
    <w:rsid w:val="00B40246"/>
    <w:rsid w:val="00B42B98"/>
    <w:rsid w:val="00B841AE"/>
    <w:rsid w:val="00B85683"/>
    <w:rsid w:val="00BA2751"/>
    <w:rsid w:val="00BA5247"/>
    <w:rsid w:val="00BB6799"/>
    <w:rsid w:val="00BB6FE4"/>
    <w:rsid w:val="00BC0101"/>
    <w:rsid w:val="00BC15C1"/>
    <w:rsid w:val="00BC72D4"/>
    <w:rsid w:val="00BD4582"/>
    <w:rsid w:val="00BE18B0"/>
    <w:rsid w:val="00BE6A46"/>
    <w:rsid w:val="00C068F1"/>
    <w:rsid w:val="00C1491D"/>
    <w:rsid w:val="00C23166"/>
    <w:rsid w:val="00C2466C"/>
    <w:rsid w:val="00C33225"/>
    <w:rsid w:val="00C33A23"/>
    <w:rsid w:val="00C5744D"/>
    <w:rsid w:val="00C65B5B"/>
    <w:rsid w:val="00C6710B"/>
    <w:rsid w:val="00CA4FB1"/>
    <w:rsid w:val="00CB4BF4"/>
    <w:rsid w:val="00CB5511"/>
    <w:rsid w:val="00CC2049"/>
    <w:rsid w:val="00CC5B4F"/>
    <w:rsid w:val="00CF448F"/>
    <w:rsid w:val="00CF639D"/>
    <w:rsid w:val="00D17380"/>
    <w:rsid w:val="00D221AE"/>
    <w:rsid w:val="00D2408D"/>
    <w:rsid w:val="00D374C0"/>
    <w:rsid w:val="00D37742"/>
    <w:rsid w:val="00D42966"/>
    <w:rsid w:val="00D61A4E"/>
    <w:rsid w:val="00D823EF"/>
    <w:rsid w:val="00D96F84"/>
    <w:rsid w:val="00DA0204"/>
    <w:rsid w:val="00DA26FE"/>
    <w:rsid w:val="00DA76E7"/>
    <w:rsid w:val="00DA7CC0"/>
    <w:rsid w:val="00DB3548"/>
    <w:rsid w:val="00DB63F1"/>
    <w:rsid w:val="00DB677C"/>
    <w:rsid w:val="00DC3EE0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67F66"/>
    <w:rsid w:val="00E738BE"/>
    <w:rsid w:val="00EB169A"/>
    <w:rsid w:val="00EB51D7"/>
    <w:rsid w:val="00EC3099"/>
    <w:rsid w:val="00EC5A86"/>
    <w:rsid w:val="00ED006B"/>
    <w:rsid w:val="00EE1A7C"/>
    <w:rsid w:val="00EE54A7"/>
    <w:rsid w:val="00EF1002"/>
    <w:rsid w:val="00F072CD"/>
    <w:rsid w:val="00F14DA4"/>
    <w:rsid w:val="00F21D28"/>
    <w:rsid w:val="00F22752"/>
    <w:rsid w:val="00F22B6F"/>
    <w:rsid w:val="00F339DA"/>
    <w:rsid w:val="00F47C3B"/>
    <w:rsid w:val="00F66BBF"/>
    <w:rsid w:val="00F71D7D"/>
    <w:rsid w:val="00F72800"/>
    <w:rsid w:val="00FA460D"/>
    <w:rsid w:val="00FB0FE2"/>
    <w:rsid w:val="00FB32EE"/>
    <w:rsid w:val="00FC0352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pmarin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B4184"/>
    <w:rsid w:val="0013771E"/>
    <w:rsid w:val="001E1683"/>
    <w:rsid w:val="002573DD"/>
    <w:rsid w:val="003D088C"/>
    <w:rsid w:val="00447F79"/>
    <w:rsid w:val="004809D8"/>
    <w:rsid w:val="004D543B"/>
    <w:rsid w:val="004F291A"/>
    <w:rsid w:val="00561A16"/>
    <w:rsid w:val="00617EB2"/>
    <w:rsid w:val="00630722"/>
    <w:rsid w:val="0071449A"/>
    <w:rsid w:val="007728A6"/>
    <w:rsid w:val="008B6C28"/>
    <w:rsid w:val="009B1029"/>
    <w:rsid w:val="009C534F"/>
    <w:rsid w:val="00A324F5"/>
    <w:rsid w:val="00A72712"/>
    <w:rsid w:val="00AC72EB"/>
    <w:rsid w:val="00B35D83"/>
    <w:rsid w:val="00B71197"/>
    <w:rsid w:val="00BB5CE9"/>
    <w:rsid w:val="00C55F34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</TotalTime>
  <Pages>14</Pages>
  <Words>3199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3</cp:revision>
  <cp:lastPrinted>2024-10-21T09:52:00Z</cp:lastPrinted>
  <dcterms:created xsi:type="dcterms:W3CDTF">2025-11-06T13:28:00Z</dcterms:created>
  <dcterms:modified xsi:type="dcterms:W3CDTF">2025-11-06T13:31:00Z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