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66C07384" w:rsidR="005A4950" w:rsidRPr="00015E91" w:rsidRDefault="00D2373E" w:rsidP="00D24172">
      <w:pPr>
        <w:pStyle w:val="Ttulo1"/>
        <w:spacing w:before="120" w:after="120"/>
        <w:jc w:val="both"/>
        <w:rPr>
          <w:rFonts w:ascii="Mulish" w:hAnsi="Mulish"/>
          <w:color w:val="079386"/>
          <w:sz w:val="22"/>
          <w:szCs w:val="22"/>
        </w:rPr>
      </w:pPr>
      <w:r w:rsidRPr="00015E91">
        <w:rPr>
          <w:rFonts w:ascii="Mulish" w:hAnsi="Mulish"/>
          <w:color w:val="079386"/>
          <w:sz w:val="22"/>
          <w:szCs w:val="22"/>
        </w:rPr>
        <w:t>INFORME RELATIVO A LAS OBSERVACIONES REMITIDAS POR</w:t>
      </w:r>
      <w:r w:rsidR="004557A3" w:rsidRPr="00015E91">
        <w:rPr>
          <w:rFonts w:ascii="Mulish" w:hAnsi="Mulish"/>
          <w:color w:val="079386"/>
          <w:sz w:val="22"/>
          <w:szCs w:val="22"/>
        </w:rPr>
        <w:t xml:space="preserve"> </w:t>
      </w:r>
      <w:r w:rsidR="004557A3" w:rsidRPr="004557A3">
        <w:rPr>
          <w:rFonts w:ascii="Mulish" w:hAnsi="Mulish"/>
          <w:color w:val="079386"/>
          <w:sz w:val="22"/>
          <w:szCs w:val="22"/>
        </w:rPr>
        <w:t xml:space="preserve">AUTORIDAD PORTUARIA DE MARÍN Y LA RÍA DE PONTEVEDRA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015E91" w:rsidRDefault="006F17B5" w:rsidP="00D24172">
      <w:pPr>
        <w:spacing w:before="120" w:after="120"/>
        <w:jc w:val="center"/>
        <w:rPr>
          <w:rFonts w:ascii="Mulish" w:hAnsi="Mulish" w:cstheme="minorHAnsi"/>
          <w:sz w:val="22"/>
        </w:rPr>
      </w:pPr>
    </w:p>
    <w:p w14:paraId="62ABF56A" w14:textId="3A014F24" w:rsidR="00D23111" w:rsidRPr="00015E91" w:rsidRDefault="00D23111" w:rsidP="00D24172">
      <w:pPr>
        <w:tabs>
          <w:tab w:val="left" w:pos="284"/>
        </w:tabs>
        <w:spacing w:before="120" w:after="120"/>
        <w:jc w:val="both"/>
        <w:rPr>
          <w:rFonts w:ascii="Mulish" w:hAnsi="Mulish" w:cstheme="minorHAnsi"/>
          <w:sz w:val="22"/>
        </w:rPr>
      </w:pPr>
      <w:r w:rsidRPr="00015E91">
        <w:rPr>
          <w:rFonts w:ascii="Mulish" w:hAnsi="Mulish" w:cstheme="minorHAnsi"/>
          <w:sz w:val="22"/>
        </w:rPr>
        <w:t>En contestación a su</w:t>
      </w:r>
      <w:r w:rsidR="00C25FA5" w:rsidRPr="00015E91">
        <w:rPr>
          <w:rFonts w:ascii="Mulish" w:hAnsi="Mulish" w:cstheme="minorHAnsi"/>
          <w:sz w:val="22"/>
        </w:rPr>
        <w:t xml:space="preserve"> escrito </w:t>
      </w:r>
      <w:r w:rsidR="00565608" w:rsidRPr="00015E91">
        <w:rPr>
          <w:rFonts w:ascii="Mulish" w:hAnsi="Mulish" w:cstheme="minorHAnsi"/>
          <w:sz w:val="22"/>
        </w:rPr>
        <w:t xml:space="preserve">de fecha </w:t>
      </w:r>
      <w:r w:rsidR="00C40540">
        <w:rPr>
          <w:rFonts w:ascii="Mulish" w:hAnsi="Mulish" w:cstheme="minorHAnsi"/>
          <w:sz w:val="22"/>
        </w:rPr>
        <w:t>27</w:t>
      </w:r>
      <w:r w:rsidR="00F04FD8" w:rsidRPr="00015E91">
        <w:rPr>
          <w:rFonts w:ascii="Mulish" w:hAnsi="Mulish" w:cstheme="minorHAnsi"/>
          <w:sz w:val="22"/>
        </w:rPr>
        <w:t xml:space="preserve"> </w:t>
      </w:r>
      <w:r w:rsidRPr="00015E91">
        <w:rPr>
          <w:rFonts w:ascii="Mulish" w:hAnsi="Mulish" w:cstheme="minorHAnsi"/>
          <w:sz w:val="22"/>
        </w:rPr>
        <w:t xml:space="preserve">de </w:t>
      </w:r>
      <w:r w:rsidR="00D2373E">
        <w:rPr>
          <w:rFonts w:ascii="Mulish" w:hAnsi="Mulish" w:cstheme="minorHAnsi"/>
          <w:sz w:val="22"/>
        </w:rPr>
        <w:t>octubre</w:t>
      </w:r>
      <w:r w:rsidR="00AB0220" w:rsidRPr="00015E91">
        <w:rPr>
          <w:rFonts w:ascii="Mulish" w:hAnsi="Mulish" w:cstheme="minorHAnsi"/>
          <w:sz w:val="22"/>
        </w:rPr>
        <w:t xml:space="preserve"> </w:t>
      </w:r>
      <w:r w:rsidRPr="00015E91">
        <w:rPr>
          <w:rFonts w:ascii="Mulish" w:hAnsi="Mulish" w:cstheme="minorHAnsi"/>
          <w:sz w:val="22"/>
        </w:rPr>
        <w:t>de 202</w:t>
      </w:r>
      <w:r w:rsidR="00AB0220" w:rsidRPr="00015E91">
        <w:rPr>
          <w:rFonts w:ascii="Mulish" w:hAnsi="Mulish" w:cstheme="minorHAnsi"/>
          <w:sz w:val="22"/>
        </w:rPr>
        <w:t>5</w:t>
      </w:r>
      <w:r w:rsidR="00C119CE" w:rsidRPr="00015E91">
        <w:rPr>
          <w:rFonts w:ascii="Mulish" w:hAnsi="Mulish" w:cstheme="minorHAnsi"/>
          <w:sz w:val="22"/>
        </w:rPr>
        <w:t>,</w:t>
      </w:r>
      <w:r w:rsidR="005B1C12" w:rsidRPr="00015E91">
        <w:rPr>
          <w:rFonts w:ascii="Mulish" w:hAnsi="Mulish" w:cstheme="minorHAnsi"/>
          <w:sz w:val="22"/>
        </w:rPr>
        <w:t xml:space="preserve"> </w:t>
      </w:r>
      <w:r w:rsidRPr="00015E91">
        <w:rPr>
          <w:rFonts w:ascii="Mulish" w:hAnsi="Mulish" w:cstheme="minorHAnsi"/>
          <w:sz w:val="22"/>
        </w:rPr>
        <w:t xml:space="preserve">una vez analizadas las observaciones realizadas al borrador de informe de evaluación </w:t>
      </w:r>
      <w:r w:rsidR="00B81EE6" w:rsidRPr="00015E91">
        <w:rPr>
          <w:rFonts w:ascii="Mulish" w:hAnsi="Mulish" w:cstheme="minorHAnsi"/>
          <w:sz w:val="22"/>
        </w:rPr>
        <w:t xml:space="preserve">relativo al </w:t>
      </w:r>
      <w:r w:rsidRPr="00015E91">
        <w:rPr>
          <w:rFonts w:ascii="Mulish" w:hAnsi="Mulish" w:cstheme="minorHAnsi"/>
          <w:sz w:val="22"/>
        </w:rPr>
        <w:t>cumplimiento de las obligaciones de publicidad activa por parte de es</w:t>
      </w:r>
      <w:r w:rsidR="00090FD2">
        <w:rPr>
          <w:rFonts w:ascii="Mulish" w:hAnsi="Mulish" w:cstheme="minorHAnsi"/>
          <w:sz w:val="22"/>
        </w:rPr>
        <w:t>a</w:t>
      </w:r>
      <w:r w:rsidRPr="00015E91">
        <w:rPr>
          <w:rFonts w:ascii="Mulish" w:hAnsi="Mulish" w:cstheme="minorHAnsi"/>
          <w:sz w:val="22"/>
        </w:rPr>
        <w:t xml:space="preserve"> </w:t>
      </w:r>
      <w:r w:rsidR="00090FD2">
        <w:rPr>
          <w:rFonts w:ascii="Mulish" w:hAnsi="Mulish" w:cstheme="minorHAnsi"/>
          <w:sz w:val="22"/>
        </w:rPr>
        <w:t>entidad</w:t>
      </w:r>
      <w:r w:rsidRPr="00015E91">
        <w:rPr>
          <w:rFonts w:ascii="Mulish" w:hAnsi="Mulish" w:cstheme="minorHAnsi"/>
          <w:sz w:val="22"/>
        </w:rPr>
        <w:t xml:space="preserve">, este </w:t>
      </w:r>
      <w:r w:rsidR="006B2789" w:rsidRPr="00015E91">
        <w:rPr>
          <w:rFonts w:ascii="Mulish" w:hAnsi="Mulish" w:cstheme="minorHAnsi"/>
          <w:sz w:val="22"/>
        </w:rPr>
        <w:t>Consejo</w:t>
      </w:r>
      <w:r w:rsidRPr="00015E91">
        <w:rPr>
          <w:rFonts w:ascii="Mulish" w:hAnsi="Mulish" w:cstheme="minorHAnsi"/>
          <w:sz w:val="22"/>
        </w:rPr>
        <w:t xml:space="preserve"> efectúa las siguientes consideraciones:</w:t>
      </w:r>
    </w:p>
    <w:p w14:paraId="6C3A0FFB" w14:textId="30C82F3A" w:rsidR="004249CF" w:rsidRDefault="004C0BA7" w:rsidP="00D24172">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La primera observación se refiere a que la información sobre estructura organizativa de la entidad se encuentra publicada en el apartado </w:t>
      </w:r>
      <w:r w:rsidRPr="004C0BA7">
        <w:rPr>
          <w:rFonts w:ascii="Mulish" w:hAnsi="Mulish" w:cstheme="minorHAnsi"/>
          <w:bCs/>
        </w:rPr>
        <w:t>Información institucional, organizativa y de planificación/Organigrama</w:t>
      </w:r>
      <w:r>
        <w:rPr>
          <w:rFonts w:ascii="Mulish" w:hAnsi="Mulish" w:cstheme="minorHAnsi"/>
          <w:bCs/>
        </w:rPr>
        <w:t xml:space="preserve">. A juicio de este Consejo, la información sobre </w:t>
      </w:r>
      <w:r>
        <w:rPr>
          <w:rFonts w:ascii="Mulish" w:hAnsi="Mulish" w:cstheme="minorHAnsi"/>
          <w:bCs/>
        </w:rPr>
        <w:t>estructura organizativa</w:t>
      </w:r>
      <w:r>
        <w:rPr>
          <w:rFonts w:ascii="Mulish" w:hAnsi="Mulish" w:cstheme="minorHAnsi"/>
          <w:bCs/>
        </w:rPr>
        <w:t xml:space="preserve"> no se encuentra publicada en ese apartado, ni en otros del bloque de i</w:t>
      </w:r>
      <w:r w:rsidRPr="004C0BA7">
        <w:rPr>
          <w:rFonts w:ascii="Mulish" w:hAnsi="Mulish" w:cstheme="minorHAnsi"/>
          <w:bCs/>
        </w:rPr>
        <w:t>nformación institucional, organizativa y de planificación</w:t>
      </w:r>
      <w:r>
        <w:rPr>
          <w:rFonts w:ascii="Mulish" w:hAnsi="Mulish" w:cstheme="minorHAnsi"/>
          <w:bCs/>
        </w:rPr>
        <w:t xml:space="preserve">. Se publica información sobre el </w:t>
      </w:r>
      <w:r w:rsidRPr="004C0BA7">
        <w:rPr>
          <w:rFonts w:ascii="Mulish" w:hAnsi="Mulish" w:cstheme="minorHAnsi"/>
          <w:bCs/>
        </w:rPr>
        <w:t>Consejo de Administración</w:t>
      </w:r>
      <w:r>
        <w:rPr>
          <w:rFonts w:ascii="Mulish" w:hAnsi="Mulish" w:cstheme="minorHAnsi"/>
          <w:bCs/>
        </w:rPr>
        <w:t xml:space="preserve"> y el de Navegación, con una </w:t>
      </w:r>
      <w:r w:rsidR="004750CA">
        <w:rPr>
          <w:rFonts w:ascii="Mulish" w:hAnsi="Mulish" w:cstheme="minorHAnsi"/>
          <w:bCs/>
        </w:rPr>
        <w:t xml:space="preserve">identificación de sus miembros, </w:t>
      </w:r>
      <w:r w:rsidR="004750CA" w:rsidRPr="004C0BA7">
        <w:rPr>
          <w:rFonts w:ascii="Mulish" w:hAnsi="Mulish" w:cstheme="minorHAnsi"/>
          <w:bCs/>
        </w:rPr>
        <w:t xml:space="preserve">pero no una breve descripción </w:t>
      </w:r>
      <w:r w:rsidR="004249CF">
        <w:rPr>
          <w:rFonts w:ascii="Mulish" w:hAnsi="Mulish" w:cstheme="minorHAnsi"/>
          <w:bCs/>
        </w:rPr>
        <w:t xml:space="preserve">de las funciones y cometidos de ambos consejos. Tampoco se informa </w:t>
      </w:r>
      <w:r w:rsidR="004750CA" w:rsidRPr="004C0BA7">
        <w:rPr>
          <w:rFonts w:ascii="Mulish" w:hAnsi="Mulish" w:cstheme="minorHAnsi"/>
          <w:bCs/>
        </w:rPr>
        <w:t xml:space="preserve">de cómo se organiza la </w:t>
      </w:r>
      <w:r w:rsidR="004249CF">
        <w:rPr>
          <w:rFonts w:ascii="Mulish" w:hAnsi="Mulish" w:cstheme="minorHAnsi"/>
          <w:bCs/>
        </w:rPr>
        <w:t>enti</w:t>
      </w:r>
      <w:r w:rsidR="004750CA" w:rsidRPr="004C0BA7">
        <w:rPr>
          <w:rFonts w:ascii="Mulish" w:hAnsi="Mulish" w:cstheme="minorHAnsi"/>
          <w:bCs/>
        </w:rPr>
        <w:t xml:space="preserve">dad, </w:t>
      </w:r>
      <w:r w:rsidR="004249CF">
        <w:rPr>
          <w:rFonts w:ascii="Mulish" w:hAnsi="Mulish" w:cstheme="minorHAnsi"/>
          <w:bCs/>
        </w:rPr>
        <w:t xml:space="preserve">con la inclusión de sus </w:t>
      </w:r>
      <w:r w:rsidR="004249CF" w:rsidRPr="008F0774">
        <w:rPr>
          <w:rFonts w:ascii="Mulish" w:hAnsi="Mulish" w:cstheme="minorHAnsi"/>
          <w:bCs/>
        </w:rPr>
        <w:t>órganos y unidades</w:t>
      </w:r>
      <w:r w:rsidR="004249CF">
        <w:rPr>
          <w:rFonts w:ascii="Mulish" w:hAnsi="Mulish" w:cstheme="minorHAnsi"/>
          <w:bCs/>
        </w:rPr>
        <w:t>,</w:t>
      </w:r>
      <w:r w:rsidR="004249CF" w:rsidRPr="004249CF">
        <w:rPr>
          <w:rFonts w:ascii="Mulish" w:hAnsi="Mulish" w:cstheme="minorHAnsi"/>
          <w:bCs/>
        </w:rPr>
        <w:t xml:space="preserve"> </w:t>
      </w:r>
      <w:r w:rsidR="004249CF" w:rsidRPr="008F0774">
        <w:rPr>
          <w:rFonts w:ascii="Mulish" w:hAnsi="Mulish" w:cstheme="minorHAnsi"/>
          <w:bCs/>
        </w:rPr>
        <w:t>la</w:t>
      </w:r>
      <w:r w:rsidR="004249CF">
        <w:rPr>
          <w:rFonts w:ascii="Mulish" w:hAnsi="Mulish" w:cstheme="minorHAnsi"/>
          <w:bCs/>
        </w:rPr>
        <w:t>s</w:t>
      </w:r>
      <w:r w:rsidR="004249CF" w:rsidRPr="008F0774">
        <w:rPr>
          <w:rFonts w:ascii="Mulish" w:hAnsi="Mulish" w:cstheme="minorHAnsi"/>
          <w:bCs/>
        </w:rPr>
        <w:t xml:space="preserve"> funciones, tareas y actividades </w:t>
      </w:r>
      <w:r w:rsidR="004249CF">
        <w:rPr>
          <w:rFonts w:ascii="Mulish" w:hAnsi="Mulish" w:cstheme="minorHAnsi"/>
          <w:bCs/>
        </w:rPr>
        <w:t xml:space="preserve">que tienen </w:t>
      </w:r>
      <w:r w:rsidR="004249CF" w:rsidRPr="008F0774">
        <w:rPr>
          <w:rFonts w:ascii="Mulish" w:hAnsi="Mulish" w:cstheme="minorHAnsi"/>
          <w:bCs/>
        </w:rPr>
        <w:t>asignadas</w:t>
      </w:r>
      <w:r w:rsidR="004249CF">
        <w:rPr>
          <w:rFonts w:ascii="Mulish" w:hAnsi="Mulish" w:cstheme="minorHAnsi"/>
          <w:bCs/>
        </w:rPr>
        <w:t xml:space="preserve">, de manera que se permita un </w:t>
      </w:r>
      <w:r w:rsidR="004249CF" w:rsidRPr="008F0774">
        <w:rPr>
          <w:rFonts w:ascii="Mulish" w:hAnsi="Mulish" w:cstheme="minorHAnsi"/>
          <w:bCs/>
        </w:rPr>
        <w:t xml:space="preserve">conocimiento suficiente de la forma en que </w:t>
      </w:r>
      <w:r w:rsidR="002049DB">
        <w:rPr>
          <w:rFonts w:ascii="Mulish" w:hAnsi="Mulish" w:cstheme="minorHAnsi"/>
          <w:bCs/>
        </w:rPr>
        <w:t>aquella</w:t>
      </w:r>
      <w:r w:rsidR="004249CF" w:rsidRPr="008F0774">
        <w:rPr>
          <w:rFonts w:ascii="Mulish" w:hAnsi="Mulish" w:cstheme="minorHAnsi"/>
          <w:bCs/>
        </w:rPr>
        <w:t xml:space="preserve"> se organiza internamente</w:t>
      </w:r>
      <w:r w:rsidR="004249CF">
        <w:rPr>
          <w:rFonts w:ascii="Mulish" w:hAnsi="Mulish" w:cstheme="minorHAnsi"/>
          <w:bCs/>
        </w:rPr>
        <w:t>.</w:t>
      </w:r>
    </w:p>
    <w:p w14:paraId="3C515702" w14:textId="332FFA29" w:rsidR="004249CF" w:rsidRDefault="004249CF" w:rsidP="00D24172">
      <w:pPr>
        <w:pStyle w:val="Prrafodelista"/>
        <w:spacing w:before="120" w:after="120"/>
        <w:contextualSpacing w:val="0"/>
        <w:jc w:val="both"/>
        <w:rPr>
          <w:rFonts w:ascii="Mulish" w:hAnsi="Mulish" w:cstheme="minorHAnsi"/>
          <w:bCs/>
        </w:rPr>
      </w:pPr>
      <w:r w:rsidRPr="004C0BA7">
        <w:rPr>
          <w:rFonts w:ascii="Mulish" w:hAnsi="Mulish" w:cstheme="minorHAnsi"/>
          <w:bCs/>
        </w:rPr>
        <w:t>La descripción de la estructura organizativa, la identificación de los máximos responsables y el organigrama son tres obligaciones diferentes, razón por la que la información relativa a cada una de dichas obligaciones debe publicarse de manera individualizada.</w:t>
      </w:r>
    </w:p>
    <w:p w14:paraId="0485C49D" w14:textId="3D4503E4" w:rsidR="002049DB" w:rsidRDefault="002049DB" w:rsidP="00D24172">
      <w:pPr>
        <w:pStyle w:val="Prrafodelista"/>
        <w:numPr>
          <w:ilvl w:val="0"/>
          <w:numId w:val="26"/>
        </w:numPr>
        <w:spacing w:before="120" w:after="120"/>
        <w:contextualSpacing w:val="0"/>
        <w:jc w:val="both"/>
        <w:rPr>
          <w:rFonts w:ascii="Mulish" w:hAnsi="Mulish" w:cstheme="minorHAnsi"/>
          <w:bCs/>
        </w:rPr>
      </w:pPr>
      <w:r w:rsidRPr="002049DB">
        <w:rPr>
          <w:rFonts w:ascii="Mulish" w:hAnsi="Mulish" w:cstheme="minorHAnsi"/>
          <w:bCs/>
        </w:rPr>
        <w:t xml:space="preserve">En el ámbito de la planificación, desde la </w:t>
      </w:r>
      <w:r w:rsidRPr="002049DB">
        <w:rPr>
          <w:rFonts w:ascii="Mulish" w:hAnsi="Mulish" w:cstheme="minorHAnsi"/>
          <w:bCs/>
        </w:rPr>
        <w:t>Autoridad Portuaria de Marín y la Ría de Pontevedra</w:t>
      </w:r>
      <w:r w:rsidRPr="002049DB">
        <w:rPr>
          <w:rFonts w:ascii="Mulish" w:hAnsi="Mulish" w:cstheme="minorHAnsi"/>
          <w:bCs/>
        </w:rPr>
        <w:t xml:space="preserve"> (en adelante, AP Marín) se indica que se ha incorporado el </w:t>
      </w:r>
      <w:r w:rsidRPr="002049DB">
        <w:rPr>
          <w:rFonts w:ascii="Mulish" w:hAnsi="Mulish" w:cstheme="minorHAnsi"/>
          <w:bCs/>
        </w:rPr>
        <w:t>Marco Estratégico Sistema Portuario de interés general</w:t>
      </w:r>
      <w:r w:rsidR="00D24172">
        <w:rPr>
          <w:rFonts w:ascii="Mulish" w:hAnsi="Mulish" w:cstheme="minorHAnsi"/>
          <w:bCs/>
        </w:rPr>
        <w:t xml:space="preserve"> </w:t>
      </w:r>
      <w:r w:rsidRPr="002049DB">
        <w:rPr>
          <w:rFonts w:ascii="Mulish" w:hAnsi="Mulish" w:cstheme="minorHAnsi"/>
          <w:bCs/>
        </w:rPr>
        <w:t>que</w:t>
      </w:r>
      <w:r w:rsidR="00D24172">
        <w:rPr>
          <w:rFonts w:ascii="Mulish" w:hAnsi="Mulish" w:cstheme="minorHAnsi"/>
          <w:bCs/>
        </w:rPr>
        <w:t xml:space="preserve">, según se indica en el documento publicado, </w:t>
      </w:r>
      <w:r>
        <w:rPr>
          <w:rFonts w:ascii="Mulish" w:hAnsi="Mulish" w:cstheme="minorHAnsi"/>
          <w:bCs/>
        </w:rPr>
        <w:t>“</w:t>
      </w:r>
      <w:r w:rsidRPr="002049DB">
        <w:rPr>
          <w:rFonts w:ascii="Mulish" w:hAnsi="Mulish" w:cstheme="minorHAnsi"/>
          <w:bCs/>
          <w:i/>
          <w:iCs/>
        </w:rPr>
        <w:t>será ejecutado a través de los Planes de Empresa y podrá ser desarrollado por medio de</w:t>
      </w:r>
      <w:r w:rsidRPr="002049DB">
        <w:rPr>
          <w:rFonts w:ascii="Mulish" w:hAnsi="Mulish" w:cstheme="minorHAnsi"/>
          <w:bCs/>
          <w:i/>
          <w:iCs/>
        </w:rPr>
        <w:t xml:space="preserve"> </w:t>
      </w:r>
      <w:r w:rsidRPr="002049DB">
        <w:rPr>
          <w:rFonts w:ascii="Mulish" w:hAnsi="Mulish" w:cstheme="minorHAnsi"/>
          <w:bCs/>
          <w:i/>
          <w:iCs/>
        </w:rPr>
        <w:t xml:space="preserve">Planes Estratégicos y Planes </w:t>
      </w:r>
      <w:proofErr w:type="gramStart"/>
      <w:r w:rsidRPr="002049DB">
        <w:rPr>
          <w:rFonts w:ascii="Mulish" w:hAnsi="Mulish" w:cstheme="minorHAnsi"/>
          <w:bCs/>
          <w:i/>
          <w:iCs/>
        </w:rPr>
        <w:t>Directores</w:t>
      </w:r>
      <w:proofErr w:type="gramEnd"/>
      <w:r w:rsidRPr="002049DB">
        <w:rPr>
          <w:rFonts w:ascii="Mulish" w:hAnsi="Mulish" w:cstheme="minorHAnsi"/>
          <w:bCs/>
          <w:i/>
          <w:iCs/>
        </w:rPr>
        <w:t xml:space="preserve"> de Infraestructuras</w:t>
      </w:r>
      <w:r>
        <w:rPr>
          <w:rFonts w:ascii="Mulish" w:hAnsi="Mulish" w:cstheme="minorHAnsi"/>
          <w:bCs/>
        </w:rPr>
        <w:t xml:space="preserve">”. No se publica más información al respecto, con lo cual no se puede aceptar la observación realizada ni modificar el informe provisional en </w:t>
      </w:r>
      <w:r w:rsidR="00D24172">
        <w:rPr>
          <w:rFonts w:ascii="Mulish" w:hAnsi="Mulish" w:cstheme="minorHAnsi"/>
          <w:bCs/>
        </w:rPr>
        <w:t xml:space="preserve">cuanto a </w:t>
      </w:r>
      <w:r>
        <w:rPr>
          <w:rFonts w:ascii="Mulish" w:hAnsi="Mulish" w:cstheme="minorHAnsi"/>
          <w:bCs/>
        </w:rPr>
        <w:t>ese ámbito.</w:t>
      </w:r>
    </w:p>
    <w:p w14:paraId="4F6C4F89" w14:textId="5A47D0A0" w:rsidR="005535A8" w:rsidRPr="00D24172" w:rsidRDefault="005535A8" w:rsidP="00D24172">
      <w:pPr>
        <w:pStyle w:val="Prrafodelista"/>
        <w:numPr>
          <w:ilvl w:val="0"/>
          <w:numId w:val="26"/>
        </w:numPr>
        <w:spacing w:before="120" w:after="120"/>
        <w:ind w:left="714" w:hanging="357"/>
        <w:contextualSpacing w:val="0"/>
        <w:jc w:val="both"/>
        <w:rPr>
          <w:rFonts w:ascii="Mulish" w:eastAsia="Calibri" w:hAnsi="Mulish" w:cs="Calibri"/>
          <w:bCs/>
          <w:szCs w:val="24"/>
        </w:rPr>
      </w:pPr>
      <w:r w:rsidRPr="00D24172">
        <w:rPr>
          <w:rFonts w:ascii="Mulish" w:hAnsi="Mulish" w:cstheme="minorHAnsi"/>
          <w:bCs/>
        </w:rPr>
        <w:t>Con respecto a la observación referida</w:t>
      </w:r>
      <w:r w:rsidRPr="00D24172">
        <w:rPr>
          <w:rFonts w:ascii="Mulish" w:eastAsia="Calibri" w:hAnsi="Mulish" w:cs="Calibri"/>
          <w:bCs/>
          <w:szCs w:val="24"/>
        </w:rPr>
        <w:t xml:space="preserve"> los </w:t>
      </w:r>
      <w:r w:rsidRPr="00D24172">
        <w:rPr>
          <w:rFonts w:ascii="Mulish" w:eastAsia="Calibri" w:hAnsi="Mulish" w:cs="Calibri"/>
          <w:bCs/>
          <w:szCs w:val="24"/>
        </w:rPr>
        <w:t>informes de auditoría y fiscalización</w:t>
      </w:r>
      <w:r w:rsidRPr="00D24172">
        <w:rPr>
          <w:rFonts w:ascii="Mulish" w:eastAsia="Calibri" w:hAnsi="Mulish" w:cs="Calibri"/>
          <w:bCs/>
          <w:szCs w:val="24"/>
        </w:rPr>
        <w:t xml:space="preserve"> realizados por órganos </w:t>
      </w:r>
      <w:r w:rsidR="00D24172">
        <w:rPr>
          <w:rFonts w:ascii="Mulish" w:eastAsia="Calibri" w:hAnsi="Mulish" w:cs="Calibri"/>
          <w:bCs/>
          <w:szCs w:val="24"/>
        </w:rPr>
        <w:t>d</w:t>
      </w:r>
      <w:r w:rsidRPr="00D24172">
        <w:rPr>
          <w:rFonts w:ascii="Mulish" w:eastAsia="Calibri" w:hAnsi="Mulish" w:cs="Calibri"/>
          <w:bCs/>
          <w:szCs w:val="24"/>
        </w:rPr>
        <w:t xml:space="preserve">e control externo, debe indicarse que los </w:t>
      </w:r>
      <w:r w:rsidRPr="00D24172">
        <w:rPr>
          <w:rFonts w:ascii="Mulish" w:eastAsia="Calibri" w:hAnsi="Mulish" w:cs="Calibri"/>
          <w:bCs/>
          <w:szCs w:val="24"/>
        </w:rPr>
        <w:t xml:space="preserve">informes de auditoría elaborados por la </w:t>
      </w:r>
      <w:r w:rsidRPr="00D24172">
        <w:rPr>
          <w:rFonts w:ascii="Mulish" w:eastAsia="Calibri" w:hAnsi="Mulish" w:cs="Calibri"/>
          <w:bCs/>
          <w:szCs w:val="24"/>
        </w:rPr>
        <w:t>Intervención General de la Administración del Estado (</w:t>
      </w:r>
      <w:r w:rsidRPr="00D24172">
        <w:rPr>
          <w:rFonts w:ascii="Mulish" w:eastAsia="Calibri" w:hAnsi="Mulish" w:cs="Calibri"/>
          <w:bCs/>
          <w:szCs w:val="24"/>
        </w:rPr>
        <w:t>IGAE</w:t>
      </w:r>
      <w:r w:rsidRPr="00D24172">
        <w:rPr>
          <w:rFonts w:ascii="Mulish" w:eastAsia="Calibri" w:hAnsi="Mulish" w:cs="Calibri"/>
          <w:bCs/>
          <w:szCs w:val="24"/>
        </w:rPr>
        <w:t>)</w:t>
      </w:r>
      <w:r w:rsidRPr="00D24172">
        <w:rPr>
          <w:rFonts w:ascii="Mulish" w:eastAsia="Calibri" w:hAnsi="Mulish" w:cs="Calibri"/>
          <w:bCs/>
          <w:szCs w:val="24"/>
        </w:rPr>
        <w:t xml:space="preserve"> no se corresponden con el contenido material de esta obligación</w:t>
      </w:r>
      <w:r w:rsidRPr="00D24172">
        <w:rPr>
          <w:rFonts w:ascii="Mulish" w:eastAsia="Calibri" w:hAnsi="Mulish" w:cs="Calibri"/>
          <w:bCs/>
          <w:szCs w:val="24"/>
        </w:rPr>
        <w:t>. Ello</w:t>
      </w:r>
      <w:r w:rsidRPr="00D24172">
        <w:rPr>
          <w:rFonts w:ascii="Mulish" w:eastAsia="Calibri" w:hAnsi="Mulish" w:cs="Calibri"/>
          <w:bCs/>
          <w:szCs w:val="24"/>
        </w:rPr>
        <w:t xml:space="preserve"> se fundamenta en el artículo 140 de la Ley 47/2003, de 26 de noviembre, General Presupuestaria</w:t>
      </w:r>
      <w:r w:rsidRPr="00D24172">
        <w:rPr>
          <w:rFonts w:ascii="Mulish" w:eastAsia="Calibri" w:hAnsi="Mulish" w:cs="Calibri"/>
          <w:bCs/>
          <w:szCs w:val="24"/>
        </w:rPr>
        <w:t>, que dispone lo siguiente:</w:t>
      </w:r>
    </w:p>
    <w:p w14:paraId="6ABFAF1B" w14:textId="5B62CB9D" w:rsidR="005535A8" w:rsidRPr="005535A8" w:rsidRDefault="005535A8" w:rsidP="00D24172">
      <w:pPr>
        <w:pStyle w:val="Prrafodelista"/>
        <w:spacing w:before="120" w:after="120"/>
        <w:ind w:left="907"/>
        <w:contextualSpacing w:val="0"/>
        <w:jc w:val="both"/>
        <w:rPr>
          <w:rFonts w:ascii="Mulish" w:eastAsia="Calibri" w:hAnsi="Mulish" w:cs="Calibri"/>
          <w:i/>
          <w:iCs/>
          <w:szCs w:val="24"/>
        </w:rPr>
      </w:pPr>
      <w:r w:rsidRPr="005535A8">
        <w:rPr>
          <w:rFonts w:ascii="Mulish" w:eastAsia="Calibri" w:hAnsi="Mulish" w:cs="Calibri"/>
          <w:i/>
          <w:iCs/>
          <w:szCs w:val="24"/>
        </w:rPr>
        <w:t>“</w:t>
      </w:r>
      <w:r w:rsidRPr="005535A8">
        <w:rPr>
          <w:rFonts w:ascii="Mulish" w:eastAsia="Calibri" w:hAnsi="Mulish" w:cs="Calibri"/>
          <w:i/>
          <w:iCs/>
          <w:szCs w:val="24"/>
        </w:rPr>
        <w:t>1. En su condición de supremo órgano fiscalizador de las cuentas y de la gestión económica del Estado y del sector público, corresponde al Tribunal de Cuentas el control externo del sector público estatal, en los términos establecidos en la Constitución, en su ley orgánica y en las demás leyes que regulen su competencia.</w:t>
      </w:r>
    </w:p>
    <w:p w14:paraId="56ADA1EF" w14:textId="77777777" w:rsidR="005535A8" w:rsidRPr="005535A8" w:rsidRDefault="005535A8" w:rsidP="00D24172">
      <w:pPr>
        <w:pStyle w:val="Prrafodelista"/>
        <w:tabs>
          <w:tab w:val="left" w:pos="284"/>
        </w:tabs>
        <w:spacing w:before="120" w:after="120"/>
        <w:ind w:left="907"/>
        <w:contextualSpacing w:val="0"/>
        <w:jc w:val="both"/>
        <w:rPr>
          <w:rFonts w:ascii="Mulish" w:eastAsia="Calibri" w:hAnsi="Mulish" w:cs="Calibri"/>
          <w:i/>
          <w:iCs/>
          <w:szCs w:val="24"/>
        </w:rPr>
      </w:pPr>
      <w:r w:rsidRPr="005535A8">
        <w:rPr>
          <w:rFonts w:ascii="Mulish" w:eastAsia="Calibri" w:hAnsi="Mulish" w:cs="Calibri"/>
          <w:i/>
          <w:iCs/>
          <w:szCs w:val="24"/>
        </w:rPr>
        <w:lastRenderedPageBreak/>
        <w:t xml:space="preserve">2. La Intervención General de la Administración del Estado ejercerá en los términos previstos en esta ley el control interno de la gestión económica y financiera del sector público estatal, con plena autonomía respecto de las autoridades y demás entidades cuya gestión controle”. </w:t>
      </w:r>
    </w:p>
    <w:p w14:paraId="5E2A22B7" w14:textId="393C7B69" w:rsidR="005535A8" w:rsidRPr="005535A8" w:rsidRDefault="005535A8" w:rsidP="00D24172">
      <w:pPr>
        <w:pStyle w:val="Prrafodelista"/>
        <w:tabs>
          <w:tab w:val="left" w:pos="284"/>
        </w:tabs>
        <w:spacing w:before="120" w:after="120"/>
        <w:ind w:left="714"/>
        <w:contextualSpacing w:val="0"/>
        <w:jc w:val="both"/>
        <w:rPr>
          <w:rFonts w:ascii="Mulish" w:eastAsia="Calibri" w:hAnsi="Mulish" w:cs="Calibri"/>
          <w:szCs w:val="24"/>
        </w:rPr>
      </w:pPr>
      <w:r w:rsidRPr="005535A8">
        <w:rPr>
          <w:rFonts w:ascii="Mulish" w:eastAsia="Calibri" w:hAnsi="Mulish" w:cs="Calibri"/>
          <w:szCs w:val="24"/>
        </w:rPr>
        <w:t xml:space="preserve">El artículo 8.1 e) de la LTAIBG establece que deberán publicarse </w:t>
      </w:r>
      <w:proofErr w:type="gramStart"/>
      <w:r w:rsidRPr="00D24172">
        <w:rPr>
          <w:rFonts w:ascii="Mulish" w:eastAsia="Calibri" w:hAnsi="Mulish" w:cs="Calibri"/>
          <w:i/>
          <w:iCs/>
          <w:szCs w:val="24"/>
        </w:rPr>
        <w:t>“….</w:t>
      </w:r>
      <w:proofErr w:type="gramEnd"/>
      <w:r w:rsidRPr="00D24172">
        <w:rPr>
          <w:rFonts w:ascii="Mulish" w:eastAsia="Calibri" w:hAnsi="Mulish" w:cs="Calibri"/>
          <w:i/>
          <w:iCs/>
          <w:szCs w:val="24"/>
        </w:rPr>
        <w:t>.y los informes de auditoría de cuentas y de fiscalización por parte de los órganos de control externo que sobre ellos se emitan</w:t>
      </w:r>
      <w:r w:rsidRPr="005535A8">
        <w:rPr>
          <w:rFonts w:ascii="Mulish" w:eastAsia="Calibri" w:hAnsi="Mulish" w:cs="Calibri"/>
          <w:szCs w:val="24"/>
        </w:rPr>
        <w:t>”.  Por lo tanto, claramente, el cumplimiento de esta obligación implica la publicación de los informes del Tribunal de Cuentas, o, si ese es el caso, señalar que la entidad no ha sido sometida a ningún proceso de fiscalización por parte del Tribunal de Cuentas.</w:t>
      </w:r>
    </w:p>
    <w:p w14:paraId="307E5595" w14:textId="3C14AA2C" w:rsidR="008F0774" w:rsidRDefault="008C6E5A" w:rsidP="00D24172">
      <w:pPr>
        <w:pStyle w:val="Prrafodelista"/>
        <w:numPr>
          <w:ilvl w:val="0"/>
          <w:numId w:val="26"/>
        </w:numPr>
        <w:spacing w:before="120" w:after="120"/>
        <w:contextualSpacing w:val="0"/>
        <w:jc w:val="both"/>
        <w:rPr>
          <w:rFonts w:ascii="Mulish" w:hAnsi="Mulish" w:cstheme="minorHAnsi"/>
          <w:bCs/>
        </w:rPr>
      </w:pPr>
      <w:r>
        <w:rPr>
          <w:rFonts w:ascii="Mulish" w:hAnsi="Mulish" w:cstheme="minorHAnsi"/>
          <w:bCs/>
        </w:rPr>
        <w:t xml:space="preserve">En relación con determinadas obligaciones, como las relativas a contratación, convenios o encomiendas, </w:t>
      </w:r>
      <w:r w:rsidRPr="001C4133">
        <w:rPr>
          <w:rFonts w:ascii="Mulish" w:hAnsi="Mulish" w:cstheme="minorHAnsi"/>
          <w:bCs/>
        </w:rPr>
        <w:t>se menciona que esas obligaciones se encuentran publicadas en la Plataforma de Contratación del Sector Público (PCSP)</w:t>
      </w:r>
      <w:r>
        <w:rPr>
          <w:rFonts w:ascii="Mulish" w:hAnsi="Mulish" w:cstheme="minorHAnsi"/>
          <w:bCs/>
        </w:rPr>
        <w:t xml:space="preserve"> o en </w:t>
      </w:r>
      <w:r w:rsidRPr="001C4133">
        <w:rPr>
          <w:rFonts w:ascii="Mulish" w:hAnsi="Mulish" w:cstheme="minorHAnsi"/>
          <w:bCs/>
        </w:rPr>
        <w:t>el Portal de Transparencia de la AGE</w:t>
      </w:r>
      <w:r w:rsidR="00C07820">
        <w:rPr>
          <w:rFonts w:ascii="Mulish" w:hAnsi="Mulish" w:cstheme="minorHAnsi"/>
          <w:bCs/>
        </w:rPr>
        <w:t>, es decir, en fuentes centralizadas de información.</w:t>
      </w:r>
    </w:p>
    <w:p w14:paraId="3D5C80A7" w14:textId="17BE0BD1" w:rsidR="001C4133" w:rsidRPr="00C07820" w:rsidRDefault="00C07820" w:rsidP="00D24172">
      <w:pPr>
        <w:pStyle w:val="Prrafodelista"/>
        <w:spacing w:before="120" w:after="120"/>
        <w:contextualSpacing w:val="0"/>
        <w:jc w:val="both"/>
        <w:rPr>
          <w:rFonts w:ascii="Mulish" w:hAnsi="Mulish" w:cstheme="minorHAnsi"/>
          <w:bCs/>
        </w:rPr>
      </w:pPr>
      <w:r>
        <w:rPr>
          <w:rFonts w:ascii="Mulish" w:hAnsi="Mulish" w:cstheme="minorHAnsi"/>
          <w:bCs/>
        </w:rPr>
        <w:t xml:space="preserve">En relación con esta práctica este Consejo se ha pronunciado en numerosas ocasiones, abogando por la necesidad de que las obligaciones de publicidad activa se publiquen en las páginas web de los propios sujetos obligados, de acuerdo con lo que dispone la </w:t>
      </w:r>
      <w:r w:rsidR="001C4133" w:rsidRPr="00C07820">
        <w:rPr>
          <w:rFonts w:ascii="Mulish" w:hAnsi="Mulish" w:cstheme="minorHAnsi"/>
          <w:bCs/>
        </w:rPr>
        <w:t>Ley 19/2013, de 9 de diciembre, de transparencia, acceso a la información pública y buen gobierno (</w:t>
      </w:r>
      <w:r>
        <w:rPr>
          <w:rFonts w:ascii="Mulish" w:hAnsi="Mulish" w:cstheme="minorHAnsi"/>
          <w:bCs/>
        </w:rPr>
        <w:t xml:space="preserve">en adelante, </w:t>
      </w:r>
      <w:r w:rsidR="001C4133" w:rsidRPr="00C07820">
        <w:rPr>
          <w:rFonts w:ascii="Mulish" w:hAnsi="Mulish" w:cstheme="minorHAnsi"/>
          <w:bCs/>
        </w:rPr>
        <w:t>LTAIBG)</w:t>
      </w:r>
      <w:r>
        <w:rPr>
          <w:rFonts w:ascii="Mulish" w:hAnsi="Mulish" w:cstheme="minorHAnsi"/>
          <w:bCs/>
        </w:rPr>
        <w:t>. En este sentido</w:t>
      </w:r>
      <w:r w:rsidR="00D24172">
        <w:rPr>
          <w:rFonts w:ascii="Mulish" w:hAnsi="Mulish" w:cstheme="minorHAnsi"/>
          <w:bCs/>
        </w:rPr>
        <w:t>,</w:t>
      </w:r>
      <w:r>
        <w:rPr>
          <w:rFonts w:ascii="Mulish" w:hAnsi="Mulish" w:cstheme="minorHAnsi"/>
          <w:bCs/>
        </w:rPr>
        <w:t xml:space="preserve"> el artículo 10 de la LTAIBG</w:t>
      </w:r>
      <w:r w:rsidR="001C4133" w:rsidRPr="00C07820">
        <w:rPr>
          <w:rFonts w:ascii="Mulish" w:hAnsi="Mulish" w:cstheme="minorHAnsi"/>
          <w:bCs/>
        </w:rPr>
        <w:t xml:space="preserve"> dispone que “</w:t>
      </w:r>
      <w:r w:rsidR="001C4133" w:rsidRPr="00C07820">
        <w:rPr>
          <w:rFonts w:ascii="Mulish" w:hAnsi="Mulish" w:cstheme="minorHAnsi"/>
          <w:bCs/>
          <w:i/>
          <w:iCs/>
        </w:rPr>
        <w:t>La Administración General del Estado desarrollará un Portal de la Transparencia, dependiente del Ministerio de la Presidencia, que facilitará el acceso de los ciudadanos a toda la información a la que se refieren los artículos anteriores relativa a su ámbito de actuación</w:t>
      </w:r>
      <w:r w:rsidR="001C4133" w:rsidRPr="00C07820">
        <w:rPr>
          <w:rFonts w:ascii="Mulish" w:hAnsi="Mulish" w:cstheme="minorHAnsi"/>
          <w:bCs/>
        </w:rPr>
        <w:t xml:space="preserve">”. </w:t>
      </w:r>
      <w:r>
        <w:rPr>
          <w:rFonts w:ascii="Mulish" w:hAnsi="Mulish" w:cstheme="minorHAnsi"/>
          <w:bCs/>
        </w:rPr>
        <w:t xml:space="preserve">Por otro lado, </w:t>
      </w:r>
      <w:r w:rsidR="001C4133" w:rsidRPr="00C07820">
        <w:rPr>
          <w:rFonts w:ascii="Mulish" w:hAnsi="Mulish" w:cstheme="minorHAnsi"/>
          <w:bCs/>
        </w:rPr>
        <w:t>el artículo 55.2 de la Ley 40/2015, de 1 de octubre, de régimen jurídico del sector público (LRJSP), establece que la Administración General del Estado comprende la organización central (Ministerios y servicios comunes), la organización territorial (Delegaciones y Subdelegaciones del Gobierno) y finalmente, la Administración General del Estado en el exterior. Los organismos públicos vinculados o dependientes no figuran en la relación del artículo 55.2 de la LRJSP y tienen personalidad jurídica propia, por lo que no están incluidos en el ámbito del artículo 10 de la LTAIBG y, en consecuencia, no deberían publicar en el Portal de la Transparencia de la AGE las informaciones de publicidad activa. De la interpretación conjunta del artículo 10 de la LTAIBG y el artículo 55.2 de la LRJSP se deriva que al conjunto de entidades que integran Sector Público Institucional Estatal les aplica directamente la obligación establecida en el artículo 5.4 de la LTAIBG de publicar la información sujeta a las obligaciones de transparencia en sus webs institucionales o en sus sedes electrónicas.</w:t>
      </w:r>
    </w:p>
    <w:p w14:paraId="20C05A37" w14:textId="77777777" w:rsidR="001C4133" w:rsidRPr="001C4133" w:rsidRDefault="001C4133" w:rsidP="00D24172">
      <w:pPr>
        <w:pStyle w:val="Prrafodelista"/>
        <w:spacing w:before="120" w:after="120"/>
        <w:contextualSpacing w:val="0"/>
        <w:jc w:val="both"/>
        <w:rPr>
          <w:rFonts w:ascii="Mulish" w:hAnsi="Mulish" w:cstheme="minorHAnsi"/>
          <w:bCs/>
        </w:rPr>
      </w:pPr>
      <w:r w:rsidRPr="001C4133">
        <w:rPr>
          <w:rFonts w:ascii="Mulish" w:hAnsi="Mulish" w:cstheme="minorHAnsi"/>
          <w:bCs/>
        </w:rPr>
        <w:t xml:space="preserve">Una cuestión adicional en relación con la publicación de informaciones obligatorias correspondientes a organismos dependientes a través del Portal de Transparencia de la AGE, son las dificultades de localización y accesibilidad a dichas informaciones, que </w:t>
      </w:r>
      <w:r w:rsidRPr="001C4133">
        <w:rPr>
          <w:rFonts w:ascii="Mulish" w:hAnsi="Mulish" w:cstheme="minorHAnsi"/>
          <w:bCs/>
        </w:rPr>
        <w:lastRenderedPageBreak/>
        <w:t>suponen auténticas barreras de acceso a la información y, por lo tanto, son contrarias a la transparencia.</w:t>
      </w:r>
    </w:p>
    <w:p w14:paraId="0E51B7C4" w14:textId="7552BF6C" w:rsidR="001C4133" w:rsidRPr="001C4133" w:rsidRDefault="001C4133" w:rsidP="00D24172">
      <w:pPr>
        <w:pStyle w:val="Prrafodelista"/>
        <w:spacing w:before="120" w:after="120"/>
        <w:contextualSpacing w:val="0"/>
        <w:jc w:val="both"/>
        <w:rPr>
          <w:rFonts w:ascii="Mulish" w:hAnsi="Mulish" w:cstheme="minorHAnsi"/>
          <w:bCs/>
        </w:rPr>
      </w:pPr>
      <w:r w:rsidRPr="001C4133">
        <w:rPr>
          <w:rFonts w:ascii="Mulish" w:hAnsi="Mulish" w:cstheme="minorHAnsi"/>
          <w:bCs/>
        </w:rPr>
        <w:t xml:space="preserve">Aparte de ello, y con respecto a la publicación de información en la PCSP, debe indicarse que el recurso a fuentes centralizadas para la publicación de informaciones obligatorias plantea diversos problemas. En primer lugar, se trata de fuentes de información de difícil acceso para la ciudadanía, por su complicado manejo y porque requieren unos conocimientos sobre la gestión interna de las organizaciones públicas y de los procedimientos administrativos, que no tienen por qué tener los ciudadanos. En segundo lugar, al estar diseñadas para otros usos, incluyen información no relacionada con las obligaciones de publicidad activa y, por el contrario, no siempre incluyen otros contenidos que son obligatorios en aplicación de la LTAIBG. Por ejemplo, la PCSP, no incluye entre los criterios de búsqueda de licitaciones las modificaciones de los contratos, que constituyen una obligación diferenciada dentro del grupo contratación. En tercer lugar, un problema adicional a los ya señalados, es la imposibilidad de que la entidad que adopta la decisión de publicar información enlazando a fuentes centralizadas, pueda controlar tanto los contenidos, como la integridad de los enlaces a su información en la fuente centralizada. De hecho, a lo largo de estos años, este Consejo ha constatado que, en ocasiones, el enlace a la información de la institución en la fuente centralizada daba error. </w:t>
      </w:r>
    </w:p>
    <w:p w14:paraId="70038E20" w14:textId="77777777" w:rsidR="001C4133" w:rsidRPr="001C4133" w:rsidRDefault="001C4133" w:rsidP="00D24172">
      <w:pPr>
        <w:pStyle w:val="Prrafodelista"/>
        <w:spacing w:before="120" w:after="120"/>
        <w:contextualSpacing w:val="0"/>
        <w:jc w:val="both"/>
        <w:rPr>
          <w:rFonts w:ascii="Mulish" w:hAnsi="Mulish" w:cstheme="minorHAnsi"/>
          <w:bCs/>
        </w:rPr>
      </w:pPr>
      <w:r w:rsidRPr="001C4133">
        <w:rPr>
          <w:rFonts w:ascii="Mulish" w:hAnsi="Mulish" w:cstheme="minorHAnsi"/>
          <w:bCs/>
        </w:rPr>
        <w:t>Por esta razón, año tras año, este Consejo reitera la recomendación, de que la información se publique en la web del sujeto obligado, incluyendo todos los ítems informativos que, en su caso, establezca la Ley.</w:t>
      </w:r>
    </w:p>
    <w:p w14:paraId="53705D1B" w14:textId="70D7FD48" w:rsidR="001C4133" w:rsidRPr="001C4133" w:rsidRDefault="00C07820" w:rsidP="00D24172">
      <w:pPr>
        <w:pStyle w:val="Prrafodelista"/>
        <w:numPr>
          <w:ilvl w:val="0"/>
          <w:numId w:val="26"/>
        </w:numPr>
        <w:spacing w:before="120" w:after="120"/>
        <w:contextualSpacing w:val="0"/>
        <w:jc w:val="both"/>
        <w:rPr>
          <w:rFonts w:ascii="Mulish" w:hAnsi="Mulish" w:cstheme="minorHAnsi"/>
          <w:bCs/>
        </w:rPr>
      </w:pPr>
      <w:r>
        <w:rPr>
          <w:rFonts w:ascii="Mulish" w:hAnsi="Mulish" w:cstheme="minorHAnsi"/>
          <w:bCs/>
        </w:rPr>
        <w:t>Otra</w:t>
      </w:r>
      <w:r w:rsidR="001C4133" w:rsidRPr="001C4133">
        <w:rPr>
          <w:rFonts w:ascii="Mulish" w:hAnsi="Mulish" w:cstheme="minorHAnsi"/>
          <w:bCs/>
        </w:rPr>
        <w:t xml:space="preserve"> observación</w:t>
      </w:r>
      <w:r w:rsidR="00C97678">
        <w:rPr>
          <w:rFonts w:ascii="Mulish" w:hAnsi="Mulish" w:cstheme="minorHAnsi"/>
          <w:bCs/>
        </w:rPr>
        <w:t>,</w:t>
      </w:r>
      <w:r w:rsidR="001C4133" w:rsidRPr="001C4133">
        <w:rPr>
          <w:rFonts w:ascii="Mulish" w:hAnsi="Mulish" w:cstheme="minorHAnsi"/>
          <w:bCs/>
        </w:rPr>
        <w:t xml:space="preserve"> que se repite en diversas ocasiones en el documento de observaciones</w:t>
      </w:r>
      <w:r w:rsidR="00C97678">
        <w:rPr>
          <w:rFonts w:ascii="Mulish" w:hAnsi="Mulish" w:cstheme="minorHAnsi"/>
          <w:bCs/>
        </w:rPr>
        <w:t>,</w:t>
      </w:r>
      <w:r w:rsidR="001C4133" w:rsidRPr="001C4133">
        <w:rPr>
          <w:rFonts w:ascii="Mulish" w:hAnsi="Mulish" w:cstheme="minorHAnsi"/>
          <w:bCs/>
        </w:rPr>
        <w:t xml:space="preserve"> es la referida a que determinadas obligaciones (</w:t>
      </w:r>
      <w:r w:rsidR="00C97678">
        <w:rPr>
          <w:rFonts w:ascii="Mulish" w:hAnsi="Mulish" w:cstheme="minorHAnsi"/>
          <w:bCs/>
        </w:rPr>
        <w:t>subvenciones</w:t>
      </w:r>
      <w:r w:rsidR="001C4133" w:rsidRPr="001C4133">
        <w:rPr>
          <w:rFonts w:ascii="Mulish" w:hAnsi="Mulish" w:cstheme="minorHAnsi"/>
          <w:bCs/>
        </w:rPr>
        <w:t xml:space="preserve">, indemnizaciones, reconocimiento de compatibilidades para los empleados públicos…), no se publican por no existir información que publicar. </w:t>
      </w:r>
    </w:p>
    <w:p w14:paraId="18B0BBD6" w14:textId="77777777" w:rsidR="001C4133" w:rsidRPr="001C4133" w:rsidRDefault="001C4133" w:rsidP="00D24172">
      <w:pPr>
        <w:pStyle w:val="Prrafodelista"/>
        <w:spacing w:before="120" w:after="120"/>
        <w:contextualSpacing w:val="0"/>
        <w:jc w:val="both"/>
        <w:rPr>
          <w:rFonts w:ascii="Mulish" w:hAnsi="Mulish" w:cstheme="minorHAnsi"/>
          <w:bCs/>
        </w:rPr>
      </w:pPr>
      <w:r w:rsidRPr="001C4133">
        <w:rPr>
          <w:rFonts w:ascii="Mulish" w:hAnsi="Mulish" w:cstheme="minorHAnsi"/>
          <w:bCs/>
        </w:rPr>
        <w:t>A este respecto debe destacarse que la única manera de distinguir, tanto por los ciudadanos como por los evaluadores, si la falta de publicación de una información sujeta a obligaciones de publicidad activa es debida a un incumplimiento de la obligación de publicar o a que no existe información que publicar, porque no haya habido actividad en ese ámbito concreto o porque algún tipo de regulación no permita su publicación, es que se indique expresamente tal circunstancia en el portal de transparencia de la entidad.</w:t>
      </w:r>
    </w:p>
    <w:p w14:paraId="4DFFF3F4" w14:textId="5BA5BB62" w:rsidR="004C50DD" w:rsidRPr="00BF6565" w:rsidRDefault="004C50DD" w:rsidP="00D24172">
      <w:pPr>
        <w:pStyle w:val="Prrafodelista"/>
        <w:numPr>
          <w:ilvl w:val="0"/>
          <w:numId w:val="26"/>
        </w:numPr>
        <w:spacing w:before="120" w:after="120"/>
        <w:contextualSpacing w:val="0"/>
        <w:jc w:val="both"/>
        <w:rPr>
          <w:rFonts w:ascii="Mulish" w:hAnsi="Mulish" w:cstheme="minorHAnsi"/>
          <w:bCs/>
        </w:rPr>
      </w:pPr>
      <w:r w:rsidRPr="00BF6565">
        <w:rPr>
          <w:rFonts w:ascii="Mulish" w:hAnsi="Mulish" w:cstheme="minorHAnsi"/>
          <w:bCs/>
        </w:rPr>
        <w:t>En cuanto a</w:t>
      </w:r>
      <w:r w:rsidR="005740BB">
        <w:rPr>
          <w:rFonts w:ascii="Mulish" w:hAnsi="Mulish" w:cstheme="minorHAnsi"/>
          <w:bCs/>
        </w:rPr>
        <w:t xml:space="preserve"> otras </w:t>
      </w:r>
      <w:r w:rsidRPr="00BF6565">
        <w:rPr>
          <w:rFonts w:ascii="Mulish" w:hAnsi="Mulish" w:cstheme="minorHAnsi"/>
          <w:bCs/>
        </w:rPr>
        <w:t xml:space="preserve">observaciones que se recogen en el documento, </w:t>
      </w:r>
      <w:r w:rsidR="005740BB">
        <w:rPr>
          <w:rFonts w:ascii="Mulish" w:hAnsi="Mulish" w:cstheme="minorHAnsi"/>
          <w:bCs/>
        </w:rPr>
        <w:t xml:space="preserve">referida a la actualización de contenidos (presupuestos, </w:t>
      </w:r>
      <w:r w:rsidR="002D17D1">
        <w:rPr>
          <w:rFonts w:ascii="Mulish" w:hAnsi="Mulish" w:cstheme="minorHAnsi"/>
          <w:bCs/>
        </w:rPr>
        <w:t xml:space="preserve">retribuciones, </w:t>
      </w:r>
      <w:r w:rsidR="005740BB">
        <w:rPr>
          <w:rFonts w:ascii="Mulish" w:hAnsi="Mulish" w:cstheme="minorHAnsi"/>
          <w:bCs/>
        </w:rPr>
        <w:t xml:space="preserve">cuentas </w:t>
      </w:r>
      <w:proofErr w:type="gramStart"/>
      <w:r w:rsidR="005740BB">
        <w:rPr>
          <w:rFonts w:ascii="Mulish" w:hAnsi="Mulish" w:cstheme="minorHAnsi"/>
          <w:bCs/>
        </w:rPr>
        <w:t>anuales….</w:t>
      </w:r>
      <w:proofErr w:type="gramEnd"/>
      <w:r w:rsidR="005740BB">
        <w:rPr>
          <w:rFonts w:ascii="Mulish" w:hAnsi="Mulish" w:cstheme="minorHAnsi"/>
          <w:bCs/>
        </w:rPr>
        <w:t xml:space="preserve">), </w:t>
      </w:r>
      <w:r w:rsidRPr="00BF6565">
        <w:rPr>
          <w:rFonts w:ascii="Mulish" w:hAnsi="Mulish" w:cstheme="minorHAnsi"/>
          <w:bCs/>
        </w:rPr>
        <w:t>se considera que se trata de mejoras operadas con posterioridad al envío del informe provisional por parte de este Consejo y, por lo tanto, serán tenidas en cuenta en futuras evaluaciones que puedan realizarse con respecto a</w:t>
      </w:r>
      <w:r w:rsidR="00C97678">
        <w:rPr>
          <w:rFonts w:ascii="Mulish" w:hAnsi="Mulish" w:cstheme="minorHAnsi"/>
          <w:bCs/>
        </w:rPr>
        <w:t xml:space="preserve"> </w:t>
      </w:r>
      <w:r w:rsidRPr="00BF6565">
        <w:rPr>
          <w:rFonts w:ascii="Mulish" w:hAnsi="Mulish" w:cstheme="minorHAnsi"/>
          <w:bCs/>
        </w:rPr>
        <w:t>l</w:t>
      </w:r>
      <w:r w:rsidR="00C97678">
        <w:rPr>
          <w:rFonts w:ascii="Mulish" w:hAnsi="Mulish" w:cstheme="minorHAnsi"/>
          <w:bCs/>
        </w:rPr>
        <w:t>a</w:t>
      </w:r>
      <w:r w:rsidRPr="004C50DD">
        <w:rPr>
          <w:rFonts w:ascii="Mulish" w:hAnsi="Mulish" w:cstheme="minorHAnsi"/>
          <w:bCs/>
        </w:rPr>
        <w:t xml:space="preserve"> </w:t>
      </w:r>
      <w:r w:rsidR="00C97678">
        <w:rPr>
          <w:rFonts w:ascii="Mulish" w:hAnsi="Mulish" w:cstheme="minorHAnsi"/>
          <w:bCs/>
        </w:rPr>
        <w:t>AP Marín</w:t>
      </w:r>
      <w:r w:rsidRPr="00BF6565">
        <w:rPr>
          <w:rFonts w:ascii="Mulish" w:hAnsi="Mulish" w:cstheme="minorHAnsi"/>
          <w:bCs/>
        </w:rPr>
        <w:t xml:space="preserve">. Su puesta en marcha merece una valoración muy positiva, al igual que la de aquellas otras </w:t>
      </w:r>
      <w:r w:rsidR="005740BB">
        <w:rPr>
          <w:rFonts w:ascii="Mulish" w:hAnsi="Mulish" w:cstheme="minorHAnsi"/>
          <w:bCs/>
        </w:rPr>
        <w:t xml:space="preserve">(como </w:t>
      </w:r>
      <w:r w:rsidR="005740BB" w:rsidRPr="005740BB">
        <w:rPr>
          <w:rFonts w:ascii="Mulish" w:hAnsi="Mulish" w:cstheme="minorHAnsi"/>
          <w:bCs/>
        </w:rPr>
        <w:t xml:space="preserve">datos </w:t>
      </w:r>
      <w:r w:rsidR="005740BB" w:rsidRPr="005740BB">
        <w:rPr>
          <w:rFonts w:ascii="Mulish" w:hAnsi="Mulish" w:cstheme="minorHAnsi"/>
          <w:bCs/>
        </w:rPr>
        <w:lastRenderedPageBreak/>
        <w:t>estadísticos en materia de contratación</w:t>
      </w:r>
      <w:r w:rsidR="005740BB">
        <w:rPr>
          <w:rFonts w:ascii="Mulish" w:hAnsi="Mulish" w:cstheme="minorHAnsi"/>
          <w:bCs/>
        </w:rPr>
        <w:t xml:space="preserve"> o relación de bienes inmuebles), </w:t>
      </w:r>
      <w:r w:rsidRPr="00BF6565">
        <w:rPr>
          <w:rFonts w:ascii="Mulish" w:hAnsi="Mulish" w:cstheme="minorHAnsi"/>
          <w:bCs/>
        </w:rPr>
        <w:t xml:space="preserve">que se prevé llevar a cabo más adelante. </w:t>
      </w:r>
    </w:p>
    <w:p w14:paraId="336A2926" w14:textId="0CCDC271" w:rsidR="00E100A2" w:rsidRDefault="0013739B" w:rsidP="00D24172">
      <w:pPr>
        <w:spacing w:before="120" w:after="120"/>
        <w:jc w:val="both"/>
        <w:rPr>
          <w:rFonts w:ascii="Mulish" w:hAnsi="Mulish" w:cstheme="minorHAnsi"/>
          <w:bCs/>
          <w:sz w:val="22"/>
        </w:rPr>
      </w:pPr>
      <w:r w:rsidRPr="00015E91">
        <w:rPr>
          <w:rFonts w:ascii="Mulish" w:hAnsi="Mulish" w:cstheme="minorHAnsi"/>
          <w:bCs/>
          <w:sz w:val="22"/>
        </w:rPr>
        <w:t xml:space="preserve">Este Consejo valora positivamente </w:t>
      </w:r>
      <w:r w:rsidR="00FD7D2D">
        <w:rPr>
          <w:rFonts w:ascii="Mulish" w:hAnsi="Mulish" w:cstheme="minorHAnsi"/>
          <w:bCs/>
          <w:sz w:val="22"/>
        </w:rPr>
        <w:t>el interés de</w:t>
      </w:r>
      <w:r w:rsidR="007D002A">
        <w:rPr>
          <w:rFonts w:ascii="Mulish" w:hAnsi="Mulish" w:cstheme="minorHAnsi"/>
          <w:bCs/>
          <w:sz w:val="22"/>
        </w:rPr>
        <w:t xml:space="preserve"> </w:t>
      </w:r>
      <w:r w:rsidR="005740BB">
        <w:rPr>
          <w:rFonts w:ascii="Mulish" w:hAnsi="Mulish" w:cstheme="minorHAnsi"/>
          <w:bCs/>
          <w:sz w:val="22"/>
        </w:rPr>
        <w:t xml:space="preserve">la AP Marín </w:t>
      </w:r>
      <w:r w:rsidR="00FD7D2D">
        <w:rPr>
          <w:rFonts w:ascii="Mulish" w:hAnsi="Mulish" w:cstheme="minorHAnsi"/>
          <w:bCs/>
          <w:sz w:val="22"/>
        </w:rPr>
        <w:t>por la evaluación realizada y expresa su convencimiento de que,</w:t>
      </w:r>
      <w:r w:rsidR="00E100A2" w:rsidRPr="00E100A2">
        <w:rPr>
          <w:rFonts w:ascii="Mulish" w:hAnsi="Mulish" w:cstheme="minorHAnsi"/>
          <w:bCs/>
          <w:sz w:val="22"/>
        </w:rPr>
        <w:t xml:space="preserve"> con la adopción de las medidas que se indican en el </w:t>
      </w:r>
      <w:r w:rsidR="00F00F7E">
        <w:rPr>
          <w:rFonts w:ascii="Mulish" w:hAnsi="Mulish" w:cstheme="minorHAnsi"/>
          <w:bCs/>
          <w:sz w:val="22"/>
        </w:rPr>
        <w:t>documento</w:t>
      </w:r>
      <w:r w:rsidR="00E100A2" w:rsidRPr="00E100A2">
        <w:rPr>
          <w:rFonts w:ascii="Mulish" w:hAnsi="Mulish" w:cstheme="minorHAnsi"/>
          <w:bCs/>
          <w:sz w:val="22"/>
        </w:rPr>
        <w:t xml:space="preserve"> de observaciones y la asunción de las recomendaciones recogidas en la evaluación realizada, es</w:t>
      </w:r>
      <w:r w:rsidR="005740BB">
        <w:rPr>
          <w:rFonts w:ascii="Mulish" w:hAnsi="Mulish" w:cstheme="minorHAnsi"/>
          <w:bCs/>
          <w:sz w:val="22"/>
        </w:rPr>
        <w:t>a</w:t>
      </w:r>
      <w:r w:rsidR="00E100A2" w:rsidRPr="00E100A2">
        <w:rPr>
          <w:rFonts w:ascii="Mulish" w:hAnsi="Mulish" w:cstheme="minorHAnsi"/>
          <w:bCs/>
          <w:sz w:val="22"/>
        </w:rPr>
        <w:t xml:space="preserve"> </w:t>
      </w:r>
      <w:r w:rsidR="005535A8">
        <w:rPr>
          <w:rFonts w:ascii="Mulish" w:hAnsi="Mulish" w:cstheme="minorHAnsi"/>
          <w:bCs/>
          <w:sz w:val="22"/>
        </w:rPr>
        <w:t>entidad</w:t>
      </w:r>
      <w:r w:rsidR="00E100A2" w:rsidRPr="00E100A2">
        <w:rPr>
          <w:rFonts w:ascii="Mulish" w:hAnsi="Mulish" w:cstheme="minorHAnsi"/>
          <w:bCs/>
          <w:sz w:val="22"/>
        </w:rPr>
        <w:t xml:space="preserve"> logrará incrementar notablemente </w:t>
      </w:r>
      <w:r w:rsidR="00195DB1">
        <w:rPr>
          <w:rFonts w:ascii="Mulish" w:hAnsi="Mulish" w:cstheme="minorHAnsi"/>
          <w:bCs/>
          <w:sz w:val="22"/>
        </w:rPr>
        <w:t>su cumplimiento</w:t>
      </w:r>
      <w:r w:rsidR="00E100A2" w:rsidRPr="00E100A2">
        <w:rPr>
          <w:rFonts w:ascii="Mulish" w:hAnsi="Mulish" w:cstheme="minorHAnsi"/>
          <w:bCs/>
          <w:sz w:val="22"/>
        </w:rPr>
        <w:t xml:space="preserve"> con respecto a las obligaciones de publicidad activa establecidas en la LTAIBG.</w:t>
      </w:r>
    </w:p>
    <w:p w14:paraId="698CFD90" w14:textId="77777777" w:rsidR="00C2306E" w:rsidRPr="00015E91" w:rsidRDefault="00C2306E" w:rsidP="00D24172">
      <w:pPr>
        <w:autoSpaceDE w:val="0"/>
        <w:autoSpaceDN w:val="0"/>
        <w:adjustRightInd w:val="0"/>
        <w:spacing w:before="120" w:after="120"/>
        <w:jc w:val="right"/>
        <w:rPr>
          <w:rFonts w:ascii="Mulish" w:hAnsi="Mulish" w:cstheme="minorHAnsi"/>
          <w:sz w:val="22"/>
        </w:rPr>
      </w:pPr>
    </w:p>
    <w:p w14:paraId="60E86A8E" w14:textId="4EF340AC" w:rsidR="006F17B5" w:rsidRPr="00015E91" w:rsidRDefault="006F17B5" w:rsidP="00D24172">
      <w:pPr>
        <w:autoSpaceDE w:val="0"/>
        <w:autoSpaceDN w:val="0"/>
        <w:adjustRightInd w:val="0"/>
        <w:spacing w:before="120" w:after="120"/>
        <w:jc w:val="right"/>
        <w:rPr>
          <w:rFonts w:ascii="Mulish" w:hAnsi="Mulish"/>
          <w:sz w:val="22"/>
        </w:rPr>
      </w:pPr>
      <w:r w:rsidRPr="00015E91">
        <w:rPr>
          <w:rFonts w:ascii="Mulish" w:hAnsi="Mulish" w:cstheme="minorHAnsi"/>
          <w:sz w:val="22"/>
        </w:rPr>
        <w:t xml:space="preserve">Madrid, </w:t>
      </w:r>
      <w:r w:rsidR="00C40540">
        <w:rPr>
          <w:rFonts w:ascii="Mulish" w:hAnsi="Mulish" w:cstheme="minorHAnsi"/>
          <w:sz w:val="22"/>
        </w:rPr>
        <w:t>noviembre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8"/>
      <w:footerReference w:type="default" r:id="rId9"/>
      <w:headerReference w:type="first" r:id="rId10"/>
      <w:foot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8B3D" w14:textId="77777777" w:rsidR="0025657C" w:rsidRDefault="0025657C" w:rsidP="00344FE7">
      <w:pPr>
        <w:spacing w:after="0" w:line="240" w:lineRule="auto"/>
      </w:pPr>
      <w:r>
        <w:separator/>
      </w:r>
    </w:p>
  </w:endnote>
  <w:endnote w:type="continuationSeparator" w:id="0">
    <w:p w14:paraId="0F19D0FA" w14:textId="77777777" w:rsidR="0025657C" w:rsidRDefault="0025657C"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Mulish"/>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47235"/>
      <w:docPartObj>
        <w:docPartGallery w:val="Page Numbers (Bottom of Page)"/>
        <w:docPartUnique/>
      </w:docPartObj>
    </w:sdtPr>
    <w:sdtEndPr/>
    <w:sdtContent>
      <w:p w14:paraId="70213541" w14:textId="6A184793" w:rsidR="00C44678" w:rsidRDefault="00C44678">
        <w:pPr>
          <w:pStyle w:val="Piedepgina"/>
          <w:jc w:val="center"/>
        </w:pPr>
        <w:r>
          <w:fldChar w:fldCharType="begin"/>
        </w:r>
        <w:r>
          <w:instrText>PAGE   \* MERGEFORMAT</w:instrText>
        </w:r>
        <w:r>
          <w:fldChar w:fldCharType="separate"/>
        </w:r>
        <w:r>
          <w:t>2</w:t>
        </w:r>
        <w:r>
          <w:fldChar w:fldCharType="end"/>
        </w:r>
      </w:p>
    </w:sdtContent>
  </w:sdt>
  <w:p w14:paraId="1D609487" w14:textId="0109CD9A" w:rsidR="006262A2" w:rsidRPr="000A4252" w:rsidRDefault="006262A2" w:rsidP="00C23F36">
    <w:pPr>
      <w:pStyle w:val="Piedepgina"/>
      <w:jc w:val="center"/>
      <w:rPr>
        <w:rFonts w:ascii="Mulish" w:hAnsi="Mulish"/>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EFA5" w14:textId="77777777" w:rsidR="0025657C" w:rsidRDefault="0025657C" w:rsidP="00344FE7">
      <w:pPr>
        <w:spacing w:after="0" w:line="240" w:lineRule="auto"/>
      </w:pPr>
      <w:r>
        <w:separator/>
      </w:r>
    </w:p>
  </w:footnote>
  <w:footnote w:type="continuationSeparator" w:id="0">
    <w:p w14:paraId="12240E30" w14:textId="77777777" w:rsidR="0025657C" w:rsidRDefault="0025657C"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0" type="#_x0000_t75" style="width:11.45pt;height:11.45pt" o:bullet="t">
        <v:imagedata r:id="rId1" o:title="BD14529_"/>
      </v:shape>
    </w:pict>
  </w:numPicBullet>
  <w:numPicBullet w:numPicBulletId="1">
    <w:pict>
      <v:shape id="_x0000_i1971" type="#_x0000_t75" style="width:11.45pt;height:11.45pt" o:bullet="t">
        <v:imagedata r:id="rId2" o:title="BD14654_"/>
      </v:shape>
    </w:pict>
  </w:numPicBullet>
  <w:numPicBullet w:numPicBulletId="2">
    <w:pict>
      <v:shape id="_x0000_i1972" type="#_x0000_t75" style="width:8.25pt;height:8.25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5F6B"/>
    <w:rsid w:val="00006776"/>
    <w:rsid w:val="00011F8A"/>
    <w:rsid w:val="00015E91"/>
    <w:rsid w:val="00016B63"/>
    <w:rsid w:val="000234B9"/>
    <w:rsid w:val="000317B5"/>
    <w:rsid w:val="00031D70"/>
    <w:rsid w:val="00033E75"/>
    <w:rsid w:val="00034F48"/>
    <w:rsid w:val="00036A5D"/>
    <w:rsid w:val="00036F07"/>
    <w:rsid w:val="000371F8"/>
    <w:rsid w:val="00040E81"/>
    <w:rsid w:val="00043EA8"/>
    <w:rsid w:val="0005046E"/>
    <w:rsid w:val="0005249D"/>
    <w:rsid w:val="000561DC"/>
    <w:rsid w:val="00060034"/>
    <w:rsid w:val="00060272"/>
    <w:rsid w:val="00064E5B"/>
    <w:rsid w:val="00067539"/>
    <w:rsid w:val="00070294"/>
    <w:rsid w:val="00074030"/>
    <w:rsid w:val="00076DBA"/>
    <w:rsid w:val="0008581C"/>
    <w:rsid w:val="00090FD2"/>
    <w:rsid w:val="00094C4C"/>
    <w:rsid w:val="000A030D"/>
    <w:rsid w:val="000A3A9B"/>
    <w:rsid w:val="000A4252"/>
    <w:rsid w:val="000B1720"/>
    <w:rsid w:val="000B27F1"/>
    <w:rsid w:val="000C0AED"/>
    <w:rsid w:val="000C3365"/>
    <w:rsid w:val="000D1A47"/>
    <w:rsid w:val="000D2368"/>
    <w:rsid w:val="000D4422"/>
    <w:rsid w:val="000D56A5"/>
    <w:rsid w:val="000E01DE"/>
    <w:rsid w:val="000E6CE0"/>
    <w:rsid w:val="000F5905"/>
    <w:rsid w:val="00116028"/>
    <w:rsid w:val="00121140"/>
    <w:rsid w:val="001257F9"/>
    <w:rsid w:val="0013060A"/>
    <w:rsid w:val="00135257"/>
    <w:rsid w:val="001352EB"/>
    <w:rsid w:val="0013625B"/>
    <w:rsid w:val="0013739B"/>
    <w:rsid w:val="0014196C"/>
    <w:rsid w:val="00142A02"/>
    <w:rsid w:val="00150666"/>
    <w:rsid w:val="00151290"/>
    <w:rsid w:val="00151F3C"/>
    <w:rsid w:val="0016439B"/>
    <w:rsid w:val="001652F5"/>
    <w:rsid w:val="0017083D"/>
    <w:rsid w:val="001721EE"/>
    <w:rsid w:val="00173F0F"/>
    <w:rsid w:val="001750A8"/>
    <w:rsid w:val="0017575B"/>
    <w:rsid w:val="00175D6C"/>
    <w:rsid w:val="0018324C"/>
    <w:rsid w:val="00186B56"/>
    <w:rsid w:val="00186D18"/>
    <w:rsid w:val="00191140"/>
    <w:rsid w:val="0019362B"/>
    <w:rsid w:val="00194E05"/>
    <w:rsid w:val="00195DB1"/>
    <w:rsid w:val="001A0980"/>
    <w:rsid w:val="001A2FF0"/>
    <w:rsid w:val="001A4338"/>
    <w:rsid w:val="001B16D9"/>
    <w:rsid w:val="001B7352"/>
    <w:rsid w:val="001C05CD"/>
    <w:rsid w:val="001C3811"/>
    <w:rsid w:val="001C4133"/>
    <w:rsid w:val="001C6661"/>
    <w:rsid w:val="001D025B"/>
    <w:rsid w:val="001E13AE"/>
    <w:rsid w:val="001E1D09"/>
    <w:rsid w:val="001E1D71"/>
    <w:rsid w:val="001E41BB"/>
    <w:rsid w:val="001E44BC"/>
    <w:rsid w:val="001F2140"/>
    <w:rsid w:val="001F7EE6"/>
    <w:rsid w:val="002049DB"/>
    <w:rsid w:val="002062C9"/>
    <w:rsid w:val="0021116B"/>
    <w:rsid w:val="002114E3"/>
    <w:rsid w:val="0022025D"/>
    <w:rsid w:val="002240AC"/>
    <w:rsid w:val="00226E5C"/>
    <w:rsid w:val="00227BA1"/>
    <w:rsid w:val="00233E09"/>
    <w:rsid w:val="00234609"/>
    <w:rsid w:val="00235A40"/>
    <w:rsid w:val="00237D01"/>
    <w:rsid w:val="00251194"/>
    <w:rsid w:val="0025657C"/>
    <w:rsid w:val="00275F02"/>
    <w:rsid w:val="00283AC3"/>
    <w:rsid w:val="002924BB"/>
    <w:rsid w:val="00292806"/>
    <w:rsid w:val="00294C84"/>
    <w:rsid w:val="00295A57"/>
    <w:rsid w:val="002A4771"/>
    <w:rsid w:val="002A7691"/>
    <w:rsid w:val="002A7933"/>
    <w:rsid w:val="002C000A"/>
    <w:rsid w:val="002C39DE"/>
    <w:rsid w:val="002C4540"/>
    <w:rsid w:val="002D17D1"/>
    <w:rsid w:val="002E192A"/>
    <w:rsid w:val="002E27A2"/>
    <w:rsid w:val="002E52E9"/>
    <w:rsid w:val="002E5DC8"/>
    <w:rsid w:val="002F4F22"/>
    <w:rsid w:val="002F5D0B"/>
    <w:rsid w:val="002F7653"/>
    <w:rsid w:val="003026EA"/>
    <w:rsid w:val="00305D31"/>
    <w:rsid w:val="00311655"/>
    <w:rsid w:val="00323DEE"/>
    <w:rsid w:val="0032589C"/>
    <w:rsid w:val="003259B9"/>
    <w:rsid w:val="003265CE"/>
    <w:rsid w:val="003342C1"/>
    <w:rsid w:val="00334745"/>
    <w:rsid w:val="00335761"/>
    <w:rsid w:val="00336837"/>
    <w:rsid w:val="00341C61"/>
    <w:rsid w:val="00344FE7"/>
    <w:rsid w:val="00345797"/>
    <w:rsid w:val="00345D30"/>
    <w:rsid w:val="00351475"/>
    <w:rsid w:val="00355DEA"/>
    <w:rsid w:val="003564E8"/>
    <w:rsid w:val="003656B1"/>
    <w:rsid w:val="00377232"/>
    <w:rsid w:val="0038074D"/>
    <w:rsid w:val="0038090C"/>
    <w:rsid w:val="0038644A"/>
    <w:rsid w:val="00386840"/>
    <w:rsid w:val="00395742"/>
    <w:rsid w:val="003B5B12"/>
    <w:rsid w:val="003B5DE7"/>
    <w:rsid w:val="003C09C3"/>
    <w:rsid w:val="003C4ECC"/>
    <w:rsid w:val="003C753D"/>
    <w:rsid w:val="003D2C6C"/>
    <w:rsid w:val="003D3ADC"/>
    <w:rsid w:val="003D4794"/>
    <w:rsid w:val="003D52DF"/>
    <w:rsid w:val="003E19EE"/>
    <w:rsid w:val="003E39D0"/>
    <w:rsid w:val="003F0972"/>
    <w:rsid w:val="003F38BD"/>
    <w:rsid w:val="004108BB"/>
    <w:rsid w:val="00411495"/>
    <w:rsid w:val="00412278"/>
    <w:rsid w:val="004124E7"/>
    <w:rsid w:val="004249CF"/>
    <w:rsid w:val="004301F5"/>
    <w:rsid w:val="00431BD5"/>
    <w:rsid w:val="00432EC3"/>
    <w:rsid w:val="0043303A"/>
    <w:rsid w:val="00435013"/>
    <w:rsid w:val="00446FB5"/>
    <w:rsid w:val="004508BD"/>
    <w:rsid w:val="0045134F"/>
    <w:rsid w:val="004557A3"/>
    <w:rsid w:val="00460755"/>
    <w:rsid w:val="00461A13"/>
    <w:rsid w:val="00466973"/>
    <w:rsid w:val="00470F02"/>
    <w:rsid w:val="004750CA"/>
    <w:rsid w:val="004762CA"/>
    <w:rsid w:val="00476C7E"/>
    <w:rsid w:val="00483735"/>
    <w:rsid w:val="00486ED2"/>
    <w:rsid w:val="004946E8"/>
    <w:rsid w:val="004B15B8"/>
    <w:rsid w:val="004B4E57"/>
    <w:rsid w:val="004B618C"/>
    <w:rsid w:val="004B6F00"/>
    <w:rsid w:val="004C0BA7"/>
    <w:rsid w:val="004C50DD"/>
    <w:rsid w:val="004D07BB"/>
    <w:rsid w:val="004D29A6"/>
    <w:rsid w:val="004D4EF1"/>
    <w:rsid w:val="00501AF2"/>
    <w:rsid w:val="005022DD"/>
    <w:rsid w:val="0050398A"/>
    <w:rsid w:val="00525FCA"/>
    <w:rsid w:val="00530C1E"/>
    <w:rsid w:val="00531934"/>
    <w:rsid w:val="00531A19"/>
    <w:rsid w:val="0054250E"/>
    <w:rsid w:val="0055202A"/>
    <w:rsid w:val="005535A8"/>
    <w:rsid w:val="00556A2E"/>
    <w:rsid w:val="00560137"/>
    <w:rsid w:val="00565608"/>
    <w:rsid w:val="00567D29"/>
    <w:rsid w:val="005707B8"/>
    <w:rsid w:val="005726F1"/>
    <w:rsid w:val="0057296A"/>
    <w:rsid w:val="005740BB"/>
    <w:rsid w:val="005815A1"/>
    <w:rsid w:val="0059138C"/>
    <w:rsid w:val="005A36A8"/>
    <w:rsid w:val="005A4950"/>
    <w:rsid w:val="005A571D"/>
    <w:rsid w:val="005B1C12"/>
    <w:rsid w:val="005B49AF"/>
    <w:rsid w:val="005B5D0F"/>
    <w:rsid w:val="005C0138"/>
    <w:rsid w:val="005C0DBC"/>
    <w:rsid w:val="005C13BA"/>
    <w:rsid w:val="005C1871"/>
    <w:rsid w:val="005C2C5C"/>
    <w:rsid w:val="005C6837"/>
    <w:rsid w:val="005D1F68"/>
    <w:rsid w:val="005D6D56"/>
    <w:rsid w:val="005E5C8C"/>
    <w:rsid w:val="005F0570"/>
    <w:rsid w:val="005F319D"/>
    <w:rsid w:val="005F4305"/>
    <w:rsid w:val="00600780"/>
    <w:rsid w:val="00614890"/>
    <w:rsid w:val="00620AB5"/>
    <w:rsid w:val="00624F18"/>
    <w:rsid w:val="006262A2"/>
    <w:rsid w:val="00636FF6"/>
    <w:rsid w:val="0063796F"/>
    <w:rsid w:val="006615ED"/>
    <w:rsid w:val="0066237D"/>
    <w:rsid w:val="006667CB"/>
    <w:rsid w:val="00670FE9"/>
    <w:rsid w:val="00675A72"/>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17095"/>
    <w:rsid w:val="00722FA8"/>
    <w:rsid w:val="00727A3D"/>
    <w:rsid w:val="007342F2"/>
    <w:rsid w:val="0073431B"/>
    <w:rsid w:val="00741336"/>
    <w:rsid w:val="00745E83"/>
    <w:rsid w:val="00746999"/>
    <w:rsid w:val="007538BB"/>
    <w:rsid w:val="00757048"/>
    <w:rsid w:val="0075760D"/>
    <w:rsid w:val="0076144A"/>
    <w:rsid w:val="0076190E"/>
    <w:rsid w:val="00763149"/>
    <w:rsid w:val="007674D6"/>
    <w:rsid w:val="007704A4"/>
    <w:rsid w:val="007706FE"/>
    <w:rsid w:val="00770D41"/>
    <w:rsid w:val="00772AA2"/>
    <w:rsid w:val="00772C2A"/>
    <w:rsid w:val="007759D6"/>
    <w:rsid w:val="00782FEF"/>
    <w:rsid w:val="00783617"/>
    <w:rsid w:val="00791DD4"/>
    <w:rsid w:val="0079314F"/>
    <w:rsid w:val="00793687"/>
    <w:rsid w:val="007A393F"/>
    <w:rsid w:val="007A662D"/>
    <w:rsid w:val="007B482F"/>
    <w:rsid w:val="007C00E5"/>
    <w:rsid w:val="007C0642"/>
    <w:rsid w:val="007D002A"/>
    <w:rsid w:val="007D0928"/>
    <w:rsid w:val="007D24E2"/>
    <w:rsid w:val="007D5C55"/>
    <w:rsid w:val="007D768B"/>
    <w:rsid w:val="007F7653"/>
    <w:rsid w:val="008027DF"/>
    <w:rsid w:val="00811E9E"/>
    <w:rsid w:val="00811EF9"/>
    <w:rsid w:val="00813C07"/>
    <w:rsid w:val="00815DA2"/>
    <w:rsid w:val="0082512B"/>
    <w:rsid w:val="00847D10"/>
    <w:rsid w:val="00852EA4"/>
    <w:rsid w:val="00853100"/>
    <w:rsid w:val="00855564"/>
    <w:rsid w:val="00855ECA"/>
    <w:rsid w:val="00861B03"/>
    <w:rsid w:val="00866E7D"/>
    <w:rsid w:val="00876F9B"/>
    <w:rsid w:val="00882FD5"/>
    <w:rsid w:val="00884765"/>
    <w:rsid w:val="0088562A"/>
    <w:rsid w:val="00887DB9"/>
    <w:rsid w:val="00895B20"/>
    <w:rsid w:val="0089717A"/>
    <w:rsid w:val="008A7E35"/>
    <w:rsid w:val="008B28CA"/>
    <w:rsid w:val="008B36E5"/>
    <w:rsid w:val="008B5F75"/>
    <w:rsid w:val="008B68F4"/>
    <w:rsid w:val="008B79BD"/>
    <w:rsid w:val="008C6E5A"/>
    <w:rsid w:val="008D2F94"/>
    <w:rsid w:val="008E1ECD"/>
    <w:rsid w:val="008E39FA"/>
    <w:rsid w:val="008E67F2"/>
    <w:rsid w:val="008E7C95"/>
    <w:rsid w:val="008F0774"/>
    <w:rsid w:val="008F3EFB"/>
    <w:rsid w:val="008F7683"/>
    <w:rsid w:val="00900095"/>
    <w:rsid w:val="00900693"/>
    <w:rsid w:val="00901F1F"/>
    <w:rsid w:val="009029E0"/>
    <w:rsid w:val="00930BDC"/>
    <w:rsid w:val="00933935"/>
    <w:rsid w:val="0093537F"/>
    <w:rsid w:val="00940819"/>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3481"/>
    <w:rsid w:val="009B42D5"/>
    <w:rsid w:val="009B5178"/>
    <w:rsid w:val="009B7ADA"/>
    <w:rsid w:val="009C4DDE"/>
    <w:rsid w:val="009C71A6"/>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51EC3"/>
    <w:rsid w:val="00A5571D"/>
    <w:rsid w:val="00A603C7"/>
    <w:rsid w:val="00A6254E"/>
    <w:rsid w:val="00A62936"/>
    <w:rsid w:val="00A70779"/>
    <w:rsid w:val="00A72161"/>
    <w:rsid w:val="00A729F1"/>
    <w:rsid w:val="00A74E86"/>
    <w:rsid w:val="00A76101"/>
    <w:rsid w:val="00A7678C"/>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1D3F"/>
    <w:rsid w:val="00BC7A82"/>
    <w:rsid w:val="00BD28B4"/>
    <w:rsid w:val="00BD3143"/>
    <w:rsid w:val="00BE33B9"/>
    <w:rsid w:val="00BF1960"/>
    <w:rsid w:val="00BF3088"/>
    <w:rsid w:val="00C01613"/>
    <w:rsid w:val="00C01F58"/>
    <w:rsid w:val="00C0201F"/>
    <w:rsid w:val="00C04331"/>
    <w:rsid w:val="00C044D8"/>
    <w:rsid w:val="00C07820"/>
    <w:rsid w:val="00C119CE"/>
    <w:rsid w:val="00C13C51"/>
    <w:rsid w:val="00C17EE0"/>
    <w:rsid w:val="00C2306E"/>
    <w:rsid w:val="00C2379F"/>
    <w:rsid w:val="00C23F36"/>
    <w:rsid w:val="00C24A3E"/>
    <w:rsid w:val="00C25857"/>
    <w:rsid w:val="00C25FA5"/>
    <w:rsid w:val="00C305B6"/>
    <w:rsid w:val="00C3135F"/>
    <w:rsid w:val="00C363DF"/>
    <w:rsid w:val="00C36700"/>
    <w:rsid w:val="00C36F6A"/>
    <w:rsid w:val="00C404D7"/>
    <w:rsid w:val="00C40540"/>
    <w:rsid w:val="00C40F35"/>
    <w:rsid w:val="00C41CE1"/>
    <w:rsid w:val="00C44678"/>
    <w:rsid w:val="00C55BA2"/>
    <w:rsid w:val="00C63231"/>
    <w:rsid w:val="00C63312"/>
    <w:rsid w:val="00C736B9"/>
    <w:rsid w:val="00C75370"/>
    <w:rsid w:val="00C8139E"/>
    <w:rsid w:val="00C82AB2"/>
    <w:rsid w:val="00C87B1E"/>
    <w:rsid w:val="00C87BC3"/>
    <w:rsid w:val="00C91171"/>
    <w:rsid w:val="00C926FE"/>
    <w:rsid w:val="00C93B52"/>
    <w:rsid w:val="00C97678"/>
    <w:rsid w:val="00C976F6"/>
    <w:rsid w:val="00CA0645"/>
    <w:rsid w:val="00CA1D0B"/>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2163B"/>
    <w:rsid w:val="00D23111"/>
    <w:rsid w:val="00D2373E"/>
    <w:rsid w:val="00D24172"/>
    <w:rsid w:val="00D2462E"/>
    <w:rsid w:val="00D33343"/>
    <w:rsid w:val="00D35417"/>
    <w:rsid w:val="00D445A4"/>
    <w:rsid w:val="00D44E9D"/>
    <w:rsid w:val="00D47D22"/>
    <w:rsid w:val="00D53E68"/>
    <w:rsid w:val="00D545EE"/>
    <w:rsid w:val="00D55DED"/>
    <w:rsid w:val="00D605AB"/>
    <w:rsid w:val="00D623B7"/>
    <w:rsid w:val="00D633A0"/>
    <w:rsid w:val="00D72EF9"/>
    <w:rsid w:val="00D775DA"/>
    <w:rsid w:val="00D847B0"/>
    <w:rsid w:val="00D86830"/>
    <w:rsid w:val="00D92328"/>
    <w:rsid w:val="00D9250A"/>
    <w:rsid w:val="00D93B4C"/>
    <w:rsid w:val="00D97887"/>
    <w:rsid w:val="00DA126F"/>
    <w:rsid w:val="00DB21EC"/>
    <w:rsid w:val="00DB2CB4"/>
    <w:rsid w:val="00DB2CCC"/>
    <w:rsid w:val="00DC330E"/>
    <w:rsid w:val="00DC5DF7"/>
    <w:rsid w:val="00DC6CFC"/>
    <w:rsid w:val="00DD07B5"/>
    <w:rsid w:val="00DD38C9"/>
    <w:rsid w:val="00DD6316"/>
    <w:rsid w:val="00DF5982"/>
    <w:rsid w:val="00DF6938"/>
    <w:rsid w:val="00E03C82"/>
    <w:rsid w:val="00E03F75"/>
    <w:rsid w:val="00E100A2"/>
    <w:rsid w:val="00E2581E"/>
    <w:rsid w:val="00E3019A"/>
    <w:rsid w:val="00E33FEF"/>
    <w:rsid w:val="00E35741"/>
    <w:rsid w:val="00E4386D"/>
    <w:rsid w:val="00E475B6"/>
    <w:rsid w:val="00E47DF9"/>
    <w:rsid w:val="00E5135F"/>
    <w:rsid w:val="00E57291"/>
    <w:rsid w:val="00E63AE0"/>
    <w:rsid w:val="00E64F85"/>
    <w:rsid w:val="00E7376C"/>
    <w:rsid w:val="00E7410F"/>
    <w:rsid w:val="00E74922"/>
    <w:rsid w:val="00E7682D"/>
    <w:rsid w:val="00E935A6"/>
    <w:rsid w:val="00E950CB"/>
    <w:rsid w:val="00E95B46"/>
    <w:rsid w:val="00EB32E8"/>
    <w:rsid w:val="00EB4F16"/>
    <w:rsid w:val="00EB7058"/>
    <w:rsid w:val="00EB79A4"/>
    <w:rsid w:val="00EC076B"/>
    <w:rsid w:val="00EC0F90"/>
    <w:rsid w:val="00EC2E06"/>
    <w:rsid w:val="00EC3AAE"/>
    <w:rsid w:val="00EC6871"/>
    <w:rsid w:val="00ED24F8"/>
    <w:rsid w:val="00ED5289"/>
    <w:rsid w:val="00ED6FD3"/>
    <w:rsid w:val="00EE064E"/>
    <w:rsid w:val="00EE1E1D"/>
    <w:rsid w:val="00EF40EE"/>
    <w:rsid w:val="00EF5F68"/>
    <w:rsid w:val="00F00F7E"/>
    <w:rsid w:val="00F01784"/>
    <w:rsid w:val="00F04FD8"/>
    <w:rsid w:val="00F13031"/>
    <w:rsid w:val="00F17B00"/>
    <w:rsid w:val="00F21EEA"/>
    <w:rsid w:val="00F309D0"/>
    <w:rsid w:val="00F34994"/>
    <w:rsid w:val="00F34F89"/>
    <w:rsid w:val="00F369B5"/>
    <w:rsid w:val="00F40F21"/>
    <w:rsid w:val="00F43F74"/>
    <w:rsid w:val="00F450E6"/>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96D84"/>
    <w:rsid w:val="00FA2CB8"/>
    <w:rsid w:val="00FA448C"/>
    <w:rsid w:val="00FA593D"/>
    <w:rsid w:val="00FA710D"/>
    <w:rsid w:val="00FB398B"/>
    <w:rsid w:val="00FB5A7A"/>
    <w:rsid w:val="00FC3816"/>
    <w:rsid w:val="00FC651F"/>
    <w:rsid w:val="00FC736D"/>
    <w:rsid w:val="00FC7E2A"/>
    <w:rsid w:val="00FD1DF8"/>
    <w:rsid w:val="00FD280A"/>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Mencinsinresolver">
    <w:name w:val="Unresolved Mention"/>
    <w:basedOn w:val="Fuentedeprrafopredeter"/>
    <w:uiPriority w:val="99"/>
    <w:semiHidden/>
    <w:unhideWhenUsed/>
    <w:rsid w:val="008A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2165">
      <w:bodyDiv w:val="1"/>
      <w:marLeft w:val="0"/>
      <w:marRight w:val="0"/>
      <w:marTop w:val="0"/>
      <w:marBottom w:val="0"/>
      <w:divBdr>
        <w:top w:val="none" w:sz="0" w:space="0" w:color="auto"/>
        <w:left w:val="none" w:sz="0" w:space="0" w:color="auto"/>
        <w:bottom w:val="none" w:sz="0" w:space="0" w:color="auto"/>
        <w:right w:val="none" w:sz="0" w:space="0" w:color="auto"/>
      </w:divBdr>
    </w:div>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17</cp:revision>
  <cp:lastPrinted>2015-01-27T17:42:00Z</cp:lastPrinted>
  <dcterms:created xsi:type="dcterms:W3CDTF">2025-11-03T08:50:00Z</dcterms:created>
  <dcterms:modified xsi:type="dcterms:W3CDTF">2025-11-03T11:12:00Z</dcterms:modified>
</cp:coreProperties>
</file>