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6866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23DB8EA" w:rsidR="000C6CFF" w:rsidRPr="005A3C4E" w:rsidRDefault="00E8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Museo Nacional Centro de Arte Reina Sofía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2F8E6C75" w:rsidR="00CB4BF4" w:rsidRDefault="00E8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018ED666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6476E0">
              <w:rPr>
                <w:sz w:val="24"/>
                <w:szCs w:val="24"/>
              </w:rPr>
              <w:t>16/07/2025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1D517B23" w:rsidR="00E83F76" w:rsidRPr="00E83F76" w:rsidRDefault="006B4F25" w:rsidP="00E83F76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https://www.museoreinasofia.es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6B4F25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3120370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3B20429F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3E4E428E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5B5C0F49" w:rsidR="00CB5511" w:rsidRPr="005A3C4E" w:rsidRDefault="00E83F76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5C34B38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257E1732" w:rsidR="00560D54" w:rsidRPr="005A3C4E" w:rsidRDefault="00560D54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3B37B3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0298C2B" w:rsidR="00932008" w:rsidRPr="005A3C4E" w:rsidRDefault="00E83F76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52BAAE4D" w:rsidR="00E24139" w:rsidRPr="00396A23" w:rsidRDefault="00E83F76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E83F7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  <w:tc>
          <w:tcPr>
            <w:tcW w:w="2728" w:type="dxa"/>
          </w:tcPr>
          <w:p w14:paraId="1B3D21B6" w14:textId="2C9FBCC5" w:rsidR="00E24139" w:rsidRPr="00396A23" w:rsidRDefault="00E83F76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E83F7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  <w:tc>
          <w:tcPr>
            <w:tcW w:w="2051" w:type="dxa"/>
          </w:tcPr>
          <w:p w14:paraId="1343146B" w14:textId="07198B0A" w:rsidR="00E24139" w:rsidRPr="00396A23" w:rsidRDefault="00E83F76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71D78711" w:rsidR="00E24139" w:rsidRPr="00396A23" w:rsidRDefault="00E83F76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  <w:r w:rsidRPr="00E83F7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8,8</w:t>
            </w:r>
          </w:p>
        </w:tc>
        <w:tc>
          <w:tcPr>
            <w:tcW w:w="2728" w:type="dxa"/>
          </w:tcPr>
          <w:p w14:paraId="78459DA6" w14:textId="316F06C8" w:rsidR="00E24139" w:rsidRPr="00396A23" w:rsidRDefault="00825788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82578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</w:t>
            </w:r>
          </w:p>
        </w:tc>
        <w:tc>
          <w:tcPr>
            <w:tcW w:w="2051" w:type="dxa"/>
          </w:tcPr>
          <w:p w14:paraId="21BDE47D" w14:textId="300617BB" w:rsidR="00E24139" w:rsidRPr="00396A23" w:rsidRDefault="00A758CF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914FA">
        <w:trPr>
          <w:trHeight w:val="9058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>Relación de las recomendaciones efectuadas en la última evaluación</w:t>
            </w:r>
          </w:p>
          <w:p w14:paraId="76AD307B" w14:textId="77777777" w:rsidR="00E83F76" w:rsidRPr="006476E0" w:rsidRDefault="00E83F76" w:rsidP="00E83F76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83F76">
              <w:rPr>
                <w:sz w:val="20"/>
                <w:szCs w:val="20"/>
              </w:rPr>
              <w:t xml:space="preserve">Respecto de la localización y </w:t>
            </w:r>
            <w:r w:rsidRPr="006476E0">
              <w:rPr>
                <w:sz w:val="20"/>
                <w:szCs w:val="20"/>
              </w:rPr>
              <w:t>estructuración de la información, sigue sin habilitarse un espacio específico para la publicación de las informaciones obligatorias.</w:t>
            </w:r>
          </w:p>
          <w:p w14:paraId="6D29E627" w14:textId="77777777" w:rsidR="00E83F76" w:rsidRPr="006476E0" w:rsidRDefault="00E83F76" w:rsidP="00E83F76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7B6F4F97" w14:textId="77777777" w:rsidR="00E83F76" w:rsidRPr="006476E0" w:rsidRDefault="00E83F76" w:rsidP="00825788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Respecto de la publicación de contenidos, sigue sin publicarse:</w:t>
            </w:r>
          </w:p>
          <w:p w14:paraId="784D4392" w14:textId="77777777" w:rsidR="00E83F76" w:rsidRPr="006476E0" w:rsidRDefault="00E83F76" w:rsidP="00E83F76">
            <w:pPr>
              <w:pStyle w:val="Prrafodelista"/>
              <w:rPr>
                <w:sz w:val="20"/>
                <w:szCs w:val="20"/>
              </w:rPr>
            </w:pPr>
          </w:p>
          <w:p w14:paraId="472631A6" w14:textId="471B5556" w:rsidR="00E83F76" w:rsidRPr="006476E0" w:rsidRDefault="00E83F76" w:rsidP="00825788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 xml:space="preserve">Dentro del bloque de </w:t>
            </w:r>
            <w:r w:rsidR="00825788" w:rsidRPr="006476E0">
              <w:rPr>
                <w:sz w:val="20"/>
                <w:szCs w:val="20"/>
              </w:rPr>
              <w:t>I</w:t>
            </w:r>
            <w:r w:rsidRPr="006476E0">
              <w:rPr>
                <w:sz w:val="20"/>
                <w:szCs w:val="20"/>
              </w:rPr>
              <w:t xml:space="preserve">nformación </w:t>
            </w:r>
            <w:r w:rsidR="00825788" w:rsidRPr="006476E0">
              <w:rPr>
                <w:sz w:val="20"/>
                <w:szCs w:val="20"/>
              </w:rPr>
              <w:t>i</w:t>
            </w:r>
            <w:r w:rsidRPr="006476E0">
              <w:rPr>
                <w:sz w:val="20"/>
                <w:szCs w:val="20"/>
              </w:rPr>
              <w:t xml:space="preserve">nstitucional y </w:t>
            </w:r>
            <w:r w:rsidR="00825788" w:rsidRPr="006476E0">
              <w:rPr>
                <w:sz w:val="20"/>
                <w:szCs w:val="20"/>
              </w:rPr>
              <w:t>o</w:t>
            </w:r>
            <w:r w:rsidRPr="006476E0">
              <w:rPr>
                <w:sz w:val="20"/>
                <w:szCs w:val="20"/>
              </w:rPr>
              <w:t>rganizativa:</w:t>
            </w:r>
          </w:p>
          <w:p w14:paraId="1F4B7FA7" w14:textId="262D76B3" w:rsidR="00E83F76" w:rsidRPr="006476E0" w:rsidRDefault="00E83F76" w:rsidP="00825788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funciones</w:t>
            </w:r>
          </w:p>
          <w:p w14:paraId="2E6CF50C" w14:textId="5BCE888D" w:rsidR="00E83F76" w:rsidRPr="006476E0" w:rsidRDefault="00E83F76" w:rsidP="00825788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 descripción de la estructura organizativa, incluyendo órganos de gobierno y de gestión.</w:t>
            </w:r>
          </w:p>
          <w:p w14:paraId="25019CDC" w14:textId="7E71DA55" w:rsidR="00E83F76" w:rsidRPr="006476E0" w:rsidRDefault="00E83F76" w:rsidP="00825788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El perfil y trayectoria de los máximos responsables</w:t>
            </w:r>
          </w:p>
          <w:p w14:paraId="70D1F825" w14:textId="77777777" w:rsidR="00825788" w:rsidRPr="006476E0" w:rsidRDefault="00825788" w:rsidP="00825788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68A96601" w14:textId="77777777" w:rsidR="00E83F76" w:rsidRPr="006476E0" w:rsidRDefault="00E83F76" w:rsidP="00825788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6476E0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45BB1B9D" w14:textId="4BFA2697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modificaciones de contratos adjudicados.</w:t>
            </w:r>
          </w:p>
          <w:p w14:paraId="361F3B6A" w14:textId="598EF871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67372221" w14:textId="6805D3F9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492536E9" w14:textId="0F65F76D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Los convenios.</w:t>
            </w:r>
          </w:p>
          <w:p w14:paraId="33B86A34" w14:textId="5373FFD6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encomiendas de gestión.</w:t>
            </w:r>
          </w:p>
          <w:p w14:paraId="44CF1366" w14:textId="217E85D3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subcontrataciones derivadas de las encomiendas de gestión.</w:t>
            </w:r>
          </w:p>
          <w:p w14:paraId="572806F8" w14:textId="4E6D7BD2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Información actualizada sobre el presupuesto.</w:t>
            </w:r>
          </w:p>
          <w:p w14:paraId="35A04CE8" w14:textId="300E1CCD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Información sobre ejecución presupuestaria.</w:t>
            </w:r>
          </w:p>
          <w:p w14:paraId="61B340F0" w14:textId="5B9BC7F7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Información actualizada sobre las cuentas anuales.</w:t>
            </w:r>
          </w:p>
          <w:p w14:paraId="34CF1D2A" w14:textId="154D9B52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089EB645" w14:textId="415AE8C9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retribuciones percibidas por altos cargos y máximos responsables.</w:t>
            </w:r>
          </w:p>
          <w:p w14:paraId="4BC318A8" w14:textId="49EB1050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1695C996" w14:textId="253299F4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autorizaciones de compatibilidad concedidas a empleados del MNCARS.</w:t>
            </w:r>
          </w:p>
          <w:p w14:paraId="0B635032" w14:textId="77777777" w:rsidR="00E83F76" w:rsidRPr="006476E0" w:rsidRDefault="00E83F76" w:rsidP="00825788">
            <w:pPr>
              <w:pStyle w:val="Sinespaciado"/>
              <w:numPr>
                <w:ilvl w:val="0"/>
                <w:numId w:val="2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Las autorizaciones para el ejercicio de actividades privadas concedidas a altos cargos.</w:t>
            </w:r>
          </w:p>
          <w:p w14:paraId="7C083353" w14:textId="77777777" w:rsidR="00E83F76" w:rsidRPr="006476E0" w:rsidRDefault="00E83F76" w:rsidP="00E83F76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E7D5D8F" w14:textId="6667D1AC" w:rsidR="00FC0352" w:rsidRPr="00B914FA" w:rsidRDefault="00E83F76" w:rsidP="00825788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6476E0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 publicada en el Portal de Transparencia o en la</w:t>
            </w:r>
            <w:r w:rsidRPr="00E83F76">
              <w:rPr>
                <w:sz w:val="20"/>
                <w:szCs w:val="20"/>
              </w:rPr>
              <w:t xml:space="preserve"> web de la entidad.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59D1FF1" w:rsidR="00E34195" w:rsidRPr="005A3C4E" w:rsidRDefault="004D649C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La Ley reguladora y los Estatutos se localizan </w:t>
            </w:r>
            <w:r w:rsidR="00D530F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a través de la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parte inferior de la </w:t>
            </w:r>
            <w:r w:rsidR="00D530F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página home de la web/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Misión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No se ha localizado información sobre las normas que configuran el marco jurídico general que regula las actividades del organismo, como, por ejemplo, Ley 39/2015, la Ley 40/2015,. </w:t>
            </w:r>
            <w:r w:rsidR="001D55FD"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065238D" w:rsidR="00E34195" w:rsidRPr="00B42B98" w:rsidRDefault="004D649C" w:rsidP="004D649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96488E2" w:rsidR="00E34195" w:rsidRPr="005A3C4E" w:rsidRDefault="004D649C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010E6F6A" w:rsidR="00560D54" w:rsidRPr="00B42B98" w:rsidRDefault="00560D54" w:rsidP="00BC01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7AC71E28" w:rsidR="00560D54" w:rsidRPr="005A3C4E" w:rsidRDefault="00B77303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</w:t>
            </w:r>
            <w:r w:rsidR="004D649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 través de la parte inferior de la página home de la web/Protección de datos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4D649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Última actualización, 2021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22E720E5" w:rsidR="00560D54" w:rsidRPr="0069157E" w:rsidRDefault="004D649C" w:rsidP="004D649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43E78CF9" w:rsidR="00560D54" w:rsidRPr="005A3C4E" w:rsidRDefault="004D649C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B7730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513AE061" w:rsidR="00560D54" w:rsidRPr="007E6117" w:rsidRDefault="00560D54" w:rsidP="00211BA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604DB3FE" w:rsidR="00560D54" w:rsidRPr="005A3C4E" w:rsidRDefault="00211BA7" w:rsidP="00211BA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Localizado en </w:t>
            </w:r>
            <w:r w:rsidRPr="00211BA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museo/equipo</w:t>
            </w:r>
            <w:r w:rsidR="007E611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publica en formato no reutilizable y sin </w:t>
            </w:r>
            <w:r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referencias a la última fecha en la que se revisó o actualizó la información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836A3B4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CFD3620" w:rsidR="00560D54" w:rsidRPr="005A3C4E" w:rsidRDefault="00110B79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</w:t>
            </w:r>
            <w:r w:rsidR="007E611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a través de la </w:t>
            </w:r>
            <w:r w:rsidR="00083F9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parte inferior de la </w:t>
            </w:r>
            <w:r w:rsidR="007E611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página home de la web/</w:t>
            </w:r>
            <w:r w:rsidR="00083F9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Equipo y Patronato</w:t>
            </w:r>
            <w:r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2E856127" w:rsidR="00560D54" w:rsidRPr="0069157E" w:rsidRDefault="00560D54" w:rsidP="00211BA7">
            <w:pPr>
              <w:pStyle w:val="Cuerpodelboletn"/>
              <w:numPr>
                <w:ilvl w:val="0"/>
                <w:numId w:val="27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FCC6AC9" w:rsidR="00560D54" w:rsidRPr="005A3C4E" w:rsidRDefault="00211BA7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Se publica la información en </w:t>
            </w:r>
            <w:r w:rsidR="00976359" w:rsidRPr="00211BA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museo/equipo</w:t>
            </w:r>
            <w:r w:rsidR="009763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, con excepción del gerente. No existen referencias a la última fecha en la que se revisó o actualizó la información.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51EEC3A1" w:rsidR="00560D54" w:rsidRPr="00B85683" w:rsidRDefault="00560D54" w:rsidP="003953F6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4DEB8EC1" w:rsidR="00560D54" w:rsidRPr="005A3C4E" w:rsidRDefault="003953F6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 </w:t>
            </w:r>
            <w:r w:rsidRPr="003953F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través de la parte inferior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la página home de la web/Plan General de actuación se localiza el Plan General de </w:t>
            </w:r>
            <w:r w:rsidRPr="00DF6C0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Actuación 2022-2024 y los correspondientes planes operativos anuales.</w:t>
            </w:r>
            <w:r w:rsidR="00BD4FCB" w:rsidRPr="00DF6C0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DF6C0D" w:rsidRPr="00DF6C0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También se publica el Proyecto 2023-2028</w:t>
            </w:r>
            <w:r w:rsidR="00BD4FCB" w:rsidRPr="00DF6C0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144161A3" w:rsidR="00560D54" w:rsidRPr="00F72800" w:rsidRDefault="00DF6C0D" w:rsidP="00DF6C0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15B81B3B" w:rsidR="00560D54" w:rsidRPr="005A3C4E" w:rsidRDefault="003953F6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parte inferior de la página home de la web/Plan General de Actuación</w:t>
            </w:r>
            <w:r w:rsidR="00BD4FC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la evaluación del Plan General de Actuación 2018-2021</w:t>
            </w:r>
            <w:r w:rsidR="00F7280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DF6C0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Dado el tiempo transcurrido, no puede darse por cumplida la obligación porque la información ha quedado obsoleta.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B6B0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48EEAD04" w:rsidR="00560D54" w:rsidRPr="00F72800" w:rsidRDefault="003B6B03" w:rsidP="003B6B0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0ED17830" w:rsidR="00560D54" w:rsidRPr="005A3C4E" w:rsidRDefault="003B6B03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BD4FC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897C19D" w14:textId="77777777" w:rsidR="00A433B4" w:rsidRDefault="00A433B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4A029E6" w14:textId="3EB95FAA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información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BC348C7">
                <wp:simplePos x="0" y="0"/>
                <wp:positionH relativeFrom="column">
                  <wp:posOffset>288298</wp:posOffset>
                </wp:positionH>
                <wp:positionV relativeFrom="paragraph">
                  <wp:posOffset>138402</wp:posOffset>
                </wp:positionV>
                <wp:extent cx="6353175" cy="3040234"/>
                <wp:effectExtent l="0" t="0" r="28575" b="273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040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0C1C8E2B" w14:textId="3E19F47E" w:rsidR="00BD4FCB" w:rsidRPr="00BD4FCB" w:rsidRDefault="00231B7E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</w:t>
                            </w:r>
                            <w:r w:rsidR="00BB6FE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4FCB">
                              <w:rPr>
                                <w:bCs/>
                                <w:sz w:val="20"/>
                                <w:szCs w:val="20"/>
                              </w:rPr>
                              <w:t>las funciones del organismo.</w:t>
                            </w:r>
                          </w:p>
                          <w:p w14:paraId="04C55713" w14:textId="0D89F841" w:rsidR="00BD4FCB" w:rsidRPr="00BD4FCB" w:rsidRDefault="00BD4FCB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la estructura organizativa del organismo, incluyendo órganos de gestión y de gobierno.</w:t>
                            </w:r>
                          </w:p>
                          <w:p w14:paraId="25BA49A9" w14:textId="5F0F8F47" w:rsidR="003B6B03" w:rsidRPr="003B6B03" w:rsidRDefault="003B6B03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el grado de cumplimiento de planes y programas.</w:t>
                            </w:r>
                          </w:p>
                          <w:p w14:paraId="72F88BFA" w14:textId="53BB052D" w:rsidR="003B6B03" w:rsidRPr="00BD4FCB" w:rsidRDefault="003B6B03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indicadores de medida y valoración de planes y programas.</w:t>
                            </w:r>
                          </w:p>
                          <w:p w14:paraId="00783826" w14:textId="77777777" w:rsidR="00774899" w:rsidRDefault="00774899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261EA3A2" w:rsidR="00231B7E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75B2C189" w14:textId="77777777" w:rsidR="00976359" w:rsidRDefault="00976359" w:rsidP="0097635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siempre</w:t>
                            </w: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 ni existen referencias a la última vez que se revisó o actualizó la información.</w:t>
                            </w:r>
                          </w:p>
                          <w:p w14:paraId="401FDF69" w14:textId="77777777" w:rsidR="00976359" w:rsidRPr="001D0329" w:rsidRDefault="00976359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2C81F58" w14:textId="6725C94B" w:rsidR="00231B7E" w:rsidRDefault="00231B7E" w:rsidP="00CF331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D4FCB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 siempre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7pt;margin-top:10.9pt;width:500.25pt;height:2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0C1C8E2B" w14:textId="3E19F47E" w:rsidR="00BD4FCB" w:rsidRPr="00BD4FCB" w:rsidRDefault="00231B7E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</w:t>
                      </w:r>
                      <w:r w:rsidR="00BB6FE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D4FCB">
                        <w:rPr>
                          <w:bCs/>
                          <w:sz w:val="20"/>
                          <w:szCs w:val="20"/>
                        </w:rPr>
                        <w:t>las funciones del organismo.</w:t>
                      </w:r>
                    </w:p>
                    <w:p w14:paraId="04C55713" w14:textId="0D89F841" w:rsidR="00BD4FCB" w:rsidRPr="00BD4FCB" w:rsidRDefault="00BD4FCB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la estructura organizativa del organismo, incluyendo órganos de gestión y de gobierno.</w:t>
                      </w:r>
                    </w:p>
                    <w:p w14:paraId="25BA49A9" w14:textId="5F0F8F47" w:rsidR="003B6B03" w:rsidRPr="003B6B03" w:rsidRDefault="003B6B03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el grado de cumplimiento de planes y programas.</w:t>
                      </w:r>
                    </w:p>
                    <w:p w14:paraId="72F88BFA" w14:textId="53BB052D" w:rsidR="003B6B03" w:rsidRPr="00BD4FCB" w:rsidRDefault="003B6B03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indicadores de medida y valoración de planes y programas.</w:t>
                      </w:r>
                    </w:p>
                    <w:p w14:paraId="00783826" w14:textId="77777777" w:rsidR="00774899" w:rsidRDefault="00774899" w:rsidP="00231B7E">
                      <w:pPr>
                        <w:rPr>
                          <w:b/>
                          <w:color w:val="3C8378"/>
                        </w:rPr>
                      </w:pPr>
                    </w:p>
                    <w:p w14:paraId="6A3F2054" w14:textId="261EA3A2" w:rsidR="00231B7E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75B2C189" w14:textId="77777777" w:rsidR="00976359" w:rsidRDefault="00976359" w:rsidP="0097635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siempre</w:t>
                      </w:r>
                      <w:r w:rsidRPr="003D66A4">
                        <w:rPr>
                          <w:bCs/>
                          <w:sz w:val="20"/>
                          <w:szCs w:val="20"/>
                        </w:rPr>
                        <w:t xml:space="preserve"> datada ni existen referencias a la última vez que se revisó o actualizó la información.</w:t>
                      </w:r>
                    </w:p>
                    <w:p w14:paraId="401FDF69" w14:textId="77777777" w:rsidR="00976359" w:rsidRPr="001D0329" w:rsidRDefault="00976359" w:rsidP="00231B7E">
                      <w:pPr>
                        <w:rPr>
                          <w:b/>
                          <w:color w:val="3C8378"/>
                        </w:rPr>
                      </w:pPr>
                    </w:p>
                    <w:p w14:paraId="12C81F58" w14:textId="6725C94B" w:rsidR="00231B7E" w:rsidRDefault="00231B7E" w:rsidP="00CF331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BD4FCB">
                        <w:rPr>
                          <w:bCs/>
                          <w:sz w:val="20"/>
                          <w:szCs w:val="20"/>
                        </w:rPr>
                        <w:t>La información publicada no está siempre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5D6D8583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A7CEAD" w14:textId="39B0A5C1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D3ADF6" w14:textId="46EC7233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E5F075" w14:textId="77777777" w:rsidR="00A433B4" w:rsidRDefault="00A433B4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0002D107" w:rsidR="006A2766" w:rsidRPr="000E4352" w:rsidRDefault="006A2766" w:rsidP="00B33DC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755EB372" w:rsidR="006A2766" w:rsidRPr="005A3C4E" w:rsidRDefault="00445B10" w:rsidP="00B33D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color w:val="auto"/>
                <w:sz w:val="20"/>
                <w:szCs w:val="20"/>
              </w:rPr>
              <w:t>Dadas las funciones del Museo, se ha considerado no aplicable esta obligación.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Documentos que deban ser sometidos a información pública en aplicación de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8FD8D9A" w:rsidR="001E30F9" w:rsidRPr="00012FDA" w:rsidRDefault="001E30F9" w:rsidP="00445B1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66662DF2" w:rsidR="001E30F9" w:rsidRPr="005A3C4E" w:rsidRDefault="00445B10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color w:val="auto"/>
                <w:sz w:val="20"/>
                <w:szCs w:val="20"/>
              </w:rPr>
              <w:t>Dadas las funciones del Museo, se ha considerado no aplicable esta obligación.</w:t>
            </w:r>
          </w:p>
        </w:tc>
      </w:tr>
    </w:tbl>
    <w:p w14:paraId="66190986" w14:textId="77777777" w:rsidR="004A4113" w:rsidRDefault="004A4113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0812D24F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131F26F7" w:rsidR="00C33A23" w:rsidRPr="007F7992" w:rsidRDefault="00C33A23" w:rsidP="006C427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FC0DAA3" w:rsidR="00C33A23" w:rsidRPr="005A3C4E" w:rsidRDefault="006C427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a</w:t>
            </w:r>
            <w:r w:rsidR="00D903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través </w:t>
            </w:r>
            <w:r w:rsidR="00D903FE" w:rsidRPr="006C427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la parte inferior de la página</w:t>
            </w:r>
            <w:r w:rsidR="00D903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home de la web/Contratación se accede a un enlace denominado Plataforma de Contratación del Estado,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que posiciona en el perfil del organismo</w:t>
            </w:r>
            <w:r w:rsidR="00C84EC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62FE4C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0B2233C7" w:rsidR="00C33A23" w:rsidRPr="007F7992" w:rsidRDefault="00C33A23" w:rsidP="006C427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565EDE1A" w:rsidR="00C33A23" w:rsidRPr="005A3C4E" w:rsidRDefault="006C427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E8B246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698F4713" w:rsidR="00C33A23" w:rsidRPr="007F7992" w:rsidRDefault="00C33A23" w:rsidP="004A411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6A727ACB" w:rsidR="00C33A23" w:rsidRPr="005A3C4E" w:rsidRDefault="006C427F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a través </w:t>
            </w:r>
            <w:r w:rsidRPr="006C427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la parte inferior de la página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home de la web/Contratación se accede a un enlace denominado Plataforma de Contratación del Estado, que posiciona en el perfil del organismo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2703AB93" w:rsidR="00C33A23" w:rsidRPr="001400C0" w:rsidRDefault="004B2814" w:rsidP="004B281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8671D75" w:rsidR="00C33A23" w:rsidRPr="005A3C4E" w:rsidRDefault="004B2814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3B1EF9CA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4B809159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FF01C99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ECC177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56E5B80" w:rsidR="009609E9" w:rsidRPr="001400C0" w:rsidRDefault="009609E9" w:rsidP="004B2814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5255A9D" w:rsidR="001C72D3" w:rsidRPr="005A3C4E" w:rsidRDefault="004B2814" w:rsidP="00D823E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A través de la </w:t>
            </w:r>
            <w:r w:rsidR="0085086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parte inferior de la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página home de la web/E</w:t>
            </w:r>
            <w:r w:rsidRPr="00F33F3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mpleo, Becas y Concursos.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FC5F1B3" w:rsidR="00F47C3B" w:rsidRPr="001400C0" w:rsidRDefault="00F47C3B" w:rsidP="006C5A9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EE9E897" w:rsidR="00F47C3B" w:rsidRPr="005A3C4E" w:rsidRDefault="0085086F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parte inferior de la página home de la web/Datos económicos se localiza el presupuesto 2023</w:t>
            </w:r>
            <w:r w:rsidR="006C5A9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se hace mención a que ha sido prorrogado.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42680AED" w:rsidR="00F47C3B" w:rsidRPr="001400C0" w:rsidRDefault="00F47C3B" w:rsidP="004A411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1EB272F3" w:rsidR="00F47C3B" w:rsidRPr="005A3C4E" w:rsidRDefault="00660B7B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parte inferior de la página home de la web/Datos económicos se localizan las cuentas anuales de 202</w:t>
            </w:r>
            <w:r w:rsidR="004A41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3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245A65E" w:rsidR="00F47C3B" w:rsidRPr="00F339DA" w:rsidRDefault="00F339DA" w:rsidP="00F339D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348FA7B" w:rsidR="00F47C3B" w:rsidRPr="005A3C4E" w:rsidRDefault="00660B7B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parte inferior de la página home de la web/Datos económicos se localizan los informes de l</w:t>
            </w:r>
            <w:r w:rsidR="00DA26F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IGAE, que es un órgano de</w:t>
            </w:r>
            <w:r w:rsidR="00DC3E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control interno, pero no los del Tribunal de Cuentas, órgano de control externo de la AGE, que es a lo que se refiere el contenido material de esta obligación.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D41EE70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1976A2BD" w:rsidR="00C23166" w:rsidRPr="005A3C4E" w:rsidRDefault="00660B7B" w:rsidP="00DA26F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2543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97DDB74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21440C2" w:rsidR="00C23166" w:rsidRPr="005A3C4E" w:rsidRDefault="00660B7B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  <w:r w:rsidR="00F80DC2"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80DC2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0B67AAE0" w:rsidR="00F80DC2" w:rsidRPr="00091D2B" w:rsidRDefault="00F80DC2" w:rsidP="00F80DC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7613C61F" w:rsidR="00F80DC2" w:rsidRPr="005A3C4E" w:rsidRDefault="00660B7B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80DC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80DC2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1BA7FE5" w:rsidR="00F80DC2" w:rsidRPr="00091D2B" w:rsidRDefault="00F80DC2" w:rsidP="00F80DC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91D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119D07FF" w:rsidR="00F80DC2" w:rsidRPr="005A3C4E" w:rsidRDefault="001F1FFC" w:rsidP="0087171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80DC2"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80DC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16A45A6" w:rsidR="00F80DC2" w:rsidRPr="00091D2B" w:rsidRDefault="00F80DC2" w:rsidP="00F80DC2">
            <w:pPr>
              <w:pStyle w:val="Cuerpodelboletn"/>
              <w:numPr>
                <w:ilvl w:val="0"/>
                <w:numId w:val="8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5A2C5083" w:rsidR="00F80DC2" w:rsidRPr="005A3C4E" w:rsidRDefault="00F80DC2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</w:t>
            </w:r>
            <w:r w:rsidR="001F1FF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parte inferior de la página home de la web/Memoria de actividades la correspondiente a 2023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FBC1104" w14:textId="77777777" w:rsidR="00A433B4" w:rsidRDefault="00A433B4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4B46A1DA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</w:t>
      </w:r>
      <w:r w:rsidRPr="00B1787E">
        <w:rPr>
          <w:rStyle w:val="Ttulo2Car"/>
          <w:lang w:bidi="es-ES"/>
        </w:rPr>
        <w:t xml:space="preserve">la </w:t>
      </w:r>
      <w:r w:rsidR="002A154B" w:rsidRPr="00B1787E">
        <w:rPr>
          <w:rStyle w:val="Ttulo2Car"/>
          <w:lang w:bidi="es-ES"/>
        </w:rPr>
        <w:t>I</w:t>
      </w:r>
      <w:r w:rsidRPr="00B1787E">
        <w:rPr>
          <w:rStyle w:val="Ttulo2Car"/>
          <w:lang w:bidi="es-ES"/>
        </w:rPr>
        <w:t xml:space="preserve">nformación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758118CA">
                <wp:simplePos x="0" y="0"/>
                <wp:positionH relativeFrom="margin">
                  <wp:posOffset>228600</wp:posOffset>
                </wp:positionH>
                <wp:positionV relativeFrom="paragraph">
                  <wp:posOffset>127000</wp:posOffset>
                </wp:positionV>
                <wp:extent cx="6391275" cy="50482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04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5443BA51" w14:textId="3818E75E" w:rsidR="00091D2B" w:rsidRDefault="00B1787E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091D2B">
                              <w:rPr>
                                <w:sz w:val="20"/>
                                <w:szCs w:val="20"/>
                              </w:rPr>
                              <w:t>modificaciones de contratos.</w:t>
                            </w:r>
                          </w:p>
                          <w:p w14:paraId="1C5F8587" w14:textId="7777777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5DBCCDDE" w14:textId="77777777" w:rsidR="00291FC2" w:rsidRPr="00154B1B" w:rsidRDefault="00291FC2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37E3E7BE" w14:textId="77777777" w:rsidR="00091D2B" w:rsidRPr="00145C38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5C38">
                              <w:rPr>
                                <w:sz w:val="20"/>
                                <w:szCs w:val="20"/>
                              </w:rPr>
                              <w:t>No se ha localizado sobre encomiendas derivadas de convenios.</w:t>
                            </w:r>
                          </w:p>
                          <w:p w14:paraId="3D3E3A57" w14:textId="35081659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subcontrataciones.</w:t>
                            </w:r>
                          </w:p>
                          <w:p w14:paraId="55A130C8" w14:textId="7777777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23D93E00" w14:textId="3A0EDDB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A712FD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las retribuciones anuales de los altos cargos y máximos responsables.</w:t>
                            </w:r>
                          </w:p>
                          <w:p w14:paraId="602C5B91" w14:textId="4FB977D5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A568B9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indemnizaciones percibidas por altos cargos y máximos responsables con ocasión del abandono del cargo.</w:t>
                            </w:r>
                          </w:p>
                          <w:p w14:paraId="602E919E" w14:textId="114FA5D2" w:rsidR="00204440" w:rsidRDefault="00204440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accesible en la web sobre resoluciones de autorización o reconocimiento de compatibilidad que afecten a los empleados.</w:t>
                            </w:r>
                          </w:p>
                          <w:p w14:paraId="4228F3EA" w14:textId="1F00469C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A568B9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autorizaciones para actividad privada al cese de altos cargos en la AGE.</w:t>
                            </w:r>
                          </w:p>
                          <w:p w14:paraId="13AE1A32" w14:textId="12A50794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70D3025" w14:textId="7551575E" w:rsidR="000D6B7B" w:rsidRPr="004A4113" w:rsidRDefault="00A568B9" w:rsidP="004A4113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568B9">
                              <w:rPr>
                                <w:sz w:val="20"/>
                                <w:szCs w:val="20"/>
                              </w:rPr>
                              <w:t>No existen referencias a la fecha en que se revisó o actualizó la información por última vez, por lo que no se puede afirmar que la información publicada cumpla el requisito de actualización.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10pt;width:503.25pt;height:39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5443BA51" w14:textId="3818E75E" w:rsidR="00091D2B" w:rsidRDefault="00B1787E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091D2B">
                        <w:rPr>
                          <w:sz w:val="20"/>
                          <w:szCs w:val="20"/>
                        </w:rPr>
                        <w:t>modificaciones de contratos.</w:t>
                      </w:r>
                    </w:p>
                    <w:p w14:paraId="1C5F8587" w14:textId="7777777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5DBCCDDE" w14:textId="77777777" w:rsidR="00291FC2" w:rsidRPr="00154B1B" w:rsidRDefault="00291FC2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37E3E7BE" w14:textId="77777777" w:rsidR="00091D2B" w:rsidRPr="00145C38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45C38">
                        <w:rPr>
                          <w:sz w:val="20"/>
                          <w:szCs w:val="20"/>
                        </w:rPr>
                        <w:t>No se ha localizado sobre encomiendas derivadas de convenios.</w:t>
                      </w:r>
                    </w:p>
                    <w:p w14:paraId="3D3E3A57" w14:textId="35081659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subcontrataciones.</w:t>
                      </w:r>
                    </w:p>
                    <w:p w14:paraId="55A130C8" w14:textId="7777777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23D93E00" w14:textId="3A0EDDB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A712FD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>sobre las retribuciones anuales de los altos cargos y máximos responsables.</w:t>
                      </w:r>
                    </w:p>
                    <w:p w14:paraId="602C5B91" w14:textId="4FB977D5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A568B9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>sobre indemnizaciones percibidas por altos cargos y máximos responsables con ocasión del abandono del cargo.</w:t>
                      </w:r>
                    </w:p>
                    <w:p w14:paraId="602E919E" w14:textId="114FA5D2" w:rsidR="00204440" w:rsidRDefault="00204440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accesible en la web sobre resoluciones de autorización o reconocimiento de compatibilidad que afecten a los empleados.</w:t>
                      </w:r>
                    </w:p>
                    <w:p w14:paraId="4228F3EA" w14:textId="1F00469C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A568B9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>sobre autorizaciones para actividad privada al cese de altos cargos en la AGE.</w:t>
                      </w:r>
                    </w:p>
                    <w:p w14:paraId="13AE1A32" w14:textId="12A50794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70D3025" w14:textId="7551575E" w:rsidR="000D6B7B" w:rsidRPr="004A4113" w:rsidRDefault="00A568B9" w:rsidP="004A4113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A568B9">
                        <w:rPr>
                          <w:sz w:val="20"/>
                          <w:szCs w:val="20"/>
                        </w:rPr>
                        <w:t>No existen referencias a la fecha en que se revisó o actualizó la información por última vez, por lo que no se puede afirmar que la información publicada cumpla el requisito de actualización.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832E90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219266" w14:textId="16FA0E07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8D426" w14:textId="11EF72B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A10F089" w14:textId="66E87CA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002038F" w14:textId="684F3AF8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2963AE0" w14:textId="185D719A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3DBECB2" w14:textId="74A0EF5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D0B0DCF" w14:textId="17DF1CA5" w:rsidR="004A4113" w:rsidRDefault="004A4113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63B1F0E" w14:textId="77777777" w:rsidR="005318AF" w:rsidRDefault="005318AF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01796C60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55467F23" w:rsidR="00BD4582" w:rsidRPr="007A0664" w:rsidRDefault="00BD4582" w:rsidP="0001377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509C6038" w:rsidR="00BD4582" w:rsidRPr="005A3C4E" w:rsidRDefault="0001377F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a través de la parte inferior de la página home de la web/Sedes.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 w:rsidR="007A0664" w:rsidRPr="007A06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233ABE50" w14:textId="77777777" w:rsidR="00204440" w:rsidRDefault="0020444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0729D96" w14:textId="1CE5CB14" w:rsidR="002A154B" w:rsidRDefault="002A154B" w:rsidP="00A433B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6A768B22">
                <wp:simplePos x="0" y="0"/>
                <wp:positionH relativeFrom="column">
                  <wp:posOffset>279400</wp:posOffset>
                </wp:positionH>
                <wp:positionV relativeFrom="paragraph">
                  <wp:posOffset>4445</wp:posOffset>
                </wp:positionV>
                <wp:extent cx="6381750" cy="146685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1BEA5202" w:rsidR="007A0664" w:rsidRDefault="0001377F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92A0E24" w14:textId="77777777" w:rsidR="0001377F" w:rsidRDefault="0001377F" w:rsidP="0001377F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568B9">
                              <w:rPr>
                                <w:sz w:val="20"/>
                                <w:szCs w:val="20"/>
                              </w:rPr>
                              <w:t>No existen referencias a la fecha en que se revisó o actualizó la información por última vez, por lo que no se puede afirmar que la información publicada cumpla el requisito de actualización.</w:t>
                            </w:r>
                          </w:p>
                          <w:p w14:paraId="78936D8B" w14:textId="77777777" w:rsidR="0001377F" w:rsidRDefault="0001377F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8" type="#_x0000_t202" style="position:absolute;left:0;text-align:left;margin-left:22pt;margin-top:.35pt;width:502.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1BEA5202" w:rsidR="007A0664" w:rsidRDefault="0001377F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92A0E24" w14:textId="77777777" w:rsidR="0001377F" w:rsidRDefault="0001377F" w:rsidP="0001377F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A568B9">
                        <w:rPr>
                          <w:sz w:val="20"/>
                          <w:szCs w:val="20"/>
                        </w:rPr>
                        <w:t>No existen referencias a la fecha en que se revisó o actualizó la información por última vez, por lo que no se puede afirmar que la información publicada cumpla el requisito de actualización.</w:t>
                      </w:r>
                    </w:p>
                    <w:p w14:paraId="78936D8B" w14:textId="77777777" w:rsidR="0001377F" w:rsidRDefault="0001377F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4ADE784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3B88B77" w14:textId="69CB2800" w:rsidR="0001377F" w:rsidRDefault="0001377F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CA64B0" w14:textId="77777777" w:rsidR="0001377F" w:rsidRDefault="0001377F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A2C7D71" w14:textId="3388BD94" w:rsidR="00987074" w:rsidRPr="00A433B4" w:rsidRDefault="00BD4582" w:rsidP="00A433B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7"/>
        <w:gridCol w:w="747"/>
        <w:gridCol w:w="747"/>
        <w:gridCol w:w="747"/>
        <w:gridCol w:w="747"/>
        <w:gridCol w:w="747"/>
        <w:gridCol w:w="745"/>
      </w:tblGrid>
      <w:tr w:rsidR="00987074" w:rsidRPr="00987074" w14:paraId="7821E799" w14:textId="77777777" w:rsidTr="00987074">
        <w:trPr>
          <w:divId w:val="208273812"/>
          <w:trHeight w:val="1245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1C123AB7" w14:textId="0DE30B13" w:rsidR="00987074" w:rsidRPr="00987074" w:rsidRDefault="00987074" w:rsidP="00987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7074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263334F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2B41EDA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310556C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4A9D641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28D5ED1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47B64A5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CD0FD48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891B037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987074" w:rsidRPr="00987074" w14:paraId="509ED5C9" w14:textId="77777777" w:rsidTr="00987074">
        <w:trPr>
          <w:divId w:val="208273812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7BECC92" w14:textId="77777777" w:rsidR="00987074" w:rsidRPr="00987074" w:rsidRDefault="00987074" w:rsidP="0098707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BADDC5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4DABB84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586EA0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98C865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4C7D1F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68CB1B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44912A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81E79A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52,9</w:t>
            </w:r>
          </w:p>
        </w:tc>
      </w:tr>
      <w:tr w:rsidR="00987074" w:rsidRPr="00987074" w14:paraId="46F2C4F5" w14:textId="77777777" w:rsidTr="00987074">
        <w:trPr>
          <w:divId w:val="208273812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87C6DDC" w14:textId="77777777" w:rsidR="00987074" w:rsidRPr="00987074" w:rsidRDefault="00987074" w:rsidP="00987074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8F9C10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62F77E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BD62E8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8838B9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F4CDE6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8BCF56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9E0DD4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8553F5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987074" w:rsidRPr="00987074" w14:paraId="7C2A8F30" w14:textId="77777777" w:rsidTr="00987074">
        <w:trPr>
          <w:divId w:val="208273812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A7AB482" w14:textId="61199DC8" w:rsidR="00987074" w:rsidRPr="00987074" w:rsidRDefault="00987074" w:rsidP="0098707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6BC056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BE664E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67879D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CA9011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05A396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6168F0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03A8EA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73D7CC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31,1</w:t>
            </w:r>
          </w:p>
        </w:tc>
      </w:tr>
      <w:tr w:rsidR="00987074" w:rsidRPr="00987074" w14:paraId="32125FF6" w14:textId="77777777" w:rsidTr="00987074">
        <w:trPr>
          <w:divId w:val="208273812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7C41BBA" w14:textId="77777777" w:rsidR="00987074" w:rsidRPr="00987074" w:rsidRDefault="00987074" w:rsidP="0098707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6868A5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832CA8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54CAAD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F017AE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C936F7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4E89E1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0C6929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2B1D5E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color w:val="000000"/>
                <w:sz w:val="16"/>
                <w:szCs w:val="16"/>
              </w:rPr>
              <w:t>600,0</w:t>
            </w:r>
          </w:p>
        </w:tc>
      </w:tr>
      <w:tr w:rsidR="00987074" w:rsidRPr="00987074" w14:paraId="57D5C57C" w14:textId="77777777" w:rsidTr="00987074">
        <w:trPr>
          <w:divId w:val="208273812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5F83EC8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8D2D0A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6059CD2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05DE302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DA787A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4CB55C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D690D8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7F8336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D9992B" w14:textId="77777777" w:rsidR="00987074" w:rsidRPr="00987074" w:rsidRDefault="00987074" w:rsidP="009870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707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40,8</w:t>
            </w:r>
          </w:p>
        </w:tc>
      </w:tr>
    </w:tbl>
    <w:p w14:paraId="57E79CD6" w14:textId="5D2464C4" w:rsidR="00976359" w:rsidRDefault="00976359" w:rsidP="00976359">
      <w:pPr>
        <w:pStyle w:val="Cuerpodelboletn"/>
        <w:spacing w:before="120" w:after="120" w:line="312" w:lineRule="auto"/>
        <w:ind w:left="720"/>
      </w:pPr>
    </w:p>
    <w:p w14:paraId="0CBFD59A" w14:textId="7FC5CE97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t xml:space="preserve">El Índice de Cumplimiento de la Información Obligatoria (ICIO) alcanza el </w:t>
      </w:r>
      <w:r w:rsidR="00976359">
        <w:t>40,8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68375F">
        <w:t>experimenta un incremento</w:t>
      </w:r>
      <w:r w:rsidR="00992FF6">
        <w:t xml:space="preserve"> </w:t>
      </w:r>
      <w:r w:rsidR="0068375F">
        <w:t>del</w:t>
      </w:r>
      <w:r w:rsidR="000D6B7B">
        <w:t xml:space="preserve"> </w:t>
      </w:r>
      <w:r w:rsidR="00774899">
        <w:t>5,15</w:t>
      </w:r>
      <w:r w:rsidR="000D6B7B">
        <w:t xml:space="preserve">%, </w:t>
      </w:r>
      <w:r w:rsidR="000C0C8A">
        <w:t>ya que</w:t>
      </w:r>
      <w:r w:rsidR="00992FF6">
        <w:t xml:space="preserve"> </w:t>
      </w:r>
      <w:r w:rsidR="000C0C8A">
        <w:t xml:space="preserve">se ha aplicado </w:t>
      </w:r>
      <w:r w:rsidR="000D6B7B">
        <w:t>solo una</w:t>
      </w:r>
      <w:r w:rsidR="000C0C8A">
        <w:t xml:space="preserve"> de</w:t>
      </w:r>
      <w:r w:rsidR="00521AA8">
        <w:t xml:space="preserve"> las recomendaciones derivadas de la evaluación de 2024</w:t>
      </w:r>
      <w:r w:rsidR="0068375F">
        <w:t>.</w:t>
      </w:r>
    </w:p>
    <w:p w14:paraId="6973F1B5" w14:textId="77777777" w:rsidR="00992FF6" w:rsidRPr="00396A23" w:rsidRDefault="00992FF6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lastRenderedPageBreak/>
        <w:t xml:space="preserve">Conclusiones </w:t>
      </w:r>
    </w:p>
    <w:p w14:paraId="553AA0C2" w14:textId="0F6543C2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2E3EA8">
        <w:t>de</w:t>
      </w:r>
      <w:r w:rsidR="00C42226">
        <w:t>l</w:t>
      </w:r>
      <w:r w:rsidR="002E3EA8">
        <w:t xml:space="preserve"> </w:t>
      </w:r>
      <w:r w:rsidR="00C42226" w:rsidRPr="00C42226">
        <w:t>Museo Nacional Centro de Arte Reina Sofía</w:t>
      </w:r>
      <w:r w:rsidRPr="00396A23">
        <w:t xml:space="preserve">. El índice de cumplimiento alcanzado se situó en el </w:t>
      </w:r>
      <w:r w:rsidR="00C42226">
        <w:t>4</w:t>
      </w:r>
      <w:r w:rsidR="00992FF6">
        <w:t>5</w:t>
      </w:r>
      <w:r w:rsidRPr="00396A23">
        <w:t xml:space="preserve">% y, a partir de las evidencias obtenidas en la evaluación, este Consejo efectuó </w:t>
      </w:r>
      <w:r w:rsidR="001A3A54">
        <w:t>2</w:t>
      </w:r>
      <w:r w:rsidR="00C42226">
        <w:t>0</w:t>
      </w:r>
      <w:r w:rsidRPr="00396A23">
        <w:t xml:space="preserve"> recomendaciones, cuya finalidad era la mejora del cumplimiento de la LTAIBG por parte de la organización.</w:t>
      </w:r>
    </w:p>
    <w:p w14:paraId="453614C8" w14:textId="314C3372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>, se abordó una nueva evaluación de cumplimiento, en la que se constató que</w:t>
      </w:r>
      <w:r w:rsidR="00C42226">
        <w:t>, aunque</w:t>
      </w:r>
      <w:r w:rsidRPr="00396A23">
        <w:t xml:space="preserve"> </w:t>
      </w:r>
      <w:r w:rsidR="00C42226">
        <w:t xml:space="preserve">el </w:t>
      </w:r>
      <w:r w:rsidR="00C42226" w:rsidRPr="00C42226">
        <w:t>Museo Nacional Centro de Arte Reina Sofía</w:t>
      </w:r>
      <w:r w:rsidR="00992FF6">
        <w:t xml:space="preserve"> </w:t>
      </w:r>
      <w:r w:rsidR="000C0C8A">
        <w:t>h</w:t>
      </w:r>
      <w:r w:rsidRPr="00396A23">
        <w:t xml:space="preserve">abía aplicado </w:t>
      </w:r>
      <w:r w:rsidR="00C42226">
        <w:t>una</w:t>
      </w:r>
      <w:r w:rsidR="00E16E35">
        <w:t xml:space="preserve"> de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>
        <w:t>3</w:t>
      </w:r>
      <w:r w:rsidR="00C42226">
        <w:t>,</w:t>
      </w:r>
      <w:r w:rsidR="00B14926">
        <w:t xml:space="preserve"> </w:t>
      </w:r>
      <w:r w:rsidR="00C42226">
        <w:rPr>
          <w:lang w:bidi="es-ES"/>
        </w:rPr>
        <w:t>la información que se publicaba seguía estando desactualizada y</w:t>
      </w:r>
      <w:r w:rsidR="00FE3443">
        <w:rPr>
          <w:lang w:bidi="es-ES"/>
        </w:rPr>
        <w:t>,</w:t>
      </w:r>
      <w:r w:rsidR="00C42226">
        <w:rPr>
          <w:lang w:bidi="es-ES"/>
        </w:rPr>
        <w:t xml:space="preserve"> además, tal y como se había señalado en el informe de evaluación 2023, </w:t>
      </w:r>
      <w:r w:rsidR="00C42226">
        <w:t>a partir de julio de dicho año se había incorporado una nueva obligación dentro del grupo contratos, para la que el MNCARS no publicaba información. Por otra parte, hubo que revisar a la baja el cumplimiento de las obligaciones Perfil y trayectoria profesional y Retribuciones de los máximos responsables, porque la información relativa a ambas obligaciones había dejado de publicarse. Todo ello</w:t>
      </w:r>
      <w:r w:rsidRPr="00396A23">
        <w:t xml:space="preserve"> se tradujo en un </w:t>
      </w:r>
      <w:r w:rsidR="00C42226">
        <w:t>de</w:t>
      </w:r>
      <w:r w:rsidRPr="00396A23">
        <w:t xml:space="preserve">cremento de su Índice de Cumplimiento en </w:t>
      </w:r>
      <w:r w:rsidR="00C42226">
        <w:t>6,2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B14926">
        <w:t>3</w:t>
      </w:r>
      <w:r w:rsidR="00C42226">
        <w:t>8</w:t>
      </w:r>
      <w:r w:rsidR="00992FF6">
        <w:t>,8</w:t>
      </w:r>
      <w:r w:rsidRPr="00396A23">
        <w:t>%.</w:t>
      </w:r>
    </w:p>
    <w:p w14:paraId="46C8227C" w14:textId="3D076024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FE3443">
        <w:t xml:space="preserve">del </w:t>
      </w:r>
      <w:r w:rsidR="00FE3443" w:rsidRPr="00C42226">
        <w:t>Museo Nacional Centro de Arte Reina Sofía</w:t>
      </w:r>
      <w:r w:rsidR="00FE3443">
        <w:t xml:space="preserve"> </w:t>
      </w:r>
      <w:r w:rsidRPr="00396A23">
        <w:t>era insuficiente, se decidió por parte de este CTBG</w:t>
      </w:r>
      <w:r w:rsidR="00FE3443">
        <w:t>,</w:t>
      </w:r>
      <w:r w:rsidRPr="00396A23">
        <w:t xml:space="preserve"> </w:t>
      </w:r>
      <w:r w:rsidR="00FE3443">
        <w:t xml:space="preserve">incluir al </w:t>
      </w:r>
      <w:r w:rsidR="00FE3443" w:rsidRPr="00C42226">
        <w:t>Museo Nacional Centro de Arte Reina Sofía</w:t>
      </w:r>
      <w:r w:rsidR="00FE344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67889ADA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FE3443">
        <w:t>el</w:t>
      </w:r>
      <w:r w:rsidR="007D1FDC">
        <w:t xml:space="preserve"> </w:t>
      </w:r>
      <w:r w:rsidR="00FE3443" w:rsidRPr="00C42226">
        <w:t>Museo Nacional Centro de Arte Reina Sofía</w:t>
      </w:r>
      <w:r w:rsidR="00FE3443">
        <w:t xml:space="preserve"> </w:t>
      </w:r>
      <w:r w:rsidR="00992FF6">
        <w:t xml:space="preserve">ha </w:t>
      </w:r>
      <w:r w:rsidR="0068375F">
        <w:t>aumentado</w:t>
      </w:r>
      <w:r w:rsidR="00992FF6">
        <w:t xml:space="preserve"> en </w:t>
      </w:r>
      <w:r w:rsidR="004A4113">
        <w:t>3</w:t>
      </w:r>
      <w:r w:rsidR="0068375F">
        <w:t>2</w:t>
      </w:r>
      <w:r w:rsidR="004A4113">
        <w:t>9</w:t>
      </w:r>
      <w:r w:rsidR="00992FF6">
        <w:t xml:space="preserve"> 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992FF6">
        <w:t xml:space="preserve"> se ha aplicado </w:t>
      </w:r>
      <w:r w:rsidR="00FE3443">
        <w:t>una</w:t>
      </w:r>
      <w:r w:rsidR="00992FF6">
        <w:t xml:space="preserve"> </w:t>
      </w:r>
      <w:r w:rsidRPr="00396A23">
        <w:t>de las recomendaciones derivadas de la evaluación realizada en ese año</w:t>
      </w:r>
      <w:r w:rsidR="00B14926">
        <w:t xml:space="preserve">, </w:t>
      </w:r>
      <w:r w:rsidR="00FE3443">
        <w:t>pero</w:t>
      </w:r>
      <w:r w:rsidR="00992FF6">
        <w:t xml:space="preserve"> </w:t>
      </w:r>
      <w:r w:rsidR="00B14926">
        <w:t xml:space="preserve">también </w:t>
      </w:r>
      <w:r w:rsidRPr="00396A23">
        <w:t xml:space="preserve">ha sido preciso revisar a la baja la valoración de </w:t>
      </w:r>
      <w:r w:rsidR="007D1FDC">
        <w:t>otra</w:t>
      </w:r>
      <w:r w:rsidR="00992FF6">
        <w:t>s</w:t>
      </w:r>
      <w:r w:rsidR="00082566">
        <w:t xml:space="preserve"> </w:t>
      </w:r>
      <w:r w:rsidR="004A4113">
        <w:t>tres</w:t>
      </w:r>
      <w:r w:rsidR="00992FF6">
        <w:t xml:space="preserve"> </w:t>
      </w:r>
      <w:r w:rsidR="00E16E35">
        <w:t>obligaci</w:t>
      </w:r>
      <w:r w:rsidR="00992FF6">
        <w:t>ones</w:t>
      </w:r>
      <w:r w:rsidRPr="00396A23">
        <w:t xml:space="preserve">. </w:t>
      </w:r>
    </w:p>
    <w:p w14:paraId="01AE3131" w14:textId="7874025D" w:rsidR="006F04C4" w:rsidRPr="00396A23" w:rsidRDefault="006F04C4" w:rsidP="00521AA8">
      <w:pPr>
        <w:spacing w:before="120" w:after="120"/>
        <w:ind w:left="284"/>
        <w:jc w:val="both"/>
      </w:pPr>
      <w:r w:rsidRPr="006F04C4">
        <w:t xml:space="preserve">Por todo lo que antecede, y tras la realización de tres evaluaciones </w:t>
      </w:r>
      <w:r>
        <w:t>en las que la progresión no ha sido la esperada</w:t>
      </w:r>
      <w:r w:rsidRPr="006F04C4">
        <w:t xml:space="preserve">, este Consejo considera necesario que, para lograr el pleno cumplimiento de las obligaciones establecidas en la LTAIBG, </w:t>
      </w:r>
      <w:r>
        <w:t xml:space="preserve">el </w:t>
      </w:r>
      <w:r w:rsidRPr="00C42226">
        <w:t>Museo Nacional Centro de Arte Reina Sofía</w:t>
      </w:r>
      <w:r>
        <w:t xml:space="preserve"> </w:t>
      </w:r>
      <w:r w:rsidRPr="006F04C4">
        <w:t>proceda a la subsanación de los siguientes incumplimientos en los términos que se establecen a continuación:</w:t>
      </w:r>
    </w:p>
    <w:p w14:paraId="09E80326" w14:textId="3E0B273E" w:rsidR="00FE3443" w:rsidRDefault="00FE3443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Habilitar un espacio específico para la publicación de las informaciones obligatorias</w:t>
      </w:r>
      <w:r w:rsidR="00C53371">
        <w:rPr>
          <w:bCs/>
        </w:rPr>
        <w:t>.</w:t>
      </w:r>
    </w:p>
    <w:p w14:paraId="336BA048" w14:textId="4CED45B2" w:rsidR="00FF2C5A" w:rsidRDefault="00FF2C5A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Publicar las </w:t>
      </w:r>
      <w:r w:rsidR="00FE3443">
        <w:rPr>
          <w:bCs/>
        </w:rPr>
        <w:t>funciones del organismo</w:t>
      </w:r>
      <w:r>
        <w:rPr>
          <w:bCs/>
        </w:rPr>
        <w:t>.</w:t>
      </w:r>
    </w:p>
    <w:p w14:paraId="4597A524" w14:textId="3D784880" w:rsidR="00C53371" w:rsidRDefault="00C53371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la descripción de la estructura organizativa del organismo, incluyendo órganos de gobierno y de gestión.</w:t>
      </w:r>
    </w:p>
    <w:p w14:paraId="458A73D4" w14:textId="3C83B98C" w:rsidR="00DF6C0D" w:rsidRDefault="00DF6C0D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de forma actualizada el grado de cumplimiento de planes y programas.</w:t>
      </w:r>
    </w:p>
    <w:p w14:paraId="2471F253" w14:textId="35A2BFA8" w:rsidR="003B6B03" w:rsidRDefault="003B6B03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de forma actualizada los indicadores de medida y valoración de planes y programas.</w:t>
      </w:r>
    </w:p>
    <w:p w14:paraId="61CF549F" w14:textId="72400DA6" w:rsid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modificaciones de contratos.</w:t>
      </w:r>
    </w:p>
    <w:p w14:paraId="69EE3DBD" w14:textId="74B726B3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3F997608" w14:textId="4E094F36" w:rsidR="00C53371" w:rsidRDefault="00C53371" w:rsidP="00C53371">
      <w:pPr>
        <w:pStyle w:val="Prrafodelista"/>
        <w:numPr>
          <w:ilvl w:val="0"/>
          <w:numId w:val="7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1061318D" w14:textId="129C5266" w:rsidR="00C53371" w:rsidRPr="00C53371" w:rsidRDefault="00C53371" w:rsidP="00C53371">
      <w:pPr>
        <w:pStyle w:val="Prrafodelista"/>
        <w:numPr>
          <w:ilvl w:val="0"/>
          <w:numId w:val="7"/>
        </w:numPr>
        <w:jc w:val="both"/>
      </w:pPr>
      <w:r>
        <w:t>Publicar información sobre convenios, incluyendo todos los ítems establecidos en la LTAIBG.</w:t>
      </w:r>
    </w:p>
    <w:p w14:paraId="2ECD4488" w14:textId="620F800E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 información</w:t>
      </w:r>
      <w:r w:rsidRPr="00E16E35">
        <w:t xml:space="preserve"> sobre encomiendas de</w:t>
      </w:r>
      <w:r w:rsidR="004A4113">
        <w:t xml:space="preserve"> gestión</w:t>
      </w:r>
      <w:r w:rsidRPr="00E16E35">
        <w:t>.</w:t>
      </w:r>
    </w:p>
    <w:p w14:paraId="13CAED13" w14:textId="1211C3FC" w:rsid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lastRenderedPageBreak/>
        <w:t xml:space="preserve">Publicar </w:t>
      </w:r>
      <w:r w:rsidRPr="00E16E35">
        <w:t>información sobre subcontrataciones.</w:t>
      </w:r>
    </w:p>
    <w:p w14:paraId="1E6B9482" w14:textId="125531E6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los informes de auditoría de cuentas y de fiscalización realizados por el Tribunal de Cuentas.</w:t>
      </w:r>
    </w:p>
    <w:p w14:paraId="202D01EA" w14:textId="5654F425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</w:t>
      </w:r>
      <w:r w:rsidR="007D1FDC">
        <w:t xml:space="preserve"> </w:t>
      </w:r>
      <w:r w:rsidRPr="00E16E35">
        <w:t>sobre las retribuciones anuales de los altos cargos y máximos responsables.</w:t>
      </w:r>
    </w:p>
    <w:p w14:paraId="79AF3ACE" w14:textId="12709337" w:rsid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indemnizaciones percibidas por altos cargos y máximos responsables con ocasión del abandono del cargo.</w:t>
      </w:r>
    </w:p>
    <w:p w14:paraId="03CC5277" w14:textId="01084ABB" w:rsidR="00B14926" w:rsidRPr="00E16E35" w:rsidRDefault="00B14926" w:rsidP="00FC0352">
      <w:pPr>
        <w:pStyle w:val="Prrafodelista"/>
        <w:numPr>
          <w:ilvl w:val="0"/>
          <w:numId w:val="7"/>
        </w:numPr>
        <w:jc w:val="both"/>
      </w:pPr>
      <w:r>
        <w:t>Publicar las resoluciones de autorización o reconocimiento de compatibilidad que afecten a los empleados</w:t>
      </w:r>
      <w:r w:rsidR="00FE3595">
        <w:t xml:space="preserve"> en la página web de la AP</w:t>
      </w:r>
      <w:r>
        <w:t>.</w:t>
      </w:r>
    </w:p>
    <w:p w14:paraId="2C8A3247" w14:textId="14CE43F5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autorizaciones para actividad privada al cese de altos cargos en la AGE.</w:t>
      </w:r>
    </w:p>
    <w:p w14:paraId="2E1CB905" w14:textId="4FE0EF09" w:rsidR="00082566" w:rsidRDefault="00082566" w:rsidP="00FC0352">
      <w:pPr>
        <w:pStyle w:val="Prrafodelista"/>
        <w:numPr>
          <w:ilvl w:val="0"/>
          <w:numId w:val="7"/>
        </w:numPr>
        <w:jc w:val="both"/>
      </w:pPr>
      <w:r>
        <w:t>Datar y/o actualizar la información sujeta a obligación.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4B953C8D" w:rsidR="007A0664" w:rsidRPr="005A3C4E" w:rsidRDefault="007A0664" w:rsidP="005318AF">
      <w:pPr>
        <w:ind w:left="6372" w:firstLine="708"/>
        <w:jc w:val="right"/>
      </w:pPr>
      <w:r w:rsidRPr="005A3C4E">
        <w:t xml:space="preserve">Madrid, </w:t>
      </w:r>
      <w:r w:rsidR="006B4F25">
        <w:t>octubre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6B4F25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26368BAD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07173993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49A6C214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15CFB09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9009" type="#_x0000_t75" style="width:9pt;height:9pt" o:bullet="t">
        <v:imagedata r:id="rId1" o:title="BD14533_"/>
      </v:shape>
    </w:pict>
  </w:numPicBullet>
  <w:numPicBullet w:numPicBulletId="1">
    <w:pict>
      <v:shape id="_x0000_i9010" type="#_x0000_t75" style="width:9pt;height:9pt" o:bullet="t">
        <v:imagedata r:id="rId2" o:title="BD14533_"/>
      </v:shape>
    </w:pict>
  </w:numPicBullet>
  <w:abstractNum w:abstractNumId="0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546E"/>
    <w:multiLevelType w:val="hybridMultilevel"/>
    <w:tmpl w:val="905820A6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2A92"/>
    <w:multiLevelType w:val="hybridMultilevel"/>
    <w:tmpl w:val="DBD4E330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4"/>
  </w:num>
  <w:num w:numId="4">
    <w:abstractNumId w:val="13"/>
  </w:num>
  <w:num w:numId="5">
    <w:abstractNumId w:val="11"/>
  </w:num>
  <w:num w:numId="6">
    <w:abstractNumId w:val="20"/>
  </w:num>
  <w:num w:numId="7">
    <w:abstractNumId w:val="19"/>
  </w:num>
  <w:num w:numId="8">
    <w:abstractNumId w:val="26"/>
  </w:num>
  <w:num w:numId="9">
    <w:abstractNumId w:val="12"/>
  </w:num>
  <w:num w:numId="10">
    <w:abstractNumId w:val="24"/>
  </w:num>
  <w:num w:numId="11">
    <w:abstractNumId w:val="7"/>
  </w:num>
  <w:num w:numId="12">
    <w:abstractNumId w:val="25"/>
  </w:num>
  <w:num w:numId="13">
    <w:abstractNumId w:val="0"/>
  </w:num>
  <w:num w:numId="14">
    <w:abstractNumId w:val="9"/>
  </w:num>
  <w:num w:numId="15">
    <w:abstractNumId w:val="18"/>
  </w:num>
  <w:num w:numId="16">
    <w:abstractNumId w:val="23"/>
  </w:num>
  <w:num w:numId="17">
    <w:abstractNumId w:val="17"/>
  </w:num>
  <w:num w:numId="18">
    <w:abstractNumId w:val="16"/>
  </w:num>
  <w:num w:numId="19">
    <w:abstractNumId w:val="15"/>
  </w:num>
  <w:num w:numId="20">
    <w:abstractNumId w:val="6"/>
  </w:num>
  <w:num w:numId="21">
    <w:abstractNumId w:val="2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2"/>
  </w:num>
  <w:num w:numId="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2FDA"/>
    <w:rsid w:val="0001377F"/>
    <w:rsid w:val="00016115"/>
    <w:rsid w:val="00021D8F"/>
    <w:rsid w:val="000262A3"/>
    <w:rsid w:val="00027D55"/>
    <w:rsid w:val="000333DE"/>
    <w:rsid w:val="000459CC"/>
    <w:rsid w:val="000504F6"/>
    <w:rsid w:val="00055544"/>
    <w:rsid w:val="000807E2"/>
    <w:rsid w:val="00082566"/>
    <w:rsid w:val="00083F93"/>
    <w:rsid w:val="00091D2B"/>
    <w:rsid w:val="000965B3"/>
    <w:rsid w:val="000B0FBA"/>
    <w:rsid w:val="000C0C8A"/>
    <w:rsid w:val="000C6CFF"/>
    <w:rsid w:val="000D37BA"/>
    <w:rsid w:val="000D6B7B"/>
    <w:rsid w:val="000E4352"/>
    <w:rsid w:val="000E62B9"/>
    <w:rsid w:val="000F2417"/>
    <w:rsid w:val="000F269D"/>
    <w:rsid w:val="00102733"/>
    <w:rsid w:val="00102EC4"/>
    <w:rsid w:val="00110B79"/>
    <w:rsid w:val="0011279F"/>
    <w:rsid w:val="001400C0"/>
    <w:rsid w:val="00154B1B"/>
    <w:rsid w:val="001561A4"/>
    <w:rsid w:val="00156A51"/>
    <w:rsid w:val="00175BCB"/>
    <w:rsid w:val="00186FE9"/>
    <w:rsid w:val="00194552"/>
    <w:rsid w:val="001A17D1"/>
    <w:rsid w:val="001A3A54"/>
    <w:rsid w:val="001C72D3"/>
    <w:rsid w:val="001D0329"/>
    <w:rsid w:val="001D55FD"/>
    <w:rsid w:val="001E30F9"/>
    <w:rsid w:val="001F1FD6"/>
    <w:rsid w:val="001F1FFC"/>
    <w:rsid w:val="00203CD9"/>
    <w:rsid w:val="00204440"/>
    <w:rsid w:val="00206263"/>
    <w:rsid w:val="0021059E"/>
    <w:rsid w:val="00211BA7"/>
    <w:rsid w:val="00231B7E"/>
    <w:rsid w:val="00235095"/>
    <w:rsid w:val="00254323"/>
    <w:rsid w:val="002562C9"/>
    <w:rsid w:val="00280DE8"/>
    <w:rsid w:val="00285021"/>
    <w:rsid w:val="00291FC2"/>
    <w:rsid w:val="002A154B"/>
    <w:rsid w:val="002D04DC"/>
    <w:rsid w:val="002D51FC"/>
    <w:rsid w:val="002E3EA8"/>
    <w:rsid w:val="002E6466"/>
    <w:rsid w:val="002F2850"/>
    <w:rsid w:val="00353A72"/>
    <w:rsid w:val="003630AF"/>
    <w:rsid w:val="00374113"/>
    <w:rsid w:val="00384A99"/>
    <w:rsid w:val="003953F6"/>
    <w:rsid w:val="003B1B0D"/>
    <w:rsid w:val="003B4274"/>
    <w:rsid w:val="003B6B03"/>
    <w:rsid w:val="003B7F67"/>
    <w:rsid w:val="003D3F6C"/>
    <w:rsid w:val="003E3018"/>
    <w:rsid w:val="003F271E"/>
    <w:rsid w:val="003F572A"/>
    <w:rsid w:val="00421CCF"/>
    <w:rsid w:val="00442DDF"/>
    <w:rsid w:val="00445B10"/>
    <w:rsid w:val="00466D7A"/>
    <w:rsid w:val="004A4113"/>
    <w:rsid w:val="004A4F6E"/>
    <w:rsid w:val="004B2814"/>
    <w:rsid w:val="004D649C"/>
    <w:rsid w:val="004F2655"/>
    <w:rsid w:val="00521AA8"/>
    <w:rsid w:val="00521DA9"/>
    <w:rsid w:val="00524341"/>
    <w:rsid w:val="005260B7"/>
    <w:rsid w:val="005318AF"/>
    <w:rsid w:val="005366E7"/>
    <w:rsid w:val="00544E0C"/>
    <w:rsid w:val="00547DC2"/>
    <w:rsid w:val="00552149"/>
    <w:rsid w:val="00560D54"/>
    <w:rsid w:val="00561402"/>
    <w:rsid w:val="0057532F"/>
    <w:rsid w:val="005A1669"/>
    <w:rsid w:val="005A1BD7"/>
    <w:rsid w:val="005A3C4E"/>
    <w:rsid w:val="005A771D"/>
    <w:rsid w:val="005B19E4"/>
    <w:rsid w:val="005E0CA3"/>
    <w:rsid w:val="005F0BDE"/>
    <w:rsid w:val="005F29B8"/>
    <w:rsid w:val="00605E0D"/>
    <w:rsid w:val="0060669B"/>
    <w:rsid w:val="00615BE4"/>
    <w:rsid w:val="006439A2"/>
    <w:rsid w:val="006476E0"/>
    <w:rsid w:val="00647F81"/>
    <w:rsid w:val="00660B7B"/>
    <w:rsid w:val="00671D67"/>
    <w:rsid w:val="0068375F"/>
    <w:rsid w:val="0069157E"/>
    <w:rsid w:val="006963A9"/>
    <w:rsid w:val="006A16DF"/>
    <w:rsid w:val="006A2766"/>
    <w:rsid w:val="006A760C"/>
    <w:rsid w:val="006B4F25"/>
    <w:rsid w:val="006C427F"/>
    <w:rsid w:val="006C5A9D"/>
    <w:rsid w:val="006D1122"/>
    <w:rsid w:val="006E5667"/>
    <w:rsid w:val="006F04C4"/>
    <w:rsid w:val="00710031"/>
    <w:rsid w:val="00715014"/>
    <w:rsid w:val="00716924"/>
    <w:rsid w:val="00716F29"/>
    <w:rsid w:val="00717477"/>
    <w:rsid w:val="00743756"/>
    <w:rsid w:val="007612B1"/>
    <w:rsid w:val="007615B6"/>
    <w:rsid w:val="00774899"/>
    <w:rsid w:val="00783F7C"/>
    <w:rsid w:val="007A0664"/>
    <w:rsid w:val="007B0F99"/>
    <w:rsid w:val="007C01FD"/>
    <w:rsid w:val="007D1FDC"/>
    <w:rsid w:val="007E6117"/>
    <w:rsid w:val="007F7992"/>
    <w:rsid w:val="00817B66"/>
    <w:rsid w:val="00821694"/>
    <w:rsid w:val="00825788"/>
    <w:rsid w:val="00827ABE"/>
    <w:rsid w:val="00840B55"/>
    <w:rsid w:val="00844FA9"/>
    <w:rsid w:val="0085086F"/>
    <w:rsid w:val="00870A89"/>
    <w:rsid w:val="00871712"/>
    <w:rsid w:val="008831F3"/>
    <w:rsid w:val="008C1E1E"/>
    <w:rsid w:val="008D783F"/>
    <w:rsid w:val="008E6385"/>
    <w:rsid w:val="008F09D6"/>
    <w:rsid w:val="00912C2E"/>
    <w:rsid w:val="009150B8"/>
    <w:rsid w:val="00915FD7"/>
    <w:rsid w:val="00923F05"/>
    <w:rsid w:val="0092723A"/>
    <w:rsid w:val="00932008"/>
    <w:rsid w:val="00934CD5"/>
    <w:rsid w:val="009609E9"/>
    <w:rsid w:val="00976359"/>
    <w:rsid w:val="00980F65"/>
    <w:rsid w:val="0098555C"/>
    <w:rsid w:val="00987074"/>
    <w:rsid w:val="00987818"/>
    <w:rsid w:val="00992FF6"/>
    <w:rsid w:val="009A5239"/>
    <w:rsid w:val="009A7780"/>
    <w:rsid w:val="009D75BF"/>
    <w:rsid w:val="00A20D73"/>
    <w:rsid w:val="00A3359D"/>
    <w:rsid w:val="00A433B4"/>
    <w:rsid w:val="00A442CF"/>
    <w:rsid w:val="00A568B9"/>
    <w:rsid w:val="00A608E2"/>
    <w:rsid w:val="00A712FD"/>
    <w:rsid w:val="00A758CF"/>
    <w:rsid w:val="00A97F0A"/>
    <w:rsid w:val="00AA01CF"/>
    <w:rsid w:val="00AA3642"/>
    <w:rsid w:val="00AB07F5"/>
    <w:rsid w:val="00AD2022"/>
    <w:rsid w:val="00AE3317"/>
    <w:rsid w:val="00AF0A48"/>
    <w:rsid w:val="00B00808"/>
    <w:rsid w:val="00B14926"/>
    <w:rsid w:val="00B15FC1"/>
    <w:rsid w:val="00B1787E"/>
    <w:rsid w:val="00B2173B"/>
    <w:rsid w:val="00B266D1"/>
    <w:rsid w:val="00B32D40"/>
    <w:rsid w:val="00B33DC7"/>
    <w:rsid w:val="00B40246"/>
    <w:rsid w:val="00B42B98"/>
    <w:rsid w:val="00B77303"/>
    <w:rsid w:val="00B841AE"/>
    <w:rsid w:val="00B85683"/>
    <w:rsid w:val="00B914FA"/>
    <w:rsid w:val="00BA2751"/>
    <w:rsid w:val="00BA5247"/>
    <w:rsid w:val="00BB6799"/>
    <w:rsid w:val="00BB6FE4"/>
    <w:rsid w:val="00BC0101"/>
    <w:rsid w:val="00BC15C1"/>
    <w:rsid w:val="00BC25E1"/>
    <w:rsid w:val="00BC72D4"/>
    <w:rsid w:val="00BD4582"/>
    <w:rsid w:val="00BD4FCB"/>
    <w:rsid w:val="00BE18B0"/>
    <w:rsid w:val="00BE6A46"/>
    <w:rsid w:val="00C068F1"/>
    <w:rsid w:val="00C1491D"/>
    <w:rsid w:val="00C23166"/>
    <w:rsid w:val="00C2466C"/>
    <w:rsid w:val="00C30F62"/>
    <w:rsid w:val="00C33225"/>
    <w:rsid w:val="00C33A23"/>
    <w:rsid w:val="00C42226"/>
    <w:rsid w:val="00C53371"/>
    <w:rsid w:val="00C5744D"/>
    <w:rsid w:val="00C65B5B"/>
    <w:rsid w:val="00C6710B"/>
    <w:rsid w:val="00C714A0"/>
    <w:rsid w:val="00C84ECB"/>
    <w:rsid w:val="00CA4FB1"/>
    <w:rsid w:val="00CB4BF4"/>
    <w:rsid w:val="00CB5511"/>
    <w:rsid w:val="00CC2049"/>
    <w:rsid w:val="00CC5B4F"/>
    <w:rsid w:val="00CD603A"/>
    <w:rsid w:val="00CF448F"/>
    <w:rsid w:val="00CF46A1"/>
    <w:rsid w:val="00D17380"/>
    <w:rsid w:val="00D221AE"/>
    <w:rsid w:val="00D2408D"/>
    <w:rsid w:val="00D374C0"/>
    <w:rsid w:val="00D37742"/>
    <w:rsid w:val="00D42966"/>
    <w:rsid w:val="00D530F3"/>
    <w:rsid w:val="00D61A4E"/>
    <w:rsid w:val="00D823EF"/>
    <w:rsid w:val="00D903FE"/>
    <w:rsid w:val="00D96F84"/>
    <w:rsid w:val="00DA0204"/>
    <w:rsid w:val="00DA26FE"/>
    <w:rsid w:val="00DA76E7"/>
    <w:rsid w:val="00DA7CC0"/>
    <w:rsid w:val="00DB3548"/>
    <w:rsid w:val="00DB63F1"/>
    <w:rsid w:val="00DB677C"/>
    <w:rsid w:val="00DC3EE0"/>
    <w:rsid w:val="00DF0BBA"/>
    <w:rsid w:val="00DF5F2A"/>
    <w:rsid w:val="00DF63E7"/>
    <w:rsid w:val="00DF6C0D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67F66"/>
    <w:rsid w:val="00E738BE"/>
    <w:rsid w:val="00E81AAD"/>
    <w:rsid w:val="00E83F76"/>
    <w:rsid w:val="00EB169A"/>
    <w:rsid w:val="00EB51D7"/>
    <w:rsid w:val="00EC3099"/>
    <w:rsid w:val="00EC5A86"/>
    <w:rsid w:val="00ED006B"/>
    <w:rsid w:val="00EE1A7C"/>
    <w:rsid w:val="00EE54A7"/>
    <w:rsid w:val="00EF1002"/>
    <w:rsid w:val="00F072CD"/>
    <w:rsid w:val="00F14DA4"/>
    <w:rsid w:val="00F21D28"/>
    <w:rsid w:val="00F22752"/>
    <w:rsid w:val="00F22B6F"/>
    <w:rsid w:val="00F339DA"/>
    <w:rsid w:val="00F47C3B"/>
    <w:rsid w:val="00F66BBF"/>
    <w:rsid w:val="00F71D7D"/>
    <w:rsid w:val="00F72800"/>
    <w:rsid w:val="00F80DC2"/>
    <w:rsid w:val="00FA460D"/>
    <w:rsid w:val="00FB0FE2"/>
    <w:rsid w:val="00FB32EE"/>
    <w:rsid w:val="00FC0352"/>
    <w:rsid w:val="00FD1549"/>
    <w:rsid w:val="00FE0FC5"/>
    <w:rsid w:val="00FE3443"/>
    <w:rsid w:val="00FE3595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useoreinasofia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E1683"/>
    <w:rsid w:val="002573DD"/>
    <w:rsid w:val="002C0DD2"/>
    <w:rsid w:val="003D088C"/>
    <w:rsid w:val="00447F79"/>
    <w:rsid w:val="004809D8"/>
    <w:rsid w:val="004D543B"/>
    <w:rsid w:val="004F291A"/>
    <w:rsid w:val="00561A16"/>
    <w:rsid w:val="00617EB2"/>
    <w:rsid w:val="006C0296"/>
    <w:rsid w:val="0071449A"/>
    <w:rsid w:val="007728A6"/>
    <w:rsid w:val="008B6C28"/>
    <w:rsid w:val="008C17E2"/>
    <w:rsid w:val="009131A5"/>
    <w:rsid w:val="009B1029"/>
    <w:rsid w:val="009C534F"/>
    <w:rsid w:val="00A324F5"/>
    <w:rsid w:val="00A72712"/>
    <w:rsid w:val="00AC72EB"/>
    <w:rsid w:val="00B35D83"/>
    <w:rsid w:val="00B71197"/>
    <w:rsid w:val="00BB5CE9"/>
    <w:rsid w:val="00C55F34"/>
    <w:rsid w:val="00D23788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726</TotalTime>
  <Pages>13</Pages>
  <Words>2954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43</cp:revision>
  <cp:lastPrinted>2024-10-21T09:52:00Z</cp:lastPrinted>
  <dcterms:created xsi:type="dcterms:W3CDTF">2025-04-29T10:04:00Z</dcterms:created>
  <dcterms:modified xsi:type="dcterms:W3CDTF">2025-11-06T13:09:00Z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