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5"/>
        <w:gridCol w:w="6871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52D73B9" w:rsidR="000C6CFF" w:rsidRPr="005A3C4E" w:rsidRDefault="004E70B2">
            <w:pPr>
              <w:rPr>
                <w:sz w:val="24"/>
                <w:szCs w:val="24"/>
              </w:rPr>
            </w:pPr>
            <w:bookmarkStart w:id="0" w:name="_Hlk212724172"/>
            <w:r>
              <w:rPr>
                <w:sz w:val="24"/>
                <w:szCs w:val="24"/>
              </w:rPr>
              <w:t xml:space="preserve">Autoridad Portuaria de </w:t>
            </w:r>
            <w:r w:rsidR="009F4DA2">
              <w:rPr>
                <w:sz w:val="24"/>
                <w:szCs w:val="24"/>
              </w:rPr>
              <w:t>Barcelon</w:t>
            </w:r>
            <w:r>
              <w:rPr>
                <w:sz w:val="24"/>
                <w:szCs w:val="24"/>
              </w:rPr>
              <w:t>a</w:t>
            </w:r>
            <w:bookmarkEnd w:id="0"/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073E627" w:rsidR="00CB4BF4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E70B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1E80C1F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CB138F">
              <w:rPr>
                <w:sz w:val="24"/>
                <w:szCs w:val="24"/>
              </w:rPr>
              <w:t>17/07/2025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9716424" w:rsidR="00F2773F" w:rsidRPr="00D25F5D" w:rsidRDefault="00533BBD" w:rsidP="00F2773F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https://www.portdebarcelona.cat/es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533BBD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86BE112" w:rsidR="00CB5511" w:rsidRPr="005A3C4E" w:rsidRDefault="004E70B2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B20429F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48FB6F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EE3496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F07C07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3B0BA185" w:rsidR="00932008" w:rsidRPr="005A3C4E" w:rsidRDefault="00F2773F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07F19AD6" w:rsidR="00560D54" w:rsidRPr="005A3C4E" w:rsidRDefault="00560D54" w:rsidP="00F07C07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3D199F2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9F7162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07BB0098" w:rsidR="00E24139" w:rsidRPr="00396A23" w:rsidRDefault="00F27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F2773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7,7%</w:t>
            </w:r>
          </w:p>
        </w:tc>
        <w:tc>
          <w:tcPr>
            <w:tcW w:w="2728" w:type="dxa"/>
          </w:tcPr>
          <w:p w14:paraId="1B3D21B6" w14:textId="4E6491B6" w:rsidR="00E24139" w:rsidRPr="00396A23" w:rsidRDefault="00F27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F2773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  <w:tc>
          <w:tcPr>
            <w:tcW w:w="2051" w:type="dxa"/>
          </w:tcPr>
          <w:p w14:paraId="1343146B" w14:textId="68F9FDD2" w:rsidR="00E24139" w:rsidRPr="00396A23" w:rsidRDefault="00F27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F2773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69268136" w:rsidR="00E24139" w:rsidRPr="00396A23" w:rsidRDefault="00F27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  <w:r w:rsidRPr="00F2773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0,1%</w:t>
            </w:r>
          </w:p>
        </w:tc>
        <w:tc>
          <w:tcPr>
            <w:tcW w:w="2728" w:type="dxa"/>
          </w:tcPr>
          <w:p w14:paraId="78459DA6" w14:textId="598B4672" w:rsidR="00E24139" w:rsidRPr="00396A23" w:rsidRDefault="00F2773F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  <w:tc>
          <w:tcPr>
            <w:tcW w:w="2051" w:type="dxa"/>
          </w:tcPr>
          <w:p w14:paraId="21BDE47D" w14:textId="6D090A2F" w:rsidR="00E24139" w:rsidRPr="00396A23" w:rsidRDefault="00E50838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4E70B2">
        <w:trPr>
          <w:trHeight w:val="5093"/>
        </w:trPr>
        <w:tc>
          <w:tcPr>
            <w:tcW w:w="10035" w:type="dxa"/>
          </w:tcPr>
          <w:p w14:paraId="3F71F2A2" w14:textId="77777777" w:rsidR="00EB169A" w:rsidRPr="00695AE3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recomendaciones </w:t>
            </w:r>
            <w:r w:rsidRPr="00695AE3">
              <w:rPr>
                <w:b/>
                <w:color w:val="3C8378"/>
                <w:sz w:val="20"/>
                <w:szCs w:val="20"/>
              </w:rPr>
              <w:t>efectuadas en la última evaluación</w:t>
            </w:r>
          </w:p>
          <w:p w14:paraId="5BE8E6E9" w14:textId="77777777" w:rsidR="00F2773F" w:rsidRPr="00695AE3" w:rsidRDefault="00F2773F" w:rsidP="00F2773F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Respecto de la publicación de contenidos, sigue sin publicarse:</w:t>
            </w:r>
          </w:p>
          <w:p w14:paraId="10EF5F39" w14:textId="77777777" w:rsidR="00F2773F" w:rsidRPr="00695AE3" w:rsidRDefault="00F2773F" w:rsidP="00F2773F">
            <w:pPr>
              <w:pStyle w:val="Prrafodelista"/>
              <w:rPr>
                <w:sz w:val="20"/>
                <w:szCs w:val="20"/>
              </w:rPr>
            </w:pPr>
          </w:p>
          <w:p w14:paraId="4A24DABC" w14:textId="48DAC944" w:rsidR="00F2773F" w:rsidRPr="00695AE3" w:rsidRDefault="00F2773F" w:rsidP="00F2773F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Dentro del bloque de Información institucional y organizativa:</w:t>
            </w:r>
          </w:p>
          <w:p w14:paraId="02E82DA6" w14:textId="77596B8B" w:rsidR="00F2773F" w:rsidRPr="00695AE3" w:rsidRDefault="00F2773F" w:rsidP="00F2773F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La información sobre el grado de cumplimiento de planes y programas.</w:t>
            </w:r>
          </w:p>
          <w:p w14:paraId="202BFA7F" w14:textId="5D14077C" w:rsidR="00F2773F" w:rsidRPr="00695AE3" w:rsidRDefault="00F2773F" w:rsidP="00F2773F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Los indicadores de medida y valoración del grado de cumplimiento de los objetivos.</w:t>
            </w:r>
          </w:p>
          <w:p w14:paraId="647003ED" w14:textId="77777777" w:rsidR="00F2773F" w:rsidRPr="00695AE3" w:rsidRDefault="00F2773F" w:rsidP="00F2773F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52358EAA" w14:textId="77777777" w:rsidR="00F2773F" w:rsidRPr="00695AE3" w:rsidRDefault="00F2773F" w:rsidP="00F2773F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1" w:name="_Hlk160031698"/>
            <w:r w:rsidRPr="00695AE3">
              <w:rPr>
                <w:sz w:val="20"/>
                <w:szCs w:val="20"/>
              </w:rPr>
              <w:t>En el bloque de información económica no se publica:</w:t>
            </w:r>
          </w:p>
          <w:bookmarkEnd w:id="1"/>
          <w:p w14:paraId="6BAEE6E6" w14:textId="7B0F6F04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Las modificaciones de contratos adjudicados: como se ha indicado, el enlace que parece redirigir a esta información realmente posiciona en la página inicial del perfil del contratante.</w:t>
            </w:r>
          </w:p>
          <w:p w14:paraId="2FDCE8E9" w14:textId="4B56072E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color w:val="00B050"/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 En el informe de evaluación 2023 se informó sobre la inclusión de esta nueva obligación.</w:t>
            </w:r>
            <w:r w:rsidR="00B87D88" w:rsidRPr="00695AE3">
              <w:rPr>
                <w:sz w:val="20"/>
                <w:szCs w:val="20"/>
              </w:rPr>
              <w:t xml:space="preserve"> </w:t>
            </w:r>
          </w:p>
          <w:p w14:paraId="48E00717" w14:textId="2E889204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Las subcontrataciones derivadas de las encomiendas de gestión.</w:t>
            </w:r>
          </w:p>
          <w:p w14:paraId="557CCC07" w14:textId="4EC80FF8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Las subvenciones o ayudas públicas concedidas por la AP, sin redirigir a la Base de Datos Nacional de Subvenciones.</w:t>
            </w:r>
          </w:p>
          <w:p w14:paraId="2FAC1E1B" w14:textId="14E921FF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Información actualizada sobre el presupuesto, el último publicado corresponde a 2017.</w:t>
            </w:r>
          </w:p>
          <w:p w14:paraId="790BCB6B" w14:textId="56CA7521" w:rsidR="00F2773F" w:rsidRPr="00695AE3" w:rsidRDefault="00F2773F" w:rsidP="00F2773F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2FFC5179" w14:textId="77777777" w:rsidR="00F2773F" w:rsidRPr="00695AE3" w:rsidRDefault="00F2773F" w:rsidP="00F2773F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0E7D5D8F" w14:textId="784C9757" w:rsidR="00FC0352" w:rsidRPr="00B914FA" w:rsidRDefault="00F2773F" w:rsidP="00F2773F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695AE3">
              <w:rPr>
                <w:sz w:val="20"/>
                <w:szCs w:val="20"/>
              </w:rPr>
              <w:t>En el bloque de información patrimonial sigue sin publicarse ninguna referencia que permita valorar la vigencia de la información que está fechada en 2015.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5CD16FE8" w:rsidR="00E34195" w:rsidRPr="005A3C4E" w:rsidRDefault="00A577B1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</w:t>
            </w:r>
            <w:r w:rsidR="00F2465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de aplicación. Actualizado en 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5AE812B8" w:rsidR="00E34195" w:rsidRPr="00B42B98" w:rsidRDefault="00E34195" w:rsidP="00F07C0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4D9243E5" w:rsidR="00E34195" w:rsidRPr="005A3C4E" w:rsidRDefault="00A577B1" w:rsidP="00F07C0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</w:t>
            </w:r>
            <w:r w:rsidR="00F2465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/Competencias y funciones de la Autoridad Portuaria de Barcelona. Actualizado en abril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de 2025</w:t>
            </w:r>
            <w:r w:rsidR="00F07C0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6AE643E8" w:rsidR="00560D54" w:rsidRPr="00B42B98" w:rsidRDefault="00560D54" w:rsidP="00A577B1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14E2BFEA" w:rsidR="00560D54" w:rsidRPr="005A3C4E" w:rsidRDefault="00A577B1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</w:t>
            </w:r>
            <w:r w:rsidR="00F2465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tratamiento. Actualizado en abril de 2025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2822E248" w:rsidR="00560D54" w:rsidRPr="0069157E" w:rsidRDefault="00560D54" w:rsidP="000D60B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9062322" w:rsidR="00560D54" w:rsidRPr="005A3C4E" w:rsidRDefault="00F24655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Transparencia/Institucional/Estructura organizativa. Actualizado en abril 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637534F9" w:rsidR="00560D54" w:rsidRPr="007E6117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1F0BC9C" w:rsidR="00560D54" w:rsidRPr="005A3C4E" w:rsidRDefault="00F24655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Transparencia/Institucional/Estructura organizativa/Organigrama de la APB. Actualizado en abril de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3B801C98" w:rsidR="00560D54" w:rsidRPr="005A3C4E" w:rsidRDefault="00F24655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</w:t>
            </w:r>
            <w:r w:rsidR="00950DB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Estructura organizativa/Organigrama de la APB y también, pinchando en los distintos epígrafes de Órganos de gobierno y de gestión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Actualizado en abril de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318EE8F" w:rsidR="00560D54" w:rsidRPr="0069157E" w:rsidRDefault="00560D54" w:rsidP="00F53104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8A43BE2" w:rsidR="00560D54" w:rsidRPr="005A3C4E" w:rsidRDefault="00950DBA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Transparencia/Institucional/Estructura organizativa/Presidencia y Dirección General. Actualizado en abril de 2025.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EEC3A1" w:rsidR="00560D54" w:rsidRPr="00B85683" w:rsidRDefault="00560D54" w:rsidP="003953F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1E66343D" w:rsidR="00560D54" w:rsidRPr="005A3C4E" w:rsidRDefault="00F5310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950DB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Institucional/Información de planificación</w:t>
            </w:r>
            <w:r w:rsidR="001B79B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el </w:t>
            </w:r>
            <w:r w:rsidR="00950DB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IV Plan Estratégico 2021-2025 y los objetivos del Plan de empresa 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46AE5269" w:rsidR="00560D54" w:rsidRPr="00F72800" w:rsidRDefault="00560D54" w:rsidP="00950DBA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02C26113" w:rsidR="00560D54" w:rsidRPr="005A3C4E" w:rsidRDefault="00950DBA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Transparencia/Institucional/Información de planificación el grado de consecución de los objetivos del IV Plan estratégico 2021-2025.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3CB7D11D" w:rsidR="00560D54" w:rsidRPr="00F72800" w:rsidRDefault="00560D54" w:rsidP="006A215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46F83FE3" w:rsidR="00560D54" w:rsidRPr="005A3C4E" w:rsidRDefault="006A215E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Transparencia/Institucional/Información de planificación el grado de consecución de los objetivos del IV Plan estratégico 2021-2025.</w:t>
            </w:r>
          </w:p>
        </w:tc>
      </w:tr>
    </w:tbl>
    <w:p w14:paraId="587D76E7" w14:textId="77777777" w:rsidR="00BB6FE4" w:rsidRPr="005A3C4E" w:rsidRDefault="00BB6FE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BDA899F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5544F4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08F5CDF">
                <wp:simplePos x="0" y="0"/>
                <wp:positionH relativeFrom="column">
                  <wp:posOffset>285750</wp:posOffset>
                </wp:positionH>
                <wp:positionV relativeFrom="paragraph">
                  <wp:posOffset>133986</wp:posOffset>
                </wp:positionV>
                <wp:extent cx="6353175" cy="12763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40A6A05C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55pt;width:500.2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40A6A05C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5A731C34" w:rsidR="006A2766" w:rsidRPr="005A3C4E" w:rsidRDefault="00040270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Localizables en el Portal de Transparencia/</w:t>
            </w:r>
            <w:r w:rsidR="00637151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Jurídica. Actualizado en abril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de 2025.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14AFEC8A" w:rsidR="001E30F9" w:rsidRPr="005A3C4E" w:rsidRDefault="00637151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Localizables en el Portal de Transparencia/Jurídica/Documentación sometida a trámite de información pública y otra documentación de relevancia. Actualizado en </w:t>
            </w:r>
            <w:r w:rsidR="005544F4"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>mayo</w:t>
            </w:r>
            <w:r>
              <w:rPr>
                <w:rStyle w:val="Ttulo2Car"/>
                <w:b w:val="0"/>
                <w:bCs w:val="0"/>
                <w:color w:val="000000"/>
                <w:sz w:val="20"/>
                <w:szCs w:val="24"/>
                <w:lang w:bidi="es-ES"/>
              </w:rPr>
              <w:t xml:space="preserve"> de 2025.</w:t>
            </w:r>
          </w:p>
        </w:tc>
      </w:tr>
    </w:tbl>
    <w:p w14:paraId="1DD8BD6A" w14:textId="77777777" w:rsidR="005544F4" w:rsidRDefault="005544F4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6CB862F" w14:textId="77777777" w:rsidR="00E62C3F" w:rsidRDefault="00E62C3F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EC32D79" w14:textId="77777777" w:rsidR="00E62C3F" w:rsidRDefault="00E62C3F" w:rsidP="00EF2F78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EDE50F2" w14:textId="754A4EEF" w:rsidR="00040270" w:rsidRPr="0060669B" w:rsidRDefault="00040270" w:rsidP="00040270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lastRenderedPageBreak/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>de relevancia jurídica</w:t>
      </w:r>
    </w:p>
    <w:p w14:paraId="51D404C4" w14:textId="77777777" w:rsidR="00040270" w:rsidRPr="005A3C4E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1933E7" wp14:editId="018701DE">
                <wp:simplePos x="0" y="0"/>
                <wp:positionH relativeFrom="column">
                  <wp:posOffset>238125</wp:posOffset>
                </wp:positionH>
                <wp:positionV relativeFrom="paragraph">
                  <wp:posOffset>135255</wp:posOffset>
                </wp:positionV>
                <wp:extent cx="6353175" cy="11334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76EB" w14:textId="77777777" w:rsidR="00040270" w:rsidRPr="0060669B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5F0CC99" w14:textId="77777777" w:rsidR="00040270" w:rsidRPr="002230AE" w:rsidRDefault="00040270" w:rsidP="0004027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74D222C8" w14:textId="77777777" w:rsidR="00040270" w:rsidRPr="001D0329" w:rsidRDefault="00040270" w:rsidP="0004027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933E7" id="_x0000_s1027" type="#_x0000_t202" style="position:absolute;left:0;text-align:left;margin-left:18.75pt;margin-top:10.65pt;width:500.25pt;height:8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">
                <v:textbox>
                  <w:txbxContent>
                    <w:p w14:paraId="183A76EB" w14:textId="77777777" w:rsidR="00040270" w:rsidRPr="0060669B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5F0CC99" w14:textId="77777777" w:rsidR="00040270" w:rsidRPr="002230AE" w:rsidRDefault="00040270" w:rsidP="0004027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74D222C8" w14:textId="77777777" w:rsidR="00040270" w:rsidRPr="001D0329" w:rsidRDefault="00040270" w:rsidP="00040270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DC7BD87" w14:textId="3B8384EA" w:rsidR="00040270" w:rsidRDefault="00040270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F8ED0C3" w14:textId="60B43E2B" w:rsidR="008A2E02" w:rsidRDefault="008A2E02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DC1CED6" w14:textId="0F28D212" w:rsidR="00E62C3F" w:rsidRDefault="00E62C3F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0FA66D" w14:textId="6F706BAD" w:rsidR="00E62C3F" w:rsidRDefault="00E62C3F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6DFC202" w14:textId="77777777" w:rsidR="00E62C3F" w:rsidRDefault="00E62C3F" w:rsidP="00040270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C652156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866350D" w:rsidR="00C33A23" w:rsidRPr="007F7992" w:rsidRDefault="00C33A23" w:rsidP="007F29F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199137AA" w:rsidR="00C33A23" w:rsidRPr="005A3C4E" w:rsidRDefault="00F0112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0501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</w:t>
            </w:r>
            <w:r w:rsidR="00A8261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Económica/</w:t>
            </w:r>
            <w:r w:rsidR="000501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Contratación/Relación de contratos los adjudicados en 202</w:t>
            </w:r>
            <w:r w:rsidR="00A15D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0501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, incluyendo todos los ítems informativos contemplados en el artículo 8.1.a LTAIBG. También se publica un enlace denominado Plataforma de Contratación del Estado, que redirige a la </w:t>
            </w:r>
            <w:r w:rsidR="00516E4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PCSP, posicionando en el Perfil del contratante de</w:t>
            </w:r>
            <w:r w:rsidR="000501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la AP.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3414020" w:rsidR="00C33A23" w:rsidRPr="00B2173B" w:rsidRDefault="00C33A23" w:rsidP="00F0112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00561DC5" w:rsidR="00C33A23" w:rsidRPr="005A3C4E" w:rsidRDefault="00F0112F" w:rsidP="00F0112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05014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Económica/Contratación la relación de modificaciones 202</w:t>
            </w:r>
            <w:r w:rsidR="00A15D0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64DBB31C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304FC37F" w:rsidR="00C33A23" w:rsidRPr="005A3C4E" w:rsidRDefault="0005014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Transparencia/Económica/Contratación/Información sobre desistimientos y renuncias de contratos la correspondiente a 202</w:t>
            </w:r>
            <w:r w:rsidR="00497A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1E47BAAC" w:rsidR="00C33A23" w:rsidRPr="00B2173B" w:rsidRDefault="00C33A23" w:rsidP="000731B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037DE427" w:rsidR="00C33A23" w:rsidRPr="005A3C4E" w:rsidRDefault="000731BC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B87D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Económica/Contratación/Datos estadísticos sobre el porcentaje en volumen presupuestario de contratos adjudicados a través de cada uno de los procedimientos previstos en la legislación de contratos del sector público los correspondientes a 202</w:t>
            </w:r>
            <w:r w:rsidR="00497A5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porcentaje en volumen presupuestario de contratos adjudicados a PYMES según tipo de contrato y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2AEEC018" w:rsidR="00B266D1" w:rsidRPr="00B2173B" w:rsidRDefault="00B266D1" w:rsidP="00AD6F9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49543F7A" w:rsidR="00B266D1" w:rsidRPr="005A3C4E" w:rsidRDefault="00AD6F98" w:rsidP="00AD6F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B87D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Económica/Contratación/Información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núm. 651/2014 de </w:t>
            </w:r>
            <w:r w:rsidR="00B87D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la Comisión, de 17 de junio de 2014, para cada uno de los procedimientos y de las tipologías que prevé la legislación de contratos del sector público.</w:t>
            </w:r>
            <w:r w:rsidR="00AD2CC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se ha localizado el número de contratos según tipo de contrato y según procedimiento de licitación.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8461D40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1A466B5" w:rsidR="00C33A23" w:rsidRPr="005A3C4E" w:rsidRDefault="0005014B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Localizables en el Portal de Transparencia/Económica/Contratación/Relación de contratos menores los adjudicados en 202</w:t>
            </w:r>
            <w:r w:rsidR="00497A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 También se publica un enlace denominado Plataforma de Contratación del Estado, que redirige a la PCSP, posicionando en el Perfil del contratante de la AP.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965EC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0E86484" w:rsidR="00C33A23" w:rsidRPr="001400C0" w:rsidRDefault="00C33A23" w:rsidP="0055411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177D4234" w:rsidR="00C33A23" w:rsidRPr="005A3C4E" w:rsidRDefault="00AB39EB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Económica/Convenios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</w:t>
            </w:r>
            <w:r w:rsidR="00497A5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mayo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09BAE7EE" w:rsidR="009609E9" w:rsidRPr="001400C0" w:rsidRDefault="009609E9" w:rsidP="0043504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1A2C0D98" w:rsidR="009609E9" w:rsidRPr="00965ECF" w:rsidRDefault="00965ECF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Transparencia/Económica/Contratación/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</w:t>
            </w:r>
            <w:r w:rsidRP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elación de encomiendas de gestión firmadas trimestralmente por la Autoridad Portuaria </w:t>
            </w:r>
            <w:r w:rsidRPr="00497A5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Barcelona, con los datos</w:t>
            </w:r>
            <w:r w:rsidRP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se establecen en la Ley 19/2013 de 9 de diciembre y en la Ley 9/2017 de 8 de noviembre de contratos del sector público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</w:t>
            </w:r>
            <w:r w:rsidR="004350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certifica que no se han producido en el primer trimestre de 2025</w:t>
            </w:r>
            <w:r w:rsidRPr="00965EC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6DA3D09D" w:rsidR="009609E9" w:rsidRPr="001400C0" w:rsidRDefault="009609E9" w:rsidP="0043504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1EBEEC66" w:rsidR="009609E9" w:rsidRPr="005A3C4E" w:rsidRDefault="001400C0" w:rsidP="00AB39E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AB39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3504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aplicable, dado que no se han producido encomiendas de gestión.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79D9D6C" w:rsidR="009609E9" w:rsidRPr="001400C0" w:rsidRDefault="009609E9" w:rsidP="00F9522E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1F127C6A" w:rsidR="001C72D3" w:rsidRPr="005A3C4E" w:rsidRDefault="00764E48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Transparencia/Económica/Subvenciones se publica que la AP no ha concedido subvenciones. Actualizado en abril de </w:t>
            </w:r>
            <w:r w:rsidR="00F9522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</w:t>
            </w:r>
            <w:r w:rsidRPr="00A015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supuest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F47C3B" w:rsidRPr="001400C0" w:rsidRDefault="00F47C3B" w:rsidP="006C5A9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2E8BFFF5" w:rsidR="00F47C3B" w:rsidRPr="005A3C4E" w:rsidRDefault="00A01559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</w:t>
            </w:r>
            <w:r w:rsidR="00764E4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Económica/Presupuestos los correspondientes a 2025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11C496A" w:rsidR="00F47C3B" w:rsidRPr="001400C0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4AB91F43" w:rsidR="00F47C3B" w:rsidRPr="005A3C4E" w:rsidRDefault="006B544A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Transparencia/Económica/Cuentas anuales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35F3080" w:rsidR="00F47C3B" w:rsidRPr="00F339DA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9FA8D7D" w:rsidR="00F47C3B" w:rsidRPr="005A3C4E" w:rsidRDefault="00073905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Transparencia/Económica/Cuentas </w:t>
            </w:r>
            <w:r w:rsidRPr="000739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anuales/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</w:t>
            </w:r>
            <w:r w:rsidRPr="000739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nformes de auditoría de cuentas y de fiscalización por órganos de control externo.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4F4CE3AB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31E7B25" w:rsidR="00C23166" w:rsidRPr="005A3C4E" w:rsidRDefault="00C64E5A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Transparencia/Económica/Retribuciones. Las correspondientes al Director General son de 2022, aunque se publica que la información está actualizada en abril de 2025</w:t>
            </w:r>
            <w:r w:rsidRPr="0007390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236E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15E36714" w:rsidR="00C23166" w:rsidRPr="00091D2B" w:rsidRDefault="00C23166" w:rsidP="0064547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0E60987" w:rsidR="00C23166" w:rsidRPr="005A3C4E" w:rsidRDefault="005236EE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Transparencia/Económica/Retribuciones se publica que no se han producido. Actualizado en abril de 2025.</w:t>
            </w:r>
          </w:p>
        </w:tc>
      </w:tr>
      <w:tr w:rsidR="00F80DC2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6625D92C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58B4AA2" w:rsidR="00F80DC2" w:rsidRPr="005A3C4E" w:rsidRDefault="005236EE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Transparencia/Económica/Compatibilidades. Actualizado en abril de 2025.</w:t>
            </w:r>
          </w:p>
        </w:tc>
      </w:tr>
      <w:tr w:rsidR="00F80DC2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217AC0F0" w:rsidR="00F80DC2" w:rsidRPr="00091D2B" w:rsidRDefault="00F80DC2" w:rsidP="00E273C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66D1C0F7" w:rsidR="00F80DC2" w:rsidRPr="005A3C4E" w:rsidRDefault="005236EE" w:rsidP="0087171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Transparencia/Económica/Compatibilidades se publica que no se tiene constancia de que se hayan producido. Actualizado en abril de 2025.</w:t>
            </w:r>
          </w:p>
        </w:tc>
      </w:tr>
      <w:tr w:rsidR="00F80DC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F80DC2" w:rsidRPr="00091D2B" w:rsidRDefault="00F80DC2" w:rsidP="00420C03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0ADED5C2" w:rsidR="00F80DC2" w:rsidRPr="005A3C4E" w:rsidRDefault="00420C03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Transparencia/Económica/Memoria anual e información estadística. Actualizado en abril de 2025.</w:t>
            </w:r>
          </w:p>
        </w:tc>
      </w:tr>
    </w:tbl>
    <w:p w14:paraId="488AC770" w14:textId="4013FF8A" w:rsidR="004723F9" w:rsidRDefault="004723F9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A3F3144" w14:textId="22620BF6" w:rsidR="00AD2CC6" w:rsidRDefault="00AD2CC6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2671AE44" w14:textId="72372EA2" w:rsidR="00EF2F78" w:rsidRDefault="00EF2F7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A04E514" w14:textId="77777777" w:rsidR="00EF2F78" w:rsidRDefault="00EF2F78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AF0877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FF351C9">
                <wp:simplePos x="0" y="0"/>
                <wp:positionH relativeFrom="margin">
                  <wp:posOffset>228600</wp:posOffset>
                </wp:positionH>
                <wp:positionV relativeFrom="paragraph">
                  <wp:posOffset>128905</wp:posOffset>
                </wp:positionV>
                <wp:extent cx="6391275" cy="1193800"/>
                <wp:effectExtent l="0" t="0" r="28575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228F3EA" w14:textId="4416C06D" w:rsidR="00435040" w:rsidRPr="00420C03" w:rsidRDefault="00091D2B" w:rsidP="0043504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>La información publicada</w:t>
                            </w:r>
                            <w:r w:rsidR="00420C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43504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3AE1A32" w14:textId="12A50794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15pt;width:503.25pt;height:9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228F3EA" w14:textId="4416C06D" w:rsidR="00435040" w:rsidRPr="00420C03" w:rsidRDefault="00091D2B" w:rsidP="0043504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>La información publicada</w:t>
                      </w:r>
                      <w:r w:rsidR="00420C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43504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3AE1A32" w14:textId="12A50794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4551D94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08DE31" w14:textId="1F40EB80" w:rsidR="00AD2CC6" w:rsidRDefault="00AD2CC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8973DFB" w14:textId="77777777" w:rsidR="00AD2CC6" w:rsidRPr="005A3C4E" w:rsidRDefault="00AD2CC6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6B56C82C" w:rsidR="00BD4582" w:rsidRPr="007A0664" w:rsidRDefault="00BD4582" w:rsidP="00566F55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CAFCADA" w:rsidR="00BD4582" w:rsidRPr="005A3C4E" w:rsidRDefault="00566F55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Transparencia/Económica/Relación de bienes inmuebles. Actualizado en abril de 2025</w:t>
            </w:r>
            <w:r w:rsidR="007A0664"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774167DF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18DF41C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6381750" cy="1076324"/>
                <wp:effectExtent l="0" t="0" r="19050" b="101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76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08085B1" w:rsidR="007A0664" w:rsidRDefault="00566F55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1.75pt;margin-top:.45pt;width:502.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08085B1" w:rsidR="007A0664" w:rsidRDefault="00566F55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33DBDCE" w14:textId="38D4FD38" w:rsidR="00566F55" w:rsidRDefault="00566F5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C0D5F99" w14:textId="77777777" w:rsidR="00EF2F78" w:rsidRDefault="00EF2F78" w:rsidP="00EF2F78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696C520B" w14:textId="453FB0B4" w:rsidR="003B6522" w:rsidRPr="00EF2F78" w:rsidRDefault="00BD4582" w:rsidP="00EF2F78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9"/>
        <w:gridCol w:w="729"/>
        <w:gridCol w:w="729"/>
        <w:gridCol w:w="729"/>
        <w:gridCol w:w="729"/>
        <w:gridCol w:w="729"/>
        <w:gridCol w:w="729"/>
      </w:tblGrid>
      <w:tr w:rsidR="003B6522" w:rsidRPr="003B6522" w14:paraId="0CA0E703" w14:textId="77777777" w:rsidTr="003B6522">
        <w:trPr>
          <w:divId w:val="125779081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7F8BC794" w14:textId="24298F54" w:rsidR="003B6522" w:rsidRPr="003B6522" w:rsidRDefault="003B6522" w:rsidP="003B6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B652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0746809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CC7F111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D78042D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044F483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06507F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EEFD91D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268F877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010B949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3B6522" w:rsidRPr="003B6522" w14:paraId="3EFB5FA3" w14:textId="77777777" w:rsidTr="003B6522">
        <w:trPr>
          <w:divId w:val="125779081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3CB0821" w14:textId="77777777" w:rsidR="003B6522" w:rsidRPr="003B6522" w:rsidRDefault="003B6522" w:rsidP="003B65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0389A4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5C4467F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5D161F6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A7DC87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C40FC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9EB60A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BA6890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4A285E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3B6522" w:rsidRPr="003B6522" w14:paraId="39B4A99C" w14:textId="77777777" w:rsidTr="003B6522">
        <w:trPr>
          <w:divId w:val="125779081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C90C09D" w14:textId="77777777" w:rsidR="003B6522" w:rsidRPr="003B6522" w:rsidRDefault="003B6522" w:rsidP="003B652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3A1D0D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7969A5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D6A454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6AE5A3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4F85DC1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7319026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73F63F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2BA8CB4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3B6522" w:rsidRPr="003B6522" w14:paraId="46111793" w14:textId="77777777" w:rsidTr="003B6522">
        <w:trPr>
          <w:divId w:val="125779081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2DBA5CE" w14:textId="042A6D70" w:rsidR="003B6522" w:rsidRPr="003B6522" w:rsidRDefault="003B6522" w:rsidP="003B65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74AB67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9E0408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190232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975E8A4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B6AC96D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BE1903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D26DB2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C704D4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99,5</w:t>
            </w:r>
          </w:p>
        </w:tc>
      </w:tr>
      <w:tr w:rsidR="003B6522" w:rsidRPr="003B6522" w14:paraId="5B00F5AD" w14:textId="77777777" w:rsidTr="003B6522">
        <w:trPr>
          <w:divId w:val="125779081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8C24516" w14:textId="77777777" w:rsidR="003B6522" w:rsidRPr="003B6522" w:rsidRDefault="003B6522" w:rsidP="003B6522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E118EF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866EA7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4FD0D0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0A94B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F88340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D02CB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50E3DD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427EA2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3B6522" w:rsidRPr="003B6522" w14:paraId="2B345589" w14:textId="77777777" w:rsidTr="003B6522">
        <w:trPr>
          <w:divId w:val="125779081"/>
          <w:trHeight w:val="31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EDDCC1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EC14F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EDAD9C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2A1E00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3CDC829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8847E6C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F2D18B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5DB94F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19AD043" w14:textId="77777777" w:rsidR="003B6522" w:rsidRPr="003B6522" w:rsidRDefault="003B6522" w:rsidP="003B65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B6522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99,7</w:t>
            </w:r>
          </w:p>
        </w:tc>
      </w:tr>
    </w:tbl>
    <w:p w14:paraId="79AF10FF" w14:textId="13398BFB" w:rsidR="00F67F62" w:rsidRPr="00396A23" w:rsidRDefault="00F67F62" w:rsidP="00EF2F78">
      <w:pPr>
        <w:pStyle w:val="Cuerpodelboletn"/>
        <w:spacing w:before="120" w:after="120" w:line="312" w:lineRule="auto"/>
      </w:pPr>
    </w:p>
    <w:p w14:paraId="0CBFD59A" w14:textId="13B9D82A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435040">
        <w:t>9</w:t>
      </w:r>
      <w:r w:rsidR="0060076F">
        <w:t>9,7 (100</w:t>
      </w:r>
      <w:r w:rsidR="00EF2F78">
        <w:t>)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747D73">
        <w:t>se in</w:t>
      </w:r>
      <w:r w:rsidR="000D6B7B">
        <w:t>crementa</w:t>
      </w:r>
      <w:r w:rsidR="00992FF6">
        <w:t xml:space="preserve"> </w:t>
      </w:r>
      <w:r w:rsidR="000D6B7B">
        <w:t xml:space="preserve">un </w:t>
      </w:r>
      <w:r w:rsidR="006A215E">
        <w:t>42,6</w:t>
      </w:r>
      <w:r w:rsidR="000D6B7B">
        <w:t xml:space="preserve">%, </w:t>
      </w:r>
      <w:r w:rsidR="000C0C8A">
        <w:t>ya que</w:t>
      </w:r>
      <w:r w:rsidR="00992FF6">
        <w:t xml:space="preserve"> </w:t>
      </w:r>
      <w:r w:rsidR="000C0C8A">
        <w:t>se ha</w:t>
      </w:r>
      <w:r w:rsidR="0058449F">
        <w:t>n</w:t>
      </w:r>
      <w:r w:rsidR="000C0C8A">
        <w:t xml:space="preserve"> aplicado </w:t>
      </w:r>
      <w:r w:rsidR="006A215E">
        <w:t>todas</w:t>
      </w:r>
      <w:r w:rsidR="00521AA8">
        <w:t xml:space="preserve"> las recomendaciones derivadas de la evaluación de 2024</w:t>
      </w:r>
      <w:r w:rsidR="00FD2110">
        <w:t>.</w:t>
      </w:r>
    </w:p>
    <w:p w14:paraId="6973F1B5" w14:textId="5FB225D7" w:rsidR="00992FF6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150C9C88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747D73">
        <w:t xml:space="preserve">de la </w:t>
      </w:r>
      <w:r w:rsidR="0058449F">
        <w:t xml:space="preserve">Autoridad Portuaria de </w:t>
      </w:r>
      <w:r w:rsidR="00FD2110">
        <w:t>Barcelona</w:t>
      </w:r>
      <w:r w:rsidRPr="00396A23">
        <w:t xml:space="preserve">. El índice de cumplimiento alcanzado se situó en el </w:t>
      </w:r>
      <w:r w:rsidR="0058449F">
        <w:t>4</w:t>
      </w:r>
      <w:r w:rsidR="00FD2110">
        <w:t>7,7</w:t>
      </w:r>
      <w:r w:rsidRPr="00396A23">
        <w:t xml:space="preserve">% y, a partir de las evidencias obtenidas en la evaluación, este Consejo efectuó </w:t>
      </w:r>
      <w:r w:rsidR="0058449F">
        <w:t>1</w:t>
      </w:r>
      <w:r w:rsidR="00FD2110">
        <w:t>9</w:t>
      </w:r>
      <w:r w:rsidRPr="00396A23">
        <w:t xml:space="preserve"> recomendaciones, cuya finalidad era la mejora del cumplimiento de la LTAIBG por parte de la organización.</w:t>
      </w:r>
    </w:p>
    <w:p w14:paraId="453614C8" w14:textId="4210D302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747D73">
        <w:t xml:space="preserve">la </w:t>
      </w:r>
      <w:r w:rsidR="00A3010A">
        <w:t xml:space="preserve">Autoridad Portuaria de </w:t>
      </w:r>
      <w:r w:rsidR="00FD2110">
        <w:t>Barcelon</w:t>
      </w:r>
      <w:r w:rsidR="00A3010A">
        <w:t>a</w:t>
      </w:r>
      <w:r w:rsidR="00747D73">
        <w:t xml:space="preserve"> </w:t>
      </w:r>
      <w:r w:rsidR="000C0C8A">
        <w:t>h</w:t>
      </w:r>
      <w:r w:rsidRPr="00396A23">
        <w:t xml:space="preserve">abía aplicado </w:t>
      </w:r>
      <w:r w:rsidR="00A3010A">
        <w:t>d</w:t>
      </w:r>
      <w:r w:rsidR="00FD2110">
        <w:t>iez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747D73">
        <w:t>, lo que</w:t>
      </w:r>
      <w:r w:rsidRPr="00396A23">
        <w:t xml:space="preserve"> se tradujo en un </w:t>
      </w:r>
      <w:r w:rsidR="00747D73">
        <w:t>in</w:t>
      </w:r>
      <w:r w:rsidRPr="00396A23">
        <w:t xml:space="preserve">cremento de su Índice de Cumplimiento en </w:t>
      </w:r>
      <w:r w:rsidR="00A3010A">
        <w:t>2</w:t>
      </w:r>
      <w:r w:rsidR="00FD2110">
        <w:t>2,4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FD2110">
        <w:t>70,1</w:t>
      </w:r>
      <w:r w:rsidRPr="00396A23">
        <w:t>%.</w:t>
      </w:r>
    </w:p>
    <w:p w14:paraId="46C8227C" w14:textId="4C9CD9E8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747D73">
        <w:t xml:space="preserve">de la </w:t>
      </w:r>
      <w:r w:rsidR="00A3010A">
        <w:t xml:space="preserve">Autoridad Portuaria de </w:t>
      </w:r>
      <w:r w:rsidR="00FD2110">
        <w:t>Barcelona</w:t>
      </w:r>
      <w:r w:rsidR="00FE3443">
        <w:t xml:space="preserve"> </w:t>
      </w:r>
      <w:r w:rsidR="00FD2110">
        <w:t>tenía margen de mejora</w:t>
      </w:r>
      <w:r w:rsidRPr="00396A23">
        <w:t>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747D73">
        <w:t xml:space="preserve">a la </w:t>
      </w:r>
      <w:r w:rsidR="00A3010A">
        <w:t xml:space="preserve">Autoridad Portuaria de </w:t>
      </w:r>
      <w:r w:rsidR="00FD2110">
        <w:t>Barcelona</w:t>
      </w:r>
      <w:r w:rsidR="00747D73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4D3301E2" w:rsidR="007A0664" w:rsidRPr="00396A23" w:rsidRDefault="007A0664" w:rsidP="00A3010A">
      <w:pPr>
        <w:pStyle w:val="Cuerpodelboletn"/>
        <w:spacing w:before="120" w:after="120" w:line="276" w:lineRule="auto"/>
        <w:ind w:left="284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747D73">
        <w:t xml:space="preserve">la </w:t>
      </w:r>
      <w:r w:rsidR="00A3010A">
        <w:t xml:space="preserve">Autoridad Portuaria de </w:t>
      </w:r>
      <w:r w:rsidR="00FD2110">
        <w:t>Barcelona</w:t>
      </w:r>
      <w:r w:rsidR="00FE3443">
        <w:t xml:space="preserve"> </w:t>
      </w:r>
      <w:r w:rsidR="00992FF6">
        <w:t xml:space="preserve">ha </w:t>
      </w:r>
      <w:r w:rsidR="00747D73">
        <w:t>aumenta</w:t>
      </w:r>
      <w:r w:rsidR="00FE3443">
        <w:t>do</w:t>
      </w:r>
      <w:r w:rsidR="00992FF6">
        <w:t xml:space="preserve"> en </w:t>
      </w:r>
      <w:r w:rsidR="00435040">
        <w:t>2</w:t>
      </w:r>
      <w:r w:rsidR="006A215E">
        <w:t>9,9</w:t>
      </w:r>
      <w:r w:rsidR="00992FF6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992FF6">
        <w:t xml:space="preserve"> se ha</w:t>
      </w:r>
      <w:r w:rsidR="00A3010A">
        <w:t>n</w:t>
      </w:r>
      <w:r w:rsidR="00992FF6">
        <w:t xml:space="preserve"> aplicado </w:t>
      </w:r>
      <w:r w:rsidR="006A215E">
        <w:t>todas</w:t>
      </w:r>
      <w:r w:rsidR="00A3010A">
        <w:t xml:space="preserve"> las recomendaciones derivadas de la evaluación de ese año</w:t>
      </w:r>
      <w:r w:rsidRPr="00396A23">
        <w:t xml:space="preserve">. </w:t>
      </w:r>
    </w:p>
    <w:p w14:paraId="10AD49AC" w14:textId="27D9F73D" w:rsidR="00435040" w:rsidRDefault="00435040" w:rsidP="00435040">
      <w:pPr>
        <w:spacing w:before="120" w:after="120"/>
        <w:ind w:left="284"/>
        <w:jc w:val="both"/>
      </w:pPr>
      <w:r w:rsidRPr="00396A23">
        <w:t>Por todo lo que antecede</w:t>
      </w:r>
      <w:r>
        <w:t>,</w:t>
      </w:r>
      <w:r w:rsidR="006A215E" w:rsidRPr="006A215E">
        <w:t xml:space="preserve"> </w:t>
      </w:r>
      <w:r w:rsidR="006A215E">
        <w:t xml:space="preserve">se puede considerar un ICIO del 100% por parte de la Autoridad Portuaria de Barcelona, logro que este </w:t>
      </w:r>
      <w:r w:rsidR="00B0742A">
        <w:t>Consejo</w:t>
      </w:r>
      <w:r w:rsidR="006A215E">
        <w:t xml:space="preserve"> reconoce y valora</w:t>
      </w:r>
      <w:r w:rsidR="004B0B35">
        <w:t>.</w:t>
      </w:r>
      <w:r w:rsidRPr="00396A23">
        <w:t xml:space="preserve"> 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1BF7DE0A" w14:textId="77777777" w:rsidR="00EF2F78" w:rsidRDefault="00EF2F78" w:rsidP="00EF2F78">
      <w:pPr>
        <w:ind w:left="6372" w:firstLine="708"/>
        <w:jc w:val="right"/>
      </w:pPr>
    </w:p>
    <w:p w14:paraId="67974A85" w14:textId="0CF9C570" w:rsidR="007A0664" w:rsidRPr="005A3C4E" w:rsidRDefault="007A0664" w:rsidP="00EF2F78">
      <w:pPr>
        <w:ind w:left="6372" w:firstLine="708"/>
        <w:jc w:val="right"/>
      </w:pPr>
      <w:r w:rsidRPr="005A3C4E">
        <w:t xml:space="preserve">Madrid, </w:t>
      </w:r>
      <w:r w:rsidR="00B0742A">
        <w:t>octubre</w:t>
      </w:r>
      <w:r w:rsidR="00435040">
        <w:t xml:space="preserve"> </w:t>
      </w:r>
      <w:r>
        <w:t>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533BBD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48C4E5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5994C7C5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7FB0DF6C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3D46A0D4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825" type="#_x0000_t75" style="width:9pt;height:9pt" o:bullet="t">
        <v:imagedata r:id="rId1" o:title="BD14533_"/>
      </v:shape>
    </w:pict>
  </w:numPicBullet>
  <w:numPicBullet w:numPicBulletId="1">
    <w:pict>
      <v:shape id="_x0000_i8826" type="#_x0000_t75" style="width:9pt;height:9pt" o:bullet="t">
        <v:imagedata r:id="rId2" o:title="BD14533_"/>
      </v:shape>
    </w:pict>
  </w:numPicBullet>
  <w:abstractNum w:abstractNumId="0" w15:restartNumberingAfterBreak="0">
    <w:nsid w:val="009B690A"/>
    <w:multiLevelType w:val="hybridMultilevel"/>
    <w:tmpl w:val="06822C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369"/>
    <w:multiLevelType w:val="hybridMultilevel"/>
    <w:tmpl w:val="33EC6D3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21AD"/>
    <w:multiLevelType w:val="hybridMultilevel"/>
    <w:tmpl w:val="439AC37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7FB"/>
    <w:multiLevelType w:val="hybridMultilevel"/>
    <w:tmpl w:val="E11ECC3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2A92"/>
    <w:multiLevelType w:val="hybridMultilevel"/>
    <w:tmpl w:val="4748ECC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3627"/>
    <w:multiLevelType w:val="hybridMultilevel"/>
    <w:tmpl w:val="5374EC4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95849"/>
    <w:multiLevelType w:val="hybridMultilevel"/>
    <w:tmpl w:val="54E0687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2A2A01"/>
    <w:multiLevelType w:val="hybridMultilevel"/>
    <w:tmpl w:val="39284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EE23A7"/>
    <w:multiLevelType w:val="hybridMultilevel"/>
    <w:tmpl w:val="A290EF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4A68"/>
    <w:multiLevelType w:val="hybridMultilevel"/>
    <w:tmpl w:val="1D2468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0092A"/>
    <w:multiLevelType w:val="hybridMultilevel"/>
    <w:tmpl w:val="A2EA7CC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20362CC"/>
    <w:multiLevelType w:val="hybridMultilevel"/>
    <w:tmpl w:val="F15846A8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C13E26"/>
    <w:multiLevelType w:val="hybridMultilevel"/>
    <w:tmpl w:val="F5C071C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576DCE"/>
    <w:multiLevelType w:val="hybridMultilevel"/>
    <w:tmpl w:val="6930D66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19"/>
  </w:num>
  <w:num w:numId="4">
    <w:abstractNumId w:val="18"/>
  </w:num>
  <w:num w:numId="5">
    <w:abstractNumId w:val="15"/>
  </w:num>
  <w:num w:numId="6">
    <w:abstractNumId w:val="29"/>
  </w:num>
  <w:num w:numId="7">
    <w:abstractNumId w:val="28"/>
  </w:num>
  <w:num w:numId="8">
    <w:abstractNumId w:val="38"/>
  </w:num>
  <w:num w:numId="9">
    <w:abstractNumId w:val="17"/>
  </w:num>
  <w:num w:numId="10">
    <w:abstractNumId w:val="36"/>
  </w:num>
  <w:num w:numId="11">
    <w:abstractNumId w:val="11"/>
  </w:num>
  <w:num w:numId="12">
    <w:abstractNumId w:val="37"/>
  </w:num>
  <w:num w:numId="13">
    <w:abstractNumId w:val="2"/>
  </w:num>
  <w:num w:numId="14">
    <w:abstractNumId w:val="13"/>
  </w:num>
  <w:num w:numId="15">
    <w:abstractNumId w:val="24"/>
  </w:num>
  <w:num w:numId="16">
    <w:abstractNumId w:val="34"/>
  </w:num>
  <w:num w:numId="17">
    <w:abstractNumId w:val="23"/>
  </w:num>
  <w:num w:numId="18">
    <w:abstractNumId w:val="21"/>
  </w:num>
  <w:num w:numId="19">
    <w:abstractNumId w:val="20"/>
  </w:num>
  <w:num w:numId="20">
    <w:abstractNumId w:val="10"/>
  </w:num>
  <w:num w:numId="21">
    <w:abstractNumId w:val="5"/>
  </w:num>
  <w:num w:numId="22">
    <w:abstractNumId w:val="14"/>
  </w:num>
  <w:num w:numId="23">
    <w:abstractNumId w:val="7"/>
  </w:num>
  <w:num w:numId="24">
    <w:abstractNumId w:val="12"/>
  </w:num>
  <w:num w:numId="25">
    <w:abstractNumId w:val="4"/>
  </w:num>
  <w:num w:numId="26">
    <w:abstractNumId w:val="33"/>
  </w:num>
  <w:num w:numId="27">
    <w:abstractNumId w:val="9"/>
  </w:num>
  <w:num w:numId="28">
    <w:abstractNumId w:val="24"/>
  </w:num>
  <w:num w:numId="29">
    <w:abstractNumId w:val="26"/>
  </w:num>
  <w:num w:numId="30">
    <w:abstractNumId w:val="35"/>
  </w:num>
  <w:num w:numId="31">
    <w:abstractNumId w:val="6"/>
  </w:num>
  <w:num w:numId="32">
    <w:abstractNumId w:val="0"/>
  </w:num>
  <w:num w:numId="33">
    <w:abstractNumId w:val="25"/>
  </w:num>
  <w:num w:numId="34">
    <w:abstractNumId w:val="31"/>
  </w:num>
  <w:num w:numId="35">
    <w:abstractNumId w:val="27"/>
  </w:num>
  <w:num w:numId="36">
    <w:abstractNumId w:val="32"/>
  </w:num>
  <w:num w:numId="37">
    <w:abstractNumId w:val="16"/>
  </w:num>
  <w:num w:numId="38">
    <w:abstractNumId w:val="3"/>
  </w:num>
  <w:num w:numId="39">
    <w:abstractNumId w:val="22"/>
  </w:num>
  <w:num w:numId="4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1D8F"/>
    <w:rsid w:val="000246B6"/>
    <w:rsid w:val="000262A3"/>
    <w:rsid w:val="00027D55"/>
    <w:rsid w:val="000333DE"/>
    <w:rsid w:val="000345C0"/>
    <w:rsid w:val="00040270"/>
    <w:rsid w:val="000459CC"/>
    <w:rsid w:val="0005014B"/>
    <w:rsid w:val="000504F6"/>
    <w:rsid w:val="00055544"/>
    <w:rsid w:val="000731BC"/>
    <w:rsid w:val="00073905"/>
    <w:rsid w:val="000807E2"/>
    <w:rsid w:val="00082566"/>
    <w:rsid w:val="00083F93"/>
    <w:rsid w:val="00091D2B"/>
    <w:rsid w:val="00095959"/>
    <w:rsid w:val="000965B3"/>
    <w:rsid w:val="000A0608"/>
    <w:rsid w:val="000B0FBA"/>
    <w:rsid w:val="000C0C8A"/>
    <w:rsid w:val="000C372E"/>
    <w:rsid w:val="000C6CFF"/>
    <w:rsid w:val="000D37BA"/>
    <w:rsid w:val="000D60B7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400C0"/>
    <w:rsid w:val="00154B1B"/>
    <w:rsid w:val="001561A4"/>
    <w:rsid w:val="00156A51"/>
    <w:rsid w:val="00175BCB"/>
    <w:rsid w:val="00186FE9"/>
    <w:rsid w:val="00194552"/>
    <w:rsid w:val="001A17D1"/>
    <w:rsid w:val="001A3A54"/>
    <w:rsid w:val="001B7303"/>
    <w:rsid w:val="001B79BC"/>
    <w:rsid w:val="001C625B"/>
    <w:rsid w:val="001C72D3"/>
    <w:rsid w:val="001D0329"/>
    <w:rsid w:val="001D55FD"/>
    <w:rsid w:val="001E30F9"/>
    <w:rsid w:val="001E5824"/>
    <w:rsid w:val="001F1FD6"/>
    <w:rsid w:val="001F1FFC"/>
    <w:rsid w:val="00203CD9"/>
    <w:rsid w:val="00204440"/>
    <w:rsid w:val="00206263"/>
    <w:rsid w:val="0021059E"/>
    <w:rsid w:val="00231B7E"/>
    <w:rsid w:val="00235095"/>
    <w:rsid w:val="00254323"/>
    <w:rsid w:val="002562C9"/>
    <w:rsid w:val="00280DE8"/>
    <w:rsid w:val="00285021"/>
    <w:rsid w:val="00291FC2"/>
    <w:rsid w:val="002A154B"/>
    <w:rsid w:val="002D04DC"/>
    <w:rsid w:val="002D51FC"/>
    <w:rsid w:val="002E3EA8"/>
    <w:rsid w:val="002E6466"/>
    <w:rsid w:val="002F2850"/>
    <w:rsid w:val="00353A72"/>
    <w:rsid w:val="003630AF"/>
    <w:rsid w:val="00374113"/>
    <w:rsid w:val="00384A99"/>
    <w:rsid w:val="003953F6"/>
    <w:rsid w:val="003A6C78"/>
    <w:rsid w:val="003B1B0D"/>
    <w:rsid w:val="003B4274"/>
    <w:rsid w:val="003B6522"/>
    <w:rsid w:val="003B7F67"/>
    <w:rsid w:val="003D3F6C"/>
    <w:rsid w:val="003E25BE"/>
    <w:rsid w:val="003E3018"/>
    <w:rsid w:val="003F271E"/>
    <w:rsid w:val="003F572A"/>
    <w:rsid w:val="00420C03"/>
    <w:rsid w:val="00421CCF"/>
    <w:rsid w:val="00435040"/>
    <w:rsid w:val="00442DDF"/>
    <w:rsid w:val="00445B10"/>
    <w:rsid w:val="00466D7A"/>
    <w:rsid w:val="004723F9"/>
    <w:rsid w:val="00497A59"/>
    <w:rsid w:val="004A4F6E"/>
    <w:rsid w:val="004B0B35"/>
    <w:rsid w:val="004B2814"/>
    <w:rsid w:val="004D649C"/>
    <w:rsid w:val="004E70B2"/>
    <w:rsid w:val="004F2655"/>
    <w:rsid w:val="00516E4F"/>
    <w:rsid w:val="00521AA8"/>
    <w:rsid w:val="00521DA9"/>
    <w:rsid w:val="005236EE"/>
    <w:rsid w:val="00524341"/>
    <w:rsid w:val="005260B7"/>
    <w:rsid w:val="0053007F"/>
    <w:rsid w:val="00533BBD"/>
    <w:rsid w:val="005366E7"/>
    <w:rsid w:val="00544E0C"/>
    <w:rsid w:val="00547DC2"/>
    <w:rsid w:val="00552149"/>
    <w:rsid w:val="0055411C"/>
    <w:rsid w:val="005544F4"/>
    <w:rsid w:val="0055454D"/>
    <w:rsid w:val="00560D54"/>
    <w:rsid w:val="00561402"/>
    <w:rsid w:val="00566F55"/>
    <w:rsid w:val="0057532F"/>
    <w:rsid w:val="0058449F"/>
    <w:rsid w:val="005A1669"/>
    <w:rsid w:val="005A1BD7"/>
    <w:rsid w:val="005A3987"/>
    <w:rsid w:val="005A3C4E"/>
    <w:rsid w:val="005A771D"/>
    <w:rsid w:val="005B19E4"/>
    <w:rsid w:val="005E0CA3"/>
    <w:rsid w:val="005F0BDE"/>
    <w:rsid w:val="005F29B8"/>
    <w:rsid w:val="0060076F"/>
    <w:rsid w:val="00605E0D"/>
    <w:rsid w:val="0060669B"/>
    <w:rsid w:val="0061500B"/>
    <w:rsid w:val="00615BE4"/>
    <w:rsid w:val="00637151"/>
    <w:rsid w:val="006439A2"/>
    <w:rsid w:val="0064547C"/>
    <w:rsid w:val="00647F81"/>
    <w:rsid w:val="00660B7B"/>
    <w:rsid w:val="00664E9F"/>
    <w:rsid w:val="00671D67"/>
    <w:rsid w:val="0069157E"/>
    <w:rsid w:val="00695AE3"/>
    <w:rsid w:val="006963A9"/>
    <w:rsid w:val="006A16DF"/>
    <w:rsid w:val="006A215E"/>
    <w:rsid w:val="006A2766"/>
    <w:rsid w:val="006A760C"/>
    <w:rsid w:val="006B264D"/>
    <w:rsid w:val="006B544A"/>
    <w:rsid w:val="006C5A9D"/>
    <w:rsid w:val="006D1122"/>
    <w:rsid w:val="006E5667"/>
    <w:rsid w:val="00710031"/>
    <w:rsid w:val="00715014"/>
    <w:rsid w:val="00716924"/>
    <w:rsid w:val="00716F29"/>
    <w:rsid w:val="00717477"/>
    <w:rsid w:val="00743756"/>
    <w:rsid w:val="00747D73"/>
    <w:rsid w:val="007612B1"/>
    <w:rsid w:val="007615B6"/>
    <w:rsid w:val="00763CF3"/>
    <w:rsid w:val="00764A38"/>
    <w:rsid w:val="00764E48"/>
    <w:rsid w:val="00783F7C"/>
    <w:rsid w:val="007A0664"/>
    <w:rsid w:val="007B0F99"/>
    <w:rsid w:val="007C01FD"/>
    <w:rsid w:val="007D1FDC"/>
    <w:rsid w:val="007E6117"/>
    <w:rsid w:val="007F29F8"/>
    <w:rsid w:val="007F7992"/>
    <w:rsid w:val="00817B66"/>
    <w:rsid w:val="00821694"/>
    <w:rsid w:val="00825788"/>
    <w:rsid w:val="00827ABE"/>
    <w:rsid w:val="00840B55"/>
    <w:rsid w:val="00844FA9"/>
    <w:rsid w:val="0085086F"/>
    <w:rsid w:val="00870A89"/>
    <w:rsid w:val="00871712"/>
    <w:rsid w:val="008831F3"/>
    <w:rsid w:val="008A2E02"/>
    <w:rsid w:val="008C1E1E"/>
    <w:rsid w:val="008D783F"/>
    <w:rsid w:val="008E6385"/>
    <w:rsid w:val="008F09D6"/>
    <w:rsid w:val="008F632E"/>
    <w:rsid w:val="00912C2E"/>
    <w:rsid w:val="009150B8"/>
    <w:rsid w:val="00915FD7"/>
    <w:rsid w:val="009167F1"/>
    <w:rsid w:val="00923F05"/>
    <w:rsid w:val="0092723A"/>
    <w:rsid w:val="00932008"/>
    <w:rsid w:val="00934CD5"/>
    <w:rsid w:val="00950DBA"/>
    <w:rsid w:val="009609E9"/>
    <w:rsid w:val="00965ECF"/>
    <w:rsid w:val="00980F65"/>
    <w:rsid w:val="0098555C"/>
    <w:rsid w:val="00987818"/>
    <w:rsid w:val="00992FF6"/>
    <w:rsid w:val="009A5239"/>
    <w:rsid w:val="009A7780"/>
    <w:rsid w:val="009D75BF"/>
    <w:rsid w:val="009F4DA2"/>
    <w:rsid w:val="00A01559"/>
    <w:rsid w:val="00A15D0B"/>
    <w:rsid w:val="00A20D73"/>
    <w:rsid w:val="00A3010A"/>
    <w:rsid w:val="00A3359D"/>
    <w:rsid w:val="00A442CF"/>
    <w:rsid w:val="00A568B9"/>
    <w:rsid w:val="00A577B1"/>
    <w:rsid w:val="00A608E2"/>
    <w:rsid w:val="00A712FD"/>
    <w:rsid w:val="00A758CF"/>
    <w:rsid w:val="00A82612"/>
    <w:rsid w:val="00A91BBB"/>
    <w:rsid w:val="00A97F0A"/>
    <w:rsid w:val="00AA01CF"/>
    <w:rsid w:val="00AA3642"/>
    <w:rsid w:val="00AB07F5"/>
    <w:rsid w:val="00AB39EB"/>
    <w:rsid w:val="00AD2022"/>
    <w:rsid w:val="00AD2CC6"/>
    <w:rsid w:val="00AD51C3"/>
    <w:rsid w:val="00AD6F98"/>
    <w:rsid w:val="00AE3317"/>
    <w:rsid w:val="00AF0A48"/>
    <w:rsid w:val="00B00808"/>
    <w:rsid w:val="00B0742A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60E88"/>
    <w:rsid w:val="00B77303"/>
    <w:rsid w:val="00B841AE"/>
    <w:rsid w:val="00B85683"/>
    <w:rsid w:val="00B87D88"/>
    <w:rsid w:val="00B914FA"/>
    <w:rsid w:val="00BA2751"/>
    <w:rsid w:val="00BA5247"/>
    <w:rsid w:val="00BB6799"/>
    <w:rsid w:val="00BB6FE4"/>
    <w:rsid w:val="00BC0101"/>
    <w:rsid w:val="00BC15C1"/>
    <w:rsid w:val="00BC25E1"/>
    <w:rsid w:val="00BC72D4"/>
    <w:rsid w:val="00BD4582"/>
    <w:rsid w:val="00BD4FCB"/>
    <w:rsid w:val="00BE18B0"/>
    <w:rsid w:val="00BE6A46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4E5A"/>
    <w:rsid w:val="00C65B5B"/>
    <w:rsid w:val="00C6710B"/>
    <w:rsid w:val="00C714A0"/>
    <w:rsid w:val="00C84ECB"/>
    <w:rsid w:val="00CA4FB1"/>
    <w:rsid w:val="00CB138F"/>
    <w:rsid w:val="00CB4BF4"/>
    <w:rsid w:val="00CB5511"/>
    <w:rsid w:val="00CC2049"/>
    <w:rsid w:val="00CC5B4F"/>
    <w:rsid w:val="00CD603A"/>
    <w:rsid w:val="00CF448F"/>
    <w:rsid w:val="00CF46A1"/>
    <w:rsid w:val="00D17380"/>
    <w:rsid w:val="00D221AE"/>
    <w:rsid w:val="00D2408D"/>
    <w:rsid w:val="00D25F5D"/>
    <w:rsid w:val="00D374C0"/>
    <w:rsid w:val="00D37742"/>
    <w:rsid w:val="00D42966"/>
    <w:rsid w:val="00D530F3"/>
    <w:rsid w:val="00D55A96"/>
    <w:rsid w:val="00D61A4E"/>
    <w:rsid w:val="00D823EF"/>
    <w:rsid w:val="00D903FE"/>
    <w:rsid w:val="00D96F84"/>
    <w:rsid w:val="00DA0204"/>
    <w:rsid w:val="00DA26FE"/>
    <w:rsid w:val="00DA32F2"/>
    <w:rsid w:val="00DA76E7"/>
    <w:rsid w:val="00DA7CC0"/>
    <w:rsid w:val="00DB3548"/>
    <w:rsid w:val="00DB63F1"/>
    <w:rsid w:val="00DB677C"/>
    <w:rsid w:val="00DC3EE0"/>
    <w:rsid w:val="00DF0BBA"/>
    <w:rsid w:val="00DF5F2A"/>
    <w:rsid w:val="00DF63E7"/>
    <w:rsid w:val="00E03CC0"/>
    <w:rsid w:val="00E10482"/>
    <w:rsid w:val="00E16E35"/>
    <w:rsid w:val="00E24139"/>
    <w:rsid w:val="00E273CF"/>
    <w:rsid w:val="00E3088D"/>
    <w:rsid w:val="00E30CC0"/>
    <w:rsid w:val="00E34195"/>
    <w:rsid w:val="00E47613"/>
    <w:rsid w:val="00E50838"/>
    <w:rsid w:val="00E62C3F"/>
    <w:rsid w:val="00E65B7F"/>
    <w:rsid w:val="00E67F66"/>
    <w:rsid w:val="00E738BE"/>
    <w:rsid w:val="00E81AAD"/>
    <w:rsid w:val="00E83F76"/>
    <w:rsid w:val="00EB169A"/>
    <w:rsid w:val="00EB51D7"/>
    <w:rsid w:val="00EC3099"/>
    <w:rsid w:val="00EC5A86"/>
    <w:rsid w:val="00EC6587"/>
    <w:rsid w:val="00ED006B"/>
    <w:rsid w:val="00EE1A7C"/>
    <w:rsid w:val="00EE54A7"/>
    <w:rsid w:val="00EF1002"/>
    <w:rsid w:val="00EF2F78"/>
    <w:rsid w:val="00F0112F"/>
    <w:rsid w:val="00F072CD"/>
    <w:rsid w:val="00F07C07"/>
    <w:rsid w:val="00F14DA4"/>
    <w:rsid w:val="00F21D28"/>
    <w:rsid w:val="00F22752"/>
    <w:rsid w:val="00F22B6F"/>
    <w:rsid w:val="00F24655"/>
    <w:rsid w:val="00F2773F"/>
    <w:rsid w:val="00F339DA"/>
    <w:rsid w:val="00F47C3B"/>
    <w:rsid w:val="00F53104"/>
    <w:rsid w:val="00F66BBF"/>
    <w:rsid w:val="00F67F62"/>
    <w:rsid w:val="00F71D7D"/>
    <w:rsid w:val="00F72800"/>
    <w:rsid w:val="00F80DC2"/>
    <w:rsid w:val="00F9522E"/>
    <w:rsid w:val="00FA460D"/>
    <w:rsid w:val="00FB0FE2"/>
    <w:rsid w:val="00FB32EE"/>
    <w:rsid w:val="00FC0352"/>
    <w:rsid w:val="00FD1549"/>
    <w:rsid w:val="00FD2110"/>
    <w:rsid w:val="00FE0FC5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  <w:style w:type="table" w:styleId="Sombreadovistoso-nfasis3">
    <w:name w:val="Colorful Shading Accent 3"/>
    <w:basedOn w:val="Tablanormal"/>
    <w:uiPriority w:val="71"/>
    <w:rsid w:val="004E70B2"/>
    <w:pPr>
      <w:spacing w:after="0" w:line="240" w:lineRule="auto"/>
    </w:pPr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ortdebarcelona.cat/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E1683"/>
    <w:rsid w:val="002573DD"/>
    <w:rsid w:val="002F7845"/>
    <w:rsid w:val="003D088C"/>
    <w:rsid w:val="00447F79"/>
    <w:rsid w:val="004809D8"/>
    <w:rsid w:val="004D543B"/>
    <w:rsid w:val="004F291A"/>
    <w:rsid w:val="00561A16"/>
    <w:rsid w:val="00617EB2"/>
    <w:rsid w:val="006853BE"/>
    <w:rsid w:val="006C0296"/>
    <w:rsid w:val="0071449A"/>
    <w:rsid w:val="00761274"/>
    <w:rsid w:val="007728A6"/>
    <w:rsid w:val="0078479B"/>
    <w:rsid w:val="008B6C28"/>
    <w:rsid w:val="009B1029"/>
    <w:rsid w:val="009C534F"/>
    <w:rsid w:val="00A324F5"/>
    <w:rsid w:val="00A72712"/>
    <w:rsid w:val="00AC72EB"/>
    <w:rsid w:val="00B35D83"/>
    <w:rsid w:val="00B71197"/>
    <w:rsid w:val="00BB5CE9"/>
    <w:rsid w:val="00C41105"/>
    <w:rsid w:val="00C52E90"/>
    <w:rsid w:val="00C55F34"/>
    <w:rsid w:val="00C77A9C"/>
    <w:rsid w:val="00D23788"/>
    <w:rsid w:val="00D35513"/>
    <w:rsid w:val="00D53198"/>
    <w:rsid w:val="00D71C58"/>
    <w:rsid w:val="00DE4B57"/>
    <w:rsid w:val="00E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1289</TotalTime>
  <Pages>12</Pages>
  <Words>2779</Words>
  <Characters>15287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77</cp:revision>
  <cp:lastPrinted>2024-10-21T09:52:00Z</cp:lastPrinted>
  <dcterms:created xsi:type="dcterms:W3CDTF">2025-04-29T10:04:00Z</dcterms:created>
  <dcterms:modified xsi:type="dcterms:W3CDTF">2025-11-06T11:33:00Z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