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5"/>
        <w:gridCol w:w="6851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21E156C" w:rsidR="000C6CFF" w:rsidRPr="005A3C4E" w:rsidRDefault="002A40C3">
            <w:pPr>
              <w:rPr>
                <w:sz w:val="24"/>
                <w:szCs w:val="24"/>
              </w:rPr>
            </w:pPr>
            <w:r w:rsidRPr="002A40C3">
              <w:t>Logroño Integración Ferrocarril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9CB4D8E" w:rsidR="00CB4BF4" w:rsidRPr="00E427FE" w:rsidRDefault="00685FB3">
            <w:r>
              <w:t>27</w:t>
            </w:r>
            <w:r w:rsidR="00F53605">
              <w:t>/</w:t>
            </w:r>
            <w:r w:rsidR="00E427FE" w:rsidRPr="00E427FE">
              <w:t>03</w:t>
            </w:r>
            <w:r w:rsidR="00F53605">
              <w:t>/</w:t>
            </w:r>
            <w:r w:rsidR="00E427FE" w:rsidRPr="00E427FE">
              <w:t>2025</w:t>
            </w:r>
          </w:p>
          <w:p w14:paraId="0D584C03" w14:textId="41E07053" w:rsidR="00442DDF" w:rsidRPr="005A3C4E" w:rsidRDefault="00442DDF">
            <w:pPr>
              <w:rPr>
                <w:sz w:val="24"/>
                <w:szCs w:val="24"/>
              </w:rPr>
            </w:pPr>
            <w:r w:rsidRPr="00E427FE">
              <w:t xml:space="preserve">Segunda revisión: </w:t>
            </w:r>
            <w:r w:rsidR="00F53605">
              <w:t>21/07/2025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74F4EA58" w:rsidR="00F53605" w:rsidRPr="005A3C4E" w:rsidRDefault="00E30BF0" w:rsidP="00F53605">
            <w:pPr>
              <w:rPr>
                <w:sz w:val="24"/>
                <w:szCs w:val="24"/>
              </w:rPr>
            </w:pPr>
            <w:hyperlink r:id="rId9" w:history="1">
              <w:r w:rsidRPr="001E5016">
                <w:rPr>
                  <w:rStyle w:val="Hipervnculo"/>
                </w:rPr>
                <w:t>https://lif2002.com</w:t>
              </w:r>
            </w:hyperlink>
            <w: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4391B8C8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2C8E887C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486A99DC" w:rsidR="005B19E4" w:rsidRPr="005A3C4E" w:rsidRDefault="00DF0410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83406" w:rsidRPr="005A3C4E" w14:paraId="6A6B1C74" w14:textId="77777777" w:rsidTr="00B15FC1">
        <w:tc>
          <w:tcPr>
            <w:tcW w:w="1760" w:type="dxa"/>
            <w:vAlign w:val="center"/>
          </w:tcPr>
          <w:p w14:paraId="368A6451" w14:textId="5B9695FE" w:rsidR="00083406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76374636" w14:textId="0D974990" w:rsidR="00083406" w:rsidRPr="005A3C4E" w:rsidRDefault="00083406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418D726A" w14:textId="77777777" w:rsidR="00083406" w:rsidRDefault="00083406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36B2F6CE" w:rsidR="005B19E4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10E4C03A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5002E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  <w:shd w:val="clear" w:color="auto" w:fill="auto"/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002E2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632EA42C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1754B0" w:rsidRDefault="0092723A" w:rsidP="0057532F">
            <w:pPr>
              <w:rPr>
                <w:sz w:val="20"/>
                <w:szCs w:val="20"/>
              </w:rPr>
            </w:pPr>
            <w:r w:rsidRPr="001754B0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5002E2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12DD6FB2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5412C978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6FC7D735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60980B8E" w:rsidR="00817B66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43B20943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7E8FEF6B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6276B1CD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1E099D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shd w:val="clear" w:color="auto" w:fill="auto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1E099D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66437535" w:rsidR="00AD2022" w:rsidRPr="005002E2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5D71A6BE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4138DC24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3D6234E2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4E21DE9A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0465A04D" w:rsidR="00544E0C" w:rsidRPr="005002E2" w:rsidRDefault="005002E2" w:rsidP="00544E0C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7B9399D7" w:rsidR="00544E0C" w:rsidRPr="005A3C4E" w:rsidRDefault="007261D9" w:rsidP="00544E0C">
            <w:pPr>
              <w:jc w:val="center"/>
            </w:pPr>
            <w:r w:rsidRPr="007261D9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6C16BA8F" w:rsidR="006D1122" w:rsidRDefault="006D1122">
      <w:pPr>
        <w:rPr>
          <w:b/>
          <w:color w:val="00642D"/>
          <w:sz w:val="30"/>
          <w:szCs w:val="30"/>
        </w:rPr>
      </w:pPr>
    </w:p>
    <w:p w14:paraId="3F000399" w14:textId="7E96E3F6" w:rsidR="00CE63AD" w:rsidRDefault="00CE63AD">
      <w:pPr>
        <w:rPr>
          <w:b/>
          <w:color w:val="00642D"/>
          <w:sz w:val="30"/>
          <w:szCs w:val="30"/>
        </w:rPr>
      </w:pPr>
    </w:p>
    <w:p w14:paraId="7DB45D55" w14:textId="77777777" w:rsidR="00CE63AD" w:rsidRDefault="00CE63AD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E30BF0" w:rsidP="00C46DF7">
      <w:pPr>
        <w:pStyle w:val="Titulardelboletn"/>
        <w:numPr>
          <w:ilvl w:val="0"/>
          <w:numId w:val="2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21681CF6" w:rsidR="00CB5511" w:rsidRPr="005A3C4E" w:rsidRDefault="00816F1E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16D26B3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2A6F5965" w:rsidR="00932008" w:rsidRPr="005A3C4E" w:rsidRDefault="00F5360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FF523E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545CEC1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1CDA161F" w14:textId="77777777" w:rsidR="00247962" w:rsidRDefault="00247962" w:rsidP="00247962">
      <w:pPr>
        <w:jc w:val="center"/>
        <w:rPr>
          <w:i/>
          <w:iCs/>
          <w:highlight w:val="magenta"/>
        </w:rPr>
      </w:pPr>
    </w:p>
    <w:p w14:paraId="758F7754" w14:textId="77777777" w:rsidR="00247962" w:rsidRPr="003B1702" w:rsidRDefault="00247962" w:rsidP="00247962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247962" w:rsidRPr="00396A23" w14:paraId="71480E7B" w14:textId="77777777" w:rsidTr="00D9427C">
        <w:tc>
          <w:tcPr>
            <w:tcW w:w="2711" w:type="dxa"/>
            <w:vAlign w:val="center"/>
          </w:tcPr>
          <w:p w14:paraId="1BE1CA14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40121EC8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1233BD5E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65F48966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F53605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247962" w:rsidRPr="00396A23" w14:paraId="652B22EB" w14:textId="77777777" w:rsidTr="00D9427C">
        <w:tc>
          <w:tcPr>
            <w:tcW w:w="2711" w:type="dxa"/>
          </w:tcPr>
          <w:p w14:paraId="74606B42" w14:textId="77777777" w:rsidR="00247962" w:rsidRPr="00396A23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31FFB671" w14:textId="6DD6DD24" w:rsidR="00247962" w:rsidRPr="00396A23" w:rsidRDefault="00816F1E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34,7</w:t>
            </w:r>
            <w:r w:rsidR="0024796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3A06E372" w14:textId="11B75791" w:rsidR="00247962" w:rsidRPr="00396A23" w:rsidRDefault="0024796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904C3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35505073" w14:textId="1D4FE718" w:rsidR="00247962" w:rsidRPr="00F53605" w:rsidRDefault="0004235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F5360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  <w:tr w:rsidR="00247962" w:rsidRPr="00396A23" w14:paraId="36F067B9" w14:textId="77777777" w:rsidTr="00D9427C">
        <w:tc>
          <w:tcPr>
            <w:tcW w:w="2711" w:type="dxa"/>
          </w:tcPr>
          <w:p w14:paraId="42E774BA" w14:textId="77777777" w:rsidR="00247962" w:rsidRPr="00396A23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4475D7DD" w14:textId="46268491" w:rsidR="00247962" w:rsidRPr="00396A23" w:rsidRDefault="00816F1E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33,0</w:t>
            </w:r>
            <w:r w:rsidR="0024796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77E72062" w14:textId="47396F48" w:rsidR="00247962" w:rsidRPr="00396A23" w:rsidRDefault="0024796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904C3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78D24D67" w14:textId="40FF1B69" w:rsidR="00247962" w:rsidRPr="00F53605" w:rsidRDefault="00453F56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12</w:t>
            </w:r>
          </w:p>
        </w:tc>
      </w:tr>
    </w:tbl>
    <w:p w14:paraId="3FC7EF10" w14:textId="77777777" w:rsidR="00247962" w:rsidRPr="00396A23" w:rsidRDefault="00247962" w:rsidP="00135102">
      <w:pPr>
        <w:pStyle w:val="Cuerpodelboletn"/>
        <w:spacing w:before="120" w:after="120" w:line="312" w:lineRule="auto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247962" w:rsidRPr="00396A23" w14:paraId="305B262A" w14:textId="77777777" w:rsidTr="00D9427C">
        <w:tc>
          <w:tcPr>
            <w:tcW w:w="10035" w:type="dxa"/>
          </w:tcPr>
          <w:p w14:paraId="742AFDE5" w14:textId="77777777" w:rsidR="00247962" w:rsidRPr="003B1702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</w:tc>
      </w:tr>
      <w:tr w:rsidR="00247962" w:rsidRPr="0011188E" w14:paraId="21676BDC" w14:textId="77777777" w:rsidTr="00D9427C">
        <w:trPr>
          <w:trHeight w:val="3641"/>
        </w:trPr>
        <w:tc>
          <w:tcPr>
            <w:tcW w:w="10035" w:type="dxa"/>
          </w:tcPr>
          <w:p w14:paraId="48B0F147" w14:textId="1DE35C23" w:rsidR="00904C36" w:rsidRPr="00F53605" w:rsidRDefault="00904C36" w:rsidP="00904C36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904C36">
              <w:rPr>
                <w:sz w:val="20"/>
                <w:szCs w:val="20"/>
              </w:rPr>
              <w:t xml:space="preserve">Publicar toda </w:t>
            </w:r>
            <w:r w:rsidRPr="00F53605">
              <w:rPr>
                <w:sz w:val="20"/>
                <w:szCs w:val="20"/>
              </w:rPr>
              <w:t>la información sujeta a obligaciones de publicidad activa en el Portal de Transparencia.</w:t>
            </w:r>
          </w:p>
          <w:p w14:paraId="2391CBF7" w14:textId="2A603A7F" w:rsidR="00816F1E" w:rsidRPr="00F53605" w:rsidRDefault="00816F1E" w:rsidP="00C46DF7">
            <w:pPr>
              <w:pStyle w:val="Sinespaciado"/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Dentro del bloque de información Institucional y Organizativa:</w:t>
            </w:r>
          </w:p>
          <w:p w14:paraId="2B4A929B" w14:textId="61F4EEDD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 xml:space="preserve">Los </w:t>
            </w:r>
            <w:r w:rsidR="00FB1EC3">
              <w:rPr>
                <w:sz w:val="20"/>
                <w:szCs w:val="20"/>
              </w:rPr>
              <w:t>e</w:t>
            </w:r>
            <w:r w:rsidRPr="00F53605">
              <w:rPr>
                <w:sz w:val="20"/>
                <w:szCs w:val="20"/>
              </w:rPr>
              <w:t>statutos de la sociedad</w:t>
            </w:r>
            <w:r w:rsidR="00FB1EC3">
              <w:rPr>
                <w:sz w:val="20"/>
                <w:szCs w:val="20"/>
              </w:rPr>
              <w:t>.</w:t>
            </w:r>
          </w:p>
          <w:p w14:paraId="66E70FE9" w14:textId="0C7C9218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Una descripción de la estructura organizativa, incluyendo órganos de gobierno y de gestión</w:t>
            </w:r>
            <w:r w:rsidR="00FB1EC3">
              <w:rPr>
                <w:sz w:val="20"/>
                <w:szCs w:val="20"/>
              </w:rPr>
              <w:t>.</w:t>
            </w:r>
          </w:p>
          <w:p w14:paraId="495A420C" w14:textId="0EBB2F85" w:rsidR="00816F1E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El organigrama</w:t>
            </w:r>
            <w:r w:rsidR="00FB1EC3">
              <w:rPr>
                <w:sz w:val="20"/>
                <w:szCs w:val="20"/>
              </w:rPr>
              <w:t>.</w:t>
            </w:r>
          </w:p>
          <w:p w14:paraId="3E1AC38E" w14:textId="77777777" w:rsidR="00FB1EC3" w:rsidRPr="00F53605" w:rsidRDefault="00FB1EC3" w:rsidP="00FB1EC3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26A4AF7C" w14:textId="77777777" w:rsidR="00816F1E" w:rsidRPr="00F53605" w:rsidRDefault="00816F1E" w:rsidP="00C46DF7">
            <w:pPr>
              <w:pStyle w:val="Sinespaciado"/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F53605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16ECFBD2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Las modificaciones de contratos adjudicados</w:t>
            </w:r>
          </w:p>
          <w:p w14:paraId="1C855D9D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Los desistimientos y renuncias a contratos adjudicados</w:t>
            </w:r>
          </w:p>
          <w:p w14:paraId="43651DF6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193B3C9D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lastRenderedPageBreak/>
              <w:t>Información estadística sobre el número y el porcentaje en volumen presupuestario de contratos adjudicados a PYMES según tipo de contrato y según procedimiento de licitación.</w:t>
            </w:r>
          </w:p>
          <w:p w14:paraId="10910923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Las subvenciones o ayudas públicas concedidas por LIF</w:t>
            </w:r>
          </w:p>
          <w:p w14:paraId="27183CBD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El presupuesto</w:t>
            </w:r>
          </w:p>
          <w:p w14:paraId="67DEDAE7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6B80AB41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Las retribuciones percibidas por altos cargos y máximos responsables</w:t>
            </w:r>
          </w:p>
          <w:p w14:paraId="4236C690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Las indemnizaciones percibidas por altos cargos y máximos responsables con ocasión del cese</w:t>
            </w:r>
          </w:p>
          <w:p w14:paraId="4A6C5628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Las autorizaciones de compatibilidad concedidas a empleados</w:t>
            </w:r>
          </w:p>
          <w:p w14:paraId="39322030" w14:textId="77777777" w:rsidR="00816F1E" w:rsidRPr="00F53605" w:rsidRDefault="00816F1E" w:rsidP="00C46DF7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Las autorizaciones para el ejercicio de actividades privadas al cese de altos cargos</w:t>
            </w:r>
          </w:p>
          <w:p w14:paraId="53099B3E" w14:textId="77777777" w:rsidR="00816F1E" w:rsidRPr="00F53605" w:rsidRDefault="00816F1E" w:rsidP="00816F1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32957024" w14:textId="77777777" w:rsidR="00816F1E" w:rsidRPr="00904C36" w:rsidRDefault="00816F1E" w:rsidP="00904C36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53605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 web de la entidad.</w:t>
            </w:r>
          </w:p>
          <w:p w14:paraId="61D0C6CC" w14:textId="77777777" w:rsidR="00247962" w:rsidRPr="00904C36" w:rsidRDefault="00247962" w:rsidP="00C13955">
            <w:pPr>
              <w:jc w:val="both"/>
              <w:rPr>
                <w:rStyle w:val="Ttulo2Car"/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1E02105B" w14:textId="77777777" w:rsidR="00247962" w:rsidRDefault="00247962">
      <w:pPr>
        <w:rPr>
          <w:i/>
          <w:iCs/>
          <w:highlight w:val="magenta"/>
        </w:rPr>
      </w:pPr>
    </w:p>
    <w:p w14:paraId="64520B81" w14:textId="77777777" w:rsidR="00247962" w:rsidRDefault="00247962">
      <w:pPr>
        <w:rPr>
          <w:i/>
          <w:iCs/>
          <w:highlight w:val="magenta"/>
        </w:rPr>
      </w:pPr>
    </w:p>
    <w:p w14:paraId="24FE97B0" w14:textId="03DF0CCE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575AB729" w:rsidR="002F2850" w:rsidRPr="0060669B" w:rsidRDefault="00AE3317" w:rsidP="0059131E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184BB6D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9131E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89102D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441"/>
        <w:gridCol w:w="5074"/>
      </w:tblGrid>
      <w:tr w:rsidR="00E34195" w:rsidRPr="005A3C4E" w14:paraId="0C67B306" w14:textId="77777777" w:rsidTr="00E427FE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441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074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E427FE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4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C46DF7">
            <w:pPr>
              <w:pStyle w:val="Cuerpodelboletn"/>
              <w:numPr>
                <w:ilvl w:val="0"/>
                <w:numId w:val="7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0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7C690A5B" w:rsidR="00E34195" w:rsidRPr="00E427FE" w:rsidRDefault="00580772" w:rsidP="00F5360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="00685FB3"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localiza en el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="00685FB3"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de relevancia jurídica/ </w:t>
            </w:r>
            <w:r w:rsidR="00685FB3"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Estatutos de la sociedad y en Normas generales reguladoras de la actividad de la sociedad.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Actualizada en enero de 2024</w:t>
            </w:r>
            <w:r w:rsidR="00685FB3">
              <w:rPr>
                <w:rStyle w:val="Ttulo2Car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E427FE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4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0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17284F9B" w:rsidR="00E34195" w:rsidRPr="005A3C4E" w:rsidRDefault="00580772" w:rsidP="00F5360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localiza en el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institucional y organizativa/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Objetivos y funciones.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enero de 2024</w:t>
            </w:r>
            <w:r w:rsidR="00F53605">
              <w:rPr>
                <w:rStyle w:val="Ttulo2Car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543FF3F" w14:textId="77777777" w:rsidTr="00E427FE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4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0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00DFC3A5" w:rsidR="00E34195" w:rsidRPr="005A3C4E" w:rsidRDefault="00580772" w:rsidP="00F5360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localiza en el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institucional y organizativa/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Estr</w:t>
            </w:r>
            <w:r w:rsidR="00266E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uctura organizativa.</w:t>
            </w:r>
            <w:r w:rsidR="00266E4D" w:rsidRPr="00685FB3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enero de 2024</w:t>
            </w:r>
            <w:r w:rsidR="00F53605">
              <w:rPr>
                <w:rStyle w:val="Ttulo2Car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91449D0" w14:textId="77777777" w:rsidTr="00E427FE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4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0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5F33B88" w:rsidR="00E34195" w:rsidRPr="005A3C4E" w:rsidRDefault="00266E4D" w:rsidP="00F5360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localiza en el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institucional y organizativa/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Estructura organizativa. La información no se encuentra en formato reutilizable.</w:t>
            </w:r>
            <w:r w:rsidRPr="00685FB3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="00F536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enero de 2024</w:t>
            </w:r>
            <w:r w:rsidR="00F53605">
              <w:rPr>
                <w:rStyle w:val="Ttulo2Car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40F9CA00" w14:textId="77777777" w:rsidTr="00E427FE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</w:t>
            </w:r>
            <w:r w:rsidRPr="00C46D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ntificación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Responsables</w:t>
            </w:r>
          </w:p>
        </w:tc>
        <w:tc>
          <w:tcPr>
            <w:tcW w:w="14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0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59C5F1C" w:rsidR="00E34195" w:rsidRPr="005A3C4E" w:rsidRDefault="00266E4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localiza en el </w:t>
            </w:r>
            <w:r w:rsidR="00C46D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 w:rsidR="00C46D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 institucional y organizativa/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Organigrama oficina técnica. </w:t>
            </w:r>
            <w:r w:rsidR="00C46D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enero de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E427FE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4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0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DFEBD74" w:rsidR="00E34195" w:rsidRPr="005A3C4E" w:rsidRDefault="00266E4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localiza en el </w:t>
            </w:r>
            <w:r w:rsidR="00C46D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C46D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institucional y organizativa/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Organigrama oficina técnica. </w:t>
            </w:r>
            <w:r w:rsidR="00C46D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enero de 2024.</w:t>
            </w:r>
          </w:p>
        </w:tc>
      </w:tr>
    </w:tbl>
    <w:p w14:paraId="2A1B872A" w14:textId="7DC3557D" w:rsidR="002C4D54" w:rsidRDefault="002C4D54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49B3927F" w14:textId="0907F62B" w:rsidR="00C46DF7" w:rsidRDefault="00C46DF7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117B95E8" w14:textId="4D32A74B" w:rsidR="00C46DF7" w:rsidRDefault="00C46DF7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2B48C310" w14:textId="216FF5FC" w:rsidR="00C46DF7" w:rsidRDefault="00C46DF7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5F3C8EB9" w14:textId="313C48AB" w:rsidR="00C46DF7" w:rsidRDefault="00C46DF7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70BC8C74" w14:textId="77777777" w:rsidR="00C46DF7" w:rsidRDefault="00C46DF7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4A029E6" w14:textId="41E8098E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C46DF7">
        <w:rPr>
          <w:rStyle w:val="Ttulo2Car"/>
          <w:lang w:bidi="es-ES"/>
        </w:rPr>
        <w:t>In</w:t>
      </w:r>
      <w:r w:rsidRPr="0060669B">
        <w:rPr>
          <w:rStyle w:val="Ttulo2Car"/>
          <w:lang w:bidi="es-ES"/>
        </w:rPr>
        <w:t>formación Institucional</w:t>
      </w:r>
      <w:r w:rsidR="0089102D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ECE9F84">
                <wp:simplePos x="0" y="0"/>
                <wp:positionH relativeFrom="column">
                  <wp:posOffset>284400</wp:posOffset>
                </wp:positionH>
                <wp:positionV relativeFrom="paragraph">
                  <wp:posOffset>147500</wp:posOffset>
                </wp:positionV>
                <wp:extent cx="6353175" cy="1584000"/>
                <wp:effectExtent l="0" t="0" r="28575" b="165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5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1B753E6" w14:textId="2A3CC968" w:rsidR="00266E4D" w:rsidRPr="00DE6297" w:rsidRDefault="00E427FE" w:rsidP="00266E4D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E6297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recoge todas las informaciones obligatorias contempladas en la LTAIBG</w:t>
                            </w:r>
                            <w:r w:rsidR="00266E4D" w:rsidRPr="00DE6297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22AFEC" w14:textId="2820BB9F" w:rsidR="001C72D3" w:rsidRDefault="002F2850" w:rsidP="002C4D54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ACA9E1A" w14:textId="27CA5579" w:rsidR="002C4D54" w:rsidRPr="00127D37" w:rsidRDefault="00C46DF7" w:rsidP="00C46DF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6297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 organigrama</w:t>
                            </w:r>
                            <w:r w:rsidR="00266E4D" w:rsidRPr="00DE6297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no se</w:t>
                            </w:r>
                            <w:r w:rsidRPr="00DE6297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publica</w:t>
                            </w:r>
                            <w:r w:rsidR="00266E4D" w:rsidRPr="00DE6297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en formato reutilizable.</w:t>
                            </w:r>
                          </w:p>
                          <w:p w14:paraId="183DBBDE" w14:textId="37FABE3C" w:rsidR="00127D37" w:rsidRPr="00DE6297" w:rsidRDefault="00127D37" w:rsidP="00C46DF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La información no se publica con la actualización necesaria.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4pt;margin-top:11.6pt;width:500.25pt;height:1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1B753E6" w14:textId="2A3CC968" w:rsidR="00266E4D" w:rsidRPr="00DE6297" w:rsidRDefault="00E427FE" w:rsidP="00266E4D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DE6297">
                        <w:rPr>
                          <w:bCs/>
                          <w:sz w:val="20"/>
                          <w:szCs w:val="20"/>
                        </w:rPr>
                        <w:t>La información publicada recoge todas las informaciones obligatorias contempladas en la LTAIBG</w:t>
                      </w:r>
                      <w:r w:rsidR="00266E4D" w:rsidRPr="00DE6297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122AFEC" w14:textId="2820BB9F" w:rsidR="001C72D3" w:rsidRDefault="002F2850" w:rsidP="002C4D54">
                      <w:pPr>
                        <w:jc w:val="both"/>
                        <w:rPr>
                          <w:bCs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ACA9E1A" w14:textId="27CA5579" w:rsidR="002C4D54" w:rsidRPr="00127D37" w:rsidRDefault="00C46DF7" w:rsidP="00C46DF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color w:val="auto"/>
                          <w:sz w:val="20"/>
                          <w:szCs w:val="20"/>
                        </w:rPr>
                      </w:pPr>
                      <w:r w:rsidRPr="00DE6297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El organigrama</w:t>
                      </w:r>
                      <w:r w:rsidR="00266E4D" w:rsidRPr="00DE6297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no se</w:t>
                      </w:r>
                      <w:r w:rsidRPr="00DE6297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publica</w:t>
                      </w:r>
                      <w:r w:rsidR="00266E4D" w:rsidRPr="00DE6297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en formato reutilizable.</w:t>
                      </w:r>
                    </w:p>
                    <w:p w14:paraId="183DBBDE" w14:textId="37FABE3C" w:rsidR="00127D37" w:rsidRPr="00DE6297" w:rsidRDefault="00127D37" w:rsidP="00C46DF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La información no se publica con la actualización necesaria.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E28D76" w14:textId="4259B977" w:rsidR="002C4D54" w:rsidRDefault="002C4D5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53DB15B" w14:textId="77777777" w:rsidR="00127D37" w:rsidRDefault="00127D37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30D0619E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59131E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89102D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4E459D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1418"/>
        <w:gridCol w:w="5103"/>
      </w:tblGrid>
      <w:tr w:rsidR="00C33A23" w:rsidRPr="005A3C4E" w14:paraId="4E562320" w14:textId="77777777" w:rsidTr="00BF10ED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418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103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BF10ED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51FAB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552B1CF1" w:rsidR="00C33A23" w:rsidRPr="005A3C4E" w:rsidRDefault="00736C22" w:rsidP="001137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en el </w:t>
            </w:r>
            <w:r w:rsidR="00251FA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Contratación/ Contratación 202</w:t>
            </w:r>
            <w:r w:rsidR="00251FA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1137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Todos los contratos adjudicados en ese año son menores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BF10ED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720227E2" w:rsidR="00C33A23" w:rsidRPr="00113787" w:rsidRDefault="00113787" w:rsidP="0011378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137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4A4CF52A" w:rsidR="00C33A23" w:rsidRPr="005A3C4E" w:rsidRDefault="00736C22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BF10ED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414BB60F" w:rsidR="00C33A23" w:rsidRPr="00113787" w:rsidRDefault="00113787" w:rsidP="0011378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137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7E9B851F" w:rsidR="00C33A23" w:rsidRPr="005A3C4E" w:rsidRDefault="00736C22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4EA0AB30" w14:textId="77777777" w:rsidTr="00BF10ED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77777777" w:rsidR="00C33A23" w:rsidRPr="00A53F34" w:rsidRDefault="00C33A23" w:rsidP="0011378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4310413D" w:rsidR="00C33A23" w:rsidRPr="00A53F34" w:rsidRDefault="00736C22" w:rsidP="001137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en el acceso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Estadística de contratación</w:t>
            </w:r>
            <w:r w:rsidR="001137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Estadística contratación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266D1" w:rsidRPr="005A3C4E" w14:paraId="4325C95D" w14:textId="77777777" w:rsidTr="00BF10ED">
        <w:trPr>
          <w:trHeight w:val="2759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77777777" w:rsidR="00B266D1" w:rsidRPr="00A53F34" w:rsidRDefault="00B266D1" w:rsidP="0011378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C04346B" w:rsidR="00B266D1" w:rsidRPr="00A53F34" w:rsidRDefault="00113787" w:rsidP="001137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en el acceso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Estadística de contratación/ Estadística contratación 2024.</w:t>
            </w:r>
          </w:p>
        </w:tc>
      </w:tr>
      <w:tr w:rsidR="00C33A23" w:rsidRPr="005A3C4E" w14:paraId="68046222" w14:textId="77777777" w:rsidTr="00BF10ED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11378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831E0A3" w:rsidR="00C33A23" w:rsidRPr="005A3C4E" w:rsidRDefault="00113787" w:rsidP="001137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en el Portal de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Contratación/ Contratación 2024.</w:t>
            </w:r>
          </w:p>
        </w:tc>
      </w:tr>
      <w:tr w:rsidR="00C33A23" w:rsidRPr="005A3C4E" w14:paraId="6230044A" w14:textId="77777777" w:rsidTr="00BF10ED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13F9528B" w:rsidR="00C33A23" w:rsidRPr="00113787" w:rsidRDefault="00113787" w:rsidP="0011378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137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AE5F5B4" w:rsidR="00C33A23" w:rsidRPr="005A3C4E" w:rsidRDefault="00413D03" w:rsidP="00413D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1137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 el Portal de </w:t>
            </w:r>
            <w:r w:rsidR="00736C22"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 w:rsidR="00736C2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Convenios</w:t>
            </w:r>
            <w:r w:rsidR="003173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Convenios 202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 se publica información, pero la obligación no ha podido darse por cumplida porque no se ha localizado información sobre las partes, el objeto, el plazo y las posibles modificaciones</w:t>
            </w:r>
            <w:r w:rsidR="003173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BF10ED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609E9" w:rsidRPr="005A3C4E" w:rsidRDefault="009609E9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2C3462BB" w:rsidR="001C72D3" w:rsidRPr="005A3C4E" w:rsidRDefault="003173D9" w:rsidP="00DE629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aplica. 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 el 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/ Información económica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indica que la entidad no concede subvenciones ni ayudas públicas. 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enero de 2024.</w:t>
            </w:r>
          </w:p>
        </w:tc>
      </w:tr>
      <w:tr w:rsidR="00F47C3B" w:rsidRPr="005A3C4E" w14:paraId="7353650C" w14:textId="77777777" w:rsidTr="00BF10ED">
        <w:trPr>
          <w:trHeight w:val="15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DE629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A248C34" w:rsidR="00F47C3B" w:rsidRPr="005A3C4E" w:rsidRDefault="00243F85" w:rsidP="00DE629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en el 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Presupuesto/ Presupuesto 202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  <w:tr w:rsidR="00335401" w:rsidRPr="005A3C4E" w14:paraId="2B2DA499" w14:textId="77777777" w:rsidTr="00BF10ED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13B0A511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10A8ED4D" w14:textId="77777777" w:rsidR="00335401" w:rsidRPr="0089102D" w:rsidRDefault="00335401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3BA45A6C" w14:textId="2016BCD6" w:rsidR="00335401" w:rsidRPr="0089102D" w:rsidRDefault="00243F85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en el 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económica/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Informes de auditorías y cuentas anuales 202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DE62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publican en formato no reutilizable.</w:t>
            </w:r>
          </w:p>
        </w:tc>
      </w:tr>
      <w:tr w:rsidR="00335401" w:rsidRPr="005A3C4E" w14:paraId="7E1BB1F6" w14:textId="77777777" w:rsidTr="00BF10ED">
        <w:trPr>
          <w:trHeight w:val="2333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61491DE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2C9E02" w14:textId="1645D0A2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00B67A96" w14:textId="3C7C30B8" w:rsidR="00335401" w:rsidRPr="007F5ACB" w:rsidRDefault="007F5ACB" w:rsidP="007F5AC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73898762" w14:textId="6F235137" w:rsidR="00335401" w:rsidRPr="0089102D" w:rsidRDefault="00243F85" w:rsidP="007F5A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económica/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Informes de auditorías y cuentas anuales 202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se publican los informes de auditoría emitidos por un auditor independiente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pero no los del Tribunal de Cuentas, órgano de control externo de la AGE, que es a lo que se refiere el contenido material de esta obligación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BF10ED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C23166" w:rsidRPr="005A3C4E" w:rsidRDefault="00C23166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11400F90" w:rsidR="00C23166" w:rsidRPr="005A3C4E" w:rsidRDefault="000D6BA0" w:rsidP="007F5A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económica/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Retribuciones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las correspondientes a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BF10ED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7777777" w:rsidR="00C23166" w:rsidRPr="005A3C4E" w:rsidRDefault="00C23166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56341A44" w:rsidR="00C23166" w:rsidRPr="005A3C4E" w:rsidRDefault="000D6BA0" w:rsidP="007F5A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aplica.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 el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indica que ningún alto cargo ha percibido indemnizaciones.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enero de 2024.</w:t>
            </w:r>
          </w:p>
        </w:tc>
      </w:tr>
      <w:tr w:rsidR="00275810" w:rsidRPr="005A3C4E" w14:paraId="2ED83529" w14:textId="77777777" w:rsidTr="00BF10ED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vAlign w:val="center"/>
          </w:tcPr>
          <w:p w14:paraId="101FD4F5" w14:textId="77777777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7777777" w:rsidR="00275810" w:rsidRPr="005A3C4E" w:rsidRDefault="00275810" w:rsidP="00C46DF7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486FDF9E" w:rsidR="00275810" w:rsidRPr="005A3C4E" w:rsidRDefault="000D6BA0" w:rsidP="00453F5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aplica. 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 w:rsidR="007F5A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el 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indica que no existe ningún régimen de compatibilidad.</w:t>
            </w:r>
            <w:r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="00453F5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enero de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275810" w:rsidRPr="005A3C4E" w14:paraId="2304F98C" w14:textId="77777777" w:rsidTr="00BF10ED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96B466E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79CC1F" w14:textId="7058A31D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AGE, CCAA o EELL</w:t>
            </w:r>
          </w:p>
        </w:tc>
        <w:tc>
          <w:tcPr>
            <w:tcW w:w="1418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629889CA" w14:textId="77777777" w:rsidR="00275810" w:rsidRPr="005A3C4E" w:rsidRDefault="00275810" w:rsidP="00453F56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103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10EB03FF" w14:textId="44201F49" w:rsidR="00275810" w:rsidRPr="005A3C4E" w:rsidRDefault="000D6BA0" w:rsidP="00453F5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453F5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aplica. En el Portal de Transparencia se indica que no ha cesado ningún alto cargo. Actualizado en enero de 2024.</w:t>
            </w:r>
          </w:p>
        </w:tc>
      </w:tr>
    </w:tbl>
    <w:p w14:paraId="3EE30127" w14:textId="77777777" w:rsidR="000D6BA0" w:rsidRDefault="000D6BA0" w:rsidP="00076C6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36AD764D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DA1B75">
        <w:rPr>
          <w:rStyle w:val="Ttulo2Car"/>
          <w:lang w:bidi="es-ES"/>
        </w:rPr>
        <w:t xml:space="preserve">Análisis de la </w:t>
      </w:r>
      <w:r w:rsidR="002A154B" w:rsidRPr="00DA1B75">
        <w:rPr>
          <w:rStyle w:val="Ttulo2Car"/>
          <w:lang w:bidi="es-ES"/>
        </w:rPr>
        <w:t>I</w:t>
      </w:r>
      <w:r w:rsidRPr="00DA1B75">
        <w:rPr>
          <w:rStyle w:val="Ttulo2Car"/>
          <w:lang w:bidi="es-ES"/>
        </w:rPr>
        <w:t xml:space="preserve">nformación de </w:t>
      </w:r>
      <w:r w:rsidR="00BD4582" w:rsidRPr="00DA1B75">
        <w:rPr>
          <w:rStyle w:val="Ttulo2Car"/>
          <w:lang w:bidi="es-ES"/>
        </w:rPr>
        <w:t>Económica</w:t>
      </w:r>
      <w:r w:rsidR="004E459D" w:rsidRPr="00DA1B75">
        <w:rPr>
          <w:rStyle w:val="Ttulo2Car"/>
          <w:lang w:bidi="es-ES"/>
        </w:rPr>
        <w:t xml:space="preserve"> y</w:t>
      </w:r>
      <w:r w:rsidR="00BD4582" w:rsidRPr="00DA1B75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5B59C55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391275" cy="2844000"/>
                <wp:effectExtent l="0" t="0" r="28575" b="139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8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F722337" w14:textId="77777777" w:rsidR="002C4D54" w:rsidRPr="00453F56" w:rsidRDefault="002C4D54" w:rsidP="002C4D54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53F56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recoge todas las informaciones obligatorias contempladas en la LTAIBG:</w:t>
                            </w:r>
                          </w:p>
                          <w:p w14:paraId="001E64A8" w14:textId="3C445CF6" w:rsidR="002C4D54" w:rsidRPr="00453F56" w:rsidRDefault="002C4D54" w:rsidP="00453F5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localizado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las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odificaciones de contratos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2056076" w14:textId="650FEB00" w:rsidR="002C4D54" w:rsidRPr="00453F56" w:rsidRDefault="002C4D54" w:rsidP="00453F5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localizado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los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d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esistimientos y 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</w:t>
                            </w:r>
                            <w:r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enuncias</w:t>
                            </w:r>
                            <w:r w:rsidR="00FE395B" w:rsidRPr="00453F5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95458A4" w14:textId="0C3367DD" w:rsidR="002C4D54" w:rsidRDefault="002C4D54" w:rsidP="00453F5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53F56"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453F56">
                              <w:rPr>
                                <w:sz w:val="20"/>
                                <w:szCs w:val="20"/>
                              </w:rPr>
                              <w:t>complet</w:t>
                            </w:r>
                            <w:r w:rsidRPr="00453F56">
                              <w:rPr>
                                <w:sz w:val="20"/>
                                <w:szCs w:val="20"/>
                              </w:rPr>
                              <w:t>a sobre los convenios suscritos, incluyendo todos los ítems informativos que el artículo 8.1.b de la LTAIBG establece para esta obligación.</w:t>
                            </w:r>
                          </w:p>
                          <w:p w14:paraId="32552AE1" w14:textId="3FCEF46C" w:rsidR="002C4D54" w:rsidRPr="00453F56" w:rsidRDefault="00FE395B" w:rsidP="00453F5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53F56"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6D7D9565" w14:textId="77777777" w:rsidR="00FE395B" w:rsidRPr="00453F56" w:rsidRDefault="00FE395B" w:rsidP="00FE395B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F37AB6" w14:textId="427DFF39" w:rsid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6216EE8D" w14:textId="77777777" w:rsidR="00127D37" w:rsidRPr="00DE6297" w:rsidRDefault="00127D37" w:rsidP="00127D3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La información no se publica con la actualización necesaria.</w:t>
                            </w:r>
                          </w:p>
                          <w:p w14:paraId="19B088CC" w14:textId="38313F67" w:rsidR="001D0329" w:rsidRPr="00FE395B" w:rsidRDefault="001D0329" w:rsidP="00FE395B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45pt;width:503.25pt;height:223.9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F722337" w14:textId="77777777" w:rsidR="002C4D54" w:rsidRPr="00453F56" w:rsidRDefault="002C4D54" w:rsidP="002C4D54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453F56">
                        <w:rPr>
                          <w:bCs/>
                          <w:sz w:val="20"/>
                          <w:szCs w:val="20"/>
                        </w:rPr>
                        <w:t>La información publicada no recoge todas las informaciones obligatorias contempladas en la LTAIBG:</w:t>
                      </w:r>
                    </w:p>
                    <w:p w14:paraId="001E64A8" w14:textId="3C445CF6" w:rsidR="002C4D54" w:rsidRPr="00453F56" w:rsidRDefault="002C4D54" w:rsidP="00453F5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localizado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las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odificaciones de contratos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2056076" w14:textId="650FEB00" w:rsidR="002C4D54" w:rsidRPr="00453F56" w:rsidRDefault="002C4D54" w:rsidP="00453F5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localizado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los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d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esistimientos y 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</w:t>
                      </w:r>
                      <w:r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enuncias</w:t>
                      </w:r>
                      <w:r w:rsidR="00FE395B" w:rsidRPr="00453F5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95458A4" w14:textId="0C3367DD" w:rsidR="002C4D54" w:rsidRDefault="002C4D54" w:rsidP="00453F5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453F56"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453F56">
                        <w:rPr>
                          <w:sz w:val="20"/>
                          <w:szCs w:val="20"/>
                        </w:rPr>
                        <w:t>complet</w:t>
                      </w:r>
                      <w:r w:rsidRPr="00453F56">
                        <w:rPr>
                          <w:sz w:val="20"/>
                          <w:szCs w:val="20"/>
                        </w:rPr>
                        <w:t>a sobre los convenios suscritos, incluyendo todos los ítems informativos que el artículo 8.1.b de la LTAIBG establece para esta obligación.</w:t>
                      </w:r>
                    </w:p>
                    <w:p w14:paraId="32552AE1" w14:textId="3FCEF46C" w:rsidR="002C4D54" w:rsidRPr="00453F56" w:rsidRDefault="00FE395B" w:rsidP="00453F5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453F56"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6D7D9565" w14:textId="77777777" w:rsidR="00FE395B" w:rsidRPr="00453F56" w:rsidRDefault="00FE395B" w:rsidP="00FE395B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  <w:p w14:paraId="4BF37AB6" w14:textId="427DFF39" w:rsid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6216EE8D" w14:textId="77777777" w:rsidR="00127D37" w:rsidRPr="00DE6297" w:rsidRDefault="00127D37" w:rsidP="00127D3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La información no se publica con la actualización necesaria.</w:t>
                      </w:r>
                    </w:p>
                    <w:p w14:paraId="19B088CC" w14:textId="38313F67" w:rsidR="001D0329" w:rsidRPr="00FE395B" w:rsidRDefault="001D0329" w:rsidP="00FE395B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74F1AEF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C930AC" w14:textId="115D005E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E3CD5F" w14:textId="19B43E36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C36C98" w14:textId="7BF8A7B6" w:rsidR="00DF300A" w:rsidRDefault="00DF300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D46ECD4" w14:textId="74F8304B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619EAF" w14:textId="70704989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942773" w14:textId="546A6342" w:rsidR="00FE395B" w:rsidRDefault="00FE395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6ECBD2" w14:textId="77777777" w:rsidR="00656605" w:rsidRDefault="0065660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34C47B1" w14:textId="15E40835" w:rsidR="00FD40E1" w:rsidRPr="00656605" w:rsidRDefault="00BD4582" w:rsidP="008A0B0D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rFonts w:asciiTheme="minorHAnsi" w:hAnsiTheme="minorHAnsi"/>
          <w:color w:val="auto"/>
          <w:szCs w:val="2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FD40E1" w:rsidRPr="00FD40E1" w14:paraId="0C3FAD55" w14:textId="77777777" w:rsidTr="00FD40E1">
        <w:trPr>
          <w:divId w:val="1055465499"/>
          <w:trHeight w:val="13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44E76018" w14:textId="541E8E77" w:rsidR="00FD40E1" w:rsidRPr="00FD40E1" w:rsidRDefault="00FD40E1" w:rsidP="00FD40E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0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B5E504E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C3BCD80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D47896E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C702A62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616E140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6CBFA17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A4613C7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D71A7CF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FD40E1" w:rsidRPr="00FD40E1" w14:paraId="414FEB4B" w14:textId="77777777" w:rsidTr="00FD40E1">
        <w:trPr>
          <w:divId w:val="1055465499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1E9568C" w14:textId="77777777" w:rsidR="00FD40E1" w:rsidRPr="00FD40E1" w:rsidRDefault="00FD40E1" w:rsidP="00FD40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A9E2F7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752115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82FD12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33583A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CCAE37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446BA5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E24F90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13311C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90,5</w:t>
            </w:r>
          </w:p>
        </w:tc>
      </w:tr>
      <w:tr w:rsidR="00FD40E1" w:rsidRPr="00FD40E1" w14:paraId="70F5C80A" w14:textId="77777777" w:rsidTr="00FD40E1">
        <w:trPr>
          <w:divId w:val="1055465499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2027A48" w14:textId="77777777" w:rsidR="00FD40E1" w:rsidRPr="00FD40E1" w:rsidRDefault="00FD40E1" w:rsidP="00FD40E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F46C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AC07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4562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AD53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1222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790B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7AE8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DCF1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FD40E1" w:rsidRPr="00FD40E1" w14:paraId="69E836BB" w14:textId="77777777" w:rsidTr="00FD40E1">
        <w:trPr>
          <w:divId w:val="1055465499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0081435" w14:textId="7F69B84A" w:rsidR="00FD40E1" w:rsidRPr="00FD40E1" w:rsidRDefault="00FD40E1" w:rsidP="00FD40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</w:t>
            </w:r>
            <w:r w:rsidR="00E30BF0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,</w:t>
            </w: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FBFBE9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DFBFE80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5F3ADC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61D2E7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E4BE9C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C714695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AD88C9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656BDF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48,6</w:t>
            </w:r>
          </w:p>
        </w:tc>
      </w:tr>
      <w:tr w:rsidR="00FD40E1" w:rsidRPr="00FD40E1" w14:paraId="5CDD8ACC" w14:textId="77777777" w:rsidTr="00FD40E1">
        <w:trPr>
          <w:divId w:val="1055465499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C889348" w14:textId="77777777" w:rsidR="00FD40E1" w:rsidRPr="00FD40E1" w:rsidRDefault="00FD40E1" w:rsidP="00FD40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E17C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31F4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4AA9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1A3F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CF76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9CE9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7594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DEC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FD40E1" w:rsidRPr="00FD40E1" w14:paraId="4DA97CC1" w14:textId="77777777" w:rsidTr="00FD40E1">
        <w:trPr>
          <w:divId w:val="1055465499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A229BE3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CC31CE5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385755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7B1F10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E6371B8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80E6F91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DAF1B5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77730A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8508A6" w14:textId="77777777" w:rsidR="00FD40E1" w:rsidRPr="00FD40E1" w:rsidRDefault="00FD40E1" w:rsidP="00FD40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0E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65,2</w:t>
            </w:r>
          </w:p>
        </w:tc>
      </w:tr>
    </w:tbl>
    <w:p w14:paraId="7C8A33FA" w14:textId="6AAD6CEA" w:rsidR="00453F56" w:rsidRDefault="00453F56" w:rsidP="008A0B0D">
      <w:pPr>
        <w:pStyle w:val="Cuerpodelboletn"/>
        <w:spacing w:before="120" w:after="120" w:line="312" w:lineRule="auto"/>
        <w:rPr>
          <w:b/>
          <w:color w:val="3C8378"/>
          <w:sz w:val="32"/>
        </w:rPr>
      </w:pPr>
    </w:p>
    <w:p w14:paraId="708B7E26" w14:textId="2DCC9E40" w:rsidR="00285021" w:rsidRPr="008A0B0D" w:rsidRDefault="00CC608E" w:rsidP="00E30BF0">
      <w:pPr>
        <w:pStyle w:val="Cuerpodelboletn"/>
        <w:spacing w:before="120" w:after="120" w:line="276" w:lineRule="auto"/>
        <w:ind w:left="284"/>
        <w:rPr>
          <w:b/>
          <w:color w:val="3C8378"/>
          <w:sz w:val="32"/>
        </w:rPr>
      </w:pPr>
      <w:r>
        <w:lastRenderedPageBreak/>
        <w:t xml:space="preserve">El Índice de Cumplimiento de la Información Obligatoria (ICIO) alcanza el </w:t>
      </w:r>
      <w:r w:rsidR="00453F56">
        <w:t>6</w:t>
      </w:r>
      <w:r w:rsidR="00532DC5">
        <w:t>5,2</w:t>
      </w:r>
      <w:r w:rsidRPr="0070050E">
        <w:t>%</w:t>
      </w:r>
      <w:r>
        <w:t xml:space="preserve"> </w:t>
      </w:r>
      <w:r w:rsidRPr="008848BF">
        <w:t xml:space="preserve">de cumplimiento. </w:t>
      </w:r>
      <w:r>
        <w:t xml:space="preserve">Respecto de 2024, se produce </w:t>
      </w:r>
      <w:r w:rsidR="00BF10ED">
        <w:t>un incremento</w:t>
      </w:r>
      <w:r w:rsidRPr="0070050E">
        <w:t xml:space="preserve"> de </w:t>
      </w:r>
      <w:r w:rsidR="00532DC5">
        <w:t>un 97,5%</w:t>
      </w:r>
      <w:r w:rsidRPr="0070050E">
        <w:t>, atribuible a</w:t>
      </w:r>
      <w:r w:rsidR="00BF10ED">
        <w:t xml:space="preserve">l cumplimiento de </w:t>
      </w:r>
      <w:r w:rsidR="00532DC5">
        <w:t>doce</w:t>
      </w:r>
      <w:r w:rsidR="00BF10ED">
        <w:t xml:space="preserve"> recomendaciones</w:t>
      </w:r>
      <w:r w:rsidR="00532DC5">
        <w:t>, aunque también ha habido que revisar a la baja el cumplimiento de la obligación Convenios, ya que la información que se publica no está completa</w:t>
      </w:r>
      <w:r w:rsidR="0070050E">
        <w:t>.</w:t>
      </w:r>
    </w:p>
    <w:p w14:paraId="6F23EAEA" w14:textId="77777777" w:rsidR="0070050E" w:rsidRPr="005A3C4E" w:rsidRDefault="0070050E" w:rsidP="0070050E">
      <w:pPr>
        <w:jc w:val="both"/>
      </w:pPr>
    </w:p>
    <w:p w14:paraId="028C8D12" w14:textId="50100C44" w:rsidR="002A154B" w:rsidRPr="0060669B" w:rsidRDefault="002A154B" w:rsidP="0059131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Conclusiones </w:t>
      </w:r>
    </w:p>
    <w:p w14:paraId="02174951" w14:textId="6DA2BE91" w:rsidR="00BF10ED" w:rsidRPr="00396A23" w:rsidRDefault="00BF10ED" w:rsidP="00532DC5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 xml:space="preserve">de </w:t>
      </w:r>
      <w:r w:rsidRPr="002A40C3">
        <w:t>Logroño Integración Ferrocarril</w:t>
      </w:r>
      <w:r w:rsidRPr="00396A23">
        <w:t xml:space="preserve">. El índice de cumplimiento alcanzado se situó en el </w:t>
      </w:r>
      <w:r>
        <w:t>34,7</w:t>
      </w:r>
      <w:r w:rsidRPr="00396A23">
        <w:t xml:space="preserve">% y, a partir de las evidencias obtenidas en la evaluación, este Consejo efectuó </w:t>
      </w:r>
      <w:r>
        <w:t>1</w:t>
      </w:r>
      <w:r w:rsidR="00F33920">
        <w:t>6</w:t>
      </w:r>
      <w:r w:rsidRPr="00396A23">
        <w:t xml:space="preserve"> recomendaciones, cuya finalidad era la mejora del cumplimiento de la LTAIBG por parte de la organización.</w:t>
      </w:r>
    </w:p>
    <w:p w14:paraId="52646664" w14:textId="1E421E76" w:rsidR="00BF10ED" w:rsidRPr="00396A23" w:rsidRDefault="00BF10ED" w:rsidP="00532DC5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F33920" w:rsidRPr="002A40C3">
        <w:t>Logroño Integración Ferrocarril</w:t>
      </w:r>
      <w:r w:rsidR="00F33920">
        <w:t xml:space="preserve"> </w:t>
      </w:r>
      <w:r>
        <w:t>no h</w:t>
      </w:r>
      <w:r w:rsidRPr="00396A23">
        <w:t xml:space="preserve">abía aplicado </w:t>
      </w:r>
      <w:r>
        <w:t>ninguna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un </w:t>
      </w:r>
      <w:r>
        <w:t>de</w:t>
      </w:r>
      <w:r w:rsidRPr="00396A23">
        <w:t xml:space="preserve">cremento de su Índice de Cumplimiento en </w:t>
      </w:r>
      <w:r w:rsidR="00F33920">
        <w:t>1,7</w:t>
      </w:r>
      <w:r w:rsidRPr="00396A23">
        <w:t xml:space="preserve"> puntos porcentuales,</w:t>
      </w:r>
      <w:r>
        <w:t xml:space="preserve"> </w:t>
      </w:r>
      <w:r w:rsidRPr="00396A23">
        <w:t xml:space="preserve">alcanzando el </w:t>
      </w:r>
      <w:r w:rsidR="00F33920">
        <w:t>33</w:t>
      </w:r>
      <w:r w:rsidRPr="00396A23">
        <w:t>%.</w:t>
      </w:r>
    </w:p>
    <w:p w14:paraId="70B8EC7C" w14:textId="0204299A" w:rsidR="00BF10ED" w:rsidRPr="00396A23" w:rsidRDefault="00BF10ED" w:rsidP="00532DC5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F33920" w:rsidRPr="002A40C3">
        <w:t>Logroño Integración Ferrocarril</w:t>
      </w:r>
      <w:r w:rsidR="00F33920" w:rsidRPr="00396A23">
        <w:t xml:space="preserve"> </w:t>
      </w:r>
      <w:r w:rsidRPr="00396A23">
        <w:t>era insuficiente, se decidió</w:t>
      </w:r>
      <w:r w:rsidR="00532DC5">
        <w:t>,</w:t>
      </w:r>
      <w:r w:rsidRPr="00396A23">
        <w:t xml:space="preserve"> por parte de este CTBG</w:t>
      </w:r>
      <w:r>
        <w:t>,</w:t>
      </w:r>
      <w:r w:rsidRPr="00396A23">
        <w:t xml:space="preserve"> </w:t>
      </w:r>
      <w:r>
        <w:t xml:space="preserve">incluir a </w:t>
      </w:r>
      <w:r w:rsidR="00F33920" w:rsidRPr="002A40C3">
        <w:t>Logroño Integración Ferrocarril</w:t>
      </w:r>
      <w:r w:rsidR="00F33920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1553FF2" w14:textId="07AE36DD" w:rsidR="00BF10ED" w:rsidRDefault="00BF10ED" w:rsidP="00532DC5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F33920" w:rsidRPr="002A40C3">
        <w:t>Logroño Integración Ferrocarril</w:t>
      </w:r>
      <w:r>
        <w:t xml:space="preserve"> ha </w:t>
      </w:r>
      <w:r w:rsidR="00F33920">
        <w:t>aumenta</w:t>
      </w:r>
      <w:r>
        <w:t xml:space="preserve">do en </w:t>
      </w:r>
      <w:r w:rsidR="00532DC5">
        <w:t>32</w:t>
      </w:r>
      <w:r w:rsidR="00F33920">
        <w:t>,2</w:t>
      </w:r>
      <w:r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se ha</w:t>
      </w:r>
      <w:r w:rsidR="00F33920">
        <w:t>n</w:t>
      </w:r>
      <w:r>
        <w:t xml:space="preserve"> aplicado </w:t>
      </w:r>
      <w:r w:rsidR="00532DC5">
        <w:t>doce</w:t>
      </w:r>
      <w:r>
        <w:t xml:space="preserve"> </w:t>
      </w:r>
      <w:r w:rsidRPr="00396A23">
        <w:t>de las recomendaciones derivadas de la evaluación realizada en ese año</w:t>
      </w:r>
      <w:r>
        <w:t xml:space="preserve">, </w:t>
      </w:r>
      <w:r w:rsidR="00F33920">
        <w:t>aunque</w:t>
      </w:r>
      <w:r>
        <w:t xml:space="preserve"> también ha habido que revisar a la baja otra</w:t>
      </w:r>
      <w:r w:rsidRPr="00396A23">
        <w:t xml:space="preserve">. </w:t>
      </w:r>
    </w:p>
    <w:p w14:paraId="54EA5C99" w14:textId="22353548" w:rsidR="006871DA" w:rsidRPr="00396A23" w:rsidRDefault="006871DA" w:rsidP="00532DC5">
      <w:pPr>
        <w:spacing w:before="120" w:after="120"/>
        <w:ind w:left="284"/>
        <w:jc w:val="both"/>
      </w:pPr>
      <w:r w:rsidRPr="006871DA">
        <w:t xml:space="preserve">Por todo lo que antecede y tras la realización de tres evaluaciones, este Consejo reconoce el esfuerzo realizado por </w:t>
      </w:r>
      <w:r w:rsidRPr="002A40C3">
        <w:t>Logroño Integración Ferrocarril</w:t>
      </w:r>
      <w:r w:rsidRPr="006871DA">
        <w:t>. No obstante, para lograr el pleno cumplimiento de las obligaciones establecidas en la LTAIBG, se considera necesario que se proceda a la subsanación de los siguientes incumplimientos en los términos que se establecen a continuación:</w:t>
      </w:r>
    </w:p>
    <w:p w14:paraId="417B5E87" w14:textId="6CE4ACB4" w:rsidR="00532DC5" w:rsidRDefault="00532DC5" w:rsidP="00532DC5">
      <w:pPr>
        <w:spacing w:before="120" w:after="120"/>
        <w:ind w:left="284"/>
        <w:jc w:val="both"/>
      </w:pPr>
    </w:p>
    <w:p w14:paraId="7269DD65" w14:textId="306BC5F8" w:rsidR="00B95B66" w:rsidRPr="00532DC5" w:rsidRDefault="00B95B66" w:rsidP="00532DC5">
      <w:pPr>
        <w:pStyle w:val="Prrafodelista"/>
        <w:numPr>
          <w:ilvl w:val="0"/>
          <w:numId w:val="11"/>
        </w:numPr>
        <w:spacing w:before="120" w:after="120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532DC5">
        <w:rPr>
          <w:bCs/>
        </w:rPr>
        <w:t>Publicar</w:t>
      </w:r>
      <w:r w:rsidRPr="00532DC5">
        <w:rPr>
          <w:rStyle w:val="Ttulo2Car"/>
          <w:b w:val="0"/>
          <w:color w:val="auto"/>
          <w:sz w:val="22"/>
          <w:szCs w:val="22"/>
          <w:lang w:bidi="es-ES"/>
        </w:rPr>
        <w:t xml:space="preserve"> las modificaciones de contratos.</w:t>
      </w:r>
    </w:p>
    <w:p w14:paraId="625F4E72" w14:textId="3663A06D" w:rsidR="00B95B66" w:rsidRPr="00532DC5" w:rsidRDefault="00B95B66" w:rsidP="00532DC5">
      <w:pPr>
        <w:pStyle w:val="Prrafodelista"/>
        <w:numPr>
          <w:ilvl w:val="0"/>
          <w:numId w:val="11"/>
        </w:numPr>
        <w:spacing w:before="120" w:after="120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532DC5">
        <w:rPr>
          <w:bCs/>
        </w:rPr>
        <w:t>Publicar</w:t>
      </w:r>
      <w:r w:rsidRPr="00532DC5">
        <w:rPr>
          <w:rStyle w:val="Ttulo2Car"/>
          <w:b w:val="0"/>
          <w:color w:val="auto"/>
          <w:sz w:val="22"/>
          <w:szCs w:val="22"/>
          <w:lang w:bidi="es-ES"/>
        </w:rPr>
        <w:t xml:space="preserve"> los desistimientos y renuncias.</w:t>
      </w:r>
    </w:p>
    <w:p w14:paraId="42FC9176" w14:textId="7ED055D1" w:rsidR="007E75A7" w:rsidRPr="00532DC5" w:rsidRDefault="007E75A7" w:rsidP="00532DC5">
      <w:pPr>
        <w:pStyle w:val="Prrafodelista"/>
        <w:numPr>
          <w:ilvl w:val="0"/>
          <w:numId w:val="11"/>
        </w:numPr>
        <w:spacing w:before="120" w:after="120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532DC5">
        <w:rPr>
          <w:rStyle w:val="Ttulo2Car"/>
          <w:b w:val="0"/>
          <w:color w:val="auto"/>
          <w:sz w:val="22"/>
          <w:szCs w:val="22"/>
          <w:lang w:bidi="es-ES"/>
        </w:rPr>
        <w:t>Publicar los convenios suscritos</w:t>
      </w:r>
      <w:r w:rsidR="00532DC5">
        <w:rPr>
          <w:rStyle w:val="Ttulo2Car"/>
          <w:b w:val="0"/>
          <w:color w:val="auto"/>
          <w:sz w:val="22"/>
          <w:szCs w:val="22"/>
          <w:lang w:bidi="es-ES"/>
        </w:rPr>
        <w:t xml:space="preserve"> </w:t>
      </w:r>
      <w:r w:rsidR="00FB1EC3">
        <w:rPr>
          <w:rStyle w:val="Ttulo2Car"/>
          <w:b w:val="0"/>
          <w:color w:val="auto"/>
          <w:sz w:val="22"/>
          <w:szCs w:val="22"/>
          <w:lang w:bidi="es-ES"/>
        </w:rPr>
        <w:t>incluyendo todos los ítems informativos que el artículo 8.1.b de la LTAIBG establece para esta obligación</w:t>
      </w:r>
      <w:r w:rsidRPr="00532DC5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45EA6A75" w14:textId="1895329D" w:rsidR="00B95B66" w:rsidRDefault="00B95B66" w:rsidP="00FB1EC3">
      <w:pPr>
        <w:pStyle w:val="Prrafodelista"/>
        <w:numPr>
          <w:ilvl w:val="0"/>
          <w:numId w:val="11"/>
        </w:numPr>
        <w:jc w:val="both"/>
      </w:pPr>
      <w:r w:rsidRPr="00F33920">
        <w:rPr>
          <w:bCs/>
        </w:rPr>
        <w:t>Publicar</w:t>
      </w:r>
      <w:r w:rsidRPr="00B95B66">
        <w:t xml:space="preserve"> información sobre los informes de auditoría de cuentas y de fiscalización realizados por el Tribunal de Cuentas.</w:t>
      </w:r>
    </w:p>
    <w:p w14:paraId="7C5C1F2B" w14:textId="7524B8F1" w:rsidR="00B95B66" w:rsidRDefault="00B95B66" w:rsidP="00B95B66"/>
    <w:p w14:paraId="1CD7ED5D" w14:textId="77777777" w:rsidR="00B95B66" w:rsidRPr="005A3C4E" w:rsidRDefault="00B95B66" w:rsidP="00B95B66"/>
    <w:p w14:paraId="04698BAA" w14:textId="25D06EFB" w:rsidR="00B40246" w:rsidRPr="005A3C4E" w:rsidRDefault="00827ABE" w:rsidP="00B95B66">
      <w:pPr>
        <w:ind w:left="6372" w:firstLine="708"/>
        <w:jc w:val="right"/>
      </w:pPr>
      <w:r w:rsidRPr="005A3C4E">
        <w:t xml:space="preserve">Madrid, </w:t>
      </w:r>
      <w:r w:rsidR="00E30BF0">
        <w:t>octubre</w:t>
      </w:r>
      <w:r w:rsidR="00FB1EC3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E30BF0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486D0F0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B7F9" w14:textId="77777777" w:rsidR="00965604" w:rsidRDefault="00965604" w:rsidP="00932008">
      <w:pPr>
        <w:spacing w:after="0" w:line="240" w:lineRule="auto"/>
      </w:pPr>
      <w:r>
        <w:separator/>
      </w:r>
    </w:p>
  </w:endnote>
  <w:endnote w:type="continuationSeparator" w:id="0">
    <w:p w14:paraId="78CEB36B" w14:textId="77777777" w:rsidR="00965604" w:rsidRDefault="00965604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10278"/>
      <w:docPartObj>
        <w:docPartGallery w:val="Page Numbers (Bottom of Page)"/>
        <w:docPartUnique/>
      </w:docPartObj>
    </w:sdtPr>
    <w:sdtEndPr/>
    <w:sdtContent>
      <w:p w14:paraId="0C4CEA71" w14:textId="528D4729" w:rsidR="004B7440" w:rsidRDefault="004B744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B76F9E4" wp14:editId="57DD28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7B89" w14:textId="77777777" w:rsidR="004B7440" w:rsidRPr="004B7440" w:rsidRDefault="004B74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4B7440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4B7440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4B7440">
                                <w:rPr>
                                  <w:color w:val="3C8378"/>
                                </w:rPr>
                                <w:t>2</w: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76F9E4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7E5D7B89" w14:textId="77777777" w:rsidR="004B7440" w:rsidRPr="004B7440" w:rsidRDefault="004B74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4B7440">
                          <w:rPr>
                            <w:color w:val="3C8378"/>
                          </w:rPr>
                          <w:fldChar w:fldCharType="begin"/>
                        </w:r>
                        <w:r w:rsidRPr="004B7440">
                          <w:rPr>
                            <w:color w:val="3C8378"/>
                          </w:rPr>
                          <w:instrText>PAGE   \* MERGEFORMAT</w:instrText>
                        </w:r>
                        <w:r w:rsidRPr="004B7440">
                          <w:rPr>
                            <w:color w:val="3C8378"/>
                          </w:rPr>
                          <w:fldChar w:fldCharType="separate"/>
                        </w:r>
                        <w:r w:rsidRPr="004B7440">
                          <w:rPr>
                            <w:color w:val="3C8378"/>
                          </w:rPr>
                          <w:t>2</w:t>
                        </w:r>
                        <w:r w:rsidRPr="004B7440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522A" w14:textId="77777777" w:rsidR="00965604" w:rsidRDefault="00965604" w:rsidP="00932008">
      <w:pPr>
        <w:spacing w:after="0" w:line="240" w:lineRule="auto"/>
      </w:pPr>
      <w:r>
        <w:separator/>
      </w:r>
    </w:p>
  </w:footnote>
  <w:footnote w:type="continuationSeparator" w:id="0">
    <w:p w14:paraId="7D5C5B5C" w14:textId="77777777" w:rsidR="00965604" w:rsidRDefault="00965604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A47F77F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1DBA0B84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5F0BFF24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67" type="#_x0000_t75" style="width:11.25pt;height:11.25pt" o:bullet="t">
        <v:imagedata r:id="rId1" o:title="BD14654_"/>
      </v:shape>
    </w:pict>
  </w:numPicBullet>
  <w:abstractNum w:abstractNumId="0" w15:restartNumberingAfterBreak="0">
    <w:nsid w:val="00653EDC"/>
    <w:multiLevelType w:val="hybridMultilevel"/>
    <w:tmpl w:val="73FCF99C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822"/>
    <w:multiLevelType w:val="hybridMultilevel"/>
    <w:tmpl w:val="A3C2CFB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2F3C"/>
    <w:multiLevelType w:val="hybridMultilevel"/>
    <w:tmpl w:val="75C461C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34D9D"/>
    <w:multiLevelType w:val="hybridMultilevel"/>
    <w:tmpl w:val="B5005120"/>
    <w:lvl w:ilvl="0" w:tplc="F236A32A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8B3D41"/>
    <w:multiLevelType w:val="hybridMultilevel"/>
    <w:tmpl w:val="D31206DA"/>
    <w:lvl w:ilvl="0" w:tplc="4F8AD6EA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682D0D"/>
    <w:multiLevelType w:val="hybridMultilevel"/>
    <w:tmpl w:val="2A4E7FBC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376625"/>
    <w:multiLevelType w:val="hybridMultilevel"/>
    <w:tmpl w:val="2E76E000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9A3F3A"/>
    <w:multiLevelType w:val="hybridMultilevel"/>
    <w:tmpl w:val="9E16618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5115A"/>
    <w:multiLevelType w:val="hybridMultilevel"/>
    <w:tmpl w:val="C13C9130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2176F"/>
    <w:multiLevelType w:val="hybridMultilevel"/>
    <w:tmpl w:val="71B4821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073"/>
    <w:rsid w:val="000262A3"/>
    <w:rsid w:val="00042352"/>
    <w:rsid w:val="00061623"/>
    <w:rsid w:val="00076C63"/>
    <w:rsid w:val="000807E2"/>
    <w:rsid w:val="00083406"/>
    <w:rsid w:val="00083AB8"/>
    <w:rsid w:val="000965B3"/>
    <w:rsid w:val="000A6C61"/>
    <w:rsid w:val="000B0FBA"/>
    <w:rsid w:val="000C6CFF"/>
    <w:rsid w:val="000D37BA"/>
    <w:rsid w:val="000D6BA0"/>
    <w:rsid w:val="000E62B9"/>
    <w:rsid w:val="000F262E"/>
    <w:rsid w:val="000F2DDB"/>
    <w:rsid w:val="00102733"/>
    <w:rsid w:val="00102EC4"/>
    <w:rsid w:val="0011279F"/>
    <w:rsid w:val="00113787"/>
    <w:rsid w:val="00127D37"/>
    <w:rsid w:val="00135102"/>
    <w:rsid w:val="001561A4"/>
    <w:rsid w:val="00156A51"/>
    <w:rsid w:val="00173C3B"/>
    <w:rsid w:val="001743E2"/>
    <w:rsid w:val="001754B0"/>
    <w:rsid w:val="001A17D1"/>
    <w:rsid w:val="001C72D3"/>
    <w:rsid w:val="001D0329"/>
    <w:rsid w:val="001E099D"/>
    <w:rsid w:val="001E30F9"/>
    <w:rsid w:val="001E316A"/>
    <w:rsid w:val="001F1FD6"/>
    <w:rsid w:val="00206263"/>
    <w:rsid w:val="0021059E"/>
    <w:rsid w:val="002259C6"/>
    <w:rsid w:val="00235095"/>
    <w:rsid w:val="00243F85"/>
    <w:rsid w:val="00247962"/>
    <w:rsid w:val="00251FAB"/>
    <w:rsid w:val="002562C9"/>
    <w:rsid w:val="00266E4D"/>
    <w:rsid w:val="00275810"/>
    <w:rsid w:val="00280DE8"/>
    <w:rsid w:val="00285021"/>
    <w:rsid w:val="002A154B"/>
    <w:rsid w:val="002A40C3"/>
    <w:rsid w:val="002C4D54"/>
    <w:rsid w:val="002D51FC"/>
    <w:rsid w:val="002F2850"/>
    <w:rsid w:val="002F6401"/>
    <w:rsid w:val="003173D9"/>
    <w:rsid w:val="00335401"/>
    <w:rsid w:val="00380485"/>
    <w:rsid w:val="003B7F67"/>
    <w:rsid w:val="003D3F6C"/>
    <w:rsid w:val="003E3018"/>
    <w:rsid w:val="003F271E"/>
    <w:rsid w:val="003F572A"/>
    <w:rsid w:val="00413D03"/>
    <w:rsid w:val="00421CCF"/>
    <w:rsid w:val="00432179"/>
    <w:rsid w:val="00442DDF"/>
    <w:rsid w:val="00453F56"/>
    <w:rsid w:val="00466D7A"/>
    <w:rsid w:val="00470622"/>
    <w:rsid w:val="004A301E"/>
    <w:rsid w:val="004B7440"/>
    <w:rsid w:val="004E459D"/>
    <w:rsid w:val="004F2655"/>
    <w:rsid w:val="004F38A9"/>
    <w:rsid w:val="005002E2"/>
    <w:rsid w:val="00521DA9"/>
    <w:rsid w:val="005260B7"/>
    <w:rsid w:val="00532DC5"/>
    <w:rsid w:val="005366E7"/>
    <w:rsid w:val="00544E0C"/>
    <w:rsid w:val="00561402"/>
    <w:rsid w:val="0057532F"/>
    <w:rsid w:val="00580772"/>
    <w:rsid w:val="0059131E"/>
    <w:rsid w:val="005A1669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56605"/>
    <w:rsid w:val="00671D67"/>
    <w:rsid w:val="00685FB3"/>
    <w:rsid w:val="006871DA"/>
    <w:rsid w:val="006A2766"/>
    <w:rsid w:val="006A760C"/>
    <w:rsid w:val="006D1122"/>
    <w:rsid w:val="006E5667"/>
    <w:rsid w:val="0070050E"/>
    <w:rsid w:val="00710031"/>
    <w:rsid w:val="00711944"/>
    <w:rsid w:val="00713D95"/>
    <w:rsid w:val="00715014"/>
    <w:rsid w:val="00716924"/>
    <w:rsid w:val="00716F29"/>
    <w:rsid w:val="007261D9"/>
    <w:rsid w:val="00736C22"/>
    <w:rsid w:val="00743756"/>
    <w:rsid w:val="007615B6"/>
    <w:rsid w:val="0076446E"/>
    <w:rsid w:val="00783F7C"/>
    <w:rsid w:val="007B0F99"/>
    <w:rsid w:val="007E75A7"/>
    <w:rsid w:val="007F5ACB"/>
    <w:rsid w:val="00816F1E"/>
    <w:rsid w:val="00817B66"/>
    <w:rsid w:val="00827ABE"/>
    <w:rsid w:val="008331E0"/>
    <w:rsid w:val="00840B55"/>
    <w:rsid w:val="00844FA9"/>
    <w:rsid w:val="00870A89"/>
    <w:rsid w:val="008727B0"/>
    <w:rsid w:val="0089102D"/>
    <w:rsid w:val="008A0B0D"/>
    <w:rsid w:val="008C1E1E"/>
    <w:rsid w:val="00904C36"/>
    <w:rsid w:val="00912C2E"/>
    <w:rsid w:val="00914E52"/>
    <w:rsid w:val="009150B8"/>
    <w:rsid w:val="00923F05"/>
    <w:rsid w:val="0092723A"/>
    <w:rsid w:val="00932008"/>
    <w:rsid w:val="00942A15"/>
    <w:rsid w:val="009609E9"/>
    <w:rsid w:val="00965604"/>
    <w:rsid w:val="0098555C"/>
    <w:rsid w:val="009A5239"/>
    <w:rsid w:val="009A7780"/>
    <w:rsid w:val="009D7ED7"/>
    <w:rsid w:val="00A442CF"/>
    <w:rsid w:val="00A53F34"/>
    <w:rsid w:val="00A95A19"/>
    <w:rsid w:val="00AA3642"/>
    <w:rsid w:val="00AD2022"/>
    <w:rsid w:val="00AE3317"/>
    <w:rsid w:val="00AF0A48"/>
    <w:rsid w:val="00B15FC1"/>
    <w:rsid w:val="00B266D1"/>
    <w:rsid w:val="00B32D40"/>
    <w:rsid w:val="00B367DE"/>
    <w:rsid w:val="00B40246"/>
    <w:rsid w:val="00B841AE"/>
    <w:rsid w:val="00B95B66"/>
    <w:rsid w:val="00BA2751"/>
    <w:rsid w:val="00BB6799"/>
    <w:rsid w:val="00BC15C1"/>
    <w:rsid w:val="00BD2F4F"/>
    <w:rsid w:val="00BD4582"/>
    <w:rsid w:val="00BE18B0"/>
    <w:rsid w:val="00BE6A46"/>
    <w:rsid w:val="00BF10ED"/>
    <w:rsid w:val="00BF7E80"/>
    <w:rsid w:val="00C13955"/>
    <w:rsid w:val="00C14D61"/>
    <w:rsid w:val="00C23166"/>
    <w:rsid w:val="00C33225"/>
    <w:rsid w:val="00C33A23"/>
    <w:rsid w:val="00C46DF7"/>
    <w:rsid w:val="00C5744D"/>
    <w:rsid w:val="00C65B5B"/>
    <w:rsid w:val="00C6710B"/>
    <w:rsid w:val="00CA4FB1"/>
    <w:rsid w:val="00CB4BF4"/>
    <w:rsid w:val="00CB5511"/>
    <w:rsid w:val="00CC2049"/>
    <w:rsid w:val="00CC5B4F"/>
    <w:rsid w:val="00CC608E"/>
    <w:rsid w:val="00CE63AD"/>
    <w:rsid w:val="00D17380"/>
    <w:rsid w:val="00D221AE"/>
    <w:rsid w:val="00D42966"/>
    <w:rsid w:val="00D61A4E"/>
    <w:rsid w:val="00D726D9"/>
    <w:rsid w:val="00D96F84"/>
    <w:rsid w:val="00DA1B75"/>
    <w:rsid w:val="00DA76E7"/>
    <w:rsid w:val="00DB3548"/>
    <w:rsid w:val="00DB63F1"/>
    <w:rsid w:val="00DB677C"/>
    <w:rsid w:val="00DE5627"/>
    <w:rsid w:val="00DE6297"/>
    <w:rsid w:val="00DF0410"/>
    <w:rsid w:val="00DF0BBA"/>
    <w:rsid w:val="00DF300A"/>
    <w:rsid w:val="00DF5F2A"/>
    <w:rsid w:val="00DF63E7"/>
    <w:rsid w:val="00E03CC0"/>
    <w:rsid w:val="00E10482"/>
    <w:rsid w:val="00E303BC"/>
    <w:rsid w:val="00E3088D"/>
    <w:rsid w:val="00E30BF0"/>
    <w:rsid w:val="00E34195"/>
    <w:rsid w:val="00E427FE"/>
    <w:rsid w:val="00E47613"/>
    <w:rsid w:val="00E65B7F"/>
    <w:rsid w:val="00E738BE"/>
    <w:rsid w:val="00EB51D7"/>
    <w:rsid w:val="00EC3099"/>
    <w:rsid w:val="00EC5A86"/>
    <w:rsid w:val="00F14DA4"/>
    <w:rsid w:val="00F21D28"/>
    <w:rsid w:val="00F22752"/>
    <w:rsid w:val="00F22B6F"/>
    <w:rsid w:val="00F33920"/>
    <w:rsid w:val="00F47C3B"/>
    <w:rsid w:val="00F53605"/>
    <w:rsid w:val="00F66BBF"/>
    <w:rsid w:val="00F71D7D"/>
    <w:rsid w:val="00FB0FE2"/>
    <w:rsid w:val="00FB1EC3"/>
    <w:rsid w:val="00FB32EE"/>
    <w:rsid w:val="00FD1549"/>
    <w:rsid w:val="00FD40E1"/>
    <w:rsid w:val="00FE0FC5"/>
    <w:rsid w:val="00FE395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47962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E427F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C36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3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if2002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246FE"/>
    <w:rsid w:val="0013771E"/>
    <w:rsid w:val="00156ED9"/>
    <w:rsid w:val="001E1683"/>
    <w:rsid w:val="001E6B90"/>
    <w:rsid w:val="001F26C2"/>
    <w:rsid w:val="00202995"/>
    <w:rsid w:val="003917F8"/>
    <w:rsid w:val="003D088C"/>
    <w:rsid w:val="00447F79"/>
    <w:rsid w:val="004D543B"/>
    <w:rsid w:val="004F291A"/>
    <w:rsid w:val="00580AA7"/>
    <w:rsid w:val="00617EB2"/>
    <w:rsid w:val="00677247"/>
    <w:rsid w:val="00686532"/>
    <w:rsid w:val="006D7CDB"/>
    <w:rsid w:val="007728A6"/>
    <w:rsid w:val="00840CBD"/>
    <w:rsid w:val="008B6C28"/>
    <w:rsid w:val="00962011"/>
    <w:rsid w:val="009C534F"/>
    <w:rsid w:val="00A324F5"/>
    <w:rsid w:val="00AA7308"/>
    <w:rsid w:val="00AC72EB"/>
    <w:rsid w:val="00B35361"/>
    <w:rsid w:val="00B71197"/>
    <w:rsid w:val="00C55F34"/>
    <w:rsid w:val="00C77D4B"/>
    <w:rsid w:val="00D22FE0"/>
    <w:rsid w:val="00D35513"/>
    <w:rsid w:val="00DE2F2D"/>
    <w:rsid w:val="00DE4B57"/>
    <w:rsid w:val="00E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269</TotalTime>
  <Pages>10</Pages>
  <Words>2366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40</cp:revision>
  <cp:lastPrinted>2024-10-21T09:52:00Z</cp:lastPrinted>
  <dcterms:created xsi:type="dcterms:W3CDTF">2025-03-25T12:14:00Z</dcterms:created>
  <dcterms:modified xsi:type="dcterms:W3CDTF">2025-11-06T09:27:00Z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