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17736773" w:rsidR="000C6CFF" w:rsidRPr="005A3C4E" w:rsidRDefault="00093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MERCASA</w:t>
            </w:r>
            <w:r w:rsidR="00436C5F">
              <w:rPr>
                <w:sz w:val="24"/>
                <w:szCs w:val="24"/>
              </w:rPr>
              <w:t>, SME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EE8090" w:rsidR="00CB4BF4" w:rsidRDefault="00436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30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/05/2025</w:t>
            </w:r>
          </w:p>
          <w:p w14:paraId="0D584C03" w14:textId="145E0FA9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FA4102">
              <w:rPr>
                <w:sz w:val="24"/>
                <w:szCs w:val="24"/>
              </w:rPr>
              <w:t>23/07/2025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29767D">
              <w:rPr>
                <w:b/>
                <w:color w:val="3C8378"/>
                <w:sz w:val="24"/>
                <w:szCs w:val="24"/>
              </w:rPr>
              <w:t>URL de la</w:t>
            </w:r>
            <w:r w:rsidRPr="0060669B">
              <w:rPr>
                <w:b/>
                <w:color w:val="3C8378"/>
                <w:sz w:val="24"/>
                <w:szCs w:val="24"/>
              </w:rPr>
              <w:t xml:space="preserve"> entidad</w:t>
            </w:r>
          </w:p>
        </w:tc>
        <w:tc>
          <w:tcPr>
            <w:tcW w:w="6954" w:type="dxa"/>
          </w:tcPr>
          <w:p w14:paraId="1C06D6AC" w14:textId="7DD82D83" w:rsidR="0009308E" w:rsidRPr="005A3C4E" w:rsidRDefault="00176ED5" w:rsidP="0009308E">
            <w:pPr>
              <w:rPr>
                <w:sz w:val="24"/>
                <w:szCs w:val="24"/>
              </w:rPr>
            </w:pPr>
            <w:hyperlink r:id="rId9" w:history="1">
              <w:r w:rsidR="0009308E" w:rsidRPr="005C64A3">
                <w:rPr>
                  <w:rStyle w:val="Hipervnculo"/>
                  <w:sz w:val="24"/>
                  <w:szCs w:val="24"/>
                </w:rPr>
                <w:t>https://www.mercasa.es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486A99DC" w:rsidR="005B19E4" w:rsidRPr="005A3C4E" w:rsidRDefault="00DF0410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77777777" w:rsidR="00083406" w:rsidRDefault="00083406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632EA42C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43B20943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7E8FEF6B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3F000399" w14:textId="7E96E3F6" w:rsidR="00CE63AD" w:rsidRDefault="00CE63AD">
      <w:pPr>
        <w:rPr>
          <w:b/>
          <w:color w:val="00642D"/>
          <w:sz w:val="30"/>
          <w:szCs w:val="30"/>
        </w:rPr>
      </w:pPr>
    </w:p>
    <w:p w14:paraId="7DB45D55" w14:textId="77777777" w:rsidR="00CE63AD" w:rsidRDefault="00CE63AD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176ED5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6399D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687FB41E" w:rsidR="00CB5511" w:rsidRPr="005A3C4E" w:rsidRDefault="00ED64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636981FF" w:rsidR="00CB5511" w:rsidRPr="005A3C4E" w:rsidRDefault="00CB5511" w:rsidP="00A6399D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E768AA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568C8964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13EC357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62DC73B" w:rsidR="00932008" w:rsidRPr="005A3C4E" w:rsidRDefault="00ED64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525473F1" w14:textId="77777777" w:rsidR="00791075" w:rsidRPr="003B1702" w:rsidRDefault="00791075" w:rsidP="0079107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791075" w:rsidRPr="00396A23" w14:paraId="25B57DB1" w14:textId="77777777" w:rsidTr="00BD7E6D">
        <w:tc>
          <w:tcPr>
            <w:tcW w:w="2711" w:type="dxa"/>
            <w:vAlign w:val="center"/>
          </w:tcPr>
          <w:p w14:paraId="0CF0D7A5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8D886C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66B7428A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1F80A7E3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791075" w:rsidRPr="00396A23" w14:paraId="625AD7B7" w14:textId="77777777" w:rsidTr="00BD7E6D">
        <w:trPr>
          <w:trHeight w:val="481"/>
        </w:trPr>
        <w:tc>
          <w:tcPr>
            <w:tcW w:w="2711" w:type="dxa"/>
          </w:tcPr>
          <w:p w14:paraId="3EA3BB0E" w14:textId="73C05CFD" w:rsidR="00791075" w:rsidRPr="00024209" w:rsidRDefault="00024209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024209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2A4BD411" w14:textId="7A6F7B3D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51,9%</w:t>
            </w:r>
          </w:p>
        </w:tc>
        <w:tc>
          <w:tcPr>
            <w:tcW w:w="2728" w:type="dxa"/>
          </w:tcPr>
          <w:p w14:paraId="3A134AB2" w14:textId="21D7DDC8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51" w:type="dxa"/>
          </w:tcPr>
          <w:p w14:paraId="11256330" w14:textId="7163F6A1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791075" w:rsidRPr="00396A23" w14:paraId="31A6C1E1" w14:textId="77777777" w:rsidTr="00BD7E6D">
        <w:tc>
          <w:tcPr>
            <w:tcW w:w="2711" w:type="dxa"/>
          </w:tcPr>
          <w:p w14:paraId="521278EC" w14:textId="58F05011" w:rsidR="00791075" w:rsidRPr="00024209" w:rsidRDefault="00024209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024209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29B5CFBA" w14:textId="2C9CB804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61,1%</w:t>
            </w:r>
          </w:p>
        </w:tc>
        <w:tc>
          <w:tcPr>
            <w:tcW w:w="2728" w:type="dxa"/>
          </w:tcPr>
          <w:p w14:paraId="3EEECBD1" w14:textId="5443B5FA" w:rsidR="00791075" w:rsidRPr="00A30CCF" w:rsidRDefault="00DB105B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14:paraId="6A0DE212" w14:textId="6C65B9D5" w:rsidR="00791075" w:rsidRPr="00A30CCF" w:rsidRDefault="00C5594F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65689972" w14:textId="77777777" w:rsidR="00791075" w:rsidRPr="00396A23" w:rsidRDefault="00791075" w:rsidP="0079107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791075" w:rsidRPr="00396A23" w14:paraId="6DB8E6B1" w14:textId="77777777" w:rsidTr="0042095D">
        <w:trPr>
          <w:trHeight w:val="4239"/>
        </w:trPr>
        <w:tc>
          <w:tcPr>
            <w:tcW w:w="10035" w:type="dxa"/>
          </w:tcPr>
          <w:p w14:paraId="78D399E7" w14:textId="77777777" w:rsidR="00791075" w:rsidRPr="00524341" w:rsidRDefault="00791075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6D6AB9B3" w14:textId="34A2A36D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Sigue sin organizarse la información en el Portal de Transparencia, conforme al patrón de bloques que establece la LTAIBG: Información Institucional, Organizativa y de Planificación; Información de Relevancia Jurídica; Información Económica, Presupuestaria y Estadística; Información Patrimonial.</w:t>
            </w:r>
          </w:p>
          <w:p w14:paraId="3262EDC8" w14:textId="77777777" w:rsidR="0042095D" w:rsidRPr="00FA4102" w:rsidRDefault="0042095D" w:rsidP="0042095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1848DEE9" w14:textId="77777777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Respecto de la publicación de contenidos, sigue sin publicarse:</w:t>
            </w:r>
          </w:p>
          <w:p w14:paraId="3E9C4E89" w14:textId="77777777" w:rsidR="0042095D" w:rsidRPr="00FA4102" w:rsidRDefault="0042095D" w:rsidP="0042095D">
            <w:pPr>
              <w:pStyle w:val="Prrafodelista"/>
              <w:rPr>
                <w:sz w:val="20"/>
                <w:szCs w:val="20"/>
              </w:rPr>
            </w:pPr>
          </w:p>
          <w:p w14:paraId="2B2D6B04" w14:textId="77777777" w:rsidR="0042095D" w:rsidRPr="00FA4102" w:rsidRDefault="0042095D" w:rsidP="0042095D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En el bloque de información económica:</w:t>
            </w:r>
          </w:p>
          <w:p w14:paraId="3205554C" w14:textId="76F72CF1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 xml:space="preserve">Aunque se ha empezado a publicar información estadística sobre contratación, lo cierto es que la información está referenciada al año 2021, lo que no permite considerar esta obligación como cumplida dado el desfase temporal existente. </w:t>
            </w:r>
          </w:p>
          <w:p w14:paraId="11A61DB4" w14:textId="2D3E9181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 información sobre retribuciones está obsoleta.</w:t>
            </w:r>
          </w:p>
          <w:p w14:paraId="2CCE34BE" w14:textId="39CD81A0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Las indemnizaciones percibidas por altos cargos y máximos responsables tras el abandono del cargo.</w:t>
            </w:r>
          </w:p>
          <w:p w14:paraId="0AE8BF0C" w14:textId="77777777" w:rsidR="0042095D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Las autorizaciones de compatibilidad concedidas a empleados</w:t>
            </w:r>
            <w:r>
              <w:rPr>
                <w:sz w:val="20"/>
                <w:szCs w:val="20"/>
              </w:rPr>
              <w:t>.</w:t>
            </w:r>
          </w:p>
          <w:p w14:paraId="520389D1" w14:textId="505DD960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lastRenderedPageBreak/>
              <w:t>Las autorizaciones para el ejercicio de actividades privadas al ceso de altos cargos.</w:t>
            </w:r>
          </w:p>
          <w:p w14:paraId="6CCB060B" w14:textId="77777777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Una cuestión adicional respecto de la información sobre contratos, es que la Ley 14/2022, de modificación de la Ley 19/2013, impone una nueva información obligatoria en esta materia. A partir de julio de 2023, será obligatorio publicar semestralmente “</w:t>
            </w:r>
            <w:r w:rsidRPr="00FA4102">
              <w:rPr>
                <w:i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</w:t>
            </w:r>
            <w:r w:rsidRPr="00FA4102">
              <w:rPr>
                <w:sz w:val="20"/>
                <w:szCs w:val="20"/>
              </w:rPr>
              <w:t>”.</w:t>
            </w:r>
          </w:p>
          <w:p w14:paraId="43B3BC26" w14:textId="77777777" w:rsidR="0042095D" w:rsidRPr="00FA4102" w:rsidRDefault="0042095D" w:rsidP="0042095D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6145C3DC" w14:textId="77777777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4C77C8C1" w14:textId="77777777" w:rsidR="0042095D" w:rsidRPr="00FA4102" w:rsidRDefault="0042095D" w:rsidP="0042095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571F7ADA" w14:textId="02255508" w:rsidR="00791075" w:rsidRPr="0042095D" w:rsidRDefault="0042095D" w:rsidP="0042095D">
            <w:pPr>
              <w:pStyle w:val="Prrafodelista"/>
              <w:numPr>
                <w:ilvl w:val="0"/>
                <w:numId w:val="44"/>
              </w:numPr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Sigue sin publicarse la fecha de la última revisión o actualización de la información. Para ello bastaría con que esta fecha se publique en la página home</w:t>
            </w:r>
            <w:r w:rsidRPr="0042095D">
              <w:rPr>
                <w:sz w:val="20"/>
                <w:szCs w:val="20"/>
              </w:rPr>
              <w:t xml:space="preserve"> del Portal de Transparencia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4FE97B0" w14:textId="744A533D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24ED1D53" w:rsidR="002F2850" w:rsidRPr="0060669B" w:rsidRDefault="00AE3317" w:rsidP="002C6383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76DB273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2C6383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89102D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9C94C60" w:rsidR="00E34195" w:rsidRPr="00F57779" w:rsidRDefault="00E34195" w:rsidP="00DB105B">
            <w:pPr>
              <w:pStyle w:val="Cuerpodelboletn"/>
              <w:numPr>
                <w:ilvl w:val="0"/>
                <w:numId w:val="46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1E889A53" w14:textId="4C4AD677" w:rsidR="00483946" w:rsidRDefault="00DB105B" w:rsidP="00483946">
            <w:pPr>
              <w:pStyle w:val="HTMLconformatoprevio"/>
              <w:spacing w:before="120" w:after="120"/>
              <w:jc w:val="both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normativa.</w:t>
            </w:r>
            <w:r w:rsidR="004839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8394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 dichas informaciones, no aparecen la Ley 40/2015, de 1 de octubre, del Régimen Jurídico del Sector Público, ni los artículos específicos de las sociedades mercantiles estatales, pero se incluyen el decreto de creación, la Ley de Bases de Régimen Local y normativa sectorial, sin incluir enlaces que conduzcan a los textos legales. </w:t>
            </w:r>
          </w:p>
          <w:p w14:paraId="61B58D25" w14:textId="673FA050" w:rsidR="00E34195" w:rsidRPr="005A3C4E" w:rsidRDefault="00483946" w:rsidP="004839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Los estatutos de MERCASA y el reglamento interno del Consejo de Administración se enlazan a través de un pdf en el Portal de Transparencia/Información organizativa/Consejo de Administración.</w:t>
            </w:r>
            <w:r w:rsidR="00AB64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DB105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</w:t>
            </w:r>
            <w:r w:rsidR="0042768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E303BC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BF9855B" w:rsidR="00E34195" w:rsidRPr="005A3C4E" w:rsidRDefault="00AB643B" w:rsidP="0042768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web/¿Qué es Mercasa?/Valores y ESG.</w:t>
            </w:r>
            <w:r w:rsidRPr="00C30AE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EB71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E34195" w:rsidRPr="005A3C4E" w14:paraId="2543FF3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1E00B071" w:rsidR="00E34195" w:rsidRPr="00391AAE" w:rsidRDefault="00E34195" w:rsidP="0068729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AE0A1CA" w:rsidR="00E34195" w:rsidRPr="005A3C4E" w:rsidRDefault="00687298" w:rsidP="006872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6158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organizativa</w:t>
            </w:r>
            <w:r w:rsidR="008026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/Estructura Organizativa Mercasa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8026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E34195" w:rsidRPr="005A3C4E" w14:paraId="291449D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</w:t>
            </w:r>
            <w:r w:rsidRPr="00B821E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49FA587D" w:rsidR="00E34195" w:rsidRPr="00B821E4" w:rsidRDefault="00E34195" w:rsidP="0080265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0DD4C811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organizativa/Estructura Organizativa Mercasa/Organigrama. La información no está datada y no existen referencias a la fecha de su última revisión o actualización.</w:t>
            </w:r>
          </w:p>
        </w:tc>
      </w:tr>
      <w:tr w:rsidR="00E34195" w:rsidRPr="005A3C4E" w14:paraId="40F9CA0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583C409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organizativa/Estructura Organizativa Mercasa/Organigrama. La información no está datada y no existen referencias a la fecha de su última revisión o actualización.</w:t>
            </w:r>
          </w:p>
        </w:tc>
      </w:tr>
      <w:tr w:rsidR="00E34195" w:rsidRPr="005A3C4E" w14:paraId="1DE6931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5CFA772" w:rsidR="00E34195" w:rsidRPr="00B821E4" w:rsidRDefault="00E34195" w:rsidP="0080265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7EA6273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organizativa/Estructura Organizativa Mercasa/Organigrama. La información no está datada y no existen referencias a la fecha de su última revisión o actualización.</w:t>
            </w:r>
          </w:p>
        </w:tc>
      </w:tr>
    </w:tbl>
    <w:p w14:paraId="34A029E6" w14:textId="40D3D0D8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5390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B7190">
                <wp:simplePos x="0" y="0"/>
                <wp:positionH relativeFrom="column">
                  <wp:posOffset>285750</wp:posOffset>
                </wp:positionH>
                <wp:positionV relativeFrom="paragraph">
                  <wp:posOffset>149225</wp:posOffset>
                </wp:positionV>
                <wp:extent cx="6353175" cy="17145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19B2357" w14:textId="562ECE1C" w:rsidR="00DF7B92" w:rsidRPr="00544081" w:rsidRDefault="00DF7B92" w:rsidP="00DF7B92">
                            <w:p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4081">
                              <w:rPr>
                                <w:sz w:val="20"/>
                                <w:szCs w:val="20"/>
                              </w:rPr>
                              <w:t>La información publicada recoge la totalidad de los contenidos obligatorios establecidos en el artículo 6 de la LTAIBG.</w:t>
                            </w:r>
                          </w:p>
                          <w:p w14:paraId="65E75BB6" w14:textId="77777777" w:rsidR="008D2944" w:rsidRDefault="008D2944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43E4D05C" w14:textId="5CA5F651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F38EA5E" w14:textId="77777777" w:rsidR="00DF7B92" w:rsidRPr="00027235" w:rsidRDefault="00DF7B92" w:rsidP="00B40981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existen referencias a la fecha de revisión o actualización de la información publicada.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75pt;width:500.2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19B2357" w14:textId="562ECE1C" w:rsidR="00DF7B92" w:rsidRPr="00544081" w:rsidRDefault="00DF7B92" w:rsidP="00DF7B92">
                      <w:p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544081">
                        <w:rPr>
                          <w:sz w:val="20"/>
                          <w:szCs w:val="20"/>
                        </w:rPr>
                        <w:t>La información publicada recoge la totalidad de los contenidos obligatorios establecidos en el artículo 6 de la LTAIBG.</w:t>
                      </w:r>
                    </w:p>
                    <w:p w14:paraId="65E75BB6" w14:textId="77777777" w:rsidR="008D2944" w:rsidRDefault="008D2944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43E4D05C" w14:textId="5CA5F651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F38EA5E" w14:textId="77777777" w:rsidR="00DF7B92" w:rsidRPr="00027235" w:rsidRDefault="00DF7B92" w:rsidP="00B40981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existen referencias a la fecha de revisión o actualización de la información publicada.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1C43A9AF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4AF80C1" w14:textId="3BEB6798" w:rsidR="00B821E4" w:rsidRDefault="00B821E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663BA4C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2C6383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89102D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4E459D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C389BA6" w:rsidR="00C33A23" w:rsidRPr="005A3C4E" w:rsidRDefault="00E00CFB" w:rsidP="00AB016E">
            <w:pPr>
              <w:spacing w:before="120" w:after="120"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económica/Contratación hay un enlace PLASCP MERCASA que redirige a la pestaña del Buscador, donde se despliegan los resultados para la consulta Mercasa en un listado ordenado por orden cronológico que incluye 1.500 resultados.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Fuera del Portal de Transparencia,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través de la parte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superior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página web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un enlace, a la derecha, denominado Plataforma de Contratación del Sector Público, que r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edirige a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PCSP, posicionando en el perfil del contratante de 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B016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Finalmente, en el Portal de Transparencia/Información económica/Estadísticas se publica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 las licitaciones resueltas del </w:t>
            </w:r>
            <w:r w:rsidR="002A539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º trimestre de 202</w:t>
            </w:r>
            <w:r w:rsidR="002A539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B016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33A23" w:rsidRPr="005A3C4E" w14:paraId="7907811C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6FE9746D" w:rsidR="00C33A23" w:rsidRPr="00305A9B" w:rsidRDefault="00C33A23" w:rsidP="00AB016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251E6049" w:rsidR="00C33A23" w:rsidRPr="005A3C4E" w:rsidRDefault="00AB016E" w:rsidP="00AB016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económica/Contratación/</w:t>
            </w:r>
            <w:r w:rsidR="002A539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Incidencias contractuales</w:t>
            </w:r>
            <w:r w:rsidR="00262A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:</w:t>
            </w:r>
            <w:r w:rsidR="002A539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prórrogas y modificaciones contractuales 2º trimestre 2025 y Modificaciones contractuales de contratos menores propios 2º trimestre 2025</w:t>
            </w:r>
            <w:r w:rsidR="00B77E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5002E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5450B67D" w:rsidR="00C33A23" w:rsidRPr="005A3C4E" w:rsidRDefault="00305A9B" w:rsidP="00305A9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5BB33B6C" w:rsidR="00C33A23" w:rsidRPr="008E0038" w:rsidRDefault="00B77E74" w:rsidP="00B77E7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77E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C8B9FB7" w:rsidR="00C33A23" w:rsidRPr="00A53F34" w:rsidRDefault="00262A4D" w:rsidP="008E003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según procedimiento de licitación</w:t>
            </w:r>
            <w:r w:rsidR="00893F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266D1" w:rsidRPr="005A3C4E" w14:paraId="4325C95D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2C7203E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9312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3A82E4E4" w:rsidR="00B266D1" w:rsidRPr="008E0038" w:rsidRDefault="00B266D1" w:rsidP="00701B5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6C27BECF" w:rsidR="00B266D1" w:rsidRPr="00A53F34" w:rsidRDefault="00701B52" w:rsidP="00701B5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B77E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económica/Estadísticas/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2º trimestre 2025 licitaciones resueltas</w:t>
            </w:r>
            <w:r w:rsidR="00B77E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el porcentaje de empresas adjudicatarias PYMES/Gran empresa, pero no se localiza información según procedimiento de licitación y tipo de contrato.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E88B453" w:rsidR="00C33A23" w:rsidRPr="005A3C4E" w:rsidRDefault="00B77E74" w:rsidP="007C707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económica/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Contratos/Contratos menores </w:t>
            </w:r>
            <w:r w:rsidR="00701B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º trimestre 202</w:t>
            </w:r>
            <w:r w:rsidR="00701B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 menores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E861012" w:rsidR="00C33A23" w:rsidRPr="00C82A87" w:rsidRDefault="007F4F4C" w:rsidP="007F4F4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0DCE4D5" w:rsidR="00C33A23" w:rsidRPr="005A3C4E" w:rsidRDefault="007F4F4C" w:rsidP="007F4F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económica/Convenios suscritos se publican los convenios suscritos por Mercasa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2023. Dado el tiempo transcurrido, no puede darse por cumplida la obligación, dado que la información ha quedado obsoleta</w:t>
            </w:r>
            <w:r w:rsidR="00C82A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6F36F63F" w:rsidR="009609E9" w:rsidRPr="00C82A87" w:rsidRDefault="009609E9" w:rsidP="007F4F4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45AB198" w:rsidR="001C72D3" w:rsidRPr="005A3C4E" w:rsidRDefault="007F4F4C" w:rsidP="007F4F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económica/Subvenciones/Subvenciones concedidas por Mercasa se publica que en estos momentos no hay subvenciones concedidas por Mercasa.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F47C3B" w:rsidRPr="005A3C4E" w14:paraId="7353650C" w14:textId="77777777" w:rsidTr="001E099D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45207EC4" w:rsidR="00F47C3B" w:rsidRPr="00893F41" w:rsidRDefault="00F47C3B" w:rsidP="000F11A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4F0B95A" w:rsidR="00F47C3B" w:rsidRPr="005A3C4E" w:rsidRDefault="000F11AB" w:rsidP="00090C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aplicable. En el Portal de Transparencia/Información económica/Información presupuestaria se explica que Mercasa elabora un presupuesto que se integra en el del Grupo SEPI y remite con un enlace al Portal del Ministerio de Hacienda y Función Pública, en el apartado de información económico-financiera. Este enlace abre una página que contiene un mensaje de error.</w:t>
            </w:r>
          </w:p>
        </w:tc>
      </w:tr>
      <w:tr w:rsidR="00335401" w:rsidRPr="005A3C4E" w14:paraId="2B2DA499" w14:textId="77777777" w:rsidTr="0089102D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003E40B5" w:rsidR="00335401" w:rsidRPr="00090C0B" w:rsidRDefault="00335401" w:rsidP="00701B5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3B7CEA08" w:rsidR="00335401" w:rsidRPr="0089102D" w:rsidRDefault="00135654" w:rsidP="00090C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económica/Información presupuestaria se publican las cuentas anuales del Grupo Mercasa 202</w:t>
            </w:r>
            <w:r w:rsidR="00701B52"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335401" w:rsidRPr="005A3C4E" w14:paraId="7E1BB1F6" w14:textId="77777777" w:rsidTr="0089102D">
        <w:trPr>
          <w:trHeight w:val="111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cuentas y de fiscalización por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5CBDC422" w:rsidR="00335401" w:rsidRPr="003C4004" w:rsidRDefault="00335401" w:rsidP="00984FC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08EAC17C" w:rsidR="00335401" w:rsidRPr="0089102D" w:rsidRDefault="00984FCB" w:rsidP="00B9648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económica/Información presupuestaria/Informes externos. No existen referencias a la fecha de la última revisión o actualización de la información</w:t>
            </w:r>
            <w:r w:rsidR="003C40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0298DA3" w:rsidR="00C23166" w:rsidRPr="00405962" w:rsidRDefault="00405962" w:rsidP="0040596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D7AD8D1" w:rsidR="00C23166" w:rsidRPr="005A3C4E" w:rsidRDefault="00984FCB" w:rsidP="003F6A3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económica/Retribuciones se publican las correspondientes a 2023. Dado el tiempo transcurrido, no puede darse por cumplida la obligación, dado que la información ha quedado obsoleta</w:t>
            </w:r>
            <w:r w:rsidR="00893F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A53F34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134F69D" w:rsidR="00C23166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3F6A3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942D8DB" w:rsidR="00C23166" w:rsidRPr="003F6A30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ED83529" w14:textId="77777777" w:rsidTr="00275810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698BCCC" w:rsidR="00275810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0FF2BE84" w:rsidR="00275810" w:rsidRPr="005A3C4E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304F98C" w14:textId="77777777" w:rsidTr="00A53F34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13FC56AF" w:rsidR="00275810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3CA23DD7" w:rsidR="00275810" w:rsidRPr="005A3C4E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95030C1" w14:textId="00F9158F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F851FFF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E736770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668975D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726F61A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197F1EF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FD956FC" w14:textId="41B43CC8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A8C96A1" w14:textId="77777777" w:rsidR="00E52414" w:rsidRDefault="00E5241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E6E07F7" w14:textId="77777777" w:rsidR="00C5594F" w:rsidRDefault="00C5594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FEAD159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4E459D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F4EFC96">
                <wp:simplePos x="0" y="0"/>
                <wp:positionH relativeFrom="margin">
                  <wp:posOffset>228600</wp:posOffset>
                </wp:positionH>
                <wp:positionV relativeFrom="paragraph">
                  <wp:posOffset>130176</wp:posOffset>
                </wp:positionV>
                <wp:extent cx="6391275" cy="36576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9A3335D" w14:textId="77777777" w:rsidR="003F6A30" w:rsidRPr="00C5053A" w:rsidRDefault="003F6A30" w:rsidP="003F6A3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9084F">
                              <w:rPr>
                                <w:sz w:val="20"/>
                                <w:szCs w:val="20"/>
                              </w:rPr>
                              <w:t>La información publicada no conte</w:t>
                            </w:r>
                            <w:r w:rsidRPr="00C5053A">
                              <w:rPr>
                                <w:sz w:val="20"/>
                                <w:szCs w:val="20"/>
                              </w:rPr>
                              <w:t xml:space="preserve">mpla la totalidad de los contenidos obligatorios establecidos en el artículo 8 de la LTAIBG aplicables a esta sociedad: </w:t>
                            </w:r>
                          </w:p>
                          <w:p w14:paraId="14698AE0" w14:textId="08D4BDF0" w:rsidR="003F6A30" w:rsidRDefault="00893F41" w:rsidP="002B0975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 distribución porcentual expresada en términos presupuestarios de los contratos adjudicados según procedimiento de licitación</w:t>
                            </w:r>
                            <w:r w:rsidR="003F6A30" w:rsidRPr="002B097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C1B786" w14:textId="43B60425" w:rsidR="002B0975" w:rsidRDefault="002B0975" w:rsidP="002B0975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el número y el porcentaje en volumen presupuestario de contratos adjudicados a PYMES según tipo de contrato y según procedimiento de licitación.</w:t>
                            </w:r>
                          </w:p>
                          <w:p w14:paraId="30016A4C" w14:textId="21F1B688" w:rsidR="003F6A30" w:rsidRDefault="003F6A30" w:rsidP="002B0975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B0975"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E52414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 w:rsidRPr="002B0975">
                              <w:rPr>
                                <w:sz w:val="20"/>
                                <w:szCs w:val="20"/>
                              </w:rPr>
                              <w:t xml:space="preserve">sobre los convenios suscritos por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>MERCASA</w:t>
                            </w:r>
                            <w:r w:rsidR="002B097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01AFA6" w14:textId="16F51F90" w:rsidR="003F6A30" w:rsidRDefault="00893F41" w:rsidP="00FD571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sobre las retribuciones anuales de altos cargos y máximos responsables de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>MERCASA</w:t>
                            </w:r>
                            <w:r w:rsidR="00FD571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BC4A99" w14:textId="418BC96A" w:rsidR="003F6A30" w:rsidRDefault="003F6A30" w:rsidP="00FD571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571D"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con ocasión del abandono del cargo.</w:t>
                            </w:r>
                          </w:p>
                          <w:p w14:paraId="76C7E0A0" w14:textId="77777777" w:rsidR="00435E88" w:rsidRDefault="003F6A30" w:rsidP="00435E88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5E88">
                              <w:rPr>
                                <w:sz w:val="20"/>
                                <w:szCs w:val="20"/>
                              </w:rPr>
                              <w:t>No se ha localizado información sobre las autorizaciones de compatibilidad de empleados</w:t>
                            </w:r>
                            <w:r w:rsidR="00435E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E25FA4" w14:textId="0AC6BFFD" w:rsidR="003F6A30" w:rsidRPr="00435E88" w:rsidRDefault="003F6A30" w:rsidP="00435E88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5E88">
                              <w:rPr>
                                <w:sz w:val="20"/>
                                <w:szCs w:val="20"/>
                              </w:rPr>
                              <w:t>No se ha localizado información sobre la autorización para el ejercicio de actividades privadas al cese de altos cargos.</w:t>
                            </w:r>
                          </w:p>
                          <w:p w14:paraId="597BFE6D" w14:textId="77777777" w:rsidR="003F6A30" w:rsidRDefault="003F6A30" w:rsidP="003F6A30">
                            <w:pPr>
                              <w:contextualSpacing/>
                              <w:jc w:val="both"/>
                              <w:rPr>
                                <w:rFonts w:eastAsiaTheme="majorEastAsia" w:cstheme="majorBidi"/>
                                <w:bCs/>
                              </w:rPr>
                            </w:pPr>
                          </w:p>
                          <w:p w14:paraId="04DC9283" w14:textId="77777777" w:rsidR="003F6A30" w:rsidRPr="00893F41" w:rsidRDefault="003F6A30" w:rsidP="003F6A3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893F41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68B2A120" w:rsidR="001D0329" w:rsidRPr="00C5594F" w:rsidRDefault="003F6A30" w:rsidP="00864F80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5594F">
                              <w:rPr>
                                <w:sz w:val="20"/>
                                <w:szCs w:val="20"/>
                              </w:rPr>
                              <w:t>No existen referencias a la fecha de la última revisión o actualización de la información publicada.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.25pt;width:503.25pt;height:4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9A3335D" w14:textId="77777777" w:rsidR="003F6A30" w:rsidRPr="00C5053A" w:rsidRDefault="003F6A30" w:rsidP="003F6A3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9084F">
                        <w:rPr>
                          <w:sz w:val="20"/>
                          <w:szCs w:val="20"/>
                        </w:rPr>
                        <w:t>La información publicada no conte</w:t>
                      </w:r>
                      <w:r w:rsidRPr="00C5053A">
                        <w:rPr>
                          <w:sz w:val="20"/>
                          <w:szCs w:val="20"/>
                        </w:rPr>
                        <w:t xml:space="preserve">mpla la totalidad de los contenidos obligatorios establecidos en el artículo 8 de la LTAIBG aplicables a esta sociedad: </w:t>
                      </w:r>
                    </w:p>
                    <w:p w14:paraId="14698AE0" w14:textId="08D4BDF0" w:rsidR="003F6A30" w:rsidRDefault="00893F41" w:rsidP="002B0975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 distribución porcentual expresada en términos presupuestarios de los contratos adjudicados según procedimiento de licitación</w:t>
                      </w:r>
                      <w:r w:rsidR="003F6A30" w:rsidRPr="002B097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8C1B786" w14:textId="43B60425" w:rsidR="002B0975" w:rsidRDefault="002B0975" w:rsidP="002B0975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el número y el porcentaje en volumen presupuestario de contratos adjudicados a PYMES según tipo de contrato y según procedimiento de licitación.</w:t>
                      </w:r>
                    </w:p>
                    <w:p w14:paraId="30016A4C" w14:textId="21F1B688" w:rsidR="003F6A30" w:rsidRDefault="003F6A30" w:rsidP="002B0975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2B0975"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E52414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 w:rsidRPr="002B0975">
                        <w:rPr>
                          <w:sz w:val="20"/>
                          <w:szCs w:val="20"/>
                        </w:rPr>
                        <w:t xml:space="preserve">sobre los convenios suscritos por </w:t>
                      </w:r>
                      <w:r w:rsidR="00C5594F">
                        <w:rPr>
                          <w:sz w:val="20"/>
                          <w:szCs w:val="20"/>
                        </w:rPr>
                        <w:t>MERCASA</w:t>
                      </w:r>
                      <w:r w:rsidR="002B097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01AFA6" w14:textId="16F51F90" w:rsidR="003F6A30" w:rsidRDefault="00893F41" w:rsidP="00FD571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C5594F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 xml:space="preserve">sobre las retribuciones anuales de altos cargos y máximos responsables de </w:t>
                      </w:r>
                      <w:r w:rsidR="00C5594F">
                        <w:rPr>
                          <w:sz w:val="20"/>
                          <w:szCs w:val="20"/>
                        </w:rPr>
                        <w:t>MERCASA</w:t>
                      </w:r>
                      <w:r w:rsidR="00FD571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ABC4A99" w14:textId="418BC96A" w:rsidR="003F6A30" w:rsidRDefault="003F6A30" w:rsidP="00FD571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FD571D">
                        <w:rPr>
                          <w:sz w:val="20"/>
                          <w:szCs w:val="20"/>
                        </w:rPr>
                        <w:t>No se ha localizado información sobre indemnizaciones percibidas por altos cargos con ocasión del abandono del cargo.</w:t>
                      </w:r>
                    </w:p>
                    <w:p w14:paraId="76C7E0A0" w14:textId="77777777" w:rsidR="00435E88" w:rsidRDefault="003F6A30" w:rsidP="00435E88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5E88">
                        <w:rPr>
                          <w:sz w:val="20"/>
                          <w:szCs w:val="20"/>
                        </w:rPr>
                        <w:t>No se ha localizado información sobre las autorizaciones de compatibilidad de empleados</w:t>
                      </w:r>
                      <w:r w:rsidR="00435E8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AE25FA4" w14:textId="0AC6BFFD" w:rsidR="003F6A30" w:rsidRPr="00435E88" w:rsidRDefault="003F6A30" w:rsidP="00435E88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5E88">
                        <w:rPr>
                          <w:sz w:val="20"/>
                          <w:szCs w:val="20"/>
                        </w:rPr>
                        <w:t>No se ha localizado información sobre la autorización para el ejercicio de actividades privadas al cese de altos cargos.</w:t>
                      </w:r>
                    </w:p>
                    <w:p w14:paraId="597BFE6D" w14:textId="77777777" w:rsidR="003F6A30" w:rsidRDefault="003F6A30" w:rsidP="003F6A30">
                      <w:pPr>
                        <w:contextualSpacing/>
                        <w:jc w:val="both"/>
                        <w:rPr>
                          <w:rFonts w:eastAsiaTheme="majorEastAsia" w:cstheme="majorBidi"/>
                          <w:bCs/>
                        </w:rPr>
                      </w:pPr>
                    </w:p>
                    <w:p w14:paraId="04DC9283" w14:textId="77777777" w:rsidR="003F6A30" w:rsidRPr="00893F41" w:rsidRDefault="003F6A30" w:rsidP="003F6A30">
                      <w:pPr>
                        <w:rPr>
                          <w:b/>
                          <w:color w:val="3C8378"/>
                        </w:rPr>
                      </w:pPr>
                      <w:r w:rsidRPr="00893F41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68B2A120" w:rsidR="001D0329" w:rsidRPr="00C5594F" w:rsidRDefault="003F6A30" w:rsidP="00864F80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 w:rsidRPr="00C5594F">
                        <w:rPr>
                          <w:sz w:val="20"/>
                          <w:szCs w:val="20"/>
                        </w:rPr>
                        <w:t>No existen referencias a la fecha de la última revisión o actualización de la información publicada.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3365C256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1DD203A" w14:textId="7B2A39BE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DF624B6" w14:textId="06EB292C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697224D" w14:textId="6F0BA8FB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D5E8A30" w14:textId="1EE82796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B43584B" w14:textId="719F14ED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EF2C693" w14:textId="11E85D87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A58D03F" w14:textId="5C39D04F" w:rsidR="00893F41" w:rsidRDefault="00893F41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2C6383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63AD988D" w14:textId="1EFC323E" w:rsidR="00176ED5" w:rsidRDefault="00C41EDA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176ED5">
        <w:instrText xml:space="preserve">Excel.Sheet.12 "\\\\DSIC.ES\\sscc\\550Grupos\\ctbg-sgtbg\\14 MEMORIA\\MEMORIA 2025\\Terceras evaluaciones\\274-MERCASA\\Tercera evaluación\\MERCASA 2025.xlsx" Tablas!F2C1:F7C9 </w:instrText>
      </w:r>
      <w:r>
        <w:instrText xml:space="preserve">\a \f 4 \h  \* MERGEFORMAT </w:instrText>
      </w:r>
      <w:r w:rsidR="00176ED5"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30"/>
        <w:gridCol w:w="730"/>
        <w:gridCol w:w="730"/>
        <w:gridCol w:w="730"/>
        <w:gridCol w:w="724"/>
      </w:tblGrid>
      <w:tr w:rsidR="00176ED5" w:rsidRPr="00176ED5" w14:paraId="2560A4C1" w14:textId="77777777" w:rsidTr="00176ED5">
        <w:trPr>
          <w:divId w:val="1711298053"/>
          <w:trHeight w:val="1403"/>
        </w:trPr>
        <w:tc>
          <w:tcPr>
            <w:tcW w:w="1883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EF26E6A" w14:textId="2981628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76ED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5829845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E187F03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CCD57CD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CAE38C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C4F3F2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CF79F5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A868D2F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6E33478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176ED5" w:rsidRPr="00176ED5" w14:paraId="32978CE2" w14:textId="77777777" w:rsidTr="00176ED5">
        <w:trPr>
          <w:divId w:val="1711298053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79D4CB2" w14:textId="77777777" w:rsidR="00176ED5" w:rsidRPr="00176ED5" w:rsidRDefault="00176ED5" w:rsidP="00176ED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93EE34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261ACF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DF297A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470297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3B297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B235BC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C44B09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7F601F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85,7</w:t>
            </w:r>
          </w:p>
        </w:tc>
      </w:tr>
      <w:tr w:rsidR="00176ED5" w:rsidRPr="00176ED5" w14:paraId="0DC07B6D" w14:textId="77777777" w:rsidTr="00176ED5">
        <w:trPr>
          <w:divId w:val="1711298053"/>
          <w:trHeight w:val="45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B048B3F" w14:textId="77777777" w:rsidR="00176ED5" w:rsidRPr="00176ED5" w:rsidRDefault="00176ED5" w:rsidP="00176ED5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E539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A6ED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CF9B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2A60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8024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A1B3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017D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B80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176ED5" w:rsidRPr="00176ED5" w14:paraId="0266ED65" w14:textId="77777777" w:rsidTr="00176ED5">
        <w:trPr>
          <w:divId w:val="1711298053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4BCED8" w14:textId="77777777" w:rsidR="00176ED5" w:rsidRPr="00176ED5" w:rsidRDefault="00176ED5" w:rsidP="00176ED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 Presupuestaria y Estadística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4B0AC4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E8EC81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C5C88A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AB080A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601A0F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D494A8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757B763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23404F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45,1</w:t>
            </w:r>
          </w:p>
        </w:tc>
      </w:tr>
      <w:tr w:rsidR="00176ED5" w:rsidRPr="00176ED5" w14:paraId="1C7EB6A6" w14:textId="77777777" w:rsidTr="00176ED5">
        <w:trPr>
          <w:divId w:val="1711298053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1ADF53D" w14:textId="77777777" w:rsidR="00176ED5" w:rsidRPr="00176ED5" w:rsidRDefault="00176ED5" w:rsidP="00176ED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EBD2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ACC7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5829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FF21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4D7C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663D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03FB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9B83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176ED5" w:rsidRPr="00176ED5" w14:paraId="4D26F255" w14:textId="77777777" w:rsidTr="00176ED5">
        <w:trPr>
          <w:divId w:val="1711298053"/>
          <w:trHeight w:val="33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31D1C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649801B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CC46A39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62BBB1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B5258B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E6E0436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DA466BB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05E8FA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8C79EE0" w14:textId="77777777" w:rsidR="00176ED5" w:rsidRPr="00176ED5" w:rsidRDefault="00176ED5" w:rsidP="00176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76ED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59,4</w:t>
            </w:r>
          </w:p>
        </w:tc>
      </w:tr>
    </w:tbl>
    <w:p w14:paraId="1F560D75" w14:textId="6B0C5112" w:rsidR="005A3C4E" w:rsidRDefault="00C41EDA" w:rsidP="00BD4582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48DB9C1B" w14:textId="2F552405" w:rsidR="00435E88" w:rsidRDefault="00435E88" w:rsidP="00435E88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3C19E1">
        <w:t>59</w:t>
      </w:r>
      <w:r w:rsidR="00B2693F">
        <w:t>,4</w:t>
      </w:r>
      <w:r w:rsidRPr="00396A23">
        <w:t>%. R</w:t>
      </w:r>
      <w:r w:rsidRPr="009D757A">
        <w:t>especto</w:t>
      </w:r>
      <w:r w:rsidRPr="00396A23">
        <w:t xml:space="preserve"> de 202</w:t>
      </w:r>
      <w:r>
        <w:t>3,</w:t>
      </w:r>
      <w:r w:rsidRPr="00396A23">
        <w:t xml:space="preserve"> el nivel de cumplimiento </w:t>
      </w:r>
      <w:r w:rsidR="003C19E1">
        <w:t xml:space="preserve">decrementa un </w:t>
      </w:r>
      <w:r w:rsidR="00B2693F">
        <w:t>2,78</w:t>
      </w:r>
      <w:r w:rsidR="003C19E1">
        <w:t>%</w:t>
      </w:r>
      <w:r>
        <w:t xml:space="preserve"> ya q</w:t>
      </w:r>
      <w:r w:rsidR="00CA3C73">
        <w:t xml:space="preserve">ue </w:t>
      </w:r>
      <w:r>
        <w:t>no se ha aplicado ninguna de las recomendaciones derivadas de la evaluación de 2023</w:t>
      </w:r>
      <w:r w:rsidR="009D757A">
        <w:t xml:space="preserve"> y, además, ha habido que revisar a la baja la obligaci</w:t>
      </w:r>
      <w:r w:rsidR="003C19E1">
        <w:t>ón</w:t>
      </w:r>
      <w:r w:rsidR="009D757A">
        <w:t xml:space="preserve"> Relación de convenios suscritos, ya que la información ha quedado obsoleta</w:t>
      </w:r>
      <w:r>
        <w:t>.</w:t>
      </w:r>
    </w:p>
    <w:p w14:paraId="2A253D39" w14:textId="5ECBBB41" w:rsidR="00840B55" w:rsidRPr="005A3C4E" w:rsidRDefault="00840B55" w:rsidP="00BD4582">
      <w:pPr>
        <w:pStyle w:val="Cuerpodelboletn"/>
        <w:spacing w:before="120" w:after="120" w:line="312" w:lineRule="auto"/>
        <w:ind w:left="720"/>
        <w:rPr>
          <w:b/>
          <w:color w:val="50866C"/>
          <w:sz w:val="32"/>
        </w:rPr>
      </w:pPr>
    </w:p>
    <w:p w14:paraId="028C8D12" w14:textId="77852EED" w:rsidR="002A154B" w:rsidRPr="0060669B" w:rsidRDefault="002A154B" w:rsidP="002C6383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Conclusiones</w:t>
      </w:r>
    </w:p>
    <w:p w14:paraId="3B426599" w14:textId="5DB279BF" w:rsidR="002C6383" w:rsidRPr="00396A23" w:rsidRDefault="002C6383" w:rsidP="002C6383">
      <w:pPr>
        <w:spacing w:before="120" w:after="120"/>
        <w:ind w:left="284"/>
        <w:jc w:val="both"/>
      </w:pPr>
      <w:r w:rsidRPr="00396A23">
        <w:t>En 202</w:t>
      </w:r>
      <w:r w:rsidR="00435E88">
        <w:t xml:space="preserve">2 </w:t>
      </w:r>
      <w:r w:rsidRPr="00396A23">
        <w:t xml:space="preserve">se realizó una primera evaluación de cumplimiento de las obligaciones de publicidad activa por parte </w:t>
      </w:r>
      <w:r>
        <w:t xml:space="preserve">de </w:t>
      </w:r>
      <w:r w:rsidR="009D757A">
        <w:t>MERCASA</w:t>
      </w:r>
      <w:r w:rsidR="00435E88">
        <w:t xml:space="preserve">. </w:t>
      </w:r>
      <w:r w:rsidRPr="00396A23">
        <w:t xml:space="preserve">El índice de cumplimiento alcanzado se situó en el </w:t>
      </w:r>
      <w:r w:rsidR="009D757A">
        <w:t>51,9</w:t>
      </w:r>
      <w:r w:rsidRPr="00396A23">
        <w:t xml:space="preserve">% y, a partir de las evidencias obtenidas en la evaluación, este Consejo efectuó </w:t>
      </w:r>
      <w:r w:rsidR="009D757A">
        <w:t>9</w:t>
      </w:r>
      <w:r w:rsidRPr="00396A23">
        <w:t xml:space="preserve"> recomendaciones, cuya finalidad era la mejora del cumplimiento de la LTAIBG por parte de la organización.</w:t>
      </w:r>
    </w:p>
    <w:p w14:paraId="7D407F50" w14:textId="4A6AB42F" w:rsidR="002C6383" w:rsidRPr="00396A23" w:rsidRDefault="002C6383" w:rsidP="002C6383">
      <w:pPr>
        <w:spacing w:before="120" w:after="120"/>
        <w:ind w:left="284"/>
        <w:jc w:val="both"/>
      </w:pPr>
      <w:r w:rsidRPr="00396A23">
        <w:t>En 202</w:t>
      </w:r>
      <w:r w:rsidR="00435E88">
        <w:t>3</w:t>
      </w:r>
      <w:r w:rsidRPr="00396A23">
        <w:t xml:space="preserve">, se abordó una nueva evaluación de cumplimiento, en la que se constató que </w:t>
      </w:r>
      <w:r w:rsidR="009D757A">
        <w:t>MERCASA</w:t>
      </w:r>
      <w:r w:rsidR="00435E88">
        <w:t xml:space="preserve"> </w:t>
      </w:r>
      <w:r>
        <w:t>h</w:t>
      </w:r>
      <w:r w:rsidRPr="00396A23">
        <w:t xml:space="preserve">abía aplicado </w:t>
      </w:r>
      <w:r w:rsidR="009D757A">
        <w:t>cuatro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435E88">
        <w:t>2</w:t>
      </w:r>
      <w:r>
        <w:t>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9D757A">
        <w:t>9,2</w:t>
      </w:r>
      <w:r w:rsidR="00922400">
        <w:t xml:space="preserve">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9D757A">
        <w:t>61,1</w:t>
      </w:r>
      <w:r w:rsidRPr="00396A23">
        <w:t>%.</w:t>
      </w:r>
    </w:p>
    <w:p w14:paraId="2E610D02" w14:textId="78341F0C" w:rsidR="002C6383" w:rsidRPr="00396A23" w:rsidRDefault="002C6383" w:rsidP="002C6383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9D757A">
        <w:t>MERCASA</w:t>
      </w:r>
      <w:r w:rsidR="00922400">
        <w:t xml:space="preserve"> </w:t>
      </w:r>
      <w:r w:rsidRPr="00396A23">
        <w:t>era insuficiente, se decidió</w:t>
      </w:r>
      <w:r w:rsidR="003C19E1">
        <w:t>,</w:t>
      </w:r>
      <w:r w:rsidRPr="00396A23">
        <w:t xml:space="preserve"> por parte de este CTBG</w:t>
      </w:r>
      <w:r>
        <w:t>,</w:t>
      </w:r>
      <w:r w:rsidRPr="00396A23">
        <w:t xml:space="preserve"> </w:t>
      </w:r>
      <w:r>
        <w:t xml:space="preserve">incluir a </w:t>
      </w:r>
      <w:r w:rsidR="009D757A">
        <w:t>MERCASA</w:t>
      </w:r>
      <w:r w:rsidR="00922400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5C3CE3C3" w14:textId="1C7790EF" w:rsidR="002C6383" w:rsidRPr="00396A23" w:rsidRDefault="002C6383" w:rsidP="002C6383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9D757A">
        <w:t>MERCASA</w:t>
      </w:r>
      <w:r w:rsidR="00922400">
        <w:t xml:space="preserve"> ha </w:t>
      </w:r>
      <w:r w:rsidR="009D757A">
        <w:t xml:space="preserve">disminuido en </w:t>
      </w:r>
      <w:r w:rsidR="003C19E1">
        <w:t>2,1</w:t>
      </w:r>
      <w:r>
        <w:t xml:space="preserve"> puntos porcentuales</w:t>
      </w:r>
      <w:r w:rsidRPr="00396A23">
        <w:t xml:space="preserve"> respecto de los valores alcanzados en 202</w:t>
      </w:r>
      <w:r w:rsidR="00922400">
        <w:t>3</w:t>
      </w:r>
      <w:r w:rsidRPr="00396A23">
        <w:t>, dado que</w:t>
      </w:r>
      <w:r>
        <w:t xml:space="preserve"> </w:t>
      </w:r>
      <w:r w:rsidR="00922400">
        <w:t xml:space="preserve">no </w:t>
      </w:r>
      <w:r>
        <w:t xml:space="preserve">se ha aplicado </w:t>
      </w:r>
      <w:r w:rsidR="00922400">
        <w:t>ninguna</w:t>
      </w:r>
      <w:r>
        <w:t xml:space="preserve"> </w:t>
      </w:r>
      <w:r w:rsidRPr="00396A23">
        <w:t>de las recomendaciones derivadas de la evaluación realizada en ese año</w:t>
      </w:r>
      <w:r w:rsidR="009D757A">
        <w:t xml:space="preserve"> y que ha habido que revisar a la baja el cumplimiento de otra</w:t>
      </w:r>
      <w:r>
        <w:t>.</w:t>
      </w:r>
      <w:r w:rsidRPr="00396A23">
        <w:t xml:space="preserve"> </w:t>
      </w:r>
    </w:p>
    <w:p w14:paraId="0EC932CE" w14:textId="3146F6D4" w:rsidR="00176ED5" w:rsidRPr="00396A23" w:rsidRDefault="00176ED5" w:rsidP="002C6383">
      <w:pPr>
        <w:spacing w:before="120" w:after="120"/>
        <w:ind w:left="284"/>
        <w:jc w:val="both"/>
      </w:pPr>
      <w:r w:rsidRPr="00176ED5">
        <w:t xml:space="preserve">Por todo lo que antecede, y tras la realización de tres evaluaciones </w:t>
      </w:r>
      <w:r>
        <w:t>en las que la progresión no ha sido la esperada</w:t>
      </w:r>
      <w:r w:rsidRPr="00176ED5">
        <w:t xml:space="preserve">, este Consejo considera necesario que, para lograr el pleno cumplimiento de las obligaciones establecidas en la LTAIBG, </w:t>
      </w:r>
      <w:r>
        <w:t xml:space="preserve">MERCASA </w:t>
      </w:r>
      <w:r w:rsidRPr="00176ED5">
        <w:t>proceda a la subsanación de los siguientes incumplimientos en los términos que se establecen a continuación:</w:t>
      </w:r>
    </w:p>
    <w:p w14:paraId="11D20D15" w14:textId="77777777" w:rsidR="002C6383" w:rsidRPr="00E16E35" w:rsidRDefault="002C6383" w:rsidP="002C6383">
      <w:pPr>
        <w:pStyle w:val="Prrafodelista"/>
        <w:numPr>
          <w:ilvl w:val="0"/>
          <w:numId w:val="27"/>
        </w:numPr>
        <w:jc w:val="both"/>
      </w:pPr>
      <w:r w:rsidRPr="00006167">
        <w:rPr>
          <w:bCs/>
        </w:rPr>
        <w:t>P</w:t>
      </w:r>
      <w:r>
        <w:t>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424C95ED" w14:textId="50763AD4" w:rsidR="002C6383" w:rsidRDefault="002C6383" w:rsidP="002C6383">
      <w:pPr>
        <w:pStyle w:val="Prrafodelista"/>
        <w:numPr>
          <w:ilvl w:val="0"/>
          <w:numId w:val="27"/>
        </w:numPr>
        <w:jc w:val="both"/>
      </w:pPr>
      <w:r w:rsidRPr="00C53371">
        <w:t xml:space="preserve">Publicar información estadística </w:t>
      </w:r>
      <w:r w:rsidR="003C19E1">
        <w:t xml:space="preserve">completa </w:t>
      </w:r>
      <w:r w:rsidRPr="00C53371">
        <w:t>sobre el número y el porcentaje en volumen presupuestario de contratos adjudicados a PYMES según tipo de contrato y según procedimiento de licitación.</w:t>
      </w:r>
    </w:p>
    <w:p w14:paraId="6CFD4B7F" w14:textId="264913B4" w:rsidR="002C6383" w:rsidRDefault="002C6383" w:rsidP="00AE4F90">
      <w:pPr>
        <w:pStyle w:val="Prrafodelista"/>
        <w:numPr>
          <w:ilvl w:val="0"/>
          <w:numId w:val="27"/>
        </w:numPr>
        <w:jc w:val="both"/>
      </w:pPr>
      <w:r>
        <w:t xml:space="preserve">Publicar </w:t>
      </w:r>
      <w:r w:rsidR="00922400">
        <w:t xml:space="preserve">información </w:t>
      </w:r>
      <w:r w:rsidR="00546CA2">
        <w:t xml:space="preserve">actualizada </w:t>
      </w:r>
      <w:r w:rsidR="00922400">
        <w:t>sobre convenios</w:t>
      </w:r>
      <w:r w:rsidR="00546CA2">
        <w:t xml:space="preserve"> suscritos</w:t>
      </w:r>
      <w:r>
        <w:t>.</w:t>
      </w:r>
    </w:p>
    <w:p w14:paraId="3B72EEA7" w14:textId="4988897A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 xml:space="preserve">Publicar las retribuciones de los máximos responsables de </w:t>
      </w:r>
      <w:r w:rsidR="00546CA2">
        <w:t>MERCASA</w:t>
      </w:r>
      <w:r>
        <w:t>.</w:t>
      </w:r>
    </w:p>
    <w:p w14:paraId="433A41E7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las indemnizaciones percibidas por altos cargos con ocasión del abandono del cargo.</w:t>
      </w:r>
    </w:p>
    <w:p w14:paraId="2CFF0E77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las resoluciones de autorización o reconocimiento de compatibilidad de empleados.</w:t>
      </w:r>
    </w:p>
    <w:p w14:paraId="4FDAB303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autorizaciones para actividad privada al cese de altos cargos.</w:t>
      </w:r>
    </w:p>
    <w:p w14:paraId="1E3BE25C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la fecha de revisión o actualización de la información.</w:t>
      </w:r>
    </w:p>
    <w:p w14:paraId="71F0D4D3" w14:textId="77777777" w:rsidR="006439A2" w:rsidRPr="005A3C4E" w:rsidRDefault="006439A2" w:rsidP="00827ABE">
      <w:pPr>
        <w:ind w:left="6372" w:firstLine="708"/>
      </w:pPr>
    </w:p>
    <w:p w14:paraId="04698BAA" w14:textId="1E6F180A" w:rsidR="00B40246" w:rsidRPr="005A3C4E" w:rsidRDefault="00827ABE" w:rsidP="00285021">
      <w:pPr>
        <w:ind w:left="6372" w:firstLine="708"/>
      </w:pPr>
      <w:r w:rsidRPr="005A3C4E">
        <w:t xml:space="preserve">Madrid, </w:t>
      </w:r>
      <w:r w:rsidR="003C19E1">
        <w:t>julio</w:t>
      </w:r>
      <w:r w:rsidR="00922400">
        <w:t xml:space="preserve"> de</w:t>
      </w:r>
      <w:r w:rsidRPr="005A3C4E">
        <w:t xml:space="preserve"> 202</w:t>
      </w:r>
      <w:r w:rsidR="00922400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176ED5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774978B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6D0B9CC" w:rsidR="00AF0A48" w:rsidRDefault="00176ED5">
    <w:pPr>
      <w:pStyle w:val="Encabezado"/>
    </w:pPr>
    <w:r>
      <w:rPr>
        <w:noProof/>
      </w:rPr>
      <w:pict w14:anchorId="26FDE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7" o:spid="_x0000_s2050" type="#_x0000_t136" style="position:absolute;margin-left:0;margin-top:0;width:639.4pt;height:98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2A2F36E" w:rsidR="003F572A" w:rsidRDefault="00176ED5">
    <w:pPr>
      <w:pStyle w:val="Encabezado"/>
    </w:pPr>
    <w:r>
      <w:rPr>
        <w:noProof/>
      </w:rPr>
      <w:pict w14:anchorId="02214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8" o:spid="_x0000_s2051" type="#_x0000_t136" style="position:absolute;margin-left:0;margin-top:0;width:639.4pt;height:98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53AA497" wp14:editId="54588D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70CFB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AA49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624.25pt;height:113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64470CFB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B62A20" w:rsidR="006D1122" w:rsidRDefault="00176ED5">
    <w:pPr>
      <w:pStyle w:val="Encabezado"/>
    </w:pPr>
    <w:r>
      <w:rPr>
        <w:noProof/>
      </w:rPr>
      <w:pict w14:anchorId="0D850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6" o:spid="_x0000_s2049" type="#_x0000_t136" style="position:absolute;margin-left:0;margin-top:0;width:639.4pt;height:98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D1122"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 w:rsidR="006D112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931" type="#_x0000_t75" style="width:9pt;height:9pt" o:bullet="t">
        <v:imagedata r:id="rId1" o:title="BD14533_"/>
      </v:shape>
    </w:pict>
  </w:numPicBullet>
  <w:numPicBullet w:numPicBulletId="1">
    <w:pict>
      <v:shape id="_x0000_i4932" type="#_x0000_t75" style="width:9pt;height:9pt" o:bullet="t">
        <v:imagedata r:id="rId2" o:title="BD14533_"/>
      </v:shape>
    </w:pict>
  </w:numPicBullet>
  <w:abstractNum w:abstractNumId="0" w15:restartNumberingAfterBreak="0">
    <w:nsid w:val="021470CA"/>
    <w:multiLevelType w:val="hybridMultilevel"/>
    <w:tmpl w:val="A462CFF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78D8"/>
    <w:multiLevelType w:val="hybridMultilevel"/>
    <w:tmpl w:val="99FCF0A2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A24"/>
    <w:multiLevelType w:val="hybridMultilevel"/>
    <w:tmpl w:val="19D8FA2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1571"/>
    <w:multiLevelType w:val="hybridMultilevel"/>
    <w:tmpl w:val="D07014C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20D41"/>
    <w:multiLevelType w:val="hybridMultilevel"/>
    <w:tmpl w:val="49C2FA5C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4792B"/>
    <w:multiLevelType w:val="hybridMultilevel"/>
    <w:tmpl w:val="66E4CEE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A92"/>
    <w:multiLevelType w:val="hybridMultilevel"/>
    <w:tmpl w:val="207EC9A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258D"/>
    <w:multiLevelType w:val="hybridMultilevel"/>
    <w:tmpl w:val="AD3C70B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71296"/>
    <w:multiLevelType w:val="hybridMultilevel"/>
    <w:tmpl w:val="46F2358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5065B"/>
    <w:multiLevelType w:val="hybridMultilevel"/>
    <w:tmpl w:val="E0246564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488B"/>
    <w:multiLevelType w:val="hybridMultilevel"/>
    <w:tmpl w:val="D752DD0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C1F82"/>
    <w:multiLevelType w:val="hybridMultilevel"/>
    <w:tmpl w:val="E8C6830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7FF33A9"/>
    <w:multiLevelType w:val="hybridMultilevel"/>
    <w:tmpl w:val="8E8AAB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5294"/>
    <w:multiLevelType w:val="hybridMultilevel"/>
    <w:tmpl w:val="72CEB1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3622902"/>
    <w:multiLevelType w:val="hybridMultilevel"/>
    <w:tmpl w:val="E0328CA2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01F5418"/>
    <w:multiLevelType w:val="hybridMultilevel"/>
    <w:tmpl w:val="BB22801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67CE6"/>
    <w:multiLevelType w:val="hybridMultilevel"/>
    <w:tmpl w:val="CB62289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B8B71BD"/>
    <w:multiLevelType w:val="hybridMultilevel"/>
    <w:tmpl w:val="486844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37C4C"/>
    <w:multiLevelType w:val="hybridMultilevel"/>
    <w:tmpl w:val="A3F0AE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77BAE"/>
    <w:multiLevelType w:val="hybridMultilevel"/>
    <w:tmpl w:val="255ECAE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36362B2"/>
    <w:multiLevelType w:val="hybridMultilevel"/>
    <w:tmpl w:val="3DCC352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B6FDC"/>
    <w:multiLevelType w:val="hybridMultilevel"/>
    <w:tmpl w:val="3842BCF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1"/>
  </w:num>
  <w:num w:numId="4">
    <w:abstractNumId w:val="40"/>
  </w:num>
  <w:num w:numId="5">
    <w:abstractNumId w:val="10"/>
  </w:num>
  <w:num w:numId="6">
    <w:abstractNumId w:val="23"/>
  </w:num>
  <w:num w:numId="7">
    <w:abstractNumId w:val="24"/>
  </w:num>
  <w:num w:numId="8">
    <w:abstractNumId w:val="15"/>
  </w:num>
  <w:num w:numId="9">
    <w:abstractNumId w:val="45"/>
  </w:num>
  <w:num w:numId="10">
    <w:abstractNumId w:val="36"/>
  </w:num>
  <w:num w:numId="11">
    <w:abstractNumId w:val="38"/>
  </w:num>
  <w:num w:numId="12">
    <w:abstractNumId w:val="30"/>
  </w:num>
  <w:num w:numId="13">
    <w:abstractNumId w:val="41"/>
  </w:num>
  <w:num w:numId="14">
    <w:abstractNumId w:val="22"/>
  </w:num>
  <w:num w:numId="15">
    <w:abstractNumId w:val="7"/>
  </w:num>
  <w:num w:numId="16">
    <w:abstractNumId w:val="21"/>
  </w:num>
  <w:num w:numId="17">
    <w:abstractNumId w:val="3"/>
  </w:num>
  <w:num w:numId="18">
    <w:abstractNumId w:val="13"/>
  </w:num>
  <w:num w:numId="19">
    <w:abstractNumId w:val="20"/>
  </w:num>
  <w:num w:numId="20">
    <w:abstractNumId w:val="31"/>
  </w:num>
  <w:num w:numId="21">
    <w:abstractNumId w:val="9"/>
  </w:num>
  <w:num w:numId="22">
    <w:abstractNumId w:val="4"/>
  </w:num>
  <w:num w:numId="23">
    <w:abstractNumId w:val="5"/>
  </w:num>
  <w:num w:numId="24">
    <w:abstractNumId w:val="26"/>
  </w:num>
  <w:num w:numId="25">
    <w:abstractNumId w:val="39"/>
  </w:num>
  <w:num w:numId="26">
    <w:abstractNumId w:val="2"/>
  </w:num>
  <w:num w:numId="27">
    <w:abstractNumId w:val="29"/>
  </w:num>
  <w:num w:numId="28">
    <w:abstractNumId w:val="16"/>
  </w:num>
  <w:num w:numId="29">
    <w:abstractNumId w:val="28"/>
  </w:num>
  <w:num w:numId="30">
    <w:abstractNumId w:val="14"/>
  </w:num>
  <w:num w:numId="31">
    <w:abstractNumId w:val="37"/>
  </w:num>
  <w:num w:numId="32">
    <w:abstractNumId w:val="27"/>
  </w:num>
  <w:num w:numId="33">
    <w:abstractNumId w:val="8"/>
  </w:num>
  <w:num w:numId="34">
    <w:abstractNumId w:val="43"/>
  </w:num>
  <w:num w:numId="35">
    <w:abstractNumId w:val="17"/>
  </w:num>
  <w:num w:numId="36">
    <w:abstractNumId w:val="34"/>
  </w:num>
  <w:num w:numId="37">
    <w:abstractNumId w:val="44"/>
  </w:num>
  <w:num w:numId="38">
    <w:abstractNumId w:val="19"/>
  </w:num>
  <w:num w:numId="39">
    <w:abstractNumId w:val="25"/>
  </w:num>
  <w:num w:numId="40">
    <w:abstractNumId w:val="42"/>
  </w:num>
  <w:num w:numId="41">
    <w:abstractNumId w:val="35"/>
  </w:num>
  <w:num w:numId="42">
    <w:abstractNumId w:val="6"/>
  </w:num>
  <w:num w:numId="43">
    <w:abstractNumId w:val="1"/>
  </w:num>
  <w:num w:numId="44">
    <w:abstractNumId w:val="18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4209"/>
    <w:rsid w:val="000262A3"/>
    <w:rsid w:val="00052582"/>
    <w:rsid w:val="000807E2"/>
    <w:rsid w:val="00083406"/>
    <w:rsid w:val="00090C0B"/>
    <w:rsid w:val="0009308E"/>
    <w:rsid w:val="000965B3"/>
    <w:rsid w:val="000B0FBA"/>
    <w:rsid w:val="000C6CFF"/>
    <w:rsid w:val="000D37BA"/>
    <w:rsid w:val="000E62B9"/>
    <w:rsid w:val="000F11AB"/>
    <w:rsid w:val="00102733"/>
    <w:rsid w:val="00102EC4"/>
    <w:rsid w:val="0011279F"/>
    <w:rsid w:val="00123A97"/>
    <w:rsid w:val="00135654"/>
    <w:rsid w:val="001561A4"/>
    <w:rsid w:val="00156A51"/>
    <w:rsid w:val="001743E2"/>
    <w:rsid w:val="001754B0"/>
    <w:rsid w:val="00176ED5"/>
    <w:rsid w:val="001A10D5"/>
    <w:rsid w:val="001A17D1"/>
    <w:rsid w:val="001C72D3"/>
    <w:rsid w:val="001D0329"/>
    <w:rsid w:val="001E099D"/>
    <w:rsid w:val="001E30F9"/>
    <w:rsid w:val="001E316A"/>
    <w:rsid w:val="001F1FD6"/>
    <w:rsid w:val="00206263"/>
    <w:rsid w:val="0021059E"/>
    <w:rsid w:val="00235095"/>
    <w:rsid w:val="002562C9"/>
    <w:rsid w:val="00262A4D"/>
    <w:rsid w:val="00275810"/>
    <w:rsid w:val="00280DE8"/>
    <w:rsid w:val="00285021"/>
    <w:rsid w:val="0029767D"/>
    <w:rsid w:val="002A154B"/>
    <w:rsid w:val="002A5390"/>
    <w:rsid w:val="002B0975"/>
    <w:rsid w:val="002C6383"/>
    <w:rsid w:val="002D51FC"/>
    <w:rsid w:val="002F2850"/>
    <w:rsid w:val="00305A9B"/>
    <w:rsid w:val="00335401"/>
    <w:rsid w:val="00391AAE"/>
    <w:rsid w:val="003B7F67"/>
    <w:rsid w:val="003C19E1"/>
    <w:rsid w:val="003C4004"/>
    <w:rsid w:val="003D1C08"/>
    <w:rsid w:val="003D3F6C"/>
    <w:rsid w:val="003E3018"/>
    <w:rsid w:val="003F271E"/>
    <w:rsid w:val="003F572A"/>
    <w:rsid w:val="003F6A30"/>
    <w:rsid w:val="00405962"/>
    <w:rsid w:val="0042095D"/>
    <w:rsid w:val="00421CCF"/>
    <w:rsid w:val="0042768F"/>
    <w:rsid w:val="00435E88"/>
    <w:rsid w:val="00436C5F"/>
    <w:rsid w:val="00442DDF"/>
    <w:rsid w:val="00466D7A"/>
    <w:rsid w:val="00470622"/>
    <w:rsid w:val="00483946"/>
    <w:rsid w:val="004A301E"/>
    <w:rsid w:val="004B7440"/>
    <w:rsid w:val="004E459D"/>
    <w:rsid w:val="004F2655"/>
    <w:rsid w:val="005002E2"/>
    <w:rsid w:val="00521DA9"/>
    <w:rsid w:val="005260B7"/>
    <w:rsid w:val="005366E7"/>
    <w:rsid w:val="00544E0C"/>
    <w:rsid w:val="00546CA2"/>
    <w:rsid w:val="00561402"/>
    <w:rsid w:val="0057532F"/>
    <w:rsid w:val="0059312E"/>
    <w:rsid w:val="005A1669"/>
    <w:rsid w:val="005A3C4E"/>
    <w:rsid w:val="005B19E4"/>
    <w:rsid w:val="005E0CA3"/>
    <w:rsid w:val="005F0BDE"/>
    <w:rsid w:val="005F29B8"/>
    <w:rsid w:val="00605E0D"/>
    <w:rsid w:val="0060669B"/>
    <w:rsid w:val="00615819"/>
    <w:rsid w:val="006439A2"/>
    <w:rsid w:val="00647F81"/>
    <w:rsid w:val="00671D67"/>
    <w:rsid w:val="00687298"/>
    <w:rsid w:val="00695957"/>
    <w:rsid w:val="006A2766"/>
    <w:rsid w:val="006A760C"/>
    <w:rsid w:val="006D1122"/>
    <w:rsid w:val="006E5667"/>
    <w:rsid w:val="00701B52"/>
    <w:rsid w:val="00710031"/>
    <w:rsid w:val="00715014"/>
    <w:rsid w:val="00716924"/>
    <w:rsid w:val="00716F29"/>
    <w:rsid w:val="007261D9"/>
    <w:rsid w:val="00743756"/>
    <w:rsid w:val="007615B6"/>
    <w:rsid w:val="00783F7C"/>
    <w:rsid w:val="00791075"/>
    <w:rsid w:val="007B0F99"/>
    <w:rsid w:val="007C707B"/>
    <w:rsid w:val="007F4F4C"/>
    <w:rsid w:val="0080265E"/>
    <w:rsid w:val="00817B66"/>
    <w:rsid w:val="00827ABE"/>
    <w:rsid w:val="00834720"/>
    <w:rsid w:val="008352A7"/>
    <w:rsid w:val="00840B55"/>
    <w:rsid w:val="00844FA9"/>
    <w:rsid w:val="00857868"/>
    <w:rsid w:val="00870A89"/>
    <w:rsid w:val="0089102D"/>
    <w:rsid w:val="00893F41"/>
    <w:rsid w:val="008C1E1E"/>
    <w:rsid w:val="008D2944"/>
    <w:rsid w:val="008E0038"/>
    <w:rsid w:val="00912C2E"/>
    <w:rsid w:val="00914E52"/>
    <w:rsid w:val="009150B8"/>
    <w:rsid w:val="00922400"/>
    <w:rsid w:val="00923F05"/>
    <w:rsid w:val="0092723A"/>
    <w:rsid w:val="00932008"/>
    <w:rsid w:val="00942A15"/>
    <w:rsid w:val="009609E9"/>
    <w:rsid w:val="00984FCB"/>
    <w:rsid w:val="0098555C"/>
    <w:rsid w:val="009A5239"/>
    <w:rsid w:val="009A7780"/>
    <w:rsid w:val="009D757A"/>
    <w:rsid w:val="009E6B2F"/>
    <w:rsid w:val="00A442CF"/>
    <w:rsid w:val="00A53F34"/>
    <w:rsid w:val="00A6399D"/>
    <w:rsid w:val="00AA3642"/>
    <w:rsid w:val="00AB016E"/>
    <w:rsid w:val="00AB643B"/>
    <w:rsid w:val="00AD2022"/>
    <w:rsid w:val="00AE3317"/>
    <w:rsid w:val="00AF0A48"/>
    <w:rsid w:val="00B15FC1"/>
    <w:rsid w:val="00B266D1"/>
    <w:rsid w:val="00B2693F"/>
    <w:rsid w:val="00B32D40"/>
    <w:rsid w:val="00B367DE"/>
    <w:rsid w:val="00B40246"/>
    <w:rsid w:val="00B40981"/>
    <w:rsid w:val="00B77E74"/>
    <w:rsid w:val="00B821E4"/>
    <w:rsid w:val="00B841AE"/>
    <w:rsid w:val="00B85497"/>
    <w:rsid w:val="00B96480"/>
    <w:rsid w:val="00BA2751"/>
    <w:rsid w:val="00BB6799"/>
    <w:rsid w:val="00BC15C1"/>
    <w:rsid w:val="00BD4582"/>
    <w:rsid w:val="00BE18B0"/>
    <w:rsid w:val="00BE6A46"/>
    <w:rsid w:val="00BF05A2"/>
    <w:rsid w:val="00C23166"/>
    <w:rsid w:val="00C33225"/>
    <w:rsid w:val="00C33A23"/>
    <w:rsid w:val="00C41EDA"/>
    <w:rsid w:val="00C5594F"/>
    <w:rsid w:val="00C5744D"/>
    <w:rsid w:val="00C65B5B"/>
    <w:rsid w:val="00C6710B"/>
    <w:rsid w:val="00C82A87"/>
    <w:rsid w:val="00C92606"/>
    <w:rsid w:val="00CA3C73"/>
    <w:rsid w:val="00CA4FB1"/>
    <w:rsid w:val="00CB4BF4"/>
    <w:rsid w:val="00CB5511"/>
    <w:rsid w:val="00CC2049"/>
    <w:rsid w:val="00CC5B4F"/>
    <w:rsid w:val="00CE63AD"/>
    <w:rsid w:val="00D07678"/>
    <w:rsid w:val="00D11C51"/>
    <w:rsid w:val="00D17380"/>
    <w:rsid w:val="00D221AE"/>
    <w:rsid w:val="00D42966"/>
    <w:rsid w:val="00D61A4E"/>
    <w:rsid w:val="00D96F84"/>
    <w:rsid w:val="00DA76E7"/>
    <w:rsid w:val="00DB105B"/>
    <w:rsid w:val="00DB3548"/>
    <w:rsid w:val="00DB63F1"/>
    <w:rsid w:val="00DB677C"/>
    <w:rsid w:val="00DE5627"/>
    <w:rsid w:val="00DF0410"/>
    <w:rsid w:val="00DF0BBA"/>
    <w:rsid w:val="00DF300A"/>
    <w:rsid w:val="00DF5F2A"/>
    <w:rsid w:val="00DF63E7"/>
    <w:rsid w:val="00DF7B92"/>
    <w:rsid w:val="00E00CFB"/>
    <w:rsid w:val="00E03CC0"/>
    <w:rsid w:val="00E10482"/>
    <w:rsid w:val="00E303BC"/>
    <w:rsid w:val="00E3088D"/>
    <w:rsid w:val="00E34195"/>
    <w:rsid w:val="00E47613"/>
    <w:rsid w:val="00E52414"/>
    <w:rsid w:val="00E65B7F"/>
    <w:rsid w:val="00E738BE"/>
    <w:rsid w:val="00EB51D7"/>
    <w:rsid w:val="00EB71C0"/>
    <w:rsid w:val="00EC3099"/>
    <w:rsid w:val="00EC5A86"/>
    <w:rsid w:val="00ED6415"/>
    <w:rsid w:val="00F14DA4"/>
    <w:rsid w:val="00F21D28"/>
    <w:rsid w:val="00F22752"/>
    <w:rsid w:val="00F22B6F"/>
    <w:rsid w:val="00F47C3B"/>
    <w:rsid w:val="00F57779"/>
    <w:rsid w:val="00F66BBF"/>
    <w:rsid w:val="00F71D7D"/>
    <w:rsid w:val="00FA4102"/>
    <w:rsid w:val="00FB0FE2"/>
    <w:rsid w:val="00FB32EE"/>
    <w:rsid w:val="00FD1549"/>
    <w:rsid w:val="00FD571D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6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C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6C5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1075"/>
    <w:rPr>
      <w:rFonts w:ascii="Mulish" w:hAnsi="Mulish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839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839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ercasa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35F4D"/>
    <w:rsid w:val="00617EB2"/>
    <w:rsid w:val="00677247"/>
    <w:rsid w:val="00686532"/>
    <w:rsid w:val="007728A6"/>
    <w:rsid w:val="008875B8"/>
    <w:rsid w:val="008B6C28"/>
    <w:rsid w:val="009B0057"/>
    <w:rsid w:val="009C534F"/>
    <w:rsid w:val="00A324F5"/>
    <w:rsid w:val="00A40EC0"/>
    <w:rsid w:val="00AC72EB"/>
    <w:rsid w:val="00B36FE4"/>
    <w:rsid w:val="00B71197"/>
    <w:rsid w:val="00C55F34"/>
    <w:rsid w:val="00D05725"/>
    <w:rsid w:val="00D35513"/>
    <w:rsid w:val="00DE4B57"/>
    <w:rsid w:val="00E233BD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642</TotalTime>
  <Pages>11</Pages>
  <Words>2820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50</cp:revision>
  <cp:lastPrinted>2024-10-21T09:52:00Z</cp:lastPrinted>
  <dcterms:created xsi:type="dcterms:W3CDTF">2024-11-04T16:47:00Z</dcterms:created>
  <dcterms:modified xsi:type="dcterms:W3CDTF">2025-09-12T10:48:00Z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