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8"/>
        <w:gridCol w:w="684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7E535A1" w:rsidR="000C6CFF" w:rsidRPr="005A3C4E" w:rsidRDefault="009232B4">
            <w:pPr>
              <w:rPr>
                <w:sz w:val="24"/>
                <w:szCs w:val="24"/>
              </w:rPr>
            </w:pPr>
            <w:r w:rsidRPr="009232B4">
              <w:rPr>
                <w:sz w:val="24"/>
                <w:szCs w:val="24"/>
              </w:rPr>
              <w:t>Fundación Márgenes y Vínculos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2B815D41" w:rsidR="00CB4BF4" w:rsidRDefault="008E6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32B4">
              <w:rPr>
                <w:sz w:val="24"/>
                <w:szCs w:val="24"/>
              </w:rPr>
              <w:t>7</w:t>
            </w:r>
            <w:r w:rsidR="005447A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05</w:t>
            </w:r>
            <w:r w:rsidR="005447A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  <w:p w14:paraId="0D584C03" w14:textId="52CCFD57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5447A8">
              <w:rPr>
                <w:sz w:val="24"/>
                <w:szCs w:val="24"/>
              </w:rPr>
              <w:t>05/08/2025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B520131" w:rsidR="00446748" w:rsidRPr="005A3C4E" w:rsidRDefault="00464670" w:rsidP="00446748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</w:rPr>
                <w:t>https://fmyv.es</w:t>
              </w:r>
            </w:hyperlink>
            <w: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464670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FC394C4" w:rsidR="00CB5511" w:rsidRPr="005A3C4E" w:rsidRDefault="00E35267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4FE02F0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B528B8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8110AB" w:rsidR="00932008" w:rsidRPr="005A3C4E" w:rsidRDefault="00446748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89C394F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1CDF7B12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1D2F0C7B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F3A478F" w:rsidR="00C029D5" w:rsidRPr="00446748" w:rsidRDefault="00446748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446748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5FDBC07A" w14:textId="53A140D2" w:rsidR="00C029D5" w:rsidRPr="00A30CCF" w:rsidRDefault="00446748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21,9%</w:t>
            </w:r>
          </w:p>
        </w:tc>
        <w:tc>
          <w:tcPr>
            <w:tcW w:w="2728" w:type="dxa"/>
          </w:tcPr>
          <w:p w14:paraId="0C73E768" w14:textId="1BC8C9E5" w:rsidR="00C029D5" w:rsidRPr="00A30CCF" w:rsidRDefault="00315887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51" w:type="dxa"/>
          </w:tcPr>
          <w:p w14:paraId="55814783" w14:textId="008A7A1B" w:rsidR="00C029D5" w:rsidRPr="00A30CCF" w:rsidRDefault="00315887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24F2B9D" w:rsidR="00C029D5" w:rsidRPr="00446748" w:rsidRDefault="00446748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446748">
              <w:rPr>
                <w:b/>
                <w:color w:val="3C8378"/>
                <w:sz w:val="20"/>
                <w:szCs w:val="20"/>
              </w:rPr>
              <w:t>2024</w:t>
            </w:r>
          </w:p>
        </w:tc>
        <w:tc>
          <w:tcPr>
            <w:tcW w:w="2545" w:type="dxa"/>
          </w:tcPr>
          <w:p w14:paraId="6C8954FF" w14:textId="1FA68D97" w:rsidR="00C029D5" w:rsidRPr="00A30CCF" w:rsidRDefault="00446748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69,2%</w:t>
            </w:r>
          </w:p>
        </w:tc>
        <w:tc>
          <w:tcPr>
            <w:tcW w:w="2728" w:type="dxa"/>
          </w:tcPr>
          <w:p w14:paraId="6B8EBC69" w14:textId="00F6052D" w:rsidR="00C029D5" w:rsidRPr="00A30CCF" w:rsidRDefault="00315887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51" w:type="dxa"/>
          </w:tcPr>
          <w:p w14:paraId="5DDEF90F" w14:textId="0D6961BD" w:rsidR="00C029D5" w:rsidRPr="00A30CCF" w:rsidRDefault="000E2B74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B2508D">
        <w:trPr>
          <w:trHeight w:val="2052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282B5E5E" w14:textId="029FDD6F" w:rsidR="00920F6A" w:rsidRPr="00803FAF" w:rsidRDefault="00920F6A" w:rsidP="00920F6A">
            <w:pPr>
              <w:pStyle w:val="Cuerpodelboletn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920F6A">
              <w:rPr>
                <w:sz w:val="20"/>
                <w:szCs w:val="20"/>
              </w:rPr>
              <w:t xml:space="preserve">Publique una </w:t>
            </w:r>
            <w:r w:rsidRPr="00803FAF">
              <w:rPr>
                <w:sz w:val="20"/>
                <w:szCs w:val="20"/>
              </w:rPr>
              <w:t>descripción de su estructura organizativa sin remitir al Reglamento de organización.</w:t>
            </w:r>
          </w:p>
          <w:p w14:paraId="22D00282" w14:textId="5734BD3B" w:rsidR="00920F6A" w:rsidRPr="00803FAF" w:rsidRDefault="00920F6A" w:rsidP="00920F6A">
            <w:pPr>
              <w:pStyle w:val="Cuerpodelboletn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803FAF">
              <w:rPr>
                <w:sz w:val="20"/>
                <w:szCs w:val="20"/>
              </w:rPr>
              <w:t>Actualice la información sobre contratos adjudicados por administraciones públicas.</w:t>
            </w:r>
          </w:p>
          <w:p w14:paraId="20FCFE35" w14:textId="012B4F16" w:rsidR="00920F6A" w:rsidRPr="00803FAF" w:rsidRDefault="00920F6A" w:rsidP="00920F6A">
            <w:pPr>
              <w:pStyle w:val="Cuerpodelboletn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803FAF">
              <w:rPr>
                <w:sz w:val="20"/>
                <w:szCs w:val="20"/>
              </w:rPr>
              <w:t>Actualice la información sobre convenios suscritos con administraciones públicas.</w:t>
            </w:r>
          </w:p>
          <w:p w14:paraId="48DFB165" w14:textId="77777777" w:rsidR="00920F6A" w:rsidRPr="00803FAF" w:rsidRDefault="00920F6A" w:rsidP="00920F6A">
            <w:pPr>
              <w:pStyle w:val="Cuerpodelboletn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803FAF">
              <w:rPr>
                <w:sz w:val="20"/>
                <w:szCs w:val="20"/>
              </w:rPr>
              <w:t>Actualice la información sobre subvenciones y ayudas públicas.</w:t>
            </w:r>
          </w:p>
          <w:p w14:paraId="4A869F49" w14:textId="0A0A8596" w:rsidR="00C029D5" w:rsidRPr="00B914FA" w:rsidRDefault="00920F6A" w:rsidP="00920F6A">
            <w:pPr>
              <w:pStyle w:val="Cuerpodelboletn"/>
              <w:numPr>
                <w:ilvl w:val="0"/>
                <w:numId w:val="40"/>
              </w:numPr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803FAF">
              <w:rPr>
                <w:sz w:val="20"/>
                <w:szCs w:val="20"/>
              </w:rPr>
              <w:t>Por otra parte, debería actualizarse el presupuesto publicando el</w:t>
            </w:r>
            <w:r w:rsidRPr="00920F6A">
              <w:rPr>
                <w:sz w:val="20"/>
                <w:szCs w:val="20"/>
              </w:rPr>
              <w:t xml:space="preserve"> correspondiente a 2024.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5"/>
        <w:gridCol w:w="1997"/>
        <w:gridCol w:w="797"/>
        <w:gridCol w:w="5727"/>
      </w:tblGrid>
      <w:tr w:rsidR="00E34195" w:rsidRPr="005A3C4E" w14:paraId="0C67B306" w14:textId="77777777" w:rsidTr="00A2264C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32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83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A2264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</w:t>
            </w:r>
            <w:r w:rsidRPr="00A226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mativ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 aplicable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A2264C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76262118" w:rsidR="00E34195" w:rsidRPr="008E61F8" w:rsidRDefault="000C58F9" w:rsidP="00A2264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 w:rsidR="0021463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nstitucional</w:t>
            </w:r>
            <w:r w:rsidR="0021463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Algunas informaciones no se encuentran en formato reutilizable. </w:t>
            </w:r>
          </w:p>
        </w:tc>
      </w:tr>
      <w:tr w:rsidR="00E34195" w:rsidRPr="005A3C4E" w14:paraId="686B59E1" w14:textId="77777777" w:rsidTr="00B528B8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A2264C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16D47E1" w14:textId="1439E437" w:rsidR="00E34195" w:rsidRPr="005A3C4E" w:rsidRDefault="007E73BE" w:rsidP="00A2264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nstitucional. </w:t>
            </w:r>
            <w:r w:rsidR="00413C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13CA7" w:rsidRPr="00413C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a septiembre 2023</w:t>
            </w:r>
          </w:p>
        </w:tc>
      </w:tr>
      <w:tr w:rsidR="00E34195" w:rsidRPr="005A3C4E" w14:paraId="2543FF3F" w14:textId="77777777" w:rsidTr="00A2264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A2264C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7C3B5887" w:rsidR="00E34195" w:rsidRPr="005A3C4E" w:rsidRDefault="007E73BE" w:rsidP="00B2508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nstitucional/ </w:t>
            </w:r>
            <w:r w:rsidR="0019496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organizativa/ </w:t>
            </w:r>
            <w:r w:rsidR="00A2264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escripción de la estructura organizativa. </w:t>
            </w:r>
            <w:r w:rsidR="00413CA7" w:rsidRPr="00413C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a agosto 2024</w:t>
            </w:r>
          </w:p>
        </w:tc>
      </w:tr>
      <w:tr w:rsidR="00E34195" w:rsidRPr="005A3C4E" w14:paraId="291449D0" w14:textId="77777777" w:rsidTr="00A2264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0E355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B528B8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283181B" w:rsidR="00E34195" w:rsidRPr="005A3C4E" w:rsidRDefault="007E73BE" w:rsidP="000E35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nstitucional/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</w:t>
            </w:r>
            <w:r w:rsidR="00EE374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rganigrama. </w:t>
            </w:r>
            <w:r w:rsidR="00413CA7" w:rsidRPr="00413C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a octubre 2023</w:t>
            </w:r>
          </w:p>
        </w:tc>
      </w:tr>
      <w:tr w:rsidR="00E34195" w:rsidRPr="005A3C4E" w14:paraId="40F9CA00" w14:textId="77777777" w:rsidTr="00A2264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B528B8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473A161" w:rsidR="00E34195" w:rsidRPr="005A3C4E" w:rsidRDefault="00FC0A40" w:rsidP="000E35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nstitucional/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atronato.</w:t>
            </w:r>
            <w:r w:rsidR="00413CA7" w:rsidRPr="00413C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Actualizada a octubre 2023</w:t>
            </w:r>
          </w:p>
        </w:tc>
      </w:tr>
      <w:tr w:rsidR="00E34195" w:rsidRPr="005A3C4E" w14:paraId="1DE69310" w14:textId="77777777" w:rsidTr="00A2264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3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B528B8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8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65F050ED" w:rsidR="00E34195" w:rsidRPr="005A3C4E" w:rsidRDefault="00FC0A40" w:rsidP="000E35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nstitucional/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erfil y trayectoria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atronato.</w:t>
            </w:r>
            <w:r w:rsidR="00413CA7" w:rsidRPr="00413CA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Actualizada a octubre 2023</w:t>
            </w:r>
          </w:p>
        </w:tc>
      </w:tr>
    </w:tbl>
    <w:p w14:paraId="64874648" w14:textId="5CA627F6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BA5579C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588EB3BB">
                <wp:simplePos x="0" y="0"/>
                <wp:positionH relativeFrom="column">
                  <wp:posOffset>284400</wp:posOffset>
                </wp:positionH>
                <wp:positionV relativeFrom="paragraph">
                  <wp:posOffset>147075</wp:posOffset>
                </wp:positionV>
                <wp:extent cx="6353175" cy="1915200"/>
                <wp:effectExtent l="0" t="0" r="28575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9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59154072" w:rsidR="00B2752B" w:rsidRP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>La información publicada recoge todos los contenidos obligatorios establecidos en el artículo 6 y 6 bis de la LTAIBG</w:t>
                            </w:r>
                            <w:r w:rsidR="004E64A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E4D05C" w14:textId="75CE4682" w:rsidR="002F2850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2B3F64BE" w14:textId="47D687EF" w:rsidR="008D313B" w:rsidRDefault="008D313B" w:rsidP="00CC53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Algunas actualizaciones datan de 2023.</w:t>
                            </w:r>
                          </w:p>
                          <w:p w14:paraId="3122AFEC" w14:textId="5049689E" w:rsidR="001C72D3" w:rsidRPr="00B528B8" w:rsidRDefault="008B69BD" w:rsidP="00CC53E8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528B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Algunas informaciones </w:t>
                            </w:r>
                            <w:r w:rsidR="004B7CC4" w:rsidRPr="00B528B8">
                              <w:rPr>
                                <w:bCs/>
                                <w:sz w:val="20"/>
                                <w:szCs w:val="20"/>
                              </w:rPr>
                              <w:t>no se encuentran en formato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4pt;margin-top:11.6pt;width:500.25pt;height:15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59154072" w:rsidR="00B2752B" w:rsidRP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>La información publicada recoge todos los contenidos obligatorios establecidos en el artículo 6 y 6 bis de la LTAIBG</w:t>
                      </w:r>
                      <w:r w:rsidR="004E64A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E4D05C" w14:textId="75CE4682" w:rsidR="002F2850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2B3F64BE" w14:textId="47D687EF" w:rsidR="008D313B" w:rsidRDefault="008D313B" w:rsidP="00CC53E8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Algunas actualizaciones datan de 2023.</w:t>
                      </w:r>
                    </w:p>
                    <w:p w14:paraId="3122AFEC" w14:textId="5049689E" w:rsidR="001C72D3" w:rsidRPr="00B528B8" w:rsidRDefault="008B69BD" w:rsidP="00CC53E8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B528B8">
                        <w:rPr>
                          <w:bCs/>
                          <w:sz w:val="20"/>
                          <w:szCs w:val="20"/>
                        </w:rPr>
                        <w:t xml:space="preserve">Algunas informaciones </w:t>
                      </w:r>
                      <w:r w:rsidR="004B7CC4" w:rsidRPr="00B528B8">
                        <w:rPr>
                          <w:bCs/>
                          <w:sz w:val="20"/>
                          <w:szCs w:val="20"/>
                        </w:rPr>
                        <w:t>no se encuentran en formato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F0E000F" w14:textId="62DB674C" w:rsidR="00063E44" w:rsidRDefault="00063E4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616CA8B" w14:textId="0BB271AA" w:rsidR="0000327A" w:rsidRDefault="0000327A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57BF40FA" w14:textId="77777777" w:rsidR="008D313B" w:rsidRDefault="008D313B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B528B8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B528B8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14C3E29" w:rsidR="00C33A23" w:rsidRPr="0000327A" w:rsidRDefault="0000327A" w:rsidP="0000327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FF8614C" w:rsidR="00C33A23" w:rsidRPr="005A3C4E" w:rsidRDefault="00232714" w:rsidP="0000327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 w:rsidR="002918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B528B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2918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conómica/ 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 w:rsidR="002918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ontratos. La información está datada en 2022 y actualizado en 2023, por lo que está obsoleta y no se puede dar por cumplida la obligación.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8D31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Además, tampoco contiene todos los ítems informativos obligatorios que establece la LTAIBG en el artículo 8.1.a.</w:t>
            </w:r>
          </w:p>
        </w:tc>
      </w:tr>
      <w:tr w:rsidR="00C33A23" w:rsidRPr="005A3C4E" w14:paraId="68046222" w14:textId="77777777" w:rsidTr="00B528B8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06A4515" w:rsidR="00C33A23" w:rsidRPr="0000327A" w:rsidRDefault="0000327A" w:rsidP="0000327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30357A1" w:rsidR="00C33A23" w:rsidRPr="005A3C4E" w:rsidRDefault="0000327A" w:rsidP="008D31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se localiza en el Portal de Transparencia/ Económica/ Contratos. La información está datada en 2022 y actualizado en 2023, por lo que está obsoleta y no se puede dar por cumplida la obligación.</w:t>
            </w:r>
          </w:p>
        </w:tc>
      </w:tr>
      <w:tr w:rsidR="00C33A23" w:rsidRPr="005A3C4E" w14:paraId="6230044A" w14:textId="77777777" w:rsidTr="00B528B8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C33A23" w:rsidRPr="005A3C4E" w:rsidRDefault="00C33A23" w:rsidP="0000327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D8AAF7D" w:rsidR="00C33A23" w:rsidRPr="005A3C4E" w:rsidRDefault="0016088E" w:rsidP="0000327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</w:t>
            </w:r>
            <w:r w:rsidR="002918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2918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conómica/ 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onvenios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No se publican todos los ítems que la LTAIBG establece: no se ha localizado plazo y </w:t>
            </w:r>
            <w:r w:rsidR="008D31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modificaciones</w:t>
            </w:r>
            <w:r w:rsidR="0000327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F41A5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está </w:t>
            </w:r>
            <w:r w:rsidR="002918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</w:t>
            </w:r>
            <w:r w:rsidR="008D31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enero de 2025</w:t>
            </w:r>
            <w:r w:rsidR="0023271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B528B8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Pr="0019634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ubvencione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609E9" w:rsidRPr="005A3C4E" w:rsidRDefault="009609E9" w:rsidP="00196346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373C7095" w:rsidR="001C72D3" w:rsidRPr="005A3C4E" w:rsidRDefault="002918DE" w:rsidP="001963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1963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1963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conómica/ </w:t>
            </w:r>
            <w:r w:rsidR="001963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ubvenciones y ayudas públicas percibidas. La información está actualizada</w:t>
            </w:r>
            <w:r w:rsidR="001A6E9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enero de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B528B8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75D4F088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3D03000" w:rsidR="00F47C3B" w:rsidRPr="001A6E91" w:rsidRDefault="00F47C3B" w:rsidP="000E2B74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0DBDCEA" w:rsidR="00F47C3B" w:rsidRPr="005A3C4E" w:rsidRDefault="000E2B74" w:rsidP="001963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 el </w:t>
            </w:r>
            <w:r w:rsidR="001963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Transparencia/ </w:t>
            </w:r>
            <w:r w:rsidR="001963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conómica/ </w:t>
            </w:r>
            <w:r w:rsidR="001963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resupuestos.</w:t>
            </w:r>
          </w:p>
        </w:tc>
      </w:tr>
      <w:tr w:rsidR="00F47C3B" w:rsidRPr="005A3C4E" w14:paraId="2B2DA499" w14:textId="77777777" w:rsidTr="00B528B8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47C3B" w:rsidRPr="005A3C4E" w:rsidRDefault="00F47C3B" w:rsidP="00805BE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86C31DF" w:rsidR="00F47C3B" w:rsidRPr="005A3C4E" w:rsidRDefault="00BB1DAC" w:rsidP="00805BE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805BE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805BE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conómica/ </w:t>
            </w:r>
            <w:r w:rsidR="00805BE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uentas/ </w:t>
            </w:r>
            <w:r w:rsidR="00805BE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uentas anuales 2023.</w:t>
            </w:r>
            <w:r w:rsidR="001608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41A57" w:rsidRPr="005A3C4E" w14:paraId="0E27B1AA" w14:textId="77777777" w:rsidTr="00B528B8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41A57" w:rsidRPr="005A3C4E" w:rsidRDefault="00F41A57" w:rsidP="0002163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4391AE77" w:rsidR="00F41A57" w:rsidRPr="005A3C4E" w:rsidRDefault="00BB1DAC" w:rsidP="0002163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acceso Transparencia/ económica/ </w:t>
            </w:r>
            <w:r w:rsidR="001023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uentas/ </w:t>
            </w:r>
            <w:r w:rsidR="001608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Informe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auditoría económica 2023</w:t>
            </w:r>
            <w:r w:rsidR="001608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se </w:t>
            </w:r>
            <w:r w:rsidR="0002163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publica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formato reutilizable</w:t>
            </w:r>
            <w:r w:rsidR="0016088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1A57" w:rsidRPr="005A3C4E" w14:paraId="3313C0F0" w14:textId="77777777" w:rsidTr="00B528B8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F41A57" w:rsidRPr="005A3C4E" w:rsidRDefault="00F41A57" w:rsidP="0002163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EEAED85" w:rsidR="00F41A57" w:rsidRPr="005A3C4E" w:rsidRDefault="001A6E91" w:rsidP="0002163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 el </w:t>
            </w:r>
            <w:r w:rsidR="0002163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</w:t>
            </w:r>
            <w:r w:rsidR="0002163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conómica/ </w:t>
            </w:r>
            <w:r w:rsidR="0002163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etribuciones de máximos responsables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</w:t>
            </w:r>
            <w:r w:rsidR="00BB1DA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 indica que no existen.</w:t>
            </w:r>
          </w:p>
        </w:tc>
      </w:tr>
    </w:tbl>
    <w:p w14:paraId="46629451" w14:textId="77777777" w:rsidR="006871B4" w:rsidRDefault="006871B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B7298F5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4E788C8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183832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A6A0F4B" w14:textId="77777777" w:rsidR="0002163A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02163A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02163A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02163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97103A3" w14:textId="6C6F4A76" w:rsidR="001A6E91" w:rsidRDefault="00102364" w:rsidP="0002163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contratos mayores y menores</w:t>
                            </w:r>
                            <w:r w:rsidR="000E2B7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F37AB6" w14:textId="07372CBE" w:rsidR="001D0329" w:rsidRPr="0016088E" w:rsidRDefault="001D0329" w:rsidP="0016088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6088E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252D01E4" w14:textId="3F2CD3E8" w:rsidR="00F41A57" w:rsidRPr="00102364" w:rsidRDefault="0016088E" w:rsidP="00EB108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2364">
                              <w:rPr>
                                <w:sz w:val="20"/>
                                <w:szCs w:val="20"/>
                              </w:rPr>
                              <w:t>Algunas informaciones no se encuentran en formato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14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A6A0F4B" w14:textId="77777777" w:rsidR="0002163A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02163A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02163A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02163A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97103A3" w14:textId="6C6F4A76" w:rsidR="001A6E91" w:rsidRDefault="00102364" w:rsidP="0002163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contratos mayores y menores</w:t>
                      </w:r>
                      <w:r w:rsidR="000E2B7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BF37AB6" w14:textId="07372CBE" w:rsidR="001D0329" w:rsidRPr="0016088E" w:rsidRDefault="001D0329" w:rsidP="0016088E">
                      <w:pPr>
                        <w:rPr>
                          <w:b/>
                          <w:color w:val="3C8378"/>
                        </w:rPr>
                      </w:pPr>
                      <w:r w:rsidRPr="0016088E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252D01E4" w14:textId="3F2CD3E8" w:rsidR="00F41A57" w:rsidRPr="00102364" w:rsidRDefault="0016088E" w:rsidP="00EB108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0"/>
                          <w:szCs w:val="20"/>
                        </w:rPr>
                      </w:pPr>
                      <w:r w:rsidRPr="00102364">
                        <w:rPr>
                          <w:sz w:val="20"/>
                          <w:szCs w:val="20"/>
                        </w:rPr>
                        <w:t>Algunas informaciones no se encuentran en formato reutilizable.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621FA0DC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6AF162" w14:textId="77777777" w:rsidR="0016088E" w:rsidRPr="005A3C4E" w:rsidRDefault="0016088E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461A0302" w14:textId="16AF7D49" w:rsidR="00361049" w:rsidRDefault="00361049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361049" w:rsidRPr="00361049" w14:paraId="02412381" w14:textId="77777777" w:rsidTr="00361049">
        <w:trPr>
          <w:divId w:val="1492673658"/>
          <w:trHeight w:val="1433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4DCAAEAE" w14:textId="380F82CF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6104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39C32B5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A52405D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07C1E4E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4A36D1A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C9D6552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D44E3B0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6DFBC2A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042804F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361049" w:rsidRPr="00361049" w14:paraId="07ECC901" w14:textId="77777777" w:rsidTr="00361049">
        <w:trPr>
          <w:divId w:val="1492673658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7FBC64F" w14:textId="77777777" w:rsidR="00361049" w:rsidRPr="00361049" w:rsidRDefault="00361049" w:rsidP="0036104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F39241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3E9205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748B73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16BF79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BC792B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815C41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BD3090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FCBD08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92,9</w:t>
            </w:r>
          </w:p>
        </w:tc>
      </w:tr>
      <w:tr w:rsidR="00361049" w:rsidRPr="00361049" w14:paraId="7D6028E7" w14:textId="77777777" w:rsidTr="00361049">
        <w:trPr>
          <w:divId w:val="1492673658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1E7F0D3" w14:textId="162C1EDC" w:rsidR="00361049" w:rsidRPr="00361049" w:rsidRDefault="00361049" w:rsidP="0036104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E90BD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38470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CBE76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3A5C9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BDFAA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0802E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255A0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D110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color w:val="000000"/>
                <w:sz w:val="16"/>
                <w:szCs w:val="16"/>
              </w:rPr>
              <w:t>65,7</w:t>
            </w:r>
          </w:p>
        </w:tc>
      </w:tr>
      <w:tr w:rsidR="00361049" w:rsidRPr="00361049" w14:paraId="21494252" w14:textId="77777777" w:rsidTr="00361049">
        <w:trPr>
          <w:divId w:val="1492673658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D0E1ACE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1273876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8ADE8CC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2C8C375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AFF482E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E80DD1C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AF5131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CA8C5C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5776ACF" w14:textId="77777777" w:rsidR="00361049" w:rsidRPr="00361049" w:rsidRDefault="00361049" w:rsidP="003610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104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78,5</w:t>
            </w:r>
          </w:p>
        </w:tc>
      </w:tr>
    </w:tbl>
    <w:p w14:paraId="1F560D75" w14:textId="63DFAAFC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6225E027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413CA7">
        <w:t>78,5</w:t>
      </w:r>
      <w:r w:rsidRPr="00396A23">
        <w:t>%. Respecto de 202</w:t>
      </w:r>
      <w:r>
        <w:t>4</w:t>
      </w:r>
      <w:r w:rsidRPr="00396A23">
        <w:t xml:space="preserve">, el nivel de cumplimiento </w:t>
      </w:r>
      <w:r>
        <w:t xml:space="preserve">se incrementa un </w:t>
      </w:r>
      <w:r w:rsidR="00413CA7">
        <w:t>13,44</w:t>
      </w:r>
      <w:r>
        <w:t xml:space="preserve">%, ya que se han aplicado </w:t>
      </w:r>
      <w:r w:rsidR="000E2B74">
        <w:t>4</w:t>
      </w:r>
      <w:r w:rsidR="00102364">
        <w:t xml:space="preserve"> </w:t>
      </w:r>
      <w:r>
        <w:t>de las recomendaciones derivadas de la evaluación de 2024</w:t>
      </w:r>
      <w:r w:rsidR="000E2B74">
        <w:t>, aunque también ha habido que revisar a la baja la actualización de parte de la información, que data de 2023</w:t>
      </w:r>
      <w:r>
        <w:t>.</w:t>
      </w:r>
    </w:p>
    <w:p w14:paraId="0B47409C" w14:textId="77777777" w:rsidR="000E2B74" w:rsidRPr="005A3C4E" w:rsidRDefault="000E2B74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Conclusiones</w:t>
      </w:r>
    </w:p>
    <w:p w14:paraId="74CB5515" w14:textId="4045FFED" w:rsidR="00C029D5" w:rsidRPr="00396A23" w:rsidRDefault="00C029D5" w:rsidP="00102364">
      <w:pPr>
        <w:pStyle w:val="Prrafodelista"/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102364">
        <w:t xml:space="preserve"> la Fundación Márgenes y Vínculos</w:t>
      </w:r>
      <w:r w:rsidRPr="00396A23">
        <w:t xml:space="preserve">. El índice de cumplimiento alcanzado se situó en el </w:t>
      </w:r>
      <w:r w:rsidR="00102364">
        <w:t>21,9</w:t>
      </w:r>
      <w:r w:rsidRPr="00396A23">
        <w:t xml:space="preserve">% y, a partir de las evidencias obtenidas en la evaluación, este Consejo efectuó </w:t>
      </w:r>
      <w:r w:rsidR="00102364">
        <w:t xml:space="preserve">13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378BF633" w14:textId="72BD4381" w:rsidR="00C029D5" w:rsidRPr="00396A23" w:rsidRDefault="00C029D5" w:rsidP="00102364">
      <w:pPr>
        <w:pStyle w:val="Prrafodelista"/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102364">
        <w:t xml:space="preserve">la Fundación Márgenes y Vínculos </w:t>
      </w:r>
      <w:r>
        <w:t>h</w:t>
      </w:r>
      <w:r w:rsidRPr="00396A23">
        <w:t xml:space="preserve">abía aplicado </w:t>
      </w:r>
      <w:r w:rsidR="00102364">
        <w:t>ocho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un </w:t>
      </w:r>
      <w:r>
        <w:t>in</w:t>
      </w:r>
      <w:r w:rsidRPr="00396A23">
        <w:t xml:space="preserve">cremento de su Índice de Cumplimiento en </w:t>
      </w:r>
      <w:r w:rsidR="00102364">
        <w:t xml:space="preserve">47,3 </w:t>
      </w:r>
      <w:r w:rsidRPr="00396A23">
        <w:t>puntos porcentuales,</w:t>
      </w:r>
      <w:r>
        <w:t xml:space="preserve"> </w:t>
      </w:r>
      <w:r w:rsidRPr="00396A23">
        <w:t xml:space="preserve">alcanzando el </w:t>
      </w:r>
      <w:r w:rsidR="00102364">
        <w:t>69,2</w:t>
      </w:r>
      <w:r w:rsidRPr="00396A23">
        <w:t>%.</w:t>
      </w:r>
    </w:p>
    <w:p w14:paraId="4FCF94D5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F70C7D7" w14:textId="298260FA" w:rsidR="00C029D5" w:rsidRPr="00396A23" w:rsidRDefault="00C029D5" w:rsidP="00FC765D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FC765D">
        <w:t>la Fundación Márgenes y Vínculos</w:t>
      </w:r>
      <w:r w:rsidR="00FC765D" w:rsidRPr="00396A23">
        <w:t xml:space="preserve"> </w:t>
      </w:r>
      <w:r w:rsidR="007A3D22">
        <w:t>tenía margen de mejora</w:t>
      </w:r>
      <w:r w:rsidRPr="00396A23">
        <w:t>, se decidió</w:t>
      </w:r>
      <w:r w:rsidR="000E2B74">
        <w:t>,</w:t>
      </w:r>
      <w:r w:rsidRPr="00396A23">
        <w:t xml:space="preserve"> por parte de este CTBG</w:t>
      </w:r>
      <w:r>
        <w:t>,</w:t>
      </w:r>
      <w:r w:rsidRPr="00396A23">
        <w:t xml:space="preserve"> </w:t>
      </w:r>
      <w:r>
        <w:t xml:space="preserve">incluir a </w:t>
      </w:r>
      <w:r w:rsidR="000E2B74">
        <w:t xml:space="preserve">la Fundación Márgenes y Vínculos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FC765D">
      <w:pPr>
        <w:pStyle w:val="Prrafodelista"/>
        <w:spacing w:before="120" w:after="120"/>
        <w:ind w:left="284"/>
        <w:jc w:val="both"/>
      </w:pPr>
    </w:p>
    <w:p w14:paraId="74AF3741" w14:textId="78C1FAB5" w:rsidR="00C029D5" w:rsidRPr="00396A23" w:rsidRDefault="00C029D5" w:rsidP="00FC765D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FC765D">
        <w:t xml:space="preserve">la Fundación Márgenes y Vínculos </w:t>
      </w:r>
      <w:r>
        <w:t xml:space="preserve">ha aumentado en </w:t>
      </w:r>
      <w:r w:rsidR="00413CA7">
        <w:t>9,3</w:t>
      </w:r>
      <w:r w:rsidR="00FC765D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se han aplicado </w:t>
      </w:r>
      <w:r w:rsidR="007A3D22">
        <w:t>cuatro</w:t>
      </w:r>
      <w:r w:rsidR="00FC765D">
        <w:t xml:space="preserve"> </w:t>
      </w:r>
      <w:r w:rsidRPr="00396A23">
        <w:t>de las recomendaciones derivadas de la evaluación realizada en ese año</w:t>
      </w:r>
      <w:r>
        <w:t>.</w:t>
      </w:r>
      <w:r w:rsidRPr="00396A23">
        <w:t xml:space="preserve"> </w:t>
      </w:r>
    </w:p>
    <w:p w14:paraId="6EBF8492" w14:textId="7D950799" w:rsidR="00C029D5" w:rsidRDefault="00C029D5" w:rsidP="00C029D5">
      <w:pPr>
        <w:pStyle w:val="Prrafodelista"/>
        <w:spacing w:before="120" w:after="120"/>
        <w:ind w:left="502"/>
        <w:jc w:val="both"/>
      </w:pPr>
    </w:p>
    <w:p w14:paraId="1800D869" w14:textId="215DF72D" w:rsidR="007A3D22" w:rsidRPr="00396A23" w:rsidRDefault="007A3D22" w:rsidP="007A3D22">
      <w:pPr>
        <w:spacing w:before="120" w:after="120"/>
        <w:ind w:left="284"/>
        <w:jc w:val="both"/>
      </w:pPr>
      <w:r w:rsidRPr="00396A23">
        <w:t>Por todo lo que antecede</w:t>
      </w:r>
      <w:r>
        <w:t>, si la Fundación Márgenes y Vínculos publicara, por un lado, y de forma actualizada, los contratos adjudicados por administraciones públicas, incluyendo todos los ítems informativos obligatorios que establece la LTAIBG (objeto, duración, importe adjudicación y adjudicatario)</w:t>
      </w:r>
      <w:r w:rsidR="00184C0A">
        <w:t xml:space="preserve"> y, por otro, la normativa aplicable y el informe de auditoría en formato reutilizable, el plazo y posibles modificaciones de los convenios suscritos con administraciones públicas y actualizara la información que se remonta a 2023</w:t>
      </w:r>
      <w:r>
        <w:t>, alcanzaría el 100% ICIO</w:t>
      </w:r>
      <w:r w:rsidRPr="00396A23">
        <w:t xml:space="preserve"> </w:t>
      </w:r>
    </w:p>
    <w:p w14:paraId="09C204A8" w14:textId="4DBE27FC" w:rsidR="00C029D5" w:rsidRDefault="00C029D5" w:rsidP="00C029D5"/>
    <w:p w14:paraId="1310D008" w14:textId="77777777" w:rsidR="00313D3B" w:rsidRPr="005A3C4E" w:rsidRDefault="00313D3B" w:rsidP="00C029D5"/>
    <w:p w14:paraId="04698BAA" w14:textId="08A1580C" w:rsidR="00B40246" w:rsidRPr="005A3C4E" w:rsidRDefault="00827ABE" w:rsidP="006871B4">
      <w:pPr>
        <w:ind w:left="6372" w:firstLine="708"/>
        <w:jc w:val="right"/>
      </w:pPr>
      <w:r w:rsidRPr="005A3C4E">
        <w:t xml:space="preserve">Madrid, </w:t>
      </w:r>
      <w:r w:rsidR="00464670">
        <w:t>octubre</w:t>
      </w:r>
      <w:r w:rsidR="00FC765D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464670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15FD9C8F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C1C7641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6D7B6CA7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B19E96B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991" type="#_x0000_t75" style="width:9pt;height:9pt" o:bullet="t">
        <v:imagedata r:id="rId1" o:title="BD14533_"/>
      </v:shape>
    </w:pict>
  </w:numPicBullet>
  <w:abstractNum w:abstractNumId="0" w15:restartNumberingAfterBreak="0">
    <w:nsid w:val="063B452E"/>
    <w:multiLevelType w:val="hybridMultilevel"/>
    <w:tmpl w:val="69381F5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0A5"/>
    <w:multiLevelType w:val="hybridMultilevel"/>
    <w:tmpl w:val="10C6FF7A"/>
    <w:lvl w:ilvl="0" w:tplc="731A1AD8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9C4"/>
    <w:multiLevelType w:val="hybridMultilevel"/>
    <w:tmpl w:val="829E8004"/>
    <w:lvl w:ilvl="0" w:tplc="43D262E8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58610A"/>
    <w:multiLevelType w:val="hybridMultilevel"/>
    <w:tmpl w:val="27346EA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31CE1"/>
    <w:multiLevelType w:val="hybridMultilevel"/>
    <w:tmpl w:val="235CF55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63EFC"/>
    <w:multiLevelType w:val="hybridMultilevel"/>
    <w:tmpl w:val="10AA936C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257D1F"/>
    <w:multiLevelType w:val="hybridMultilevel"/>
    <w:tmpl w:val="C054092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2A92"/>
    <w:multiLevelType w:val="hybridMultilevel"/>
    <w:tmpl w:val="0958D86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63C3"/>
    <w:multiLevelType w:val="hybridMultilevel"/>
    <w:tmpl w:val="FAA6429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B131F"/>
    <w:multiLevelType w:val="hybridMultilevel"/>
    <w:tmpl w:val="A57AC312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360655"/>
    <w:multiLevelType w:val="hybridMultilevel"/>
    <w:tmpl w:val="3A74E464"/>
    <w:lvl w:ilvl="0" w:tplc="4CC466CE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86AAB"/>
    <w:multiLevelType w:val="hybridMultilevel"/>
    <w:tmpl w:val="828E1CDA"/>
    <w:lvl w:ilvl="0" w:tplc="3A9AAD00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62355"/>
    <w:multiLevelType w:val="hybridMultilevel"/>
    <w:tmpl w:val="5ED2F4F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6338"/>
    <w:multiLevelType w:val="hybridMultilevel"/>
    <w:tmpl w:val="4410A5B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BA3025"/>
    <w:multiLevelType w:val="hybridMultilevel"/>
    <w:tmpl w:val="8BA247A8"/>
    <w:lvl w:ilvl="0" w:tplc="547A399A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52B7074A"/>
    <w:multiLevelType w:val="hybridMultilevel"/>
    <w:tmpl w:val="9196CB6C"/>
    <w:lvl w:ilvl="0" w:tplc="A036BCB0">
      <w:start w:val="2"/>
      <w:numFmt w:val="bullet"/>
      <w:lvlText w:val=""/>
      <w:lvlJc w:val="left"/>
      <w:pPr>
        <w:ind w:left="1222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3E705EF"/>
    <w:multiLevelType w:val="hybridMultilevel"/>
    <w:tmpl w:val="74F8DF48"/>
    <w:lvl w:ilvl="0" w:tplc="4CC466C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07458E"/>
    <w:multiLevelType w:val="hybridMultilevel"/>
    <w:tmpl w:val="78C6D126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44F12"/>
    <w:multiLevelType w:val="hybridMultilevel"/>
    <w:tmpl w:val="03923324"/>
    <w:lvl w:ilvl="0" w:tplc="43D262E8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C5BBC"/>
    <w:multiLevelType w:val="hybridMultilevel"/>
    <w:tmpl w:val="5E52D682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3"/>
  </w:num>
  <w:num w:numId="4">
    <w:abstractNumId w:val="37"/>
  </w:num>
  <w:num w:numId="5">
    <w:abstractNumId w:val="11"/>
  </w:num>
  <w:num w:numId="6">
    <w:abstractNumId w:val="23"/>
  </w:num>
  <w:num w:numId="7">
    <w:abstractNumId w:val="25"/>
  </w:num>
  <w:num w:numId="8">
    <w:abstractNumId w:val="18"/>
  </w:num>
  <w:num w:numId="9">
    <w:abstractNumId w:val="40"/>
  </w:num>
  <w:num w:numId="10">
    <w:abstractNumId w:val="35"/>
  </w:num>
  <w:num w:numId="11">
    <w:abstractNumId w:val="36"/>
  </w:num>
  <w:num w:numId="12">
    <w:abstractNumId w:val="31"/>
  </w:num>
  <w:num w:numId="13">
    <w:abstractNumId w:val="38"/>
  </w:num>
  <w:num w:numId="14">
    <w:abstractNumId w:val="22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20"/>
  </w:num>
  <w:num w:numId="20">
    <w:abstractNumId w:val="32"/>
  </w:num>
  <w:num w:numId="21">
    <w:abstractNumId w:val="10"/>
  </w:num>
  <w:num w:numId="22">
    <w:abstractNumId w:val="2"/>
  </w:num>
  <w:num w:numId="23">
    <w:abstractNumId w:val="28"/>
  </w:num>
  <w:num w:numId="24">
    <w:abstractNumId w:val="27"/>
  </w:num>
  <w:num w:numId="25">
    <w:abstractNumId w:val="39"/>
  </w:num>
  <w:num w:numId="26">
    <w:abstractNumId w:val="17"/>
  </w:num>
  <w:num w:numId="27">
    <w:abstractNumId w:val="41"/>
  </w:num>
  <w:num w:numId="28">
    <w:abstractNumId w:val="3"/>
  </w:num>
  <w:num w:numId="29">
    <w:abstractNumId w:val="9"/>
  </w:num>
  <w:num w:numId="30">
    <w:abstractNumId w:val="15"/>
  </w:num>
  <w:num w:numId="31">
    <w:abstractNumId w:val="24"/>
  </w:num>
  <w:num w:numId="32">
    <w:abstractNumId w:val="0"/>
  </w:num>
  <w:num w:numId="33">
    <w:abstractNumId w:val="7"/>
  </w:num>
  <w:num w:numId="34">
    <w:abstractNumId w:val="14"/>
  </w:num>
  <w:num w:numId="35">
    <w:abstractNumId w:val="5"/>
  </w:num>
  <w:num w:numId="36">
    <w:abstractNumId w:val="29"/>
  </w:num>
  <w:num w:numId="37">
    <w:abstractNumId w:val="8"/>
  </w:num>
  <w:num w:numId="38">
    <w:abstractNumId w:val="26"/>
  </w:num>
  <w:num w:numId="39">
    <w:abstractNumId w:val="6"/>
  </w:num>
  <w:num w:numId="40">
    <w:abstractNumId w:val="12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327A"/>
    <w:rsid w:val="00005127"/>
    <w:rsid w:val="0002163A"/>
    <w:rsid w:val="000262A3"/>
    <w:rsid w:val="00044978"/>
    <w:rsid w:val="00063E44"/>
    <w:rsid w:val="000807E2"/>
    <w:rsid w:val="000965B3"/>
    <w:rsid w:val="000B0FBA"/>
    <w:rsid w:val="000C58F9"/>
    <w:rsid w:val="000C6CFF"/>
    <w:rsid w:val="000D37BA"/>
    <w:rsid w:val="000E2B74"/>
    <w:rsid w:val="000E3554"/>
    <w:rsid w:val="000E62B9"/>
    <w:rsid w:val="000F1CDA"/>
    <w:rsid w:val="00102364"/>
    <w:rsid w:val="00102733"/>
    <w:rsid w:val="00102EC4"/>
    <w:rsid w:val="0011279F"/>
    <w:rsid w:val="001561A4"/>
    <w:rsid w:val="00156A51"/>
    <w:rsid w:val="0016088E"/>
    <w:rsid w:val="00184C0A"/>
    <w:rsid w:val="0019496F"/>
    <w:rsid w:val="00196346"/>
    <w:rsid w:val="001A17D1"/>
    <w:rsid w:val="001A6E91"/>
    <w:rsid w:val="001B6160"/>
    <w:rsid w:val="001C72D3"/>
    <w:rsid w:val="001D0329"/>
    <w:rsid w:val="001E30E5"/>
    <w:rsid w:val="001E30F9"/>
    <w:rsid w:val="001F1FD6"/>
    <w:rsid w:val="00206263"/>
    <w:rsid w:val="0021059E"/>
    <w:rsid w:val="00214631"/>
    <w:rsid w:val="00232714"/>
    <w:rsid w:val="00235095"/>
    <w:rsid w:val="002562C9"/>
    <w:rsid w:val="00280DE8"/>
    <w:rsid w:val="00285021"/>
    <w:rsid w:val="002918DE"/>
    <w:rsid w:val="002A154B"/>
    <w:rsid w:val="002B03A6"/>
    <w:rsid w:val="002D51FC"/>
    <w:rsid w:val="002E2475"/>
    <w:rsid w:val="002F2850"/>
    <w:rsid w:val="00313D3B"/>
    <w:rsid w:val="00315887"/>
    <w:rsid w:val="00344D4F"/>
    <w:rsid w:val="00361049"/>
    <w:rsid w:val="003B7F67"/>
    <w:rsid w:val="003D3F6C"/>
    <w:rsid w:val="003E3018"/>
    <w:rsid w:val="003F271E"/>
    <w:rsid w:val="003F572A"/>
    <w:rsid w:val="004025D1"/>
    <w:rsid w:val="00413CA7"/>
    <w:rsid w:val="00421CCF"/>
    <w:rsid w:val="00442DDF"/>
    <w:rsid w:val="00443312"/>
    <w:rsid w:val="00443340"/>
    <w:rsid w:val="00446748"/>
    <w:rsid w:val="004521AD"/>
    <w:rsid w:val="00464670"/>
    <w:rsid w:val="00466D7A"/>
    <w:rsid w:val="004B7CC4"/>
    <w:rsid w:val="004E554A"/>
    <w:rsid w:val="004E64AF"/>
    <w:rsid w:val="004F2655"/>
    <w:rsid w:val="00513C45"/>
    <w:rsid w:val="00521DA9"/>
    <w:rsid w:val="005260B7"/>
    <w:rsid w:val="005366E7"/>
    <w:rsid w:val="005366F7"/>
    <w:rsid w:val="005447A8"/>
    <w:rsid w:val="00544E0C"/>
    <w:rsid w:val="00561402"/>
    <w:rsid w:val="0057532F"/>
    <w:rsid w:val="005A1669"/>
    <w:rsid w:val="005A3C4E"/>
    <w:rsid w:val="005B19E4"/>
    <w:rsid w:val="005C3CAD"/>
    <w:rsid w:val="005E0CA3"/>
    <w:rsid w:val="005F0BDE"/>
    <w:rsid w:val="005F29B8"/>
    <w:rsid w:val="00605E0D"/>
    <w:rsid w:val="0060669B"/>
    <w:rsid w:val="006439A2"/>
    <w:rsid w:val="00647F81"/>
    <w:rsid w:val="00671D67"/>
    <w:rsid w:val="00675E37"/>
    <w:rsid w:val="006871B4"/>
    <w:rsid w:val="006A2766"/>
    <w:rsid w:val="006A760C"/>
    <w:rsid w:val="006D1122"/>
    <w:rsid w:val="006E5667"/>
    <w:rsid w:val="00710031"/>
    <w:rsid w:val="00715014"/>
    <w:rsid w:val="00716924"/>
    <w:rsid w:val="00716F29"/>
    <w:rsid w:val="00743756"/>
    <w:rsid w:val="00743A58"/>
    <w:rsid w:val="007615B6"/>
    <w:rsid w:val="00783F7C"/>
    <w:rsid w:val="007A3D22"/>
    <w:rsid w:val="007A66BE"/>
    <w:rsid w:val="007B0F99"/>
    <w:rsid w:val="007E73BE"/>
    <w:rsid w:val="00803FAF"/>
    <w:rsid w:val="00805BEA"/>
    <w:rsid w:val="008112E2"/>
    <w:rsid w:val="00817B66"/>
    <w:rsid w:val="00827ABE"/>
    <w:rsid w:val="00840B55"/>
    <w:rsid w:val="00844FA9"/>
    <w:rsid w:val="00870A89"/>
    <w:rsid w:val="008B69BD"/>
    <w:rsid w:val="008C1E1E"/>
    <w:rsid w:val="008D313B"/>
    <w:rsid w:val="008E61F8"/>
    <w:rsid w:val="00912C2E"/>
    <w:rsid w:val="009150B8"/>
    <w:rsid w:val="00920F6A"/>
    <w:rsid w:val="009232B4"/>
    <w:rsid w:val="00923F05"/>
    <w:rsid w:val="0092723A"/>
    <w:rsid w:val="00932008"/>
    <w:rsid w:val="009609E9"/>
    <w:rsid w:val="0098555C"/>
    <w:rsid w:val="009A5239"/>
    <w:rsid w:val="009A7780"/>
    <w:rsid w:val="009F7DA6"/>
    <w:rsid w:val="00A2264C"/>
    <w:rsid w:val="00A442CF"/>
    <w:rsid w:val="00A836C4"/>
    <w:rsid w:val="00AA3642"/>
    <w:rsid w:val="00AA3D3B"/>
    <w:rsid w:val="00AD2022"/>
    <w:rsid w:val="00AE3317"/>
    <w:rsid w:val="00AE4BFB"/>
    <w:rsid w:val="00AF0A48"/>
    <w:rsid w:val="00B15FC1"/>
    <w:rsid w:val="00B2508D"/>
    <w:rsid w:val="00B266D1"/>
    <w:rsid w:val="00B2752B"/>
    <w:rsid w:val="00B32D40"/>
    <w:rsid w:val="00B40246"/>
    <w:rsid w:val="00B528B8"/>
    <w:rsid w:val="00B841AE"/>
    <w:rsid w:val="00BA2751"/>
    <w:rsid w:val="00BB1DAC"/>
    <w:rsid w:val="00BB6799"/>
    <w:rsid w:val="00BC15C1"/>
    <w:rsid w:val="00BD4582"/>
    <w:rsid w:val="00BE18B0"/>
    <w:rsid w:val="00BE6A46"/>
    <w:rsid w:val="00C029D5"/>
    <w:rsid w:val="00C23166"/>
    <w:rsid w:val="00C33225"/>
    <w:rsid w:val="00C33A23"/>
    <w:rsid w:val="00C45DC1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3088D"/>
    <w:rsid w:val="00E34195"/>
    <w:rsid w:val="00E35267"/>
    <w:rsid w:val="00E41B30"/>
    <w:rsid w:val="00E47613"/>
    <w:rsid w:val="00E65B7F"/>
    <w:rsid w:val="00E738BE"/>
    <w:rsid w:val="00EB51D7"/>
    <w:rsid w:val="00EC3099"/>
    <w:rsid w:val="00EC5A86"/>
    <w:rsid w:val="00EE3740"/>
    <w:rsid w:val="00F14DA4"/>
    <w:rsid w:val="00F21D28"/>
    <w:rsid w:val="00F22752"/>
    <w:rsid w:val="00F22B6F"/>
    <w:rsid w:val="00F41A57"/>
    <w:rsid w:val="00F47C3B"/>
    <w:rsid w:val="00F66BBF"/>
    <w:rsid w:val="00F71D7D"/>
    <w:rsid w:val="00FB0FE2"/>
    <w:rsid w:val="00FB32EE"/>
    <w:rsid w:val="00FC0A40"/>
    <w:rsid w:val="00FC765D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7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4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6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myv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07459"/>
    <w:rsid w:val="003D088C"/>
    <w:rsid w:val="00441419"/>
    <w:rsid w:val="00447F79"/>
    <w:rsid w:val="004D543B"/>
    <w:rsid w:val="004F291A"/>
    <w:rsid w:val="00522423"/>
    <w:rsid w:val="0055537B"/>
    <w:rsid w:val="00617EB2"/>
    <w:rsid w:val="00665CA7"/>
    <w:rsid w:val="007728A6"/>
    <w:rsid w:val="00811765"/>
    <w:rsid w:val="008B6C28"/>
    <w:rsid w:val="0093751D"/>
    <w:rsid w:val="009C534F"/>
    <w:rsid w:val="00A324F5"/>
    <w:rsid w:val="00AC72EB"/>
    <w:rsid w:val="00B71197"/>
    <w:rsid w:val="00C55F34"/>
    <w:rsid w:val="00C8134A"/>
    <w:rsid w:val="00D35513"/>
    <w:rsid w:val="00DC5B7A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694</TotalTime>
  <Pages>8</Pages>
  <Words>1963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21</cp:revision>
  <cp:lastPrinted>2024-10-21T09:52:00Z</cp:lastPrinted>
  <dcterms:created xsi:type="dcterms:W3CDTF">2025-05-27T10:21:00Z</dcterms:created>
  <dcterms:modified xsi:type="dcterms:W3CDTF">2025-11-06T10:33:00Z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