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E7D2" w14:textId="320DC029" w:rsidR="00743995" w:rsidRDefault="00970366" w:rsidP="00582DA3">
      <w:pPr>
        <w:pStyle w:val="Descripcin"/>
        <w:rPr>
          <w:rFonts w:eastAsiaTheme="majorEastAsia" w:cstheme="maj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F2B7933" wp14:editId="2770EBAB">
                <wp:simplePos x="0" y="0"/>
                <wp:positionH relativeFrom="column">
                  <wp:posOffset>-14605</wp:posOffset>
                </wp:positionH>
                <wp:positionV relativeFrom="paragraph">
                  <wp:posOffset>4191000</wp:posOffset>
                </wp:positionV>
                <wp:extent cx="6151880" cy="34385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6FB6" w14:textId="175D90CF" w:rsidR="00C2343E" w:rsidRPr="004C195D" w:rsidRDefault="00C2343E" w:rsidP="004C195D">
                            <w:pPr>
                              <w:jc w:val="left"/>
                              <w:rPr>
                                <w:sz w:val="52"/>
                                <w:szCs w:val="52"/>
                              </w:rPr>
                            </w:pPr>
                            <w:r w:rsidRPr="00015DB5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Informe </w:t>
                            </w:r>
                            <w:r w:rsidR="00242810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agregado </w:t>
                            </w:r>
                            <w:r w:rsidRPr="00015DB5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de </w:t>
                            </w:r>
                            <w:r w:rsidR="00242810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terceras evaluaciones a entidades públicas y </w:t>
                            </w:r>
                            <w:proofErr w:type="spellStart"/>
                            <w:r w:rsidR="00242810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privadas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793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15pt;margin-top:330pt;width:484.4pt;height:270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" filled="f" stroked="f">
                <v:textbox>
                  <w:txbxContent>
                    <w:p w14:paraId="3A256FB6" w14:textId="175D90CF" w:rsidR="00C2343E" w:rsidRPr="004C195D" w:rsidRDefault="00C2343E" w:rsidP="004C195D">
                      <w:pPr>
                        <w:jc w:val="left"/>
                        <w:rPr>
                          <w:sz w:val="52"/>
                          <w:szCs w:val="52"/>
                        </w:rPr>
                      </w:pPr>
                      <w:r w:rsidRPr="00015DB5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Informe </w:t>
                      </w:r>
                      <w:r w:rsidR="00242810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agregado </w:t>
                      </w:r>
                      <w:r w:rsidRPr="00015DB5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de </w:t>
                      </w:r>
                      <w:r w:rsidR="00242810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terceras evaluaciones a entidades públicas y </w:t>
                      </w:r>
                      <w:proofErr w:type="spellStart"/>
                      <w:r w:rsidR="00242810">
                        <w:rPr>
                          <w:color w:val="FFFFFF" w:themeColor="background1"/>
                          <w:sz w:val="52"/>
                          <w:szCs w:val="52"/>
                        </w:rPr>
                        <w:t>privadas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1D58666" wp14:editId="47670F4B">
                <wp:simplePos x="0" y="0"/>
                <wp:positionH relativeFrom="column">
                  <wp:posOffset>-72390</wp:posOffset>
                </wp:positionH>
                <wp:positionV relativeFrom="paragraph">
                  <wp:posOffset>8847455</wp:posOffset>
                </wp:positionV>
                <wp:extent cx="6092190" cy="47498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3E52" w14:textId="299A9965" w:rsidR="00C2343E" w:rsidRPr="004C195D" w:rsidRDefault="00C234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38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Evaluaciones 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4C195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7172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195D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onsejo de </w:t>
                            </w:r>
                            <w:r w:rsidRPr="004C195D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ransparencia y </w:t>
                            </w:r>
                            <w:r w:rsidRPr="004C195D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uen </w:t>
                            </w:r>
                            <w:r w:rsidRPr="004C195D"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obierno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8666" id="_x0000_s1027" type="#_x0000_t202" style="position:absolute;left:0;text-align:left;margin-left:-5.7pt;margin-top:696.65pt;width:479.7pt;height:37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" stroked="f">
                <v:textbox style="mso-fit-shape-to-text:t">
                  <w:txbxContent>
                    <w:p w14:paraId="07B33E52" w14:textId="299A9965" w:rsidR="00C2343E" w:rsidRPr="004C195D" w:rsidRDefault="00C2343E">
                      <w:pPr>
                        <w:rPr>
                          <w:sz w:val="28"/>
                          <w:szCs w:val="28"/>
                        </w:rPr>
                      </w:pPr>
                      <w:r w:rsidRPr="00D8384C">
                        <w:rPr>
                          <w:b/>
                          <w:bCs/>
                          <w:sz w:val="28"/>
                          <w:szCs w:val="28"/>
                        </w:rPr>
                        <w:t>Evaluaciones 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4C195D">
                        <w:rPr>
                          <w:sz w:val="28"/>
                          <w:szCs w:val="28"/>
                        </w:rPr>
                        <w:t>.</w:t>
                      </w:r>
                      <w:r w:rsidR="007172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C195D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onsejo de </w:t>
                      </w:r>
                      <w:r w:rsidRPr="004C195D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 xml:space="preserve">ransparencia y </w:t>
                      </w:r>
                      <w:r w:rsidRPr="004C195D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uen </w:t>
                      </w:r>
                      <w:r w:rsidRPr="004C195D">
                        <w:rPr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sz w:val="28"/>
                          <w:szCs w:val="28"/>
                        </w:rPr>
                        <w:t>obierno</w:t>
                      </w:r>
                    </w:p>
                  </w:txbxContent>
                </v:textbox>
              </v:shape>
            </w:pict>
          </mc:Fallback>
        </mc:AlternateContent>
      </w:r>
      <w:r w:rsidR="00D17499" w:rsidRPr="00D17499">
        <w:rPr>
          <w:noProof/>
        </w:rPr>
        <w:drawing>
          <wp:anchor distT="0" distB="0" distL="114300" distR="114300" simplePos="0" relativeHeight="251669504" behindDoc="0" locked="0" layoutInCell="1" allowOverlap="1" wp14:anchorId="3791D996" wp14:editId="715523DC">
            <wp:simplePos x="0" y="0"/>
            <wp:positionH relativeFrom="margin">
              <wp:posOffset>76200</wp:posOffset>
            </wp:positionH>
            <wp:positionV relativeFrom="paragraph">
              <wp:posOffset>589501</wp:posOffset>
            </wp:positionV>
            <wp:extent cx="3081130" cy="725411"/>
            <wp:effectExtent l="0" t="0" r="508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130" cy="72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id w:val="1833336649"/>
          <w:docPartObj>
            <w:docPartGallery w:val="Cover Pages"/>
            <w:docPartUnique/>
          </w:docPartObj>
        </w:sdtPr>
        <w:sdtEndPr>
          <w:rPr>
            <w:rFonts w:eastAsiaTheme="majorEastAsia" w:cstheme="majorBidi"/>
          </w:rPr>
        </w:sdtEndPr>
        <w:sdtContent>
          <w:r>
            <w:rPr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6A4D9CFD" wp14:editId="6501726E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-914400</wp:posOffset>
                    </wp:positionV>
                    <wp:extent cx="7533640" cy="9471660"/>
                    <wp:effectExtent l="0" t="0" r="0" b="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33640" cy="9471660"/>
                            </a:xfrm>
                            <a:prstGeom prst="rect">
                              <a:avLst/>
                            </a:prstGeom>
                            <a:solidFill>
                              <a:srgbClr val="3C83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57789A" id="Rectángulo 4" o:spid="_x0000_s1026" style="position:absolute;margin-left:0;margin-top:-1in;width:593.2pt;height:745.8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" fillcolor="#3c8378" stroked="f" strokeweight="1.5pt">
                    <w10:wrap anchorx="page"/>
                  </v:rect>
                </w:pict>
              </mc:Fallback>
            </mc:AlternateContent>
          </w:r>
          <w:r w:rsidR="0065420F">
            <w:br w:type="page"/>
          </w:r>
        </w:sdtContent>
      </w:sdt>
    </w:p>
    <w:sdt>
      <w:sdtPr>
        <w:rPr>
          <w:rFonts w:ascii="Century Gothic" w:eastAsiaTheme="minorHAnsi" w:hAnsi="Century Gothic" w:cstheme="minorBidi"/>
          <w:b w:val="0"/>
          <w:bCs w:val="0"/>
          <w:color w:val="auto"/>
          <w:sz w:val="20"/>
          <w:szCs w:val="20"/>
        </w:rPr>
        <w:id w:val="322091043"/>
        <w:docPartObj>
          <w:docPartGallery w:val="Table of Contents"/>
          <w:docPartUnique/>
        </w:docPartObj>
      </w:sdtPr>
      <w:sdtEndPr>
        <w:rPr>
          <w:rFonts w:ascii="Mulish" w:hAnsi="Mulish"/>
          <w:sz w:val="18"/>
          <w:szCs w:val="18"/>
        </w:rPr>
      </w:sdtEndPr>
      <w:sdtContent>
        <w:p w14:paraId="5F43618B" w14:textId="77777777" w:rsidR="00E924EF" w:rsidRPr="00454377" w:rsidRDefault="00E924EF">
          <w:pPr>
            <w:pStyle w:val="TtuloTDC"/>
            <w:rPr>
              <w:color w:val="3C8378"/>
              <w:sz w:val="18"/>
              <w:szCs w:val="18"/>
            </w:rPr>
          </w:pPr>
          <w:r w:rsidRPr="00454377">
            <w:rPr>
              <w:color w:val="3C8378"/>
              <w:sz w:val="18"/>
              <w:szCs w:val="18"/>
            </w:rPr>
            <w:t>Contenido</w:t>
          </w:r>
          <w:r w:rsidR="008B6C8E" w:rsidRPr="00454377">
            <w:rPr>
              <w:color w:val="3C8378"/>
              <w:sz w:val="18"/>
              <w:szCs w:val="18"/>
            </w:rPr>
            <w:br/>
          </w:r>
        </w:p>
        <w:p w14:paraId="3701EDE2" w14:textId="154BE695" w:rsidR="00D468AD" w:rsidRDefault="001B538A">
          <w:pPr>
            <w:pStyle w:val="TDC1"/>
            <w:tabs>
              <w:tab w:val="left" w:pos="400"/>
            </w:tabs>
            <w:rPr>
              <w:rFonts w:asciiTheme="minorHAnsi" w:hAnsiTheme="minorHAnsi"/>
              <w:noProof/>
              <w:szCs w:val="22"/>
            </w:rPr>
          </w:pPr>
          <w:r w:rsidRPr="00454377">
            <w:rPr>
              <w:sz w:val="18"/>
              <w:szCs w:val="18"/>
            </w:rPr>
            <w:fldChar w:fldCharType="begin"/>
          </w:r>
          <w:r w:rsidR="00E924EF" w:rsidRPr="00454377">
            <w:rPr>
              <w:sz w:val="18"/>
              <w:szCs w:val="18"/>
            </w:rPr>
            <w:instrText xml:space="preserve"> TOC \o "1-3" \h \z \u </w:instrText>
          </w:r>
          <w:r w:rsidRPr="00454377">
            <w:rPr>
              <w:sz w:val="18"/>
              <w:szCs w:val="18"/>
            </w:rPr>
            <w:fldChar w:fldCharType="separate"/>
          </w:r>
          <w:hyperlink w:anchor="_Toc214611272" w:history="1">
            <w:r w:rsidR="00D468AD" w:rsidRPr="00784D1F">
              <w:rPr>
                <w:rStyle w:val="Hipervnculo"/>
                <w:noProof/>
              </w:rPr>
              <w:t>I.</w:t>
            </w:r>
            <w:r w:rsidR="00D468AD">
              <w:rPr>
                <w:rFonts w:asciiTheme="minorHAnsi" w:hAnsiTheme="minorHAnsi"/>
                <w:noProof/>
                <w:szCs w:val="22"/>
              </w:rPr>
              <w:tab/>
            </w:r>
            <w:r w:rsidR="00D468AD" w:rsidRPr="00784D1F">
              <w:rPr>
                <w:rStyle w:val="Hipervnculo"/>
                <w:noProof/>
              </w:rPr>
              <w:t>Introducción</w:t>
            </w:r>
            <w:r w:rsidR="00D468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FCF84" w14:textId="4CD1E3B7" w:rsidR="00D468AD" w:rsidRDefault="00AB0625">
          <w:pPr>
            <w:pStyle w:val="TDC1"/>
            <w:rPr>
              <w:rFonts w:asciiTheme="minorHAnsi" w:hAnsiTheme="minorHAnsi"/>
              <w:noProof/>
              <w:szCs w:val="22"/>
            </w:rPr>
          </w:pPr>
          <w:hyperlink w:anchor="_Toc214611273" w:history="1">
            <w:r w:rsidR="00D468AD" w:rsidRPr="00784D1F">
              <w:rPr>
                <w:rStyle w:val="Hipervnculo"/>
                <w:noProof/>
              </w:rPr>
              <w:t>II. Alcance de la evaluación.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_Toc214611273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2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5998E1AE" w14:textId="18A88020" w:rsidR="00D468AD" w:rsidRDefault="00AB0625">
          <w:pPr>
            <w:pStyle w:val="TDC2"/>
            <w:rPr>
              <w:rFonts w:asciiTheme="minorHAnsi" w:hAnsiTheme="minorHAnsi"/>
              <w:noProof/>
              <w:szCs w:val="22"/>
            </w:rPr>
          </w:pPr>
          <w:hyperlink w:anchor="_Toc214611274" w:history="1">
            <w:r w:rsidR="00D468AD" w:rsidRPr="00784D1F">
              <w:rPr>
                <w:rStyle w:val="Hipervnculo"/>
                <w:noProof/>
              </w:rPr>
              <w:t>II.1 Entidades incluidas en este grupo.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_Toc214611274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2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5916AB2C" w14:textId="736FB6BF" w:rsidR="00D468AD" w:rsidRDefault="00AB0625">
          <w:pPr>
            <w:pStyle w:val="TDC2"/>
            <w:rPr>
              <w:rFonts w:asciiTheme="minorHAnsi" w:hAnsiTheme="minorHAnsi"/>
              <w:noProof/>
              <w:szCs w:val="22"/>
            </w:rPr>
          </w:pPr>
          <w:hyperlink w:anchor="_Toc214611275" w:history="1">
            <w:r w:rsidR="00D468AD" w:rsidRPr="00784D1F">
              <w:rPr>
                <w:rStyle w:val="Hipervnculo"/>
                <w:noProof/>
              </w:rPr>
              <w:t>II.2 Delimitación de las obligaciones de publicidad activa aplicables.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_Toc214611275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4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55B1A474" w14:textId="1FC2A5B0" w:rsidR="00D468AD" w:rsidRDefault="00AB0625">
          <w:pPr>
            <w:pStyle w:val="TDC1"/>
            <w:rPr>
              <w:rFonts w:asciiTheme="minorHAnsi" w:hAnsiTheme="minorHAnsi"/>
              <w:noProof/>
              <w:szCs w:val="22"/>
            </w:rPr>
          </w:pPr>
          <w:hyperlink w:anchor="_Toc214611276" w:history="1">
            <w:r w:rsidR="00D468AD" w:rsidRPr="00784D1F">
              <w:rPr>
                <w:rStyle w:val="Hipervnculo"/>
                <w:noProof/>
              </w:rPr>
              <w:t>III. Evaluación del cumplimiento de las obligaciones de publicidad activapor parte de las entidades objeto de tres evaluaciones de cumplimiento.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_Toc214611276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6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1AFEDE72" w14:textId="095B24C9" w:rsidR="00D468AD" w:rsidRDefault="00AB0625">
          <w:pPr>
            <w:pStyle w:val="TDC2"/>
            <w:rPr>
              <w:rFonts w:asciiTheme="minorHAnsi" w:hAnsiTheme="minorHAnsi"/>
              <w:noProof/>
              <w:szCs w:val="22"/>
            </w:rPr>
          </w:pPr>
          <w:hyperlink w:anchor="_Toc214611277" w:history="1">
            <w:r w:rsidR="00D468AD" w:rsidRPr="00784D1F">
              <w:rPr>
                <w:rStyle w:val="Hipervnculo"/>
                <w:noProof/>
              </w:rPr>
              <w:t>III.1. Resultados Generales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_Toc214611277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6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3EA868E5" w14:textId="089EF051" w:rsidR="00D468AD" w:rsidRDefault="00AB0625">
          <w:pPr>
            <w:pStyle w:val="TDC3"/>
            <w:rPr>
              <w:rFonts w:asciiTheme="minorHAnsi" w:eastAsiaTheme="minorEastAsia" w:hAnsiTheme="minorHAnsi"/>
              <w:noProof/>
              <w:szCs w:val="22"/>
            </w:rPr>
          </w:pPr>
          <w:hyperlink w:anchor="_Toc214611278" w:history="1">
            <w:r w:rsidR="00D468AD" w:rsidRPr="00784D1F">
              <w:rPr>
                <w:rStyle w:val="Hipervnculo"/>
                <w:noProof/>
              </w:rPr>
              <w:t>II.1.1 Antecedentes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_Toc214611278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6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5DCCFCD8" w14:textId="5475F6DE" w:rsidR="00D468AD" w:rsidRDefault="00AB0625">
          <w:pPr>
            <w:pStyle w:val="TDC3"/>
            <w:rPr>
              <w:rFonts w:asciiTheme="minorHAnsi" w:eastAsiaTheme="minorEastAsia" w:hAnsiTheme="minorHAnsi"/>
              <w:noProof/>
              <w:szCs w:val="22"/>
            </w:rPr>
          </w:pPr>
          <w:hyperlink w:anchor="_Toc214611279" w:history="1">
            <w:r w:rsidR="00D468AD" w:rsidRPr="00784D1F">
              <w:rPr>
                <w:rStyle w:val="Hipervnculo"/>
                <w:noProof/>
              </w:rPr>
              <w:t>III.1.2 Subsanación de los incumplimientos evidenciados en la segunda evaluación.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_Toc214611279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7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1C0CDAA4" w14:textId="61E9E515" w:rsidR="00D468AD" w:rsidRDefault="00AB0625">
          <w:pPr>
            <w:pStyle w:val="TDC3"/>
            <w:rPr>
              <w:rFonts w:asciiTheme="minorHAnsi" w:eastAsiaTheme="minorEastAsia" w:hAnsiTheme="minorHAnsi"/>
              <w:noProof/>
              <w:szCs w:val="22"/>
            </w:rPr>
          </w:pPr>
          <w:hyperlink w:anchor="_Toc214611280" w:history="1">
            <w:r w:rsidR="00D468AD" w:rsidRPr="00784D1F">
              <w:rPr>
                <w:rStyle w:val="Hipervnculo"/>
                <w:noProof/>
              </w:rPr>
              <w:t>III.1.3</w:t>
            </w:r>
            <w:r w:rsidR="00FC25DB">
              <w:rPr>
                <w:rStyle w:val="Hipervnculo"/>
                <w:noProof/>
              </w:rPr>
              <w:t xml:space="preserve"> </w:t>
            </w:r>
            <w:r w:rsidR="00D468AD" w:rsidRPr="00784D1F">
              <w:rPr>
                <w:rStyle w:val="Hipervnculo"/>
                <w:noProof/>
              </w:rPr>
              <w:t>Evolución de los Índices de Cumplimiento.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_Toc214611280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9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342C75D5" w14:textId="4414FEA5" w:rsidR="00D468AD" w:rsidRDefault="00AB0625">
          <w:pPr>
            <w:pStyle w:val="TDC2"/>
            <w:rPr>
              <w:rFonts w:asciiTheme="minorHAnsi" w:hAnsiTheme="minorHAnsi"/>
              <w:noProof/>
              <w:szCs w:val="22"/>
            </w:rPr>
          </w:pPr>
          <w:hyperlink w:anchor="_Toc214611281" w:history="1">
            <w:r w:rsidR="00D468AD" w:rsidRPr="00784D1F">
              <w:rPr>
                <w:rStyle w:val="Hipervnculo"/>
                <w:noProof/>
              </w:rPr>
              <w:t>III.2. Resultados por grupo de sujeto obligado.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_Toc214611281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10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28B14552" w14:textId="7479CAB8" w:rsidR="00D468AD" w:rsidRDefault="00AB0625">
          <w:pPr>
            <w:pStyle w:val="TDC3"/>
            <w:rPr>
              <w:rFonts w:asciiTheme="minorHAnsi" w:eastAsiaTheme="minorEastAsia" w:hAnsiTheme="minorHAnsi"/>
              <w:noProof/>
              <w:szCs w:val="22"/>
            </w:rPr>
          </w:pPr>
          <w:hyperlink w:anchor="_Toc214611282" w:history="1">
            <w:r w:rsidR="00D468AD" w:rsidRPr="00784D1F">
              <w:rPr>
                <w:rStyle w:val="Hipervnculo"/>
                <w:noProof/>
              </w:rPr>
              <w:t>III.2.1 Entidades Integrantes del Sector Público Institucional Estatal.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_Toc214611282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10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33BD2592" w14:textId="7F62D952" w:rsidR="00D468AD" w:rsidRDefault="00AB0625">
          <w:pPr>
            <w:pStyle w:val="TDC3"/>
            <w:rPr>
              <w:rFonts w:asciiTheme="minorHAnsi" w:eastAsiaTheme="minorEastAsia" w:hAnsiTheme="minorHAnsi"/>
              <w:noProof/>
              <w:szCs w:val="22"/>
            </w:rPr>
          </w:pPr>
          <w:hyperlink w:anchor="_Toc214611283" w:history="1">
            <w:r w:rsidR="00D468AD" w:rsidRPr="00784D1F">
              <w:rPr>
                <w:rStyle w:val="Hipervnculo"/>
                <w:noProof/>
              </w:rPr>
              <w:t>III.2.2 Entidades perceptoras de subvenciones y ayudas públicas.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_Toc214611283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12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7A571027" w14:textId="0E380EF6" w:rsidR="00D468AD" w:rsidRDefault="00AB0625">
          <w:pPr>
            <w:pStyle w:val="TDC1"/>
            <w:tabs>
              <w:tab w:val="left" w:pos="660"/>
            </w:tabs>
            <w:rPr>
              <w:rFonts w:asciiTheme="minorHAnsi" w:hAnsiTheme="minorHAnsi"/>
              <w:noProof/>
              <w:szCs w:val="22"/>
            </w:rPr>
          </w:pPr>
          <w:hyperlink w:anchor="_Toc214611284" w:history="1">
            <w:r w:rsidR="00D468AD" w:rsidRPr="00784D1F">
              <w:rPr>
                <w:rStyle w:val="Hipervnculo"/>
                <w:noProof/>
              </w:rPr>
              <w:t>IV.</w:t>
            </w:r>
            <w:r w:rsidR="00D468AD">
              <w:rPr>
                <w:rFonts w:asciiTheme="minorHAnsi" w:hAnsiTheme="minorHAnsi"/>
                <w:noProof/>
                <w:szCs w:val="22"/>
              </w:rPr>
              <w:tab/>
            </w:r>
            <w:r w:rsidR="00D468AD" w:rsidRPr="00784D1F">
              <w:rPr>
                <w:rStyle w:val="Hipervnculo"/>
                <w:noProof/>
              </w:rPr>
              <w:t>Conclusiones.</w:t>
            </w:r>
            <w:r w:rsidR="00D468AD">
              <w:rPr>
                <w:noProof/>
                <w:webHidden/>
              </w:rPr>
              <w:tab/>
            </w:r>
            <w:r w:rsidR="001B538A">
              <w:rPr>
                <w:noProof/>
                <w:webHidden/>
              </w:rPr>
              <w:fldChar w:fldCharType="begin"/>
            </w:r>
            <w:r w:rsidR="00D468AD">
              <w:rPr>
                <w:noProof/>
                <w:webHidden/>
              </w:rPr>
              <w:instrText xml:space="preserve"> PAGEREF _Toc214611284 \h </w:instrText>
            </w:r>
            <w:r w:rsidR="001B538A">
              <w:rPr>
                <w:noProof/>
                <w:webHidden/>
              </w:rPr>
            </w:r>
            <w:r w:rsidR="001B538A">
              <w:rPr>
                <w:noProof/>
                <w:webHidden/>
              </w:rPr>
              <w:fldChar w:fldCharType="separate"/>
            </w:r>
            <w:r w:rsidR="00FD051B">
              <w:rPr>
                <w:noProof/>
                <w:webHidden/>
              </w:rPr>
              <w:t>14</w:t>
            </w:r>
            <w:r w:rsidR="001B538A">
              <w:rPr>
                <w:noProof/>
                <w:webHidden/>
              </w:rPr>
              <w:fldChar w:fldCharType="end"/>
            </w:r>
          </w:hyperlink>
        </w:p>
        <w:p w14:paraId="79139842" w14:textId="77777777" w:rsidR="00E924EF" w:rsidRPr="00E719EF" w:rsidRDefault="001B538A">
          <w:pPr>
            <w:rPr>
              <w:sz w:val="18"/>
              <w:szCs w:val="18"/>
            </w:rPr>
          </w:pPr>
          <w:r w:rsidRPr="00454377">
            <w:rPr>
              <w:b/>
              <w:bCs/>
              <w:sz w:val="18"/>
              <w:szCs w:val="18"/>
            </w:rPr>
            <w:fldChar w:fldCharType="end"/>
          </w:r>
        </w:p>
      </w:sdtContent>
    </w:sdt>
    <w:p w14:paraId="7FC511FC" w14:textId="77777777" w:rsidR="00743995" w:rsidRDefault="00E924EF" w:rsidP="00022692">
      <w:pPr>
        <w:pStyle w:val="Ttulo1"/>
        <w:numPr>
          <w:ilvl w:val="0"/>
          <w:numId w:val="9"/>
        </w:numPr>
      </w:pPr>
      <w:r w:rsidRPr="00E719EF">
        <w:rPr>
          <w:sz w:val="18"/>
          <w:szCs w:val="18"/>
        </w:rPr>
        <w:br w:type="page"/>
      </w:r>
      <w:bookmarkStart w:id="0" w:name="_Toc214611272"/>
      <w:r w:rsidR="005F586A" w:rsidRPr="008B6C8E">
        <w:lastRenderedPageBreak/>
        <w:t>Introducción</w:t>
      </w:r>
      <w:bookmarkEnd w:id="0"/>
    </w:p>
    <w:p w14:paraId="464FF40C" w14:textId="77777777" w:rsidR="00743995" w:rsidRDefault="00743995"/>
    <w:p w14:paraId="045241CF" w14:textId="4337470A" w:rsidR="00015DB5" w:rsidRPr="00561A62" w:rsidRDefault="00EE0B1D" w:rsidP="00015DB5">
      <w:bookmarkStart w:id="1" w:name="_Hlk214960293"/>
      <w:r>
        <w:t>Este</w:t>
      </w:r>
      <w:r w:rsidR="00015DB5" w:rsidRPr="00561A62">
        <w:t xml:space="preserve"> informe recoge los resultados agregados de la evaluación del cumplimiento de las obligaciones de publicidad activa correspondiente a </w:t>
      </w:r>
      <w:r w:rsidR="00681980">
        <w:t>7</w:t>
      </w:r>
      <w:r w:rsidR="005034F6">
        <w:t>7</w:t>
      </w:r>
      <w:r w:rsidR="00681980">
        <w:t xml:space="preserve"> </w:t>
      </w:r>
      <w:r w:rsidR="00015DB5" w:rsidRPr="00561A62">
        <w:t>entidades</w:t>
      </w:r>
      <w:r w:rsidR="00876DA2">
        <w:t>, tanto públicas como privadas,</w:t>
      </w:r>
      <w:r>
        <w:t xml:space="preserve"> </w:t>
      </w:r>
      <w:r w:rsidR="00876DA2">
        <w:t xml:space="preserve">que han sido objeto de una </w:t>
      </w:r>
      <w:r w:rsidR="005034F6">
        <w:t>tercera</w:t>
      </w:r>
      <w:r w:rsidR="00876DA2">
        <w:t xml:space="preserve"> evaluación de cumplimiento</w:t>
      </w:r>
      <w:r w:rsidR="00015DB5" w:rsidRPr="00561A62">
        <w:t>.</w:t>
      </w:r>
    </w:p>
    <w:p w14:paraId="62B366AF" w14:textId="2DC92C47" w:rsidR="006F2D2D" w:rsidRDefault="006F2D2D" w:rsidP="00015DB5">
      <w:r>
        <w:t>El Plan de evaluación 202</w:t>
      </w:r>
      <w:r w:rsidR="005034F6">
        <w:t>5</w:t>
      </w:r>
      <w:r>
        <w:t xml:space="preserve"> incorporó la realización de una tercera evaluación a determinadas entidades </w:t>
      </w:r>
      <w:r w:rsidR="00F60A99">
        <w:t xml:space="preserve">integrantes del Sector Público Institucional Estatal y entidades privadas </w:t>
      </w:r>
      <w:r>
        <w:t xml:space="preserve">que, tras dos evaluaciones, presentaban </w:t>
      </w:r>
      <w:r w:rsidR="00EE0B1D">
        <w:t>í</w:t>
      </w:r>
      <w:r>
        <w:t xml:space="preserve">ndices de </w:t>
      </w:r>
      <w:r w:rsidR="00EE0B1D">
        <w:t>c</w:t>
      </w:r>
      <w:r>
        <w:t xml:space="preserve">umplimiento inferiores al </w:t>
      </w:r>
      <w:r w:rsidR="00406693">
        <w:t>75%</w:t>
      </w:r>
      <w:r w:rsidR="005034F6">
        <w:t xml:space="preserve">. </w:t>
      </w:r>
      <w:r w:rsidR="008069A6">
        <w:t xml:space="preserve">Los resultados de esta evaluación son los que </w:t>
      </w:r>
      <w:r w:rsidR="00353E31">
        <w:t xml:space="preserve">se incluyen en </w:t>
      </w:r>
      <w:r w:rsidR="00EE0B1D">
        <w:t>este</w:t>
      </w:r>
      <w:r w:rsidR="00353E31">
        <w:t xml:space="preserve"> informe.</w:t>
      </w:r>
    </w:p>
    <w:p w14:paraId="1777222A" w14:textId="3CC188ED" w:rsidR="00015DB5" w:rsidRPr="00561A62" w:rsidRDefault="00015DB5" w:rsidP="00015DB5">
      <w:r w:rsidRPr="00561A62">
        <w:t>Para la evaluación del cumplimiento de las obligaciones de publicidad activa se ha aplicado la metodología MESTA</w:t>
      </w:r>
      <w:r w:rsidRPr="00D15F0F">
        <w:rPr>
          <w:rStyle w:val="Refdenotaalpie"/>
        </w:rPr>
        <w:footnoteReference w:id="1"/>
      </w:r>
      <w:r w:rsidRPr="00D15F0F">
        <w:t xml:space="preserve">, </w:t>
      </w:r>
      <w:r w:rsidRPr="00561A62">
        <w:t xml:space="preserve">desarrollada conjuntamente por el </w:t>
      </w:r>
      <w:r w:rsidR="005D0932">
        <w:t>Consejo</w:t>
      </w:r>
      <w:r w:rsidRPr="00561A62">
        <w:t xml:space="preserve"> y la extinguida </w:t>
      </w:r>
      <w:r w:rsidR="005D0932">
        <w:t>Agencia Estatal de Evaluación de las Políticas Públicas y la Calidad de los Servicios (</w:t>
      </w:r>
      <w:r w:rsidRPr="00561A62">
        <w:t>AEVAL</w:t>
      </w:r>
      <w:r w:rsidR="005D0932">
        <w:t>)</w:t>
      </w:r>
      <w:r w:rsidRPr="00561A62">
        <w:t xml:space="preserve">. Se ha analizado el grado de publicación de contenidos </w:t>
      </w:r>
      <w:r w:rsidRPr="00D15F0F">
        <w:t xml:space="preserve">obligatorios, </w:t>
      </w:r>
      <w:r w:rsidRPr="00561A62">
        <w:t>así como el cumplimiento de los criterios en cuanto a la forma de publicación y los atributos de calidad aplicables a la información publicada que establece la L</w:t>
      </w:r>
      <w:r>
        <w:t>ey 19/2013</w:t>
      </w:r>
      <w:r w:rsidR="00970366">
        <w:t>, de 9 de diciembre,</w:t>
      </w:r>
      <w:r>
        <w:t xml:space="preserve"> de </w:t>
      </w:r>
      <w:r w:rsidR="00E71A20">
        <w:t>T</w:t>
      </w:r>
      <w:r>
        <w:t xml:space="preserve">ransparencia, </w:t>
      </w:r>
      <w:r w:rsidR="00E71A20">
        <w:t>A</w:t>
      </w:r>
      <w:r>
        <w:t xml:space="preserve">cceso a la </w:t>
      </w:r>
      <w:r w:rsidR="00E71A20">
        <w:t>I</w:t>
      </w:r>
      <w:r>
        <w:t xml:space="preserve">nformación </w:t>
      </w:r>
      <w:r w:rsidR="00E71A20">
        <w:t>P</w:t>
      </w:r>
      <w:r>
        <w:t xml:space="preserve">ública y </w:t>
      </w:r>
      <w:r w:rsidR="00E71A20">
        <w:t>B</w:t>
      </w:r>
      <w:r>
        <w:t xml:space="preserve">uen </w:t>
      </w:r>
      <w:r w:rsidR="00E71A20">
        <w:t>G</w:t>
      </w:r>
      <w:r>
        <w:t>obierno (L</w:t>
      </w:r>
      <w:r w:rsidRPr="00561A62">
        <w:t>TAIBG</w:t>
      </w:r>
      <w:r>
        <w:t>)</w:t>
      </w:r>
      <w:r w:rsidRPr="00561A62">
        <w:t>. Para ello, se ha efectuado una revisión en profundidad de los portales de transparencia y/o las webs institucionales de las entidades seleccionadas.</w:t>
      </w:r>
    </w:p>
    <w:p w14:paraId="50666FE3" w14:textId="6FF2E37E" w:rsidR="00015DB5" w:rsidRPr="00561A62" w:rsidRDefault="00015DB5" w:rsidP="00015DB5">
      <w:r w:rsidRPr="00561A62">
        <w:t xml:space="preserve">La evaluación del cumplimiento de las obligaciones de publicidad activa se ha realizado con recursos propios del </w:t>
      </w:r>
      <w:r w:rsidR="00AC2C80">
        <w:t>Consejo</w:t>
      </w:r>
      <w:r w:rsidRPr="00561A62">
        <w:t>.</w:t>
      </w:r>
    </w:p>
    <w:p w14:paraId="04DF2E03" w14:textId="387AB043" w:rsidR="009D759A" w:rsidRDefault="00015DB5" w:rsidP="009D759A">
      <w:r w:rsidRPr="00561A62">
        <w:t xml:space="preserve">Los resultados de las evaluaciones se han documentado en </w:t>
      </w:r>
      <w:r w:rsidR="00525C12">
        <w:t>7</w:t>
      </w:r>
      <w:r w:rsidR="005034F6">
        <w:t>7</w:t>
      </w:r>
      <w:r w:rsidRPr="00561A62">
        <w:t xml:space="preserve"> informes, que están publicados en la página </w:t>
      </w:r>
      <w:r w:rsidR="00E71A20">
        <w:t>w</w:t>
      </w:r>
      <w:r w:rsidRPr="00561A62">
        <w:t xml:space="preserve">eb del </w:t>
      </w:r>
      <w:r w:rsidR="00AC2C80">
        <w:t>Consejo</w:t>
      </w:r>
      <w:r w:rsidR="009D759A">
        <w:t>.</w:t>
      </w:r>
    </w:p>
    <w:p w14:paraId="00F4D4B4" w14:textId="77777777" w:rsidR="0047212C" w:rsidRPr="000405C4" w:rsidRDefault="00077CDF" w:rsidP="00077CDF">
      <w:pPr>
        <w:pStyle w:val="Ttulo1"/>
      </w:pPr>
      <w:bookmarkStart w:id="2" w:name="_Toc214611273"/>
      <w:bookmarkEnd w:id="1"/>
      <w:r w:rsidRPr="000405C4">
        <w:t>I</w:t>
      </w:r>
      <w:r w:rsidR="0047212C" w:rsidRPr="000405C4">
        <w:t>I</w:t>
      </w:r>
      <w:r w:rsidRPr="000405C4">
        <w:t>.</w:t>
      </w:r>
      <w:r w:rsidR="0047212C" w:rsidRPr="000405C4">
        <w:t xml:space="preserve"> Alcance de la evaluación.</w:t>
      </w:r>
      <w:bookmarkEnd w:id="2"/>
    </w:p>
    <w:p w14:paraId="4B90A5ED" w14:textId="77777777" w:rsidR="00CE43A8" w:rsidRPr="00CE43A8" w:rsidRDefault="00CE43A8" w:rsidP="00CE43A8"/>
    <w:p w14:paraId="073A5935" w14:textId="77777777" w:rsidR="005F586A" w:rsidRDefault="005A1B1B" w:rsidP="00077CDF">
      <w:pPr>
        <w:pStyle w:val="Ttulo2"/>
      </w:pPr>
      <w:bookmarkStart w:id="3" w:name="_Toc214611274"/>
      <w:r w:rsidRPr="005A1B1B">
        <w:t>II.1 Entidades incluidas en este grupo</w:t>
      </w:r>
      <w:r w:rsidR="006970CE">
        <w:t>.</w:t>
      </w:r>
      <w:bookmarkEnd w:id="3"/>
    </w:p>
    <w:p w14:paraId="647CF89B" w14:textId="77777777" w:rsidR="00015DB5" w:rsidRDefault="00015DB5" w:rsidP="00015DB5"/>
    <w:p w14:paraId="295A2E8C" w14:textId="77777777" w:rsidR="00015DB5" w:rsidRDefault="00015DB5" w:rsidP="00015DB5">
      <w:r w:rsidRPr="00561A62">
        <w:t>Las entidades integrantes de este grupo de sujetos obligados</w:t>
      </w:r>
      <w:r>
        <w:t xml:space="preserve"> que han sido objeto de evaluación</w:t>
      </w:r>
      <w:r w:rsidRPr="00561A62">
        <w:t xml:space="preserve"> son las siguientes:</w:t>
      </w:r>
    </w:p>
    <w:tbl>
      <w:tblPr>
        <w:tblStyle w:val="Listaclara-nfasis61"/>
        <w:tblW w:w="4771" w:type="pct"/>
        <w:tblBorders>
          <w:top w:val="single" w:sz="8" w:space="0" w:color="438086"/>
          <w:left w:val="single" w:sz="8" w:space="0" w:color="438086"/>
          <w:bottom w:val="single" w:sz="8" w:space="0" w:color="438086"/>
          <w:right w:val="single" w:sz="8" w:space="0" w:color="438086"/>
          <w:insideH w:val="single" w:sz="8" w:space="0" w:color="43808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6702"/>
      </w:tblGrid>
      <w:tr w:rsidR="00403203" w:rsidRPr="00FC2244" w14:paraId="2C49CED5" w14:textId="77777777" w:rsidTr="00BF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tcBorders>
              <w:bottom w:val="single" w:sz="8" w:space="0" w:color="5C92B5"/>
            </w:tcBorders>
            <w:shd w:val="clear" w:color="auto" w:fill="438086"/>
          </w:tcPr>
          <w:p w14:paraId="03B87B58" w14:textId="77777777" w:rsidR="001E498D" w:rsidRPr="00FC2244" w:rsidRDefault="001E498D" w:rsidP="00AD27BB">
            <w:pPr>
              <w:jc w:val="center"/>
              <w:rPr>
                <w:rFonts w:eastAsia="Times New Roman" w:cs="Calibri"/>
                <w:b w:val="0"/>
                <w:sz w:val="18"/>
                <w:szCs w:val="18"/>
              </w:rPr>
            </w:pPr>
            <w:r w:rsidRPr="00FC2244">
              <w:rPr>
                <w:rFonts w:eastAsia="Times New Roman" w:cs="Calibri"/>
                <w:b w:val="0"/>
                <w:bCs w:val="0"/>
                <w:sz w:val="18"/>
                <w:szCs w:val="18"/>
              </w:rPr>
              <w:t>Grupo</w:t>
            </w:r>
          </w:p>
        </w:tc>
        <w:tc>
          <w:tcPr>
            <w:tcW w:w="3880" w:type="pct"/>
            <w:tcBorders>
              <w:bottom w:val="single" w:sz="8" w:space="0" w:color="5C92B5"/>
            </w:tcBorders>
            <w:shd w:val="clear" w:color="auto" w:fill="438086"/>
            <w:noWrap/>
            <w:hideMark/>
          </w:tcPr>
          <w:p w14:paraId="57608136" w14:textId="77777777" w:rsidR="001E498D" w:rsidRPr="00FC2244" w:rsidRDefault="001E498D" w:rsidP="00AD27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sz w:val="18"/>
                <w:szCs w:val="18"/>
              </w:rPr>
            </w:pPr>
            <w:r w:rsidRPr="00FC2244">
              <w:rPr>
                <w:rFonts w:eastAsia="Times New Roman" w:cs="Calibri"/>
                <w:b w:val="0"/>
                <w:bCs w:val="0"/>
                <w:sz w:val="18"/>
                <w:szCs w:val="18"/>
              </w:rPr>
              <w:t>Entidad</w:t>
            </w:r>
          </w:p>
        </w:tc>
      </w:tr>
      <w:tr w:rsidR="00BF4962" w:rsidRPr="00FC2244" w14:paraId="13D63CE7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 w:val="restart"/>
          </w:tcPr>
          <w:p w14:paraId="26908F8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FC2244">
              <w:rPr>
                <w:rFonts w:ascii="Century Gothic" w:eastAsia="Times New Roman" w:hAnsi="Century Gothic" w:cs="Calibri"/>
                <w:sz w:val="18"/>
                <w:szCs w:val="18"/>
              </w:rPr>
              <w:t>Sector Público Institucional</w:t>
            </w:r>
          </w:p>
        </w:tc>
        <w:tc>
          <w:tcPr>
            <w:tcW w:w="3880" w:type="pct"/>
            <w:noWrap/>
            <w:vAlign w:val="bottom"/>
          </w:tcPr>
          <w:p w14:paraId="12DF1932" w14:textId="0AF5E351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onsejo Superior de Investigaciones Científicas</w:t>
            </w:r>
          </w:p>
        </w:tc>
      </w:tr>
      <w:tr w:rsidR="00BF4962" w:rsidRPr="00FC2244" w14:paraId="5CF80271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CEB2411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3D351DB" w14:textId="084D3933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onfederación </w:t>
            </w: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H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idrográfica del</w:t>
            </w: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Tajo</w:t>
            </w:r>
          </w:p>
        </w:tc>
      </w:tr>
      <w:tr w:rsidR="00BF4962" w:rsidRPr="00FC2244" w14:paraId="17CF9A2F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3182989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A25D0FE" w14:textId="53E46B7F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utoridad </w:t>
            </w: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P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ortuaria</w:t>
            </w: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Barcelona</w:t>
            </w:r>
          </w:p>
        </w:tc>
      </w:tr>
      <w:tr w:rsidR="00BF4962" w:rsidRPr="00FC2244" w14:paraId="5864C6D7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25AC4E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F41BFB8" w14:textId="306D4A8B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utualidad General Judicial</w:t>
            </w:r>
          </w:p>
        </w:tc>
      </w:tr>
      <w:tr w:rsidR="00BF4962" w:rsidRPr="00FC2244" w14:paraId="2E760A18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2D2D0D8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46C012E" w14:textId="26927AEB" w:rsidR="00BF4962" w:rsidRPr="005034F6" w:rsidRDefault="008017A1" w:rsidP="005034F6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Autoridad Portuaria</w:t>
            </w:r>
            <w:r w:rsidR="00BF4962"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Sevilla</w:t>
            </w:r>
          </w:p>
        </w:tc>
      </w:tr>
      <w:tr w:rsidR="00BF4962" w:rsidRPr="00FC2244" w14:paraId="54C3EE1C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016E000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7403E70E" w14:textId="42A307D5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gencia Estatal de Seguridad Aérea</w:t>
            </w:r>
          </w:p>
        </w:tc>
      </w:tr>
      <w:tr w:rsidR="00BF4962" w:rsidRPr="00FC2244" w14:paraId="16BE8215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B928E7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06FA94B" w14:textId="5AC5FF05" w:rsidR="00BF4962" w:rsidRPr="005034F6" w:rsidRDefault="00BF4962" w:rsidP="005034F6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onsorcio Zona Franca de</w:t>
            </w:r>
            <w:r w:rsidRPr="005034F6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Barcelona</w:t>
            </w:r>
          </w:p>
        </w:tc>
      </w:tr>
      <w:tr w:rsidR="00BF4962" w:rsidRPr="00FC2244" w14:paraId="6ED1E840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25911F5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B6B4F66" w14:textId="1F5C731C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Mutua de Andaluc</w:t>
            </w:r>
            <w:r w:rsidR="00AC2C80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í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</w:t>
            </w:r>
          </w:p>
        </w:tc>
      </w:tr>
      <w:tr w:rsidR="00BF4962" w:rsidRPr="00FC2244" w14:paraId="1F2BF2A0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05C7C42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5BBDE5F6" w14:textId="6204F58D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Gerencia de Infraestructuras y Equipamientos de la Seguridad del Estado</w:t>
            </w:r>
          </w:p>
        </w:tc>
      </w:tr>
      <w:tr w:rsidR="00BF4962" w:rsidRPr="00FC2244" w14:paraId="6990B8D1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40798F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62837E4A" w14:textId="33DE9779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nstituto Nacional de Administración Pública</w:t>
            </w:r>
          </w:p>
        </w:tc>
      </w:tr>
      <w:tr w:rsidR="00BF4962" w:rsidRPr="00FC2244" w14:paraId="17951AF8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00F2541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10152E12" w14:textId="0472D2D3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Consorcio Zona Franca de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Vigo</w:t>
            </w:r>
          </w:p>
        </w:tc>
      </w:tr>
      <w:tr w:rsidR="00BF4962" w:rsidRPr="00FC2244" w14:paraId="631984D6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4E3858E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62B8B58B" w14:textId="322C7762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rganización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N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acional de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T</w:t>
            </w:r>
            <w:r w:rsid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ransplantes</w:t>
            </w:r>
            <w:proofErr w:type="spellEnd"/>
          </w:p>
        </w:tc>
      </w:tr>
      <w:tr w:rsidR="00BF4962" w:rsidRPr="00FC2244" w14:paraId="2317827A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650A02CC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C1A2C04" w14:textId="7D3D2DC2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omisionado Mercado de Tabacos</w:t>
            </w:r>
          </w:p>
        </w:tc>
      </w:tr>
      <w:tr w:rsidR="00BF4962" w:rsidRPr="00FC2244" w14:paraId="5FB633F9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57F540C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</w:tcPr>
          <w:p w14:paraId="76C431C4" w14:textId="3628BB59" w:rsidR="00BF4962" w:rsidRPr="00FC2244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Confederación Hidrográfica 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Ebro</w:t>
            </w:r>
          </w:p>
        </w:tc>
      </w:tr>
      <w:tr w:rsidR="00BF4962" w:rsidRPr="00FC2244" w14:paraId="4E40FE43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6BF4B664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2605F97D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Casa América</w:t>
            </w:r>
          </w:p>
        </w:tc>
      </w:tr>
      <w:tr w:rsidR="00BF4962" w:rsidRPr="00FC2244" w14:paraId="10824E69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2E671F9E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534AA9E" w14:textId="14A10C7C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gencia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satatal</w:t>
            </w:r>
            <w:proofErr w:type="spellEnd"/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de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ooperación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nternacional para el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D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esarrollo</w:t>
            </w:r>
          </w:p>
        </w:tc>
      </w:tr>
      <w:tr w:rsidR="00BF4962" w:rsidRPr="00FC2244" w14:paraId="0EC8EFF0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206D1E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0AAFA13A" w14:textId="0DC13E96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Confederación Hidrográfica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Segura</w:t>
            </w:r>
          </w:p>
        </w:tc>
      </w:tr>
      <w:tr w:rsidR="00BF4962" w:rsidRPr="00FC2244" w14:paraId="7FEF2A43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4DA970B3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78556ACD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Patrimonio Nacional</w:t>
            </w:r>
          </w:p>
        </w:tc>
      </w:tr>
      <w:tr w:rsidR="00BF4962" w:rsidRPr="00FC2244" w14:paraId="6201CC71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15354CD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8D1C1BA" w14:textId="794968C5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Autoridad Portuaria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Almería</w:t>
            </w:r>
          </w:p>
        </w:tc>
      </w:tr>
      <w:tr w:rsidR="00BF4962" w:rsidRPr="00FC2244" w14:paraId="1D9DC8AF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A0CFD03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F5366DB" w14:textId="7F1C8676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B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iblioteca Nacional de España</w:t>
            </w:r>
          </w:p>
        </w:tc>
      </w:tr>
      <w:tr w:rsidR="00BF4962" w:rsidRPr="00FC2244" w14:paraId="5AFB73F5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928B55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9C1CDA8" w14:textId="0FC0B493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useo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N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acional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entro de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rte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R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eina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ofía</w:t>
            </w:r>
          </w:p>
        </w:tc>
      </w:tr>
      <w:tr w:rsidR="00BF4962" w:rsidRPr="00FC2244" w14:paraId="656422DD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B9C543E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758D159" w14:textId="55C8C20C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Real Patronato de</w:t>
            </w:r>
            <w:r w:rsidR="00AC2C80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Discapacidad</w:t>
            </w:r>
          </w:p>
        </w:tc>
      </w:tr>
      <w:tr w:rsidR="00BF4962" w:rsidRPr="00FC2244" w14:paraId="1DD7FCDF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D9A68D4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7B4601D" w14:textId="4EED0A8E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Autoridad Portuaria 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Santander</w:t>
            </w:r>
          </w:p>
        </w:tc>
      </w:tr>
      <w:tr w:rsidR="00BF4962" w:rsidRPr="00FC2244" w14:paraId="2C52AD49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020CC3AB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EBB23A1" w14:textId="1F7149EE" w:rsidR="00BF4962" w:rsidRPr="00B4473C" w:rsidRDefault="008017A1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Autoridad Portuaria </w:t>
            </w:r>
            <w:r w:rsidR="00BF4962"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Marín</w:t>
            </w:r>
          </w:p>
        </w:tc>
      </w:tr>
      <w:tr w:rsidR="00BF4962" w:rsidRPr="00FC2244" w14:paraId="72E863DF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ACE932C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61F0EE07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Renfe operadora</w:t>
            </w:r>
          </w:p>
        </w:tc>
      </w:tr>
      <w:tr w:rsidR="00BF4962" w:rsidRPr="00FC2244" w14:paraId="237EAD89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584C6057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518CD0A" w14:textId="627A0F3A" w:rsidR="00BF4962" w:rsidRPr="00B4473C" w:rsidRDefault="00115009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Trabajo Penitenciario y Formación para el Empleo</w:t>
            </w:r>
          </w:p>
        </w:tc>
      </w:tr>
      <w:tr w:rsidR="00BF4962" w:rsidRPr="00FC2244" w14:paraId="67DA6BFF" w14:textId="77777777" w:rsidTr="0050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DD41D63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5D7836C8" w14:textId="4F17F0F2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entro de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studios </w:t>
            </w: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J</w:t>
            </w:r>
            <w:r w:rsid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urídicos</w:t>
            </w:r>
          </w:p>
        </w:tc>
      </w:tr>
      <w:tr w:rsidR="00BF4962" w:rsidRPr="00FC2244" w14:paraId="6C1ED9EA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416E1191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6A4D226" w14:textId="5388217B" w:rsidR="00BF4962" w:rsidRPr="00B4473C" w:rsidRDefault="00115009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115009">
              <w:rPr>
                <w:rFonts w:ascii="Century Gothic" w:eastAsia="Calibri" w:hAnsi="Century Gothic" w:cs="Times New Roman"/>
                <w:sz w:val="18"/>
                <w:szCs w:val="18"/>
              </w:rPr>
              <w:t>Agencia de Información y Control Alimentarios</w:t>
            </w:r>
          </w:p>
        </w:tc>
      </w:tr>
      <w:tr w:rsidR="00BF4962" w:rsidRPr="00FC2244" w14:paraId="18B00B54" w14:textId="77777777" w:rsidTr="00BF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69AC53D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</w:tcPr>
          <w:p w14:paraId="2A8DB045" w14:textId="74C78BC3" w:rsidR="00BF4962" w:rsidRPr="00FC2244" w:rsidRDefault="0008714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087142">
              <w:rPr>
                <w:rFonts w:ascii="Century Gothic" w:eastAsia="Calibri" w:hAnsi="Century Gothic" w:cs="Times New Roman"/>
                <w:sz w:val="18"/>
                <w:szCs w:val="18"/>
              </w:rPr>
              <w:t>Instituto Nacional de Investigación y Tecnología Agraria y Alimentaria </w:t>
            </w:r>
          </w:p>
        </w:tc>
      </w:tr>
      <w:tr w:rsidR="00BF4962" w:rsidRPr="00FC2244" w14:paraId="34B0E5BC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34AF5B33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64A8A85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Casa Mediterráneo</w:t>
            </w:r>
          </w:p>
        </w:tc>
      </w:tr>
      <w:tr w:rsidR="00BF4962" w:rsidRPr="00FC2244" w14:paraId="30F2926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016A39D6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633986BB" w14:textId="36B87D51" w:rsidR="00BF4962" w:rsidRPr="00BF4962" w:rsidRDefault="00115009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115009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Consorcio Zona Franca de</w:t>
            </w:r>
            <w:r w:rsidR="00BF4962"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Gran Canaria</w:t>
            </w:r>
          </w:p>
        </w:tc>
      </w:tr>
      <w:tr w:rsidR="00BF4962" w:rsidRPr="00FC2244" w14:paraId="206F6650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64E7FA0C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2707CC5" w14:textId="18D1C129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</w:t>
            </w:r>
            <w:r w:rsidR="0008714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entro </w:t>
            </w: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N</w:t>
            </w:r>
            <w:r w:rsidR="0008714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acional</w:t>
            </w: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Hidrógeno</w:t>
            </w:r>
          </w:p>
        </w:tc>
      </w:tr>
      <w:tr w:rsidR="00BF4962" w:rsidRPr="00FC2244" w14:paraId="0AB646E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6CB4CF3F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6F7F88F6" w14:textId="66E140A4" w:rsidR="00BF4962" w:rsidRPr="00BF4962" w:rsidRDefault="0008714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08714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Centro de Investigación Biomédica en Red</w:t>
            </w:r>
          </w:p>
        </w:tc>
      </w:tr>
      <w:tr w:rsidR="00BF4962" w:rsidRPr="00FC2244" w14:paraId="4B10B4FE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0DCB8176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3324869" w14:textId="3DBCA992" w:rsidR="00BF4962" w:rsidRPr="00BF4962" w:rsidRDefault="008017A1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Autoridad Portuaria </w:t>
            </w:r>
            <w:r w:rsidR="00BF4962"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Baleares</w:t>
            </w:r>
          </w:p>
        </w:tc>
      </w:tr>
      <w:tr w:rsidR="00BF4962" w:rsidRPr="00FC2244" w14:paraId="3CDC3931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AFC4DBD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1C3F20DB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UNED Vitoria</w:t>
            </w:r>
          </w:p>
        </w:tc>
      </w:tr>
      <w:tr w:rsidR="00BF4962" w:rsidRPr="00FC2244" w14:paraId="6D044351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678AD927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4B98A87" w14:textId="118F840C" w:rsidR="00BF4962" w:rsidRPr="00BF4962" w:rsidRDefault="0008714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08714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Sistema de Observación y Predicción Costero de las Illes Balears</w:t>
            </w:r>
          </w:p>
        </w:tc>
      </w:tr>
      <w:tr w:rsidR="00BF4962" w:rsidRPr="00FC2244" w14:paraId="39E4DFAD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797784E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68EF282B" w14:textId="4BACF807" w:rsidR="00BF4962" w:rsidRPr="00BF4962" w:rsidRDefault="008017A1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8017A1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Autoridad Portuaria </w:t>
            </w:r>
            <w:r w:rsidR="00BF4962"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Ferrol</w:t>
            </w:r>
          </w:p>
        </w:tc>
      </w:tr>
      <w:tr w:rsidR="00BF4962" w:rsidRPr="00FC2244" w14:paraId="28B29DF5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C65B276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47C1EB4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A.I. ABRA Industrial</w:t>
            </w:r>
          </w:p>
        </w:tc>
      </w:tr>
      <w:tr w:rsidR="00BF4962" w:rsidRPr="00FC2244" w14:paraId="017FE7F3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67628D2E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ACEFAFF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Logroño Integración del Ferrocarril</w:t>
            </w:r>
          </w:p>
        </w:tc>
      </w:tr>
      <w:tr w:rsidR="00BF4962" w:rsidRPr="00FC2244" w14:paraId="19ECE24A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22F20A8E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A8BA2AF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INNVIERTE Economía Sostenible</w:t>
            </w:r>
          </w:p>
        </w:tc>
      </w:tr>
      <w:tr w:rsidR="00BF4962" w:rsidRPr="00FC2244" w14:paraId="25055D82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2FB1F06C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58613A45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Museo Nacional del Prado Difusión</w:t>
            </w:r>
          </w:p>
        </w:tc>
      </w:tr>
      <w:tr w:rsidR="00BF4962" w:rsidRPr="00FC2244" w14:paraId="4398021D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59E1020B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28183438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Hipódromo de la Zarzuela SA, SME</w:t>
            </w:r>
          </w:p>
        </w:tc>
      </w:tr>
      <w:tr w:rsidR="00BF4962" w:rsidRPr="00FC2244" w14:paraId="600187B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3995EE19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7DC0D92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Desarrollos Empresariales de la Zona Franca de Cádiz</w:t>
            </w:r>
          </w:p>
        </w:tc>
      </w:tr>
      <w:tr w:rsidR="00BF4962" w:rsidRPr="00FC2244" w14:paraId="512E4CBA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35C10E24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A48428F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SERVIPORT Andalucía</w:t>
            </w:r>
          </w:p>
        </w:tc>
      </w:tr>
      <w:tr w:rsidR="00BF4962" w:rsidRPr="00FC2244" w14:paraId="227E123A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842612C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2596BA84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REDALSA</w:t>
            </w:r>
          </w:p>
        </w:tc>
      </w:tr>
      <w:tr w:rsidR="00BF4962" w:rsidRPr="00FC2244" w14:paraId="09DF7BBB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598DFE5B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3763C73F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MERCASA</w:t>
            </w:r>
          </w:p>
        </w:tc>
      </w:tr>
      <w:tr w:rsidR="00BF4962" w:rsidRPr="00FC2244" w14:paraId="5C61C1DF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D9A5F1E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063FE5DB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EMGRISA</w:t>
            </w:r>
          </w:p>
        </w:tc>
      </w:tr>
      <w:tr w:rsidR="00BF4962" w:rsidRPr="00FC2244" w14:paraId="78D151CF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2D577482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F1D79AB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SECEGSA</w:t>
            </w:r>
          </w:p>
        </w:tc>
      </w:tr>
      <w:tr w:rsidR="00BF4962" w:rsidRPr="00FC2244" w14:paraId="4AC39766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113C775A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57BB62A1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UIMP Campo de Gibraltar</w:t>
            </w:r>
          </w:p>
        </w:tc>
      </w:tr>
      <w:tr w:rsidR="00BF4962" w:rsidRPr="00FC2244" w14:paraId="5055998E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4C9406E2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65D8FC58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Centro Nacional del Vidrio</w:t>
            </w:r>
          </w:p>
        </w:tc>
      </w:tr>
      <w:tr w:rsidR="00BF4962" w:rsidRPr="00FC2244" w14:paraId="17678AD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EF0B167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2D2ADEE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Teatro Real</w:t>
            </w:r>
          </w:p>
        </w:tc>
      </w:tr>
      <w:tr w:rsidR="00BF4962" w:rsidRPr="00FC2244" w14:paraId="52121B6D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A46D616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A9004BA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Lázaro Galdiano</w:t>
            </w:r>
          </w:p>
        </w:tc>
      </w:tr>
      <w:tr w:rsidR="00BF4962" w:rsidRPr="00FC2244" w14:paraId="6601F5F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1BB305DB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DF4738E" w14:textId="77777777" w:rsidR="00BF4962" w:rsidRPr="00BF4962" w:rsidRDefault="00BF4962" w:rsidP="00BF4962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proofErr w:type="spellStart"/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Vipar</w:t>
            </w:r>
            <w:proofErr w:type="spellEnd"/>
            <w:r w:rsidRPr="00BF496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Parque Empresarial</w:t>
            </w:r>
          </w:p>
        </w:tc>
      </w:tr>
      <w:tr w:rsidR="00BF4962" w:rsidRPr="00FC2244" w14:paraId="5497A294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 w:val="restart"/>
            <w:tcBorders>
              <w:top w:val="single" w:sz="8" w:space="0" w:color="5C92B5"/>
              <w:bottom w:val="single" w:sz="8" w:space="0" w:color="5C92B5"/>
            </w:tcBorders>
          </w:tcPr>
          <w:p w14:paraId="7446B7DC" w14:textId="77777777" w:rsidR="00BF4962" w:rsidRPr="00FC2244" w:rsidRDefault="00BF4962" w:rsidP="001E498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FC2244">
              <w:rPr>
                <w:rFonts w:ascii="Century Gothic" w:eastAsia="Times New Roman" w:hAnsi="Century Gothic" w:cs="Calibri"/>
                <w:sz w:val="18"/>
                <w:szCs w:val="18"/>
              </w:rPr>
              <w:t>Sujetos Privados</w:t>
            </w: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</w:tcPr>
          <w:p w14:paraId="580861AA" w14:textId="77777777" w:rsidR="00BF4962" w:rsidRPr="00FC2244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Márgenes y Vínculos</w:t>
            </w:r>
          </w:p>
        </w:tc>
      </w:tr>
      <w:tr w:rsidR="00BF4962" w:rsidRPr="00FC2244" w14:paraId="57C0C740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844F037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67C04FC3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Ayuda en Acción</w:t>
            </w:r>
          </w:p>
        </w:tc>
      </w:tr>
      <w:tr w:rsidR="00BF4962" w:rsidRPr="00FC2244" w14:paraId="030D9C43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9A8D32B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7CB9E831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Federación Española de Taekwondo</w:t>
            </w:r>
          </w:p>
        </w:tc>
      </w:tr>
      <w:tr w:rsidR="00BF4962" w:rsidRPr="00FC2244" w14:paraId="40A3FA60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3C305E94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26A91C00" w14:textId="27802621" w:rsidR="00BF4962" w:rsidRPr="00B4473C" w:rsidRDefault="0008714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087142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Confederación Española de Organizaciones Empresariales</w:t>
            </w:r>
          </w:p>
        </w:tc>
      </w:tr>
      <w:tr w:rsidR="00BF4962" w:rsidRPr="00FC2244" w14:paraId="298A61C7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6DC90E90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5409469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ACERINOX</w:t>
            </w:r>
          </w:p>
        </w:tc>
      </w:tr>
      <w:tr w:rsidR="00BF4962" w:rsidRPr="00FC2244" w14:paraId="0DE2729D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3CD5DCC5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383445C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Telefónica de España</w:t>
            </w:r>
          </w:p>
        </w:tc>
      </w:tr>
      <w:tr w:rsidR="00BF4962" w:rsidRPr="00FC2244" w14:paraId="33CCA1EB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4353A7C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</w:tcPr>
          <w:p w14:paraId="7B598191" w14:textId="77777777" w:rsidR="00BF4962" w:rsidRPr="00FC2244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Federación de Entidades Religiosas Evangélicas de España</w:t>
            </w:r>
          </w:p>
        </w:tc>
      </w:tr>
      <w:tr w:rsidR="00BF4962" w:rsidRPr="00FC2244" w14:paraId="127F600F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C6C9328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C5636C0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TÉCNICAS REUNIDAS</w:t>
            </w:r>
          </w:p>
        </w:tc>
      </w:tr>
      <w:tr w:rsidR="00BF4962" w:rsidRPr="00FC2244" w14:paraId="4DA2EEB6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3B94E01D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9668902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Ferroglobe</w:t>
            </w:r>
            <w:proofErr w:type="spellEnd"/>
          </w:p>
        </w:tc>
      </w:tr>
      <w:tr w:rsidR="00BF4962" w:rsidRPr="00FC2244" w14:paraId="216D4607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7EACA5EA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065EE21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Asociación Empresarial de Acuicultura de España (APROMAR)</w:t>
            </w:r>
          </w:p>
        </w:tc>
      </w:tr>
      <w:tr w:rsidR="00BF4962" w:rsidRPr="00FC2244" w14:paraId="432AB02C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8242C71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</w:tcPr>
          <w:p w14:paraId="1EC9EA35" w14:textId="77777777" w:rsidR="00BF4962" w:rsidRPr="00FC2244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AIR EUROPA</w:t>
            </w:r>
          </w:p>
        </w:tc>
      </w:tr>
      <w:tr w:rsidR="00BF4962" w:rsidRPr="00FC2244" w14:paraId="47F50ECD" w14:textId="77777777" w:rsidTr="004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7B5554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</w:tcPr>
          <w:p w14:paraId="6296A2EB" w14:textId="77777777" w:rsidR="00BF4962" w:rsidRPr="00FC2244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MEGASA Siderúrgica, S.L.</w:t>
            </w:r>
          </w:p>
        </w:tc>
      </w:tr>
      <w:tr w:rsidR="00BF4962" w:rsidRPr="00FC2244" w14:paraId="19D2D3F9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F45AADD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EB89256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Fundación Naturaleza y Hombre</w:t>
            </w:r>
          </w:p>
        </w:tc>
      </w:tr>
      <w:tr w:rsidR="00BF4962" w:rsidRPr="00FC2244" w14:paraId="4C6869E3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81AAC0E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4247828E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Universidad Camilo José Cela</w:t>
            </w:r>
          </w:p>
        </w:tc>
      </w:tr>
      <w:tr w:rsidR="00BF4962" w:rsidRPr="00FC2244" w14:paraId="4F03A3DD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5CB2FD4F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59ACA35A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UBE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Corporation</w:t>
            </w:r>
            <w:proofErr w:type="spellEnd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Europe</w:t>
            </w:r>
            <w:proofErr w:type="spellEnd"/>
          </w:p>
        </w:tc>
      </w:tr>
      <w:tr w:rsidR="00BF4962" w:rsidRPr="00FC2244" w14:paraId="129263B4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59B22BE7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234B15DC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Sidenor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Forgings&amp;Castings</w:t>
            </w:r>
            <w:proofErr w:type="spellEnd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F4962" w:rsidRPr="00FC2244" w14:paraId="407FD8A7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1507AE8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62BE7AF4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 xml:space="preserve">SOFIDEL </w:t>
            </w:r>
            <w:proofErr w:type="spellStart"/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Spain</w:t>
            </w:r>
            <w:proofErr w:type="spellEnd"/>
          </w:p>
        </w:tc>
      </w:tr>
      <w:tr w:rsidR="00BF4962" w:rsidRPr="00FC2244" w14:paraId="5962CE3E" w14:textId="77777777" w:rsidTr="0040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03A75BBC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</w:tcPr>
          <w:p w14:paraId="4676DF56" w14:textId="77777777" w:rsidR="00BF4962" w:rsidRPr="00FC2244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Barna Steel</w:t>
            </w:r>
          </w:p>
        </w:tc>
      </w:tr>
      <w:tr w:rsidR="00BF4962" w:rsidRPr="00FC2244" w14:paraId="77D19A54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3E8EFEDC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0ED40BB3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Federación Católica Española de Servicios a la Juventud Femenina</w:t>
            </w:r>
          </w:p>
        </w:tc>
      </w:tr>
      <w:tr w:rsidR="00BF4962" w:rsidRPr="00FC2244" w14:paraId="07C3B77E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3F1A9395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99C99C3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ADAMO Telecom Iberia</w:t>
            </w:r>
          </w:p>
        </w:tc>
      </w:tr>
      <w:tr w:rsidR="00BF4962" w:rsidRPr="00FC2244" w14:paraId="48DC60B7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A6314BE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461FB12A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SAMPOL Ingeniería y obras</w:t>
            </w:r>
          </w:p>
        </w:tc>
      </w:tr>
      <w:tr w:rsidR="00BF4962" w:rsidRPr="00FC2244" w14:paraId="35114F0C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497718C2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78FDA0DE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Industrias de Tecnologías Aplicadas de Refrigeración y Conservación, SL (INTARCON)</w:t>
            </w:r>
          </w:p>
        </w:tc>
      </w:tr>
      <w:tr w:rsidR="00BF4962" w:rsidRPr="00FC2244" w14:paraId="0E3D5902" w14:textId="77777777" w:rsidTr="00BF49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  <w:tcBorders>
              <w:top w:val="single" w:sz="8" w:space="0" w:color="5C92B5"/>
              <w:bottom w:val="single" w:sz="8" w:space="0" w:color="5C92B5"/>
            </w:tcBorders>
          </w:tcPr>
          <w:p w14:paraId="74125680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tcBorders>
              <w:top w:val="single" w:sz="8" w:space="0" w:color="5C92B5"/>
              <w:bottom w:val="single" w:sz="8" w:space="0" w:color="5C92B5"/>
            </w:tcBorders>
            <w:noWrap/>
            <w:vAlign w:val="bottom"/>
          </w:tcPr>
          <w:p w14:paraId="7E8D4FDA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Asociación Productores Mejillón de Galicia</w:t>
            </w:r>
          </w:p>
        </w:tc>
      </w:tr>
      <w:tr w:rsidR="00BF4962" w:rsidRPr="00FC2244" w14:paraId="26019EE3" w14:textId="77777777" w:rsidTr="00F60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vMerge/>
          </w:tcPr>
          <w:p w14:paraId="628C4A1C" w14:textId="77777777" w:rsidR="00BF4962" w:rsidRPr="00FC2244" w:rsidRDefault="00BF4962" w:rsidP="001E498D">
            <w:pPr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3880" w:type="pct"/>
            <w:noWrap/>
            <w:vAlign w:val="bottom"/>
          </w:tcPr>
          <w:p w14:paraId="3B0410B4" w14:textId="77777777" w:rsidR="00BF4962" w:rsidRPr="00B4473C" w:rsidRDefault="00BF4962" w:rsidP="00B4473C">
            <w:pPr>
              <w:numPr>
                <w:ilvl w:val="0"/>
                <w:numId w:val="12"/>
              </w:num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</w:pPr>
            <w:r w:rsidRPr="00B4473C">
              <w:rPr>
                <w:rFonts w:ascii="Century Gothic" w:eastAsia="Calibri" w:hAnsi="Century Gothic" w:cs="Times New Roman"/>
                <w:sz w:val="18"/>
                <w:szCs w:val="18"/>
                <w:lang w:val="es-ES_tradnl"/>
              </w:rPr>
              <w:t>Smurfit Kappa Nervión</w:t>
            </w:r>
          </w:p>
        </w:tc>
      </w:tr>
    </w:tbl>
    <w:p w14:paraId="2739279C" w14:textId="77777777" w:rsidR="00A45A61" w:rsidRDefault="00A45A61" w:rsidP="00015DB5"/>
    <w:p w14:paraId="56B1478A" w14:textId="77777777" w:rsidR="00CE43A8" w:rsidRPr="00CE43A8" w:rsidRDefault="00CE43A8" w:rsidP="00077CDF">
      <w:pPr>
        <w:pStyle w:val="Ttulo2"/>
      </w:pPr>
      <w:bookmarkStart w:id="4" w:name="_Toc214611275"/>
      <w:r w:rsidRPr="00CE43A8">
        <w:t>II.2 Delimitación de las obligaciones de publicidad activa aplicables</w:t>
      </w:r>
      <w:r w:rsidR="00AD02E4">
        <w:t>.</w:t>
      </w:r>
      <w:bookmarkEnd w:id="4"/>
    </w:p>
    <w:p w14:paraId="6A1257FD" w14:textId="77777777" w:rsidR="00077CDF" w:rsidRDefault="00077CDF" w:rsidP="00CE43A8"/>
    <w:p w14:paraId="5CC68376" w14:textId="126AC775" w:rsidR="00367F5F" w:rsidRDefault="00015DB5" w:rsidP="00367F5F">
      <w:r w:rsidRPr="00561A62">
        <w:t>El alcance de la evaluación se ha definido en función de las obligaciones de publicidad activa que son aplicables</w:t>
      </w:r>
      <w:r w:rsidR="00AD02E4">
        <w:t>,</w:t>
      </w:r>
      <w:r w:rsidR="00FD00ED">
        <w:t xml:space="preserve"> </w:t>
      </w:r>
      <w:r>
        <w:t>según la LTAIBG</w:t>
      </w:r>
      <w:r w:rsidR="00AD02E4">
        <w:t>,</w:t>
      </w:r>
      <w:r w:rsidR="00FD00ED">
        <w:t xml:space="preserve"> </w:t>
      </w:r>
      <w:r w:rsidRPr="00561A62">
        <w:t xml:space="preserve">a </w:t>
      </w:r>
      <w:r w:rsidR="0036144E">
        <w:t>los distintos grupos de sujetos obligados</w:t>
      </w:r>
      <w:r w:rsidRPr="00561A62">
        <w:t xml:space="preserve">. </w:t>
      </w:r>
      <w:r w:rsidR="00367F5F">
        <w:t>La LTAIBG establece diferentes obligaciones de publicidad activa según la naturaleza de las entidades incluidas en su ámbito subjetivo de aplicación.</w:t>
      </w:r>
    </w:p>
    <w:p w14:paraId="46AE3E0D" w14:textId="6BCE3B4D" w:rsidR="00367F5F" w:rsidRDefault="00367F5F" w:rsidP="00367F5F">
      <w:r>
        <w:lastRenderedPageBreak/>
        <w:t>Así, por ejemplo, la publicación de información relativa a planificación o la información estadística sobre el grado de cumplimiento y calidad de los servicios que prestan solo resulta aplicable a aquellas entidades que tienen la consideración de administraciones públicas a efectos de aplicación de la LTAIBG –la</w:t>
      </w:r>
      <w:r w:rsidR="00AD02E4">
        <w:t>s</w:t>
      </w:r>
      <w:r>
        <w:t xml:space="preserve"> entidades contempladas en las letras a) a d) del artículo 2.1</w:t>
      </w:r>
      <w:r w:rsidR="00207D64">
        <w:t>–</w:t>
      </w:r>
      <w:r>
        <w:t xml:space="preserve">. </w:t>
      </w:r>
    </w:p>
    <w:p w14:paraId="258F600D" w14:textId="77777777" w:rsidR="00015DB5" w:rsidRDefault="00367F5F" w:rsidP="00367F5F">
      <w:r>
        <w:t>El siguiente cuadro recoge las obligaciones de publicidad activa que no son aplicables a los distintos grupos de sujetos obligados.</w:t>
      </w:r>
    </w:p>
    <w:p w14:paraId="086498B6" w14:textId="3BB29E85" w:rsidR="00155D0B" w:rsidRDefault="00367F5F" w:rsidP="00015DB5">
      <w:r w:rsidRPr="003005AA">
        <w:rPr>
          <w:szCs w:val="22"/>
        </w:rPr>
        <w:t xml:space="preserve">Cuadro </w:t>
      </w:r>
      <w:r w:rsidR="001B538A" w:rsidRPr="003005AA">
        <w:rPr>
          <w:szCs w:val="22"/>
        </w:rPr>
        <w:fldChar w:fldCharType="begin"/>
      </w:r>
      <w:r w:rsidRPr="003005AA">
        <w:rPr>
          <w:szCs w:val="22"/>
        </w:rPr>
        <w:instrText xml:space="preserve"> SEQ Cuadro \* ARABIC </w:instrText>
      </w:r>
      <w:r w:rsidR="001B538A" w:rsidRPr="003005AA">
        <w:rPr>
          <w:szCs w:val="22"/>
        </w:rPr>
        <w:fldChar w:fldCharType="separate"/>
      </w:r>
      <w:r w:rsidR="00FD051B">
        <w:rPr>
          <w:noProof/>
          <w:szCs w:val="22"/>
        </w:rPr>
        <w:t>1</w:t>
      </w:r>
      <w:r w:rsidR="001B538A" w:rsidRPr="003005AA">
        <w:rPr>
          <w:szCs w:val="22"/>
        </w:rPr>
        <w:fldChar w:fldCharType="end"/>
      </w:r>
      <w:r w:rsidRPr="003005AA">
        <w:rPr>
          <w:szCs w:val="22"/>
        </w:rPr>
        <w:t xml:space="preserve">: Obligaciones </w:t>
      </w:r>
      <w:r w:rsidR="00340C68">
        <w:rPr>
          <w:szCs w:val="22"/>
        </w:rPr>
        <w:t xml:space="preserve">no </w:t>
      </w:r>
      <w:r w:rsidRPr="003005AA">
        <w:rPr>
          <w:szCs w:val="22"/>
        </w:rPr>
        <w:t xml:space="preserve">aplicables a las entidades </w:t>
      </w:r>
      <w:r>
        <w:rPr>
          <w:szCs w:val="22"/>
        </w:rPr>
        <w:t xml:space="preserve">objeto de una </w:t>
      </w:r>
      <w:r w:rsidR="00BF4962">
        <w:rPr>
          <w:szCs w:val="22"/>
        </w:rPr>
        <w:t>tercera</w:t>
      </w:r>
      <w:r>
        <w:rPr>
          <w:szCs w:val="22"/>
        </w:rPr>
        <w:t xml:space="preserve"> evaluación de cumplimiento</w:t>
      </w:r>
    </w:p>
    <w:tbl>
      <w:tblPr>
        <w:tblStyle w:val="Tablaconcuadrcula4-nfasis21"/>
        <w:tblW w:w="5575" w:type="pct"/>
        <w:tblLook w:val="04A0" w:firstRow="1" w:lastRow="0" w:firstColumn="1" w:lastColumn="0" w:noHBand="0" w:noVBand="1"/>
      </w:tblPr>
      <w:tblGrid>
        <w:gridCol w:w="3273"/>
        <w:gridCol w:w="6830"/>
      </w:tblGrid>
      <w:tr w:rsidR="00F936A5" w:rsidRPr="00FC5ED4" w14:paraId="37A614AE" w14:textId="77777777" w:rsidTr="00340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16432442" w14:textId="77777777" w:rsidR="00155D0B" w:rsidRPr="00FC5ED4" w:rsidRDefault="00155D0B" w:rsidP="00367F5F">
            <w:pPr>
              <w:jc w:val="left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FC5ED4">
              <w:rPr>
                <w:rFonts w:eastAsia="Times New Roman" w:cs="Times New Roman"/>
                <w:color w:val="FFFFFF"/>
                <w:sz w:val="16"/>
                <w:szCs w:val="16"/>
              </w:rPr>
              <w:t>Informaciones no obligatorias</w:t>
            </w:r>
          </w:p>
        </w:tc>
        <w:tc>
          <w:tcPr>
            <w:tcW w:w="3380" w:type="pct"/>
          </w:tcPr>
          <w:p w14:paraId="28D2BCEA" w14:textId="4BA8EABF" w:rsidR="00155D0B" w:rsidRPr="00FC5ED4" w:rsidRDefault="00155D0B" w:rsidP="006A09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FC5ED4">
              <w:rPr>
                <w:rFonts w:eastAsia="Times New Roman" w:cs="Times New Roman"/>
                <w:color w:val="FFFFFF"/>
                <w:sz w:val="16"/>
                <w:szCs w:val="16"/>
              </w:rPr>
              <w:t>Sujetos</w:t>
            </w:r>
          </w:p>
        </w:tc>
      </w:tr>
      <w:tr w:rsidR="00155D0B" w:rsidRPr="00FC5ED4" w14:paraId="6DD9215C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79742F79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Planes y programas anuales y plurianuales, Informes de evaluación sobre el grado de cumplimiento y los resultados de los planes y los programas e Indicadores de medida y valoración</w:t>
            </w:r>
          </w:p>
        </w:tc>
        <w:tc>
          <w:tcPr>
            <w:tcW w:w="3380" w:type="pct"/>
          </w:tcPr>
          <w:p w14:paraId="794E341B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Órganos Constitucionales y de relevancia Constitucional</w:t>
            </w:r>
          </w:p>
          <w:p w14:paraId="4831F974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Corporaciones de Derecho Público</w:t>
            </w:r>
          </w:p>
          <w:p w14:paraId="403BA48B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Sociedades Mercantiles con participación pública superior al 50% de su capital social; Fundaciones Públicas </w:t>
            </w:r>
          </w:p>
          <w:p w14:paraId="4B243453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Asociaciones promovidas por administraciones y otras entidades públicas. </w:t>
            </w:r>
          </w:p>
          <w:p w14:paraId="46F82719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3900C6D8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  <w:tr w:rsidR="00155D0B" w:rsidRPr="00FC5ED4" w14:paraId="54081E09" w14:textId="77777777" w:rsidTr="00340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3DE1BEE8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Registro de Actividades de Tratamiento</w:t>
            </w:r>
          </w:p>
        </w:tc>
        <w:tc>
          <w:tcPr>
            <w:tcW w:w="3380" w:type="pct"/>
          </w:tcPr>
          <w:p w14:paraId="1865A71F" w14:textId="77777777" w:rsidR="00155D0B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Mutuas de Accidentes de Trabajo y Enfermedades Profesionales.</w:t>
            </w:r>
          </w:p>
          <w:p w14:paraId="0EC905C4" w14:textId="77777777" w:rsidR="00005E89" w:rsidRPr="00005E89" w:rsidRDefault="00005E89" w:rsidP="00005E89">
            <w:pPr>
              <w:pStyle w:val="Prrafode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005E89">
              <w:rPr>
                <w:rFonts w:eastAsia="Calibri" w:cs="Calibri"/>
                <w:sz w:val="16"/>
                <w:szCs w:val="16"/>
                <w:lang w:eastAsia="en-US"/>
              </w:rPr>
              <w:t xml:space="preserve">Asociaciones promovidas por administraciones y otras entidades públicas. </w:t>
            </w:r>
          </w:p>
          <w:p w14:paraId="50EED7D7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75DB3050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Sociedades Mercantiles con participación pública superior al 50% de su capital social</w:t>
            </w:r>
          </w:p>
          <w:p w14:paraId="74D96BC3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  <w:tr w:rsidR="00155D0B" w:rsidRPr="00FC5ED4" w14:paraId="7680554F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56752565" w14:textId="77777777" w:rsidR="00155D0B" w:rsidRPr="00FC5ED4" w:rsidRDefault="00DC14C2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</w:rPr>
              <w:t>Directrices, Instrucciones, Circulares, Acuerdos y Respuestas a Consultas</w:t>
            </w:r>
            <w:r w:rsidR="008201EE" w:rsidRPr="00FC5ED4">
              <w:rPr>
                <w:rFonts w:eastAsia="Calibri" w:cs="Calibri"/>
                <w:sz w:val="16"/>
                <w:szCs w:val="16"/>
              </w:rPr>
              <w:t xml:space="preserve">; </w:t>
            </w:r>
            <w:r w:rsidR="00155D0B"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Anteproyectos de Ley; Proyectos de Decretos Legislativos; Proyectos de </w:t>
            </w:r>
            <w:r w:rsidR="007F260D" w:rsidRPr="00FC5ED4">
              <w:rPr>
                <w:rFonts w:eastAsia="Calibri" w:cs="Calibri"/>
                <w:sz w:val="16"/>
                <w:szCs w:val="16"/>
                <w:lang w:eastAsia="en-US"/>
              </w:rPr>
              <w:t>Reglamentos; memorias</w:t>
            </w:r>
            <w:r w:rsidR="00155D0B"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e informes que conformen los expedientes de elaboración de los textos normativos; Documentos que deban ser sometidos a consulta pública</w:t>
            </w:r>
          </w:p>
        </w:tc>
        <w:tc>
          <w:tcPr>
            <w:tcW w:w="3380" w:type="pct"/>
          </w:tcPr>
          <w:p w14:paraId="672883A2" w14:textId="0DC6D6D6" w:rsidR="00DC14C2" w:rsidRPr="00005E89" w:rsidRDefault="008201EE" w:rsidP="00005E89">
            <w:pPr>
              <w:numPr>
                <w:ilvl w:val="0"/>
                <w:numId w:val="1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005E89">
              <w:rPr>
                <w:rFonts w:eastAsia="Calibri" w:cs="Calibri"/>
                <w:sz w:val="16"/>
                <w:szCs w:val="16"/>
              </w:rPr>
              <w:t xml:space="preserve">Directrices, Instrucciones, Circulares, Acuerdos y Respuestas a consultas: </w:t>
            </w:r>
            <w:r w:rsidR="00F90011" w:rsidRPr="00005E89">
              <w:rPr>
                <w:rFonts w:eastAsia="Calibri" w:cs="Calibri"/>
                <w:sz w:val="16"/>
                <w:szCs w:val="16"/>
              </w:rPr>
              <w:t>no aplicable a</w:t>
            </w:r>
            <w:r w:rsidR="009A099C" w:rsidRPr="00005E89">
              <w:rPr>
                <w:rFonts w:eastAsia="Calibri" w:cs="Calibri"/>
                <w:sz w:val="16"/>
                <w:szCs w:val="16"/>
              </w:rPr>
              <w:t xml:space="preserve"> los Órganos Constitucionales y de relevancia constitucional,</w:t>
            </w:r>
            <w:r w:rsidR="00817360">
              <w:rPr>
                <w:rFonts w:eastAsia="Calibri" w:cs="Calibri"/>
                <w:sz w:val="16"/>
                <w:szCs w:val="16"/>
              </w:rPr>
              <w:t xml:space="preserve"> </w:t>
            </w:r>
            <w:r w:rsidR="00005E89" w:rsidRPr="00005E89">
              <w:rPr>
                <w:rFonts w:eastAsia="Calibri" w:cs="Calibri"/>
                <w:sz w:val="16"/>
                <w:szCs w:val="16"/>
                <w:lang w:eastAsia="en-US"/>
              </w:rPr>
              <w:t>Asociaciones promovidas por administraciones y otras entidades públicas</w:t>
            </w:r>
            <w:r w:rsidR="00B24EAC">
              <w:rPr>
                <w:rFonts w:eastAsia="Calibri" w:cs="Calibri"/>
                <w:sz w:val="16"/>
                <w:szCs w:val="16"/>
                <w:lang w:eastAsia="en-US"/>
              </w:rPr>
              <w:t>;</w:t>
            </w:r>
            <w:r w:rsidR="00817360">
              <w:rPr>
                <w:rFonts w:eastAsia="Calibri" w:cs="Calibri"/>
                <w:sz w:val="16"/>
                <w:szCs w:val="16"/>
                <w:lang w:eastAsia="en-US"/>
              </w:rPr>
              <w:t xml:space="preserve"> </w:t>
            </w:r>
            <w:r w:rsidR="00F90011" w:rsidRPr="00005E89">
              <w:rPr>
                <w:rFonts w:eastAsia="Calibri" w:cs="Calibri"/>
                <w:sz w:val="16"/>
                <w:szCs w:val="16"/>
              </w:rPr>
              <w:t xml:space="preserve">Mutuas de Accidentes de Trabajo y Enfermedades Profesionales; </w:t>
            </w:r>
            <w:r w:rsidR="007C6453" w:rsidRPr="00005E89">
              <w:rPr>
                <w:rFonts w:eastAsia="Calibri" w:cs="Calibri"/>
                <w:sz w:val="16"/>
                <w:szCs w:val="16"/>
              </w:rPr>
              <w:t>Corporaciones de Derecho Público</w:t>
            </w:r>
            <w:r w:rsidR="00817360">
              <w:rPr>
                <w:rFonts w:eastAsia="Calibri" w:cs="Calibri"/>
                <w:sz w:val="16"/>
                <w:szCs w:val="16"/>
              </w:rPr>
              <w:t>;</w:t>
            </w:r>
            <w:r w:rsidR="00C631D1" w:rsidRPr="00005E89">
              <w:rPr>
                <w:rFonts w:eastAsia="Calibri" w:cs="Calibri"/>
                <w:sz w:val="16"/>
                <w:szCs w:val="16"/>
              </w:rPr>
              <w:t xml:space="preserve"> </w:t>
            </w:r>
            <w:r w:rsidR="00F90011" w:rsidRPr="00005E89">
              <w:rPr>
                <w:rFonts w:eastAsia="Calibri" w:cs="Calibri"/>
                <w:sz w:val="16"/>
                <w:szCs w:val="16"/>
              </w:rPr>
              <w:t>Partidos políticos, organizaciones sindicales y empresariales; Entidades privadas perceptoras de subvenciones y ayudas públicas.</w:t>
            </w:r>
          </w:p>
          <w:p w14:paraId="184EC5EE" w14:textId="77777777" w:rsidR="00155D0B" w:rsidRPr="00FC5ED4" w:rsidRDefault="00155D0B" w:rsidP="00005E89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Anteproyectos de Ley y Proyectos de Decretos-Legislativos: solo </w:t>
            </w:r>
            <w:r w:rsidR="00361504">
              <w:rPr>
                <w:rFonts w:eastAsia="Calibri" w:cs="Calibri"/>
                <w:sz w:val="16"/>
                <w:szCs w:val="16"/>
                <w:lang w:eastAsia="en-US"/>
              </w:rPr>
              <w:t>son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aplicable</w:t>
            </w:r>
            <w:r w:rsidR="00361504">
              <w:rPr>
                <w:rFonts w:eastAsia="Calibri" w:cs="Calibri"/>
                <w:sz w:val="16"/>
                <w:szCs w:val="16"/>
                <w:lang w:eastAsia="en-US"/>
              </w:rPr>
              <w:t>s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a la Administración General del Estado y de las Comunidades Autónomas.</w:t>
            </w:r>
          </w:p>
          <w:p w14:paraId="210BFA67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Proyectos de Reglamentos: solo es aplicable a la Administración General del Estado, de las Comunidades Autónomas y de las Entidades que integran la Administración Local</w:t>
            </w:r>
          </w:p>
          <w:p w14:paraId="63920B12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Memorias e Informes: solo es aplicable a los sujetos </w:t>
            </w:r>
            <w:r w:rsidR="00C57004"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 los que resulta de aplicación alguna de las </w:t>
            </w:r>
            <w:r w:rsidR="00361504">
              <w:rPr>
                <w:rFonts w:eastAsia="Calibri" w:cs="Calibri"/>
                <w:sz w:val="16"/>
                <w:szCs w:val="16"/>
                <w:lang w:eastAsia="en-US"/>
              </w:rPr>
              <w:t>tres</w:t>
            </w:r>
            <w:r w:rsidR="00C57004"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obligaciones anteriores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.</w:t>
            </w:r>
          </w:p>
          <w:p w14:paraId="74BFA094" w14:textId="2E635F9C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Documentos sometidos a consulta pública: </w:t>
            </w:r>
            <w:r w:rsidR="00FD00ED">
              <w:rPr>
                <w:rFonts w:eastAsia="Calibri" w:cs="Calibri"/>
                <w:sz w:val="16"/>
                <w:szCs w:val="16"/>
                <w:lang w:eastAsia="en-US"/>
              </w:rPr>
              <w:t>solo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aplicable a </w:t>
            </w:r>
            <w:proofErr w:type="gramStart"/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aquellos </w:t>
            </w:r>
            <w:r w:rsidR="00C631D1">
              <w:rPr>
                <w:rFonts w:eastAsia="Calibri" w:cs="Calibri"/>
                <w:sz w:val="16"/>
                <w:szCs w:val="16"/>
                <w:lang w:eastAsia="en-US"/>
              </w:rPr>
              <w:t>entidades públicas</w:t>
            </w:r>
            <w:proofErr w:type="gramEnd"/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que como consecuencia de lo dispuesto en una norma sectorial deban someter sus procedimientos a información pública.</w:t>
            </w:r>
          </w:p>
        </w:tc>
      </w:tr>
      <w:tr w:rsidR="00155D0B" w:rsidRPr="00FC5ED4" w14:paraId="78807F13" w14:textId="77777777" w:rsidTr="00340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3455A82B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Contratos </w:t>
            </w:r>
          </w:p>
        </w:tc>
        <w:tc>
          <w:tcPr>
            <w:tcW w:w="3380" w:type="pct"/>
          </w:tcPr>
          <w:p w14:paraId="552145D2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 el caso de las Corporaciones de Derecho públic</w:t>
            </w:r>
            <w:r w:rsidR="006572D9">
              <w:rPr>
                <w:rFonts w:eastAsia="Calibri" w:cs="Calibri"/>
                <w:sz w:val="16"/>
                <w:szCs w:val="16"/>
                <w:lang w:eastAsia="en-US"/>
              </w:rPr>
              <w:t>o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la </w:t>
            </w:r>
            <w:r w:rsidR="00F90011" w:rsidRPr="00FC5ED4">
              <w:rPr>
                <w:rFonts w:eastAsia="Calibri" w:cs="Calibri"/>
                <w:sz w:val="16"/>
                <w:szCs w:val="16"/>
              </w:rPr>
              <w:t>obligación se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refiere a los contratos </w:t>
            </w:r>
            <w:r w:rsidRPr="00817360">
              <w:rPr>
                <w:rFonts w:eastAsia="Calibri" w:cs="Calibri"/>
                <w:sz w:val="16"/>
                <w:szCs w:val="16"/>
                <w:lang w:eastAsia="en-US"/>
              </w:rPr>
              <w:t>adjudicados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en régimen de derecho administrativo o que les hayan sido adjudicados por administraciones públicas.</w:t>
            </w:r>
            <w:r w:rsidR="006572D9">
              <w:rPr>
                <w:rFonts w:eastAsia="Calibri" w:cs="Calibri"/>
                <w:sz w:val="16"/>
                <w:szCs w:val="16"/>
                <w:lang w:eastAsia="en-US"/>
              </w:rPr>
              <w:t xml:space="preserve"> En el caso de </w:t>
            </w:r>
            <w:r w:rsidR="006572D9" w:rsidRPr="00FC5ED4">
              <w:rPr>
                <w:rFonts w:eastAsia="Calibri" w:cs="Calibri"/>
                <w:sz w:val="16"/>
                <w:szCs w:val="16"/>
                <w:lang w:eastAsia="en-US"/>
              </w:rPr>
              <w:t>los partidos políticos, organizaciones sindicales y empresariales y entidades privadas perceptoras de subvenciones y ayudas públicas</w:t>
            </w:r>
            <w:r w:rsidR="006572D9">
              <w:rPr>
                <w:rFonts w:eastAsia="Calibri" w:cs="Calibri"/>
                <w:sz w:val="16"/>
                <w:szCs w:val="16"/>
                <w:lang w:eastAsia="en-US"/>
              </w:rPr>
              <w:t>, la obligación se refiere a los contratos que les hayan sido adjudicados por administraciones públicas</w:t>
            </w:r>
          </w:p>
        </w:tc>
      </w:tr>
      <w:tr w:rsidR="00155D0B" w:rsidRPr="00FC5ED4" w14:paraId="0C87AED3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7497EA6B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Convenios</w:t>
            </w:r>
          </w:p>
        </w:tc>
        <w:tc>
          <w:tcPr>
            <w:tcW w:w="3380" w:type="pct"/>
          </w:tcPr>
          <w:p w14:paraId="03090815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En el caso de las Corporaciones de Derecho público, los </w:t>
            </w:r>
            <w:r w:rsidR="00C9597B">
              <w:rPr>
                <w:rFonts w:eastAsia="Calibri" w:cs="Calibri"/>
                <w:sz w:val="16"/>
                <w:szCs w:val="16"/>
                <w:lang w:eastAsia="en-US"/>
              </w:rPr>
              <w:t>p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artidos políticos, organizaciones sindicales y empresariales y entidades privadas perceptoras de subvenciones y ayudas públicas, la obligación se refiere a los convenios </w:t>
            </w:r>
            <w:r w:rsidRPr="00817360">
              <w:rPr>
                <w:rFonts w:eastAsia="Calibri" w:cs="Calibri"/>
                <w:sz w:val="16"/>
                <w:szCs w:val="16"/>
                <w:lang w:eastAsia="en-US"/>
              </w:rPr>
              <w:t>suscritos con administraciones públicas</w:t>
            </w:r>
          </w:p>
        </w:tc>
      </w:tr>
      <w:tr w:rsidR="00155D0B" w:rsidRPr="00FC5ED4" w14:paraId="6FA7C3EF" w14:textId="77777777" w:rsidTr="00340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4C4A9A0A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Subvenciones y Ayudas Públicas</w:t>
            </w:r>
          </w:p>
        </w:tc>
        <w:tc>
          <w:tcPr>
            <w:tcW w:w="3380" w:type="pct"/>
          </w:tcPr>
          <w:p w14:paraId="650443BE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En el caso de las Corporaciones de Derecho público, los partidos políticos, organizaciones sindicales y empresariales y entidades privadas perceptoras de subvenciones y ayudas públicas, la </w:t>
            </w:r>
            <w:r w:rsidR="00705B04" w:rsidRPr="00FC5ED4">
              <w:rPr>
                <w:rFonts w:eastAsia="Calibri" w:cs="Calibri"/>
                <w:sz w:val="16"/>
                <w:szCs w:val="16"/>
              </w:rPr>
              <w:t>obligación se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refiere a las subvenciones</w:t>
            </w:r>
            <w:r w:rsidR="00705B04" w:rsidRPr="00FC5ED4">
              <w:rPr>
                <w:rFonts w:eastAsia="Calibri" w:cs="Calibri"/>
                <w:sz w:val="16"/>
                <w:szCs w:val="16"/>
              </w:rPr>
              <w:t xml:space="preserve"> percibidas que hayan sido concedidas por</w:t>
            </w: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 administraciones públicas</w:t>
            </w:r>
            <w:r w:rsidR="006572D9">
              <w:rPr>
                <w:rFonts w:eastAsia="Calibri" w:cs="Calibri"/>
                <w:sz w:val="16"/>
                <w:szCs w:val="16"/>
                <w:lang w:eastAsia="en-US"/>
              </w:rPr>
              <w:t>.</w:t>
            </w:r>
          </w:p>
        </w:tc>
      </w:tr>
      <w:tr w:rsidR="00BA6D88" w:rsidRPr="00FC5ED4" w14:paraId="7EDF7F50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1214A7F4" w14:textId="77777777" w:rsidR="00BA6D88" w:rsidRPr="00FC5ED4" w:rsidRDefault="00BA6D88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Presupuestos</w:t>
            </w:r>
          </w:p>
        </w:tc>
        <w:tc>
          <w:tcPr>
            <w:tcW w:w="3380" w:type="pct"/>
          </w:tcPr>
          <w:p w14:paraId="3D7C067F" w14:textId="77777777" w:rsidR="00BA6D88" w:rsidRDefault="00BA6D88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Empresas privadas perceptoras de subvenciones o ayudas públicas</w:t>
            </w:r>
          </w:p>
          <w:p w14:paraId="5A11FB38" w14:textId="77777777" w:rsidR="006A1DC0" w:rsidRPr="00FC5ED4" w:rsidRDefault="006A1DC0" w:rsidP="00E2376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</w:p>
        </w:tc>
      </w:tr>
      <w:tr w:rsidR="00155D0B" w:rsidRPr="00FC5ED4" w14:paraId="7BFFCCDF" w14:textId="77777777" w:rsidTr="00340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5F241673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Ejecución presupuestaria </w:t>
            </w:r>
          </w:p>
        </w:tc>
        <w:tc>
          <w:tcPr>
            <w:tcW w:w="3380" w:type="pct"/>
          </w:tcPr>
          <w:p w14:paraId="067E1352" w14:textId="77777777" w:rsidR="00155D0B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públicas cuyos presupuestos sean de carácter estimativo.</w:t>
            </w:r>
          </w:p>
          <w:p w14:paraId="2DB7E697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0315F25F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  <w:tr w:rsidR="00155D0B" w:rsidRPr="00FC5ED4" w14:paraId="6EE672BA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1F638738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 xml:space="preserve">Encomiendas de Gestión </w:t>
            </w:r>
          </w:p>
        </w:tc>
        <w:tc>
          <w:tcPr>
            <w:tcW w:w="3380" w:type="pct"/>
          </w:tcPr>
          <w:p w14:paraId="484731A8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Órganos Constitucionales y de relevancia constitucional.</w:t>
            </w:r>
          </w:p>
          <w:p w14:paraId="6E48CA5A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Mutuas de Accidentes de Trabajo y Enfermedades Profesionales.</w:t>
            </w:r>
          </w:p>
          <w:p w14:paraId="7987D41B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lastRenderedPageBreak/>
              <w:t>Sociedades Mercantiles con participación pública superior al 50% de su capital social; Fundaciones Públicas.</w:t>
            </w:r>
          </w:p>
          <w:p w14:paraId="6AE101EC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5513AD26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  <w:tr w:rsidR="00705B04" w:rsidRPr="00FC5ED4" w14:paraId="649A8A7E" w14:textId="77777777" w:rsidTr="00340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19CC474D" w14:textId="77777777" w:rsidR="00705B04" w:rsidRPr="00FC5ED4" w:rsidRDefault="00705B04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</w:rPr>
              <w:lastRenderedPageBreak/>
              <w:t>Información estadística sobre cumplimiento y calidad de los servicios</w:t>
            </w:r>
          </w:p>
        </w:tc>
        <w:tc>
          <w:tcPr>
            <w:tcW w:w="3380" w:type="pct"/>
          </w:tcPr>
          <w:p w14:paraId="4CD82705" w14:textId="77777777" w:rsidR="00705B04" w:rsidRDefault="00705B04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Órganos Constitucionales y de relevancia constitucional.</w:t>
            </w:r>
          </w:p>
          <w:p w14:paraId="1B5DC0B0" w14:textId="77777777" w:rsidR="00005E89" w:rsidRPr="00FC5ED4" w:rsidRDefault="00005E89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005E89">
              <w:rPr>
                <w:rFonts w:eastAsia="Calibri" w:cs="Calibri"/>
                <w:sz w:val="16"/>
                <w:szCs w:val="16"/>
                <w:lang w:eastAsia="en-US"/>
              </w:rPr>
              <w:t>Asociaciones promovidas por administraciones y otras entidades públicas</w:t>
            </w:r>
          </w:p>
          <w:p w14:paraId="76B5D98E" w14:textId="77777777" w:rsidR="00705B04" w:rsidRPr="00FC5ED4" w:rsidRDefault="00705B04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Corporaciones de Derecho Público.</w:t>
            </w:r>
          </w:p>
          <w:p w14:paraId="39681093" w14:textId="77777777" w:rsidR="00705B04" w:rsidRPr="00FC5ED4" w:rsidRDefault="00705B04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Sociedades Mercantiles con participación pública superior al 50% de su capital social; Fundaciones Públicas.</w:t>
            </w:r>
          </w:p>
          <w:p w14:paraId="6850B822" w14:textId="77777777" w:rsidR="00705B04" w:rsidRPr="00FC5ED4" w:rsidRDefault="00705B04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7BB4DD4B" w14:textId="77777777" w:rsidR="00705B04" w:rsidRPr="00FC5ED4" w:rsidRDefault="00705B04" w:rsidP="00705B0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  <w:tr w:rsidR="00155D0B" w:rsidRPr="00FC5ED4" w14:paraId="2E4D80C1" w14:textId="77777777" w:rsidTr="0034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pct"/>
          </w:tcPr>
          <w:p w14:paraId="17BFF48B" w14:textId="77777777" w:rsidR="00155D0B" w:rsidRPr="00FC5ED4" w:rsidRDefault="00155D0B" w:rsidP="00155D0B">
            <w:pPr>
              <w:spacing w:after="160" w:line="259" w:lineRule="auto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Información Patrimonial</w:t>
            </w:r>
          </w:p>
        </w:tc>
        <w:tc>
          <w:tcPr>
            <w:tcW w:w="3380" w:type="pct"/>
          </w:tcPr>
          <w:p w14:paraId="3A153A22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Órganos Constitucionales y de relevancia constitucional.</w:t>
            </w:r>
          </w:p>
          <w:p w14:paraId="5B6408AF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Corporaciones de Derecho Público.</w:t>
            </w:r>
          </w:p>
          <w:p w14:paraId="27AE15B7" w14:textId="77777777" w:rsidR="00155D0B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Sociedades Mercantiles con participación pública superior al 50% de su capital social; Fundaciones Públicas.</w:t>
            </w:r>
          </w:p>
          <w:p w14:paraId="5C83D5C9" w14:textId="77777777" w:rsidR="00A356D5" w:rsidRPr="00FC5ED4" w:rsidRDefault="00A356D5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005E89">
              <w:rPr>
                <w:rFonts w:eastAsia="Calibri" w:cs="Calibri"/>
                <w:sz w:val="16"/>
                <w:szCs w:val="16"/>
                <w:lang w:eastAsia="en-US"/>
              </w:rPr>
              <w:t>Asociaciones promovidas por administraciones y otras entidades públicas</w:t>
            </w:r>
          </w:p>
          <w:p w14:paraId="48AD64B9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Partidos políticos, organizaciones sindicales y empresariales</w:t>
            </w:r>
          </w:p>
          <w:p w14:paraId="3EFDEBD8" w14:textId="77777777" w:rsidR="00155D0B" w:rsidRPr="00FC5ED4" w:rsidRDefault="00155D0B" w:rsidP="00155D0B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FC5ED4">
              <w:rPr>
                <w:rFonts w:eastAsia="Calibri" w:cs="Calibri"/>
                <w:sz w:val="16"/>
                <w:szCs w:val="16"/>
                <w:lang w:eastAsia="en-US"/>
              </w:rPr>
              <w:t>Entidades privadas perceptoras de subvenciones y ayudas públicas.</w:t>
            </w:r>
          </w:p>
        </w:tc>
      </w:tr>
    </w:tbl>
    <w:p w14:paraId="6E514A4C" w14:textId="77777777" w:rsidR="00155D0B" w:rsidRDefault="00155D0B" w:rsidP="00015DB5"/>
    <w:p w14:paraId="3F9C2BD0" w14:textId="21643AD0" w:rsidR="00015DB5" w:rsidRDefault="00015DB5" w:rsidP="00015DB5">
      <w:r w:rsidRPr="000C5421">
        <w:t>También hay que tener en cuenta que</w:t>
      </w:r>
      <w:r w:rsidR="00817360">
        <w:t xml:space="preserve"> </w:t>
      </w:r>
      <w:r w:rsidRPr="00561A62">
        <w:t>pueden existir ámbitos en los que una entidad concreta carezca de competencias para desarrollar las actividades a las que se refiere una determinada obligación de publicidad activa</w:t>
      </w:r>
      <w:r w:rsidR="00FD00ED">
        <w:t>,</w:t>
      </w:r>
      <w:r w:rsidRPr="00561A62">
        <w:t xml:space="preserve"> o suceder que, en un ámbito concreto, no haya existido actividad –por ejemplo, que </w:t>
      </w:r>
      <w:r w:rsidR="00E87E65">
        <w:t xml:space="preserve">una entidad pública </w:t>
      </w:r>
      <w:r w:rsidRPr="00561A62">
        <w:t xml:space="preserve">no </w:t>
      </w:r>
      <w:r w:rsidR="00E87E65">
        <w:t>conceda</w:t>
      </w:r>
      <w:r w:rsidR="00817360">
        <w:t xml:space="preserve"> </w:t>
      </w:r>
      <w:r w:rsidR="00E87E65">
        <w:t>subvenciones o ayudas</w:t>
      </w:r>
      <w:r w:rsidRPr="00561A62">
        <w:t xml:space="preserve"> públicas–.</w:t>
      </w:r>
    </w:p>
    <w:p w14:paraId="65499B1C" w14:textId="77777777" w:rsidR="005F586A" w:rsidRPr="006A6F5D" w:rsidRDefault="000B5A54" w:rsidP="00E719EF">
      <w:pPr>
        <w:pStyle w:val="Ttulo1"/>
      </w:pPr>
      <w:bookmarkStart w:id="5" w:name="_Toc214611276"/>
      <w:r w:rsidRPr="006A6F5D">
        <w:rPr>
          <w:rStyle w:val="Ttulo1Car"/>
        </w:rPr>
        <w:t xml:space="preserve">III. </w:t>
      </w:r>
      <w:bookmarkStart w:id="6" w:name="_Hlk182555551"/>
      <w:r w:rsidR="005F586A" w:rsidRPr="006A6F5D">
        <w:rPr>
          <w:rStyle w:val="Ttulo1Car"/>
        </w:rPr>
        <w:t xml:space="preserve">Evaluación del cumplimiento de las obligaciones de publicidad </w:t>
      </w:r>
      <w:proofErr w:type="spellStart"/>
      <w:r w:rsidR="005F586A" w:rsidRPr="006A6F5D">
        <w:rPr>
          <w:rStyle w:val="Ttulo1Car"/>
        </w:rPr>
        <w:t>activa</w:t>
      </w:r>
      <w:r w:rsidR="00015DB5" w:rsidRPr="00015DB5">
        <w:rPr>
          <w:rStyle w:val="Ttulo1Car"/>
        </w:rPr>
        <w:t>por</w:t>
      </w:r>
      <w:proofErr w:type="spellEnd"/>
      <w:r w:rsidR="00015DB5" w:rsidRPr="00015DB5">
        <w:rPr>
          <w:rStyle w:val="Ttulo1Car"/>
        </w:rPr>
        <w:t xml:space="preserve"> parte de las entidades </w:t>
      </w:r>
      <w:r w:rsidR="00CF174D">
        <w:rPr>
          <w:rStyle w:val="Ttulo1Car"/>
        </w:rPr>
        <w:t xml:space="preserve">objeto de </w:t>
      </w:r>
      <w:r w:rsidR="00BF4962">
        <w:rPr>
          <w:rStyle w:val="Ttulo1Car"/>
        </w:rPr>
        <w:t>tres</w:t>
      </w:r>
      <w:r w:rsidR="00CF174D">
        <w:rPr>
          <w:rStyle w:val="Ttulo1Car"/>
        </w:rPr>
        <w:t xml:space="preserve"> evaluaci</w:t>
      </w:r>
      <w:r w:rsidR="003C2266">
        <w:rPr>
          <w:rStyle w:val="Ttulo1Car"/>
        </w:rPr>
        <w:t>ones de cumplimiento</w:t>
      </w:r>
      <w:r w:rsidR="00C54F77">
        <w:rPr>
          <w:rStyle w:val="Ttulo1Car"/>
        </w:rPr>
        <w:t>.</w:t>
      </w:r>
      <w:bookmarkEnd w:id="5"/>
      <w:bookmarkEnd w:id="6"/>
    </w:p>
    <w:p w14:paraId="7CC4624D" w14:textId="77777777" w:rsidR="005F586A" w:rsidRDefault="008469B2" w:rsidP="008469B2">
      <w:pPr>
        <w:pStyle w:val="Ttulo2"/>
      </w:pPr>
      <w:bookmarkStart w:id="7" w:name="_Toc181605369"/>
      <w:bookmarkStart w:id="8" w:name="_Toc214611277"/>
      <w:r>
        <w:t xml:space="preserve">III.1. </w:t>
      </w:r>
      <w:r w:rsidR="00CF174D">
        <w:t>Resultados Generales</w:t>
      </w:r>
      <w:bookmarkEnd w:id="7"/>
      <w:bookmarkEnd w:id="8"/>
    </w:p>
    <w:p w14:paraId="33C058FD" w14:textId="77777777" w:rsidR="006A09EB" w:rsidRDefault="006A09EB" w:rsidP="008469B2">
      <w:pPr>
        <w:pStyle w:val="Ttulo3"/>
      </w:pPr>
      <w:bookmarkStart w:id="9" w:name="_Toc181605370"/>
      <w:bookmarkStart w:id="10" w:name="_Toc214611278"/>
    </w:p>
    <w:p w14:paraId="2510A609" w14:textId="56B33335" w:rsidR="00DF3688" w:rsidRDefault="008469B2" w:rsidP="008469B2">
      <w:pPr>
        <w:pStyle w:val="Ttulo3"/>
      </w:pPr>
      <w:r>
        <w:t xml:space="preserve">II.1.1 </w:t>
      </w:r>
      <w:r w:rsidR="00DF3688">
        <w:t>Antecedentes</w:t>
      </w:r>
      <w:bookmarkEnd w:id="9"/>
      <w:bookmarkEnd w:id="10"/>
    </w:p>
    <w:p w14:paraId="52E5D898" w14:textId="77777777" w:rsidR="006A09EB" w:rsidRPr="006A09EB" w:rsidRDefault="006A09EB" w:rsidP="006A09EB"/>
    <w:p w14:paraId="450DB327" w14:textId="394EDA02" w:rsidR="0009657B" w:rsidRDefault="001B5750" w:rsidP="00DF3688">
      <w:bookmarkStart w:id="11" w:name="_Hlk214966047"/>
      <w:r>
        <w:t>Como se ha indicado al inicio de este inf</w:t>
      </w:r>
      <w:r w:rsidR="00BF4962">
        <w:t>orme, el Plan de evaluación 2025</w:t>
      </w:r>
      <w:r>
        <w:t xml:space="preserve"> del </w:t>
      </w:r>
      <w:r w:rsidR="00817360">
        <w:t>Consejo</w:t>
      </w:r>
      <w:r w:rsidR="0094707C">
        <w:t xml:space="preserve"> incluyó</w:t>
      </w:r>
      <w:r>
        <w:t xml:space="preserve"> la realización de una tercera evaluación a aquellas entidades que, tras haber sido evaluadas en dos ocasiones, presentaban índices de cumplimiento</w:t>
      </w:r>
      <w:r w:rsidR="00632DF3">
        <w:t xml:space="preserve"> </w:t>
      </w:r>
      <w:r w:rsidR="00A239E3">
        <w:t xml:space="preserve">de la información obligatoria </w:t>
      </w:r>
      <w:r w:rsidR="00632DF3">
        <w:t>(en adelante, ICIO)</w:t>
      </w:r>
      <w:r>
        <w:t xml:space="preserve"> inferiores a</w:t>
      </w:r>
      <w:r w:rsidR="007172E5">
        <w:t xml:space="preserve">l 75% </w:t>
      </w:r>
      <w:bookmarkEnd w:id="11"/>
      <w:r w:rsidR="0094707C">
        <w:t>La siguiente tabla muestra la distribución de las entidades seleccionadas</w:t>
      </w:r>
      <w:r w:rsidR="008B61F7">
        <w:t xml:space="preserve"> </w:t>
      </w:r>
    </w:p>
    <w:p w14:paraId="210E5113" w14:textId="3D491148" w:rsidR="00FC25DB" w:rsidRDefault="00FC25DB" w:rsidP="00DF3688"/>
    <w:p w14:paraId="3728C6A8" w14:textId="77777777" w:rsidR="00FC25DB" w:rsidRDefault="00FC25DB" w:rsidP="00DF3688"/>
    <w:p w14:paraId="399EB064" w14:textId="64D34555" w:rsidR="00BA0A0F" w:rsidRPr="00BA0A0F" w:rsidRDefault="00BA0A0F" w:rsidP="00BA0A0F">
      <w:pPr>
        <w:pStyle w:val="Descripcin"/>
        <w:keepNext/>
        <w:rPr>
          <w:bCs w:val="0"/>
          <w:color w:val="auto"/>
          <w:sz w:val="22"/>
          <w:szCs w:val="22"/>
        </w:rPr>
      </w:pPr>
      <w:r w:rsidRPr="00BA0A0F">
        <w:rPr>
          <w:bCs w:val="0"/>
          <w:color w:val="auto"/>
          <w:sz w:val="22"/>
          <w:szCs w:val="22"/>
        </w:rPr>
        <w:lastRenderedPageBreak/>
        <w:t xml:space="preserve">Tabla </w:t>
      </w:r>
      <w:r w:rsidR="001B538A" w:rsidRPr="00BA0A0F">
        <w:rPr>
          <w:bCs w:val="0"/>
          <w:color w:val="auto"/>
          <w:sz w:val="22"/>
          <w:szCs w:val="22"/>
        </w:rPr>
        <w:fldChar w:fldCharType="begin"/>
      </w:r>
      <w:r w:rsidRPr="00BA0A0F">
        <w:rPr>
          <w:bCs w:val="0"/>
          <w:color w:val="auto"/>
          <w:sz w:val="22"/>
          <w:szCs w:val="22"/>
        </w:rPr>
        <w:instrText xml:space="preserve"> SEQ Tabla \* ARABIC </w:instrText>
      </w:r>
      <w:r w:rsidR="001B538A" w:rsidRPr="00BA0A0F">
        <w:rPr>
          <w:bCs w:val="0"/>
          <w:color w:val="auto"/>
          <w:sz w:val="22"/>
          <w:szCs w:val="22"/>
        </w:rPr>
        <w:fldChar w:fldCharType="separate"/>
      </w:r>
      <w:r w:rsidR="00FD051B">
        <w:rPr>
          <w:bCs w:val="0"/>
          <w:noProof/>
          <w:color w:val="auto"/>
          <w:sz w:val="22"/>
          <w:szCs w:val="22"/>
        </w:rPr>
        <w:t>1</w:t>
      </w:r>
      <w:r w:rsidR="001B538A" w:rsidRPr="00BA0A0F">
        <w:rPr>
          <w:bCs w:val="0"/>
          <w:color w:val="auto"/>
          <w:sz w:val="22"/>
          <w:szCs w:val="22"/>
        </w:rPr>
        <w:fldChar w:fldCharType="end"/>
      </w:r>
      <w:r>
        <w:rPr>
          <w:bCs w:val="0"/>
          <w:color w:val="auto"/>
          <w:sz w:val="22"/>
          <w:szCs w:val="22"/>
        </w:rPr>
        <w:t>: Distribución de las entidades seleccionadas para una tercera evaluación de cumplimiento según tipo de sujeto obligado por la LTAIBG</w:t>
      </w:r>
      <w:r w:rsidR="006C2BB7">
        <w:rPr>
          <w:bCs w:val="0"/>
          <w:color w:val="auto"/>
          <w:sz w:val="22"/>
          <w:szCs w:val="22"/>
        </w:rPr>
        <w:t xml:space="preserve"> y criterio de selección aplicado</w:t>
      </w:r>
    </w:p>
    <w:tbl>
      <w:tblPr>
        <w:tblStyle w:val="Tablaconcuadrcula4-nfasis21"/>
        <w:tblW w:w="9062" w:type="dxa"/>
        <w:tblInd w:w="5" w:type="dxa"/>
        <w:tblLook w:val="04A0" w:firstRow="1" w:lastRow="0" w:firstColumn="1" w:lastColumn="0" w:noHBand="0" w:noVBand="1"/>
      </w:tblPr>
      <w:tblGrid>
        <w:gridCol w:w="1833"/>
        <w:gridCol w:w="2126"/>
        <w:gridCol w:w="1985"/>
        <w:gridCol w:w="1417"/>
        <w:gridCol w:w="1701"/>
      </w:tblGrid>
      <w:tr w:rsidR="00DB0648" w:rsidRPr="00DB0648" w14:paraId="2E5C67AE" w14:textId="77777777" w:rsidTr="00C41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7E1C246" w14:textId="77777777" w:rsidR="00DB0648" w:rsidRPr="00DB0648" w:rsidRDefault="00DB0648" w:rsidP="00DB0648">
            <w:pPr>
              <w:jc w:val="center"/>
              <w:rPr>
                <w:sz w:val="18"/>
                <w:szCs w:val="16"/>
              </w:rPr>
            </w:pPr>
            <w:bookmarkStart w:id="12" w:name="_Hlk214966085"/>
            <w:r w:rsidRPr="00DB0648">
              <w:rPr>
                <w:sz w:val="18"/>
                <w:szCs w:val="16"/>
              </w:rPr>
              <w:t>Naturaleza</w:t>
            </w:r>
          </w:p>
        </w:tc>
        <w:tc>
          <w:tcPr>
            <w:tcW w:w="2126" w:type="dxa"/>
          </w:tcPr>
          <w:p w14:paraId="4AE6B804" w14:textId="77777777" w:rsidR="00DB0648" w:rsidRPr="00DB0648" w:rsidRDefault="00DB0648" w:rsidP="00DB0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Tipo de sujeto obligado</w:t>
            </w:r>
          </w:p>
        </w:tc>
        <w:tc>
          <w:tcPr>
            <w:tcW w:w="1985" w:type="dxa"/>
          </w:tcPr>
          <w:p w14:paraId="102E6153" w14:textId="77777777" w:rsidR="00DB0648" w:rsidRPr="00DB0648" w:rsidRDefault="00DB0648" w:rsidP="00DB0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Número de entidades seleccionadas</w:t>
            </w:r>
          </w:p>
        </w:tc>
        <w:tc>
          <w:tcPr>
            <w:tcW w:w="1417" w:type="dxa"/>
          </w:tcPr>
          <w:p w14:paraId="5E5867E5" w14:textId="77777777" w:rsidR="00DB0648" w:rsidRPr="00DB0648" w:rsidRDefault="00DB0648" w:rsidP="00DB0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Criterio de selección</w:t>
            </w:r>
          </w:p>
        </w:tc>
        <w:tc>
          <w:tcPr>
            <w:tcW w:w="1701" w:type="dxa"/>
          </w:tcPr>
          <w:p w14:paraId="0096A59F" w14:textId="77777777" w:rsidR="00DB0648" w:rsidRPr="00DB0648" w:rsidRDefault="00DB0648" w:rsidP="00DB0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Peso sobre el total de sujetos evaluados</w:t>
            </w:r>
          </w:p>
        </w:tc>
      </w:tr>
      <w:tr w:rsidR="00DB0648" w:rsidRPr="00DB0648" w14:paraId="20C49753" w14:textId="77777777" w:rsidTr="00994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A024A6A" w14:textId="77777777" w:rsidR="00DB0648" w:rsidRPr="00DB0648" w:rsidRDefault="00BF4962" w:rsidP="00DB0648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Sujetos Públicos</w:t>
            </w:r>
          </w:p>
        </w:tc>
        <w:tc>
          <w:tcPr>
            <w:tcW w:w="2126" w:type="dxa"/>
          </w:tcPr>
          <w:p w14:paraId="34ED9F6F" w14:textId="77777777" w:rsidR="00DB0648" w:rsidRPr="00DB0648" w:rsidRDefault="00DB0648" w:rsidP="00207D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Entidades del Sector Público Institucional Estatal</w:t>
            </w:r>
          </w:p>
        </w:tc>
        <w:tc>
          <w:tcPr>
            <w:tcW w:w="1985" w:type="dxa"/>
          </w:tcPr>
          <w:p w14:paraId="1B0A3C22" w14:textId="77777777" w:rsidR="00DB0648" w:rsidRPr="00DB0648" w:rsidRDefault="00BF4962" w:rsidP="00DB0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53</w:t>
            </w:r>
          </w:p>
        </w:tc>
        <w:tc>
          <w:tcPr>
            <w:tcW w:w="1417" w:type="dxa"/>
          </w:tcPr>
          <w:p w14:paraId="72B1952A" w14:textId="77777777" w:rsidR="00DB0648" w:rsidRPr="00DB0648" w:rsidRDefault="00DB0648" w:rsidP="00DB0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ICIO &lt; al 75%</w:t>
            </w:r>
          </w:p>
        </w:tc>
        <w:tc>
          <w:tcPr>
            <w:tcW w:w="1701" w:type="dxa"/>
          </w:tcPr>
          <w:p w14:paraId="21B46648" w14:textId="77777777" w:rsidR="00DB0648" w:rsidRPr="00DB0648" w:rsidRDefault="009979EC" w:rsidP="00DB0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68,8</w:t>
            </w:r>
            <w:r w:rsidR="00DB0648" w:rsidRPr="00DB0648">
              <w:rPr>
                <w:sz w:val="18"/>
                <w:szCs w:val="16"/>
              </w:rPr>
              <w:t>%</w:t>
            </w:r>
          </w:p>
        </w:tc>
      </w:tr>
      <w:tr w:rsidR="00DB0648" w:rsidRPr="00DB0648" w14:paraId="34476350" w14:textId="77777777" w:rsidTr="00994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30EE035A" w14:textId="77777777" w:rsidR="00DB0648" w:rsidRPr="00DB0648" w:rsidRDefault="00BF4962" w:rsidP="00DB0648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Sujetos privados</w:t>
            </w:r>
          </w:p>
        </w:tc>
        <w:tc>
          <w:tcPr>
            <w:tcW w:w="2126" w:type="dxa"/>
          </w:tcPr>
          <w:p w14:paraId="36035003" w14:textId="77777777" w:rsidR="00DB0648" w:rsidRPr="00DB0648" w:rsidRDefault="00DB0648" w:rsidP="00207D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Entidades perceptoras de subvenciones y ayudas públicas</w:t>
            </w:r>
          </w:p>
        </w:tc>
        <w:tc>
          <w:tcPr>
            <w:tcW w:w="1985" w:type="dxa"/>
          </w:tcPr>
          <w:p w14:paraId="38216566" w14:textId="77777777" w:rsidR="00DB0648" w:rsidRPr="00DB0648" w:rsidRDefault="00DB0648" w:rsidP="00BF4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2</w:t>
            </w:r>
            <w:r w:rsidR="00BF4962">
              <w:rPr>
                <w:sz w:val="18"/>
                <w:szCs w:val="16"/>
              </w:rPr>
              <w:t>4</w:t>
            </w:r>
          </w:p>
        </w:tc>
        <w:tc>
          <w:tcPr>
            <w:tcW w:w="1417" w:type="dxa"/>
          </w:tcPr>
          <w:p w14:paraId="743BB984" w14:textId="77777777" w:rsidR="00DB0648" w:rsidRPr="00DB0648" w:rsidRDefault="00DB0648" w:rsidP="00DB0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DB0648">
              <w:rPr>
                <w:sz w:val="18"/>
                <w:szCs w:val="16"/>
              </w:rPr>
              <w:t>ICIO &lt; al 75%</w:t>
            </w:r>
          </w:p>
        </w:tc>
        <w:tc>
          <w:tcPr>
            <w:tcW w:w="1701" w:type="dxa"/>
          </w:tcPr>
          <w:p w14:paraId="3248F763" w14:textId="77777777" w:rsidR="00DB0648" w:rsidRPr="00DB0648" w:rsidRDefault="009979EC" w:rsidP="00DB0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31,2</w:t>
            </w:r>
            <w:r w:rsidR="00DB0648" w:rsidRPr="00DB0648">
              <w:rPr>
                <w:sz w:val="18"/>
                <w:szCs w:val="16"/>
              </w:rPr>
              <w:t>%</w:t>
            </w:r>
          </w:p>
        </w:tc>
      </w:tr>
      <w:bookmarkEnd w:id="12"/>
    </w:tbl>
    <w:p w14:paraId="31B9BF71" w14:textId="77777777" w:rsidR="0094707C" w:rsidRPr="00DF3688" w:rsidRDefault="0094707C" w:rsidP="00DF3688"/>
    <w:p w14:paraId="3DF2218D" w14:textId="77777777" w:rsidR="009A00E9" w:rsidRDefault="00302DBB" w:rsidP="00FF0A46">
      <w:bookmarkStart w:id="13" w:name="_Hlk214966069"/>
      <w:r w:rsidRPr="00F60A99">
        <w:t xml:space="preserve">El </w:t>
      </w:r>
      <w:r w:rsidR="00632DF3" w:rsidRPr="00F60A99">
        <w:t>ICIO</w:t>
      </w:r>
      <w:r w:rsidR="00F60A99" w:rsidRPr="00F60A99">
        <w:t xml:space="preserve"> </w:t>
      </w:r>
      <w:r w:rsidRPr="00F60A99">
        <w:t xml:space="preserve">promedio </w:t>
      </w:r>
      <w:r w:rsidR="00FF0A46" w:rsidRPr="00F60A99">
        <w:t>obtenido en la segunda evaluación</w:t>
      </w:r>
      <w:r w:rsidR="00632DF3" w:rsidRPr="00F60A99">
        <w:t xml:space="preserve"> de cumplimiento</w:t>
      </w:r>
      <w:r w:rsidR="00FF0A46" w:rsidRPr="00F60A99">
        <w:t xml:space="preserve"> practicada a este grupo de entidades se situaba en el </w:t>
      </w:r>
      <w:r w:rsidR="00F60A99">
        <w:t>42,3</w:t>
      </w:r>
      <w:r w:rsidR="00FF0A46" w:rsidRPr="00F60A99">
        <w:t>%</w:t>
      </w:r>
      <w:r w:rsidR="00B239EF" w:rsidRPr="00F60A99">
        <w:t xml:space="preserve">, con un rango de variación </w:t>
      </w:r>
      <w:r w:rsidR="00BB3BB6" w:rsidRPr="00F60A99">
        <w:t xml:space="preserve">de entre el </w:t>
      </w:r>
      <w:r w:rsidR="00F60A99">
        <w:t>6,6</w:t>
      </w:r>
      <w:r w:rsidR="00BB3BB6" w:rsidRPr="00F60A99">
        <w:t xml:space="preserve"> y el </w:t>
      </w:r>
      <w:r w:rsidR="00F60A99">
        <w:t>74,6</w:t>
      </w:r>
      <w:r w:rsidR="00BB3BB6" w:rsidRPr="00F60A99">
        <w:t>%</w:t>
      </w:r>
      <w:r w:rsidR="00FF0A46" w:rsidRPr="00F60A99">
        <w:t>.</w:t>
      </w:r>
      <w:r w:rsidR="00FF0A46">
        <w:t xml:space="preserve"> </w:t>
      </w:r>
    </w:p>
    <w:p w14:paraId="0CFDED5A" w14:textId="77777777" w:rsidR="00E06FB3" w:rsidRDefault="00A705A8" w:rsidP="00FF0A46">
      <w:r w:rsidRPr="00A705A8">
        <w:t xml:space="preserve">Con el objetivo de que las entidades mejorasen </w:t>
      </w:r>
      <w:r w:rsidR="000910A1">
        <w:t>sus</w:t>
      </w:r>
      <w:r w:rsidRPr="00A705A8">
        <w:t xml:space="preserve"> índices</w:t>
      </w:r>
      <w:r w:rsidR="000910A1">
        <w:t xml:space="preserve"> de cumplimiento</w:t>
      </w:r>
      <w:r w:rsidRPr="00A705A8">
        <w:t xml:space="preserve">, el Consejo de Transparencia </w:t>
      </w:r>
      <w:r w:rsidRPr="00360984">
        <w:t>efectuó</w:t>
      </w:r>
      <w:r w:rsidR="00BB3BB6">
        <w:t xml:space="preserve"> en la segunda evaluación</w:t>
      </w:r>
      <w:r w:rsidR="00E06FB3">
        <w:t xml:space="preserve"> un total de</w:t>
      </w:r>
      <w:r w:rsidR="00F60A99">
        <w:t xml:space="preserve"> </w:t>
      </w:r>
      <w:r w:rsidR="00C94FD0">
        <w:t>992</w:t>
      </w:r>
      <w:r w:rsidRPr="00A705A8">
        <w:t xml:space="preserve"> recomendaciones</w:t>
      </w:r>
      <w:r w:rsidR="000910A1">
        <w:t xml:space="preserve">, </w:t>
      </w:r>
      <w:r w:rsidR="00F60A99">
        <w:t>12,</w:t>
      </w:r>
      <w:r w:rsidR="00C94FD0">
        <w:t>9</w:t>
      </w:r>
      <w:r w:rsidRPr="00A705A8">
        <w:t xml:space="preserve"> recomendaciones </w:t>
      </w:r>
      <w:r w:rsidR="00E06FB3" w:rsidRPr="00E06FB3">
        <w:t xml:space="preserve">en promedio </w:t>
      </w:r>
      <w:r w:rsidRPr="00A705A8">
        <w:t xml:space="preserve">por entidad. </w:t>
      </w:r>
    </w:p>
    <w:bookmarkEnd w:id="13"/>
    <w:p w14:paraId="048741FB" w14:textId="77777777" w:rsidR="00217D60" w:rsidRDefault="00217D60" w:rsidP="00217D60">
      <w:r>
        <w:t xml:space="preserve">Los resultados de la tercera evaluación de cumplimiento realizada en 2025, son los que se proporcionan a continuación. </w:t>
      </w:r>
    </w:p>
    <w:p w14:paraId="53FAFB12" w14:textId="77777777" w:rsidR="00217D60" w:rsidRPr="00561A62" w:rsidRDefault="00217D60" w:rsidP="00217D60">
      <w:pPr>
        <w:pStyle w:val="Ttulo3"/>
      </w:pPr>
      <w:bookmarkStart w:id="14" w:name="_Toc214611279"/>
      <w:r>
        <w:t xml:space="preserve">III.1.2 Subsanación de los incumplimientos evidenciados en </w:t>
      </w:r>
      <w:r w:rsidRPr="00561A62">
        <w:t xml:space="preserve">la </w:t>
      </w:r>
      <w:r>
        <w:t>segunda evaluación</w:t>
      </w:r>
      <w:r w:rsidRPr="00561A62">
        <w:t>.</w:t>
      </w:r>
      <w:bookmarkEnd w:id="14"/>
    </w:p>
    <w:p w14:paraId="5E7EC6EA" w14:textId="77777777" w:rsidR="00217D60" w:rsidRDefault="00217D60" w:rsidP="00FF0A46"/>
    <w:p w14:paraId="40A1F5FF" w14:textId="39216BE8" w:rsidR="00217D60" w:rsidRDefault="00217D60" w:rsidP="00217D60">
      <w:bookmarkStart w:id="15" w:name="_Hlk214966316"/>
      <w:r>
        <w:t xml:space="preserve">Como se ha señalado, el Consejo de Transparencia constató la existencia de </w:t>
      </w:r>
      <w:r w:rsidR="00C94FD0">
        <w:t>992</w:t>
      </w:r>
      <w:r>
        <w:t xml:space="preserve"> incumplimientos de la LTAIBG por parte de las entidades que habían sido objeto de dos evaluaciones</w:t>
      </w:r>
      <w:r w:rsidR="00FD00ED">
        <w:t xml:space="preserve"> previas</w:t>
      </w:r>
      <w:r>
        <w:t xml:space="preserve">. En la tercera evaluación se ha constatado que se habían subsanado un total de </w:t>
      </w:r>
      <w:r w:rsidR="00C94FD0">
        <w:t>238</w:t>
      </w:r>
      <w:r w:rsidRPr="00561A62">
        <w:t xml:space="preserve">, lo que supone el </w:t>
      </w:r>
      <w:r>
        <w:t>24</w:t>
      </w:r>
      <w:r w:rsidRPr="00561A62">
        <w:t xml:space="preserve">% del total. </w:t>
      </w:r>
      <w:r>
        <w:t>Esta proporción es</w:t>
      </w:r>
      <w:r w:rsidR="0029725B">
        <w:t xml:space="preserve"> </w:t>
      </w:r>
      <w:r>
        <w:t>más elevada entre los sujetos públicos</w:t>
      </w:r>
      <w:r>
        <w:rPr>
          <w:rStyle w:val="Refdenotaalpie"/>
        </w:rPr>
        <w:footnoteReference w:id="2"/>
      </w:r>
      <w:r w:rsidR="00817360">
        <w:t xml:space="preserve"> </w:t>
      </w:r>
      <w:r>
        <w:t>que entre los sujetos privados</w:t>
      </w:r>
      <w:r>
        <w:rPr>
          <w:rStyle w:val="Refdenotaalpie"/>
        </w:rPr>
        <w:footnoteReference w:id="3"/>
      </w:r>
      <w:r>
        <w:t xml:space="preserve">: </w:t>
      </w:r>
      <w:r w:rsidR="00FD00ED">
        <w:t xml:space="preserve">un </w:t>
      </w:r>
      <w:r w:rsidR="0029725B">
        <w:t xml:space="preserve">28,1 </w:t>
      </w:r>
      <w:r>
        <w:t xml:space="preserve">y </w:t>
      </w:r>
      <w:r w:rsidR="00FD00ED">
        <w:t xml:space="preserve">un </w:t>
      </w:r>
      <w:r w:rsidR="0029725B">
        <w:t>9,6</w:t>
      </w:r>
      <w:r>
        <w:t xml:space="preserve">%, respectivamente. </w:t>
      </w:r>
    </w:p>
    <w:p w14:paraId="2066FC33" w14:textId="6506484B" w:rsidR="00B308DC" w:rsidRDefault="00B308DC" w:rsidP="00FF0A46">
      <w:r>
        <w:t>Dos</w:t>
      </w:r>
      <w:r w:rsidR="00101552">
        <w:t xml:space="preserve"> d</w:t>
      </w:r>
      <w:r w:rsidR="00C32EC6">
        <w:t xml:space="preserve">e las entidades evaluadas por tercera vez </w:t>
      </w:r>
      <w:r w:rsidR="00F60A99">
        <w:t>han</w:t>
      </w:r>
      <w:r w:rsidR="00C32EC6">
        <w:t xml:space="preserve"> aplicado la totalidad de las recomendaciones derivadas de la segunda evaluación</w:t>
      </w:r>
      <w:r w:rsidR="005D7EFD">
        <w:rPr>
          <w:rStyle w:val="Refdenotaalpie"/>
        </w:rPr>
        <w:footnoteReference w:id="4"/>
      </w:r>
      <w:r w:rsidR="00C32EC6">
        <w:t>. Esta</w:t>
      </w:r>
      <w:r w:rsidR="00C664FE">
        <w:t>s</w:t>
      </w:r>
      <w:r w:rsidR="00F60A99">
        <w:t xml:space="preserve"> </w:t>
      </w:r>
      <w:r w:rsidR="00C32EC6" w:rsidRPr="00C3598B">
        <w:t xml:space="preserve">entidades son </w:t>
      </w:r>
      <w:r>
        <w:t>la Confederación Hidrográfica del Tajo y la Autoridad Portuaria de Barcelona</w:t>
      </w:r>
      <w:r w:rsidR="002453E8">
        <w:t>.</w:t>
      </w:r>
    </w:p>
    <w:p w14:paraId="3D105424" w14:textId="0E8AD7A4" w:rsidR="00FC25DB" w:rsidRDefault="00FC25DB" w:rsidP="00FF0A46"/>
    <w:p w14:paraId="7F7F663F" w14:textId="0CF5D543" w:rsidR="00FC25DB" w:rsidRDefault="00FC25DB" w:rsidP="00FF0A46"/>
    <w:p w14:paraId="4E03331F" w14:textId="77777777" w:rsidR="00FC25DB" w:rsidRDefault="00FC25DB" w:rsidP="00FF0A46"/>
    <w:bookmarkEnd w:id="15"/>
    <w:p w14:paraId="29E5EBB9" w14:textId="547FA508" w:rsidR="00D15F0F" w:rsidRPr="003005AA" w:rsidRDefault="00D15F0F" w:rsidP="00D15F0F">
      <w:pPr>
        <w:rPr>
          <w:b/>
          <w:szCs w:val="22"/>
        </w:rPr>
      </w:pPr>
      <w:r w:rsidRPr="003005AA">
        <w:rPr>
          <w:b/>
          <w:szCs w:val="22"/>
        </w:rPr>
        <w:lastRenderedPageBreak/>
        <w:t xml:space="preserve">Gráfico </w:t>
      </w:r>
      <w:r w:rsidR="001B538A">
        <w:rPr>
          <w:b/>
          <w:szCs w:val="22"/>
        </w:rPr>
        <w:fldChar w:fldCharType="begin"/>
      </w:r>
      <w:r w:rsidR="007D26C6">
        <w:rPr>
          <w:b/>
          <w:szCs w:val="22"/>
        </w:rPr>
        <w:instrText xml:space="preserve"> SEQ Gráfico \* ARABIC </w:instrText>
      </w:r>
      <w:r w:rsidR="001B538A">
        <w:rPr>
          <w:b/>
          <w:szCs w:val="22"/>
        </w:rPr>
        <w:fldChar w:fldCharType="separate"/>
      </w:r>
      <w:r w:rsidR="00FD051B">
        <w:rPr>
          <w:b/>
          <w:noProof/>
          <w:szCs w:val="22"/>
        </w:rPr>
        <w:t>1</w:t>
      </w:r>
      <w:r w:rsidR="001B538A">
        <w:rPr>
          <w:b/>
          <w:szCs w:val="22"/>
        </w:rPr>
        <w:fldChar w:fldCharType="end"/>
      </w:r>
      <w:r w:rsidRPr="003005AA">
        <w:rPr>
          <w:b/>
          <w:szCs w:val="22"/>
        </w:rPr>
        <w:t xml:space="preserve">: Grado de </w:t>
      </w:r>
      <w:r w:rsidR="00CC68CB">
        <w:rPr>
          <w:b/>
          <w:szCs w:val="22"/>
        </w:rPr>
        <w:t xml:space="preserve">subsanación </w:t>
      </w:r>
      <w:r w:rsidRPr="003005AA">
        <w:rPr>
          <w:b/>
          <w:szCs w:val="22"/>
        </w:rPr>
        <w:t>de l</w:t>
      </w:r>
      <w:r w:rsidR="00CC68CB">
        <w:rPr>
          <w:b/>
          <w:szCs w:val="22"/>
        </w:rPr>
        <w:t>o</w:t>
      </w:r>
      <w:r w:rsidRPr="003005AA">
        <w:rPr>
          <w:b/>
          <w:szCs w:val="22"/>
        </w:rPr>
        <w:t xml:space="preserve">s </w:t>
      </w:r>
      <w:r w:rsidR="00CC68CB">
        <w:rPr>
          <w:b/>
          <w:szCs w:val="22"/>
        </w:rPr>
        <w:t>incumplimientos</w:t>
      </w:r>
      <w:r w:rsidR="0029725B">
        <w:rPr>
          <w:b/>
          <w:szCs w:val="22"/>
        </w:rPr>
        <w:t xml:space="preserve"> </w:t>
      </w:r>
      <w:r w:rsidR="00CC68CB">
        <w:rPr>
          <w:b/>
          <w:szCs w:val="22"/>
        </w:rPr>
        <w:t>evidenciados</w:t>
      </w:r>
      <w:r w:rsidR="0029725B">
        <w:rPr>
          <w:b/>
          <w:szCs w:val="22"/>
        </w:rPr>
        <w:t xml:space="preserve"> </w:t>
      </w:r>
      <w:r w:rsidR="00CC68CB">
        <w:rPr>
          <w:b/>
          <w:szCs w:val="22"/>
        </w:rPr>
        <w:t>en</w:t>
      </w:r>
      <w:r w:rsidRPr="003005AA">
        <w:rPr>
          <w:b/>
          <w:szCs w:val="22"/>
        </w:rPr>
        <w:t xml:space="preserve"> la </w:t>
      </w:r>
      <w:r w:rsidR="0029725B">
        <w:rPr>
          <w:b/>
          <w:szCs w:val="22"/>
        </w:rPr>
        <w:t>segunda evaluación.</w:t>
      </w:r>
    </w:p>
    <w:p w14:paraId="7490DEB6" w14:textId="77777777" w:rsidR="00D15F0F" w:rsidRPr="00561A62" w:rsidRDefault="0029725B" w:rsidP="00D15F0F">
      <w:pPr>
        <w:pStyle w:val="Ttulo3"/>
      </w:pPr>
      <w:r w:rsidRPr="0029725B">
        <w:rPr>
          <w:noProof/>
        </w:rPr>
        <w:drawing>
          <wp:inline distT="0" distB="0" distL="0" distR="0" wp14:anchorId="3E8C8FAB" wp14:editId="31707355">
            <wp:extent cx="5705475" cy="3095625"/>
            <wp:effectExtent l="19050" t="0" r="9525" b="0"/>
            <wp:docPr id="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BCE965" w14:textId="77777777" w:rsidR="00D15F0F" w:rsidRPr="00561A62" w:rsidRDefault="00D15F0F" w:rsidP="00D15F0F">
      <w:pPr>
        <w:pStyle w:val="Ttulo3"/>
      </w:pPr>
    </w:p>
    <w:p w14:paraId="0E52BC82" w14:textId="7F7AE51E" w:rsidR="00331BD0" w:rsidRDefault="00331BD0" w:rsidP="00FD0A9D">
      <w:r w:rsidRPr="00D544B8">
        <w:t xml:space="preserve">El </w:t>
      </w:r>
      <w:r w:rsidR="00D544B8">
        <w:t>59,8</w:t>
      </w:r>
      <w:r w:rsidRPr="00D544B8">
        <w:t>% de las entidades había resuelto</w:t>
      </w:r>
      <w:r>
        <w:t xml:space="preserve"> un</w:t>
      </w:r>
      <w:r w:rsidR="00D544B8">
        <w:t>a</w:t>
      </w:r>
      <w:r>
        <w:t xml:space="preserve"> </w:t>
      </w:r>
      <w:r w:rsidR="00D544B8">
        <w:t>quinta parte</w:t>
      </w:r>
      <w:r>
        <w:t xml:space="preserve"> o menos de los incumplimientos y el </w:t>
      </w:r>
      <w:r w:rsidR="0029725B">
        <w:t>7,8</w:t>
      </w:r>
      <w:r>
        <w:t xml:space="preserve">% había subsanado el 80% o más. </w:t>
      </w:r>
    </w:p>
    <w:p w14:paraId="17168199" w14:textId="77777777" w:rsidR="0029725B" w:rsidRDefault="006E2D29" w:rsidP="0029725B">
      <w:bookmarkStart w:id="16" w:name="_Hlk214966356"/>
      <w:r>
        <w:t>Treinta</w:t>
      </w:r>
      <w:r w:rsidR="0029725B">
        <w:t xml:space="preserve"> entidades, el 39% del total, no han </w:t>
      </w:r>
      <w:r>
        <w:t>subsanado ninguno de los incumplimientos derivado</w:t>
      </w:r>
      <w:r w:rsidR="0029725B">
        <w:t>s de la segunda evaluación.</w:t>
      </w:r>
      <w:bookmarkEnd w:id="16"/>
      <w:r w:rsidR="0029725B">
        <w:t xml:space="preserve"> De ellas, el 36,7% eran entidades públicas, aunque es preciso señalar que esta proporción es inferior a la esperable en función del peso medio de los sujetos públicos en el conjunto de entidades evaluadas por tercera vez, el 68,8%. El 63,3% restante eran entidades privadas, en este caso muy por encima de su peso sobre el total de entidades evaluadas, el 31,2%. </w:t>
      </w:r>
    </w:p>
    <w:p w14:paraId="5576912A" w14:textId="1A030706" w:rsidR="000E21A9" w:rsidRPr="00561A62" w:rsidRDefault="000E21A9" w:rsidP="000E21A9">
      <w:r>
        <w:t>Entre las</w:t>
      </w:r>
      <w:r w:rsidR="00A7598F">
        <w:t xml:space="preserve"> seis</w:t>
      </w:r>
      <w:r>
        <w:t xml:space="preserve"> entidades que subsanaron, al menos, el 80% de los </w:t>
      </w:r>
      <w:proofErr w:type="spellStart"/>
      <w:proofErr w:type="gramStart"/>
      <w:r>
        <w:t>incumplimientos</w:t>
      </w:r>
      <w:r w:rsidR="00975E6A">
        <w:t>,</w:t>
      </w:r>
      <w:r w:rsidR="0030146A">
        <w:t>la</w:t>
      </w:r>
      <w:proofErr w:type="spellEnd"/>
      <w:proofErr w:type="gramEnd"/>
      <w:r w:rsidR="0030146A">
        <w:t xml:space="preserve"> mayoría –el </w:t>
      </w:r>
      <w:r w:rsidR="00A7598F">
        <w:t>83,3</w:t>
      </w:r>
      <w:r w:rsidR="0030146A">
        <w:t>%</w:t>
      </w:r>
      <w:r w:rsidR="00556B2B">
        <w:t>–</w:t>
      </w:r>
      <w:r w:rsidR="00A7598F">
        <w:t xml:space="preserve"> son </w:t>
      </w:r>
      <w:r w:rsidR="00532666">
        <w:t>entidades del sector público institucional</w:t>
      </w:r>
      <w:r w:rsidR="00A7598F">
        <w:t>.</w:t>
      </w:r>
    </w:p>
    <w:p w14:paraId="40ABD625" w14:textId="77777777" w:rsidR="007D26C6" w:rsidRDefault="00E445D7" w:rsidP="00E445D7">
      <w:bookmarkStart w:id="17" w:name="_Hlk214966606"/>
      <w:bookmarkStart w:id="18" w:name="_Toc149119230"/>
      <w:r>
        <w:t xml:space="preserve">Tras la </w:t>
      </w:r>
      <w:r w:rsidR="00A7598F">
        <w:t>tercera</w:t>
      </w:r>
      <w:r>
        <w:t xml:space="preserve"> evaluación realizada, todavía subsisten </w:t>
      </w:r>
      <w:r w:rsidR="00A7598F">
        <w:t>754</w:t>
      </w:r>
      <w:r>
        <w:t xml:space="preserve"> incumplimientos de la LTAIBG, </w:t>
      </w:r>
      <w:r w:rsidR="00A7598F">
        <w:t>10</w:t>
      </w:r>
      <w:r w:rsidR="009C2CF1">
        <w:t xml:space="preserve"> en promedio para cada una de las entidades</w:t>
      </w:r>
      <w:r w:rsidR="009A2E11">
        <w:t xml:space="preserve">. El rango de variación oscila entre 1 y </w:t>
      </w:r>
      <w:r w:rsidR="00A7598F">
        <w:t>2</w:t>
      </w:r>
      <w:r w:rsidR="00414A5B">
        <w:t>7</w:t>
      </w:r>
      <w:r w:rsidR="009A2E11">
        <w:t>.</w:t>
      </w:r>
      <w:r w:rsidR="00570C16">
        <w:t xml:space="preserve"> Como puede apreciarse en el siguiente gráfico, a pesar de haberse </w:t>
      </w:r>
      <w:r w:rsidR="007E751A">
        <w:t>identificado los incumplimientos y haberse proporcionado recomendaciones para su subsanación</w:t>
      </w:r>
      <w:r w:rsidR="00570C16">
        <w:t xml:space="preserve"> en </w:t>
      </w:r>
      <w:r w:rsidR="00A7598F">
        <w:t>dos</w:t>
      </w:r>
      <w:r w:rsidR="00570C16">
        <w:t xml:space="preserve"> ocasiones</w:t>
      </w:r>
      <w:r w:rsidR="00C731FD">
        <w:t>,</w:t>
      </w:r>
      <w:r w:rsidR="007E751A">
        <w:t xml:space="preserve"> el </w:t>
      </w:r>
      <w:r w:rsidR="00A7598F">
        <w:t>89,6</w:t>
      </w:r>
      <w:r w:rsidR="007E751A">
        <w:t xml:space="preserve">% de las entidades </w:t>
      </w:r>
      <w:r w:rsidR="007E5D6B">
        <w:t xml:space="preserve">mantienen 5 o más incumplimientos de la LTAIBG. </w:t>
      </w:r>
    </w:p>
    <w:bookmarkEnd w:id="17"/>
    <w:p w14:paraId="1B4313C6" w14:textId="1616CCD5" w:rsidR="002F0C35" w:rsidRPr="00A41BC7" w:rsidRDefault="002F0C35" w:rsidP="002F0C35">
      <w:pPr>
        <w:pStyle w:val="Descripcin"/>
        <w:keepNext/>
        <w:rPr>
          <w:bCs w:val="0"/>
          <w:color w:val="auto"/>
          <w:sz w:val="22"/>
          <w:szCs w:val="22"/>
        </w:rPr>
      </w:pPr>
      <w:r w:rsidRPr="00A41BC7">
        <w:rPr>
          <w:bCs w:val="0"/>
          <w:color w:val="auto"/>
          <w:sz w:val="22"/>
          <w:szCs w:val="22"/>
        </w:rPr>
        <w:lastRenderedPageBreak/>
        <w:t xml:space="preserve">Gráfico </w:t>
      </w:r>
      <w:r w:rsidR="001B538A" w:rsidRPr="00A41BC7">
        <w:rPr>
          <w:bCs w:val="0"/>
          <w:color w:val="auto"/>
          <w:sz w:val="22"/>
          <w:szCs w:val="22"/>
        </w:rPr>
        <w:fldChar w:fldCharType="begin"/>
      </w:r>
      <w:r w:rsidRPr="00A41BC7">
        <w:rPr>
          <w:bCs w:val="0"/>
          <w:color w:val="auto"/>
          <w:sz w:val="22"/>
          <w:szCs w:val="22"/>
        </w:rPr>
        <w:instrText xml:space="preserve"> SEQ Gráfico \* ARABIC </w:instrText>
      </w:r>
      <w:r w:rsidR="001B538A" w:rsidRPr="00A41BC7">
        <w:rPr>
          <w:bCs w:val="0"/>
          <w:color w:val="auto"/>
          <w:sz w:val="22"/>
          <w:szCs w:val="22"/>
        </w:rPr>
        <w:fldChar w:fldCharType="separate"/>
      </w:r>
      <w:r w:rsidR="00FD051B">
        <w:rPr>
          <w:bCs w:val="0"/>
          <w:noProof/>
          <w:color w:val="auto"/>
          <w:sz w:val="22"/>
          <w:szCs w:val="22"/>
        </w:rPr>
        <w:t>2</w:t>
      </w:r>
      <w:r w:rsidR="001B538A" w:rsidRPr="00A41BC7">
        <w:rPr>
          <w:bCs w:val="0"/>
          <w:color w:val="auto"/>
          <w:sz w:val="22"/>
          <w:szCs w:val="22"/>
        </w:rPr>
        <w:fldChar w:fldCharType="end"/>
      </w:r>
      <w:r w:rsidRPr="00A41BC7">
        <w:rPr>
          <w:bCs w:val="0"/>
          <w:color w:val="auto"/>
          <w:sz w:val="22"/>
          <w:szCs w:val="22"/>
        </w:rPr>
        <w:t xml:space="preserve">: Distribución de las entidades evaluadas según número de incumplimientos que </w:t>
      </w:r>
      <w:r w:rsidR="00A41BC7" w:rsidRPr="00A41BC7">
        <w:rPr>
          <w:bCs w:val="0"/>
          <w:color w:val="auto"/>
          <w:sz w:val="22"/>
          <w:szCs w:val="22"/>
        </w:rPr>
        <w:t xml:space="preserve">persisten tras </w:t>
      </w:r>
      <w:r w:rsidR="00CB3445">
        <w:rPr>
          <w:bCs w:val="0"/>
          <w:color w:val="auto"/>
          <w:sz w:val="22"/>
          <w:szCs w:val="22"/>
        </w:rPr>
        <w:t>tres</w:t>
      </w:r>
      <w:r w:rsidR="00A41BC7" w:rsidRPr="00A41BC7">
        <w:rPr>
          <w:bCs w:val="0"/>
          <w:color w:val="auto"/>
          <w:sz w:val="22"/>
          <w:szCs w:val="22"/>
        </w:rPr>
        <w:t xml:space="preserve"> evaluaciones de cumplimiento (porcentaje)</w:t>
      </w:r>
    </w:p>
    <w:p w14:paraId="775A4D98" w14:textId="77777777" w:rsidR="009A2E11" w:rsidRDefault="00CB3445" w:rsidP="00E445D7">
      <w:r w:rsidRPr="00CB3445">
        <w:rPr>
          <w:noProof/>
        </w:rPr>
        <w:drawing>
          <wp:inline distT="0" distB="0" distL="0" distR="0" wp14:anchorId="4205400C" wp14:editId="5E76E0BA">
            <wp:extent cx="5612130" cy="2676525"/>
            <wp:effectExtent l="19050" t="0" r="2667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E5FC909" w14:textId="77777777" w:rsidR="00E445D7" w:rsidRPr="00E445D7" w:rsidRDefault="00E445D7" w:rsidP="00E445D7"/>
    <w:p w14:paraId="1BB05230" w14:textId="77777777" w:rsidR="007D26C6" w:rsidRDefault="007D26C6" w:rsidP="007D26C6">
      <w:pPr>
        <w:pStyle w:val="Ttulo3"/>
      </w:pPr>
      <w:bookmarkStart w:id="19" w:name="_Toc214611280"/>
      <w:r>
        <w:t>III.1.</w:t>
      </w:r>
      <w:r w:rsidR="0065414C">
        <w:t>3</w:t>
      </w:r>
      <w:r w:rsidR="00D468AD">
        <w:t xml:space="preserve"> </w:t>
      </w:r>
      <w:r w:rsidR="0065414C">
        <w:t>Evolución de los Índices de Cumplimiento</w:t>
      </w:r>
      <w:r w:rsidRPr="00561A62">
        <w:t>.</w:t>
      </w:r>
      <w:bookmarkEnd w:id="19"/>
    </w:p>
    <w:p w14:paraId="564DAED6" w14:textId="77777777" w:rsidR="007D26C6" w:rsidRDefault="007D26C6" w:rsidP="00D15F0F">
      <w:pPr>
        <w:pStyle w:val="Ttulo2"/>
      </w:pPr>
    </w:p>
    <w:p w14:paraId="7D3938CE" w14:textId="70755B31" w:rsidR="007D26C6" w:rsidRDefault="0070780B" w:rsidP="0070780B">
      <w:bookmarkStart w:id="20" w:name="_Hlk214966657"/>
      <w:r>
        <w:t>El ICIO medio obtenido en 202</w:t>
      </w:r>
      <w:r w:rsidR="00CB3445">
        <w:t>5</w:t>
      </w:r>
      <w:r>
        <w:t xml:space="preserve"> se sitúa en el </w:t>
      </w:r>
      <w:r w:rsidR="00CB3445">
        <w:t>50</w:t>
      </w:r>
      <w:r>
        <w:t xml:space="preserve">%, con un rango de variación que oscila entre el </w:t>
      </w:r>
      <w:r w:rsidR="00CB3445">
        <w:t>6,6</w:t>
      </w:r>
      <w:r>
        <w:t xml:space="preserve"> y el 100%. </w:t>
      </w:r>
      <w:r w:rsidR="002A78E7">
        <w:t xml:space="preserve">Respecto de los valores alcanzados en la </w:t>
      </w:r>
      <w:r w:rsidR="00CB3445">
        <w:t>segunda</w:t>
      </w:r>
      <w:r w:rsidR="002A78E7">
        <w:t xml:space="preserve"> evaluación de cumplimiento, el incremento del ICIO alcanza </w:t>
      </w:r>
      <w:r w:rsidR="00CB3445">
        <w:t>7,7</w:t>
      </w:r>
      <w:r w:rsidR="002A78E7">
        <w:t xml:space="preserve"> </w:t>
      </w:r>
      <w:r w:rsidR="005C10F4">
        <w:t>puntos porcentuales (</w:t>
      </w:r>
      <w:r w:rsidR="002A78E7">
        <w:t>p.p.</w:t>
      </w:r>
      <w:r w:rsidR="005C10F4">
        <w:t>)</w:t>
      </w:r>
      <w:r w:rsidR="002A78E7">
        <w:t xml:space="preserve">, lo que representa un </w:t>
      </w:r>
      <w:r w:rsidR="00D468AD">
        <w:t>aumento</w:t>
      </w:r>
      <w:r w:rsidR="002A78E7">
        <w:t xml:space="preserve"> del </w:t>
      </w:r>
      <w:r w:rsidR="00CB3445">
        <w:t>18,2</w:t>
      </w:r>
      <w:r w:rsidR="002A78E7">
        <w:t>%.</w:t>
      </w:r>
      <w:r w:rsidR="00D92E89">
        <w:t xml:space="preserve"> Puede concluirse que existe </w:t>
      </w:r>
      <w:r w:rsidR="00CB3445">
        <w:t xml:space="preserve">un amplísimo </w:t>
      </w:r>
      <w:r w:rsidR="00D92E89">
        <w:t>margen de mejora para que estas entidades logren el pleno cumplimiento de la LTAIBG.</w:t>
      </w:r>
    </w:p>
    <w:p w14:paraId="17453AB6" w14:textId="28948307" w:rsidR="002A78E7" w:rsidRDefault="002A78E7" w:rsidP="0070780B">
      <w:r>
        <w:t xml:space="preserve">Las diferencias observadas según la naturaleza y </w:t>
      </w:r>
      <w:r w:rsidR="00A80476">
        <w:t>tipología</w:t>
      </w:r>
      <w:r>
        <w:t xml:space="preserve"> de sujeto obligado en cuanto a la </w:t>
      </w:r>
      <w:r w:rsidR="00B20A1B">
        <w:t>subsanación de los incumplimientos</w:t>
      </w:r>
      <w:r>
        <w:t xml:space="preserve"> tienen su reflejo, </w:t>
      </w:r>
      <w:r w:rsidR="00522BF4">
        <w:t>lógicamente,</w:t>
      </w:r>
      <w:r>
        <w:t xml:space="preserve"> en los </w:t>
      </w:r>
      <w:r w:rsidR="00A95D44">
        <w:t>í</w:t>
      </w:r>
      <w:r>
        <w:t xml:space="preserve">ndices de </w:t>
      </w:r>
      <w:r w:rsidR="00A95D44">
        <w:t>c</w:t>
      </w:r>
      <w:r>
        <w:t>umplimiento alcanzados.</w:t>
      </w:r>
    </w:p>
    <w:p w14:paraId="55EA25F7" w14:textId="77777777" w:rsidR="002A78E7" w:rsidRDefault="00502CE0" w:rsidP="0070780B">
      <w:r>
        <w:t xml:space="preserve">El ICIO medio es más elevado entre los sujetos públicos que entre los privados: el </w:t>
      </w:r>
      <w:r w:rsidR="00CB3445">
        <w:t>53,2</w:t>
      </w:r>
      <w:r w:rsidR="006456FF">
        <w:t>%</w:t>
      </w:r>
      <w:r>
        <w:t xml:space="preserve"> frente al </w:t>
      </w:r>
      <w:r w:rsidR="00CB3445">
        <w:t>37,3</w:t>
      </w:r>
      <w:r>
        <w:t xml:space="preserve">%. </w:t>
      </w:r>
      <w:r w:rsidR="00C94FD0">
        <w:t>También</w:t>
      </w:r>
      <w:r>
        <w:t xml:space="preserve"> el incremento </w:t>
      </w:r>
      <w:r w:rsidR="00466003">
        <w:t xml:space="preserve">del ICIO en relación con los valores obtenidos en </w:t>
      </w:r>
      <w:r w:rsidR="00CB3445">
        <w:t xml:space="preserve">las segunda evaluación </w:t>
      </w:r>
      <w:r w:rsidR="00466003">
        <w:t xml:space="preserve">es más elevado en los sujetos </w:t>
      </w:r>
      <w:proofErr w:type="spellStart"/>
      <w:r w:rsidR="00C94FD0">
        <w:t>publicos</w:t>
      </w:r>
      <w:proofErr w:type="spellEnd"/>
      <w:r w:rsidR="00466003">
        <w:t xml:space="preserve"> que en los </w:t>
      </w:r>
      <w:r w:rsidR="00C94FD0">
        <w:t>privados</w:t>
      </w:r>
      <w:r w:rsidR="00466003">
        <w:t xml:space="preserve">: el </w:t>
      </w:r>
      <w:r w:rsidR="008800FB">
        <w:t>16,4</w:t>
      </w:r>
      <w:r w:rsidR="00466003">
        <w:t xml:space="preserve"> frente al </w:t>
      </w:r>
      <w:r w:rsidR="007D0751">
        <w:t>7,5</w:t>
      </w:r>
      <w:r w:rsidR="00466003">
        <w:t>%.</w:t>
      </w:r>
    </w:p>
    <w:p w14:paraId="12BF6A5F" w14:textId="77777777" w:rsidR="004F2485" w:rsidRDefault="00FD717E" w:rsidP="004F2485">
      <w:r>
        <w:t>Por lo que respecta a la evolución de los ICIO a lo largo de las 3 últimas evaluaciones realizadas</w:t>
      </w:r>
      <w:r w:rsidR="00D92E89">
        <w:t xml:space="preserve">, el incremento medio ha sido de </w:t>
      </w:r>
      <w:r w:rsidR="00C94FD0">
        <w:t>17,8</w:t>
      </w:r>
      <w:r w:rsidR="00D92E89">
        <w:t xml:space="preserve"> p.p.</w:t>
      </w:r>
      <w:r w:rsidR="00F43CB6">
        <w:t xml:space="preserve"> y</w:t>
      </w:r>
      <w:r w:rsidR="00D92E89">
        <w:t xml:space="preserve"> la mejora puede </w:t>
      </w:r>
      <w:r w:rsidR="001752CA">
        <w:t xml:space="preserve">cuantificarse en el </w:t>
      </w:r>
      <w:r w:rsidR="00C94FD0">
        <w:t>55,5</w:t>
      </w:r>
      <w:r w:rsidR="001752CA">
        <w:t>% en promedio, si se compara</w:t>
      </w:r>
      <w:r w:rsidR="00544F6E">
        <w:t xml:space="preserve">n </w:t>
      </w:r>
      <w:r w:rsidR="001752CA">
        <w:t xml:space="preserve">los resultados de la </w:t>
      </w:r>
      <w:r w:rsidR="00C94FD0">
        <w:t>tercera</w:t>
      </w:r>
      <w:r w:rsidR="001752CA">
        <w:t xml:space="preserve"> evaluación con los de </w:t>
      </w:r>
      <w:r w:rsidR="00BE640E">
        <w:t>la</w:t>
      </w:r>
      <w:r w:rsidR="001752CA">
        <w:t xml:space="preserve"> </w:t>
      </w:r>
      <w:r w:rsidR="00C94FD0">
        <w:t>primera</w:t>
      </w:r>
      <w:r w:rsidR="001752CA">
        <w:t>.</w:t>
      </w:r>
    </w:p>
    <w:p w14:paraId="546078BB" w14:textId="1F759E05" w:rsidR="001752CA" w:rsidRDefault="007D0751" w:rsidP="004F2485">
      <w:r>
        <w:t>E</w:t>
      </w:r>
      <w:r w:rsidR="00034592" w:rsidRPr="004616A7">
        <w:t xml:space="preserve">sta mejora ha sido más elevada entre los sujetos </w:t>
      </w:r>
      <w:r w:rsidR="004616A7" w:rsidRPr="004616A7">
        <w:t>públicos</w:t>
      </w:r>
      <w:r w:rsidR="00034592" w:rsidRPr="004616A7">
        <w:t xml:space="preserve"> que entre los </w:t>
      </w:r>
      <w:r w:rsidR="004616A7" w:rsidRPr="004616A7">
        <w:t>privados</w:t>
      </w:r>
      <w:r w:rsidR="00034592" w:rsidRPr="004616A7">
        <w:t xml:space="preserve">. Mientras los primeros han visto incrementado su ICIO en </w:t>
      </w:r>
      <w:r w:rsidR="002443BF">
        <w:t>20,3</w:t>
      </w:r>
      <w:r w:rsidR="00034592" w:rsidRPr="004616A7">
        <w:t xml:space="preserve"> p.p.</w:t>
      </w:r>
      <w:r w:rsidR="00BE640E" w:rsidRPr="004616A7">
        <w:t xml:space="preserve"> en promedio,</w:t>
      </w:r>
      <w:r w:rsidR="00034592" w:rsidRPr="004616A7">
        <w:t xml:space="preserve"> los segundos </w:t>
      </w:r>
      <w:r w:rsidR="00BE640E" w:rsidRPr="004616A7">
        <w:t xml:space="preserve">aumentan </w:t>
      </w:r>
      <w:r>
        <w:t>7,3</w:t>
      </w:r>
      <w:r w:rsidR="004616A7">
        <w:t xml:space="preserve"> </w:t>
      </w:r>
      <w:r w:rsidR="00BE640E" w:rsidRPr="004616A7">
        <w:t>p.p.</w:t>
      </w:r>
    </w:p>
    <w:bookmarkEnd w:id="20"/>
    <w:p w14:paraId="4D784FCA" w14:textId="5A0A854E" w:rsidR="00802231" w:rsidRPr="00802231" w:rsidRDefault="00802231" w:rsidP="00802231">
      <w:pPr>
        <w:pStyle w:val="Descripcin"/>
        <w:keepNext/>
        <w:rPr>
          <w:bCs w:val="0"/>
          <w:color w:val="auto"/>
          <w:sz w:val="22"/>
          <w:szCs w:val="22"/>
        </w:rPr>
      </w:pPr>
      <w:r w:rsidRPr="00564D9C">
        <w:rPr>
          <w:bCs w:val="0"/>
          <w:color w:val="auto"/>
          <w:sz w:val="22"/>
          <w:szCs w:val="22"/>
        </w:rPr>
        <w:lastRenderedPageBreak/>
        <w:t xml:space="preserve">Gráfico </w:t>
      </w:r>
      <w:r w:rsidR="001B538A" w:rsidRPr="00564D9C">
        <w:rPr>
          <w:bCs w:val="0"/>
          <w:color w:val="auto"/>
          <w:sz w:val="22"/>
          <w:szCs w:val="22"/>
        </w:rPr>
        <w:fldChar w:fldCharType="begin"/>
      </w:r>
      <w:r w:rsidRPr="00564D9C">
        <w:rPr>
          <w:bCs w:val="0"/>
          <w:color w:val="auto"/>
          <w:sz w:val="22"/>
          <w:szCs w:val="22"/>
        </w:rPr>
        <w:instrText xml:space="preserve"> SEQ Gráfico \* ARABIC </w:instrText>
      </w:r>
      <w:r w:rsidR="001B538A" w:rsidRPr="00564D9C">
        <w:rPr>
          <w:bCs w:val="0"/>
          <w:color w:val="auto"/>
          <w:sz w:val="22"/>
          <w:szCs w:val="22"/>
        </w:rPr>
        <w:fldChar w:fldCharType="separate"/>
      </w:r>
      <w:r w:rsidR="00FD051B">
        <w:rPr>
          <w:bCs w:val="0"/>
          <w:noProof/>
          <w:color w:val="auto"/>
          <w:sz w:val="22"/>
          <w:szCs w:val="22"/>
        </w:rPr>
        <w:t>3</w:t>
      </w:r>
      <w:r w:rsidR="001B538A" w:rsidRPr="00564D9C">
        <w:rPr>
          <w:bCs w:val="0"/>
          <w:color w:val="auto"/>
          <w:sz w:val="22"/>
          <w:szCs w:val="22"/>
        </w:rPr>
        <w:fldChar w:fldCharType="end"/>
      </w:r>
      <w:r w:rsidRPr="00564D9C">
        <w:rPr>
          <w:bCs w:val="0"/>
          <w:color w:val="auto"/>
          <w:sz w:val="22"/>
          <w:szCs w:val="22"/>
        </w:rPr>
        <w:t>: Evolución de los Índices de Cumplimiento según grupo de sujeto obligados.</w:t>
      </w:r>
    </w:p>
    <w:p w14:paraId="1B99E076" w14:textId="77777777" w:rsidR="004F2485" w:rsidRDefault="000B4CF5" w:rsidP="004F2485">
      <w:r w:rsidRPr="000B4CF5">
        <w:rPr>
          <w:noProof/>
        </w:rPr>
        <w:drawing>
          <wp:inline distT="0" distB="0" distL="0" distR="0" wp14:anchorId="11982DA5" wp14:editId="0E74963B">
            <wp:extent cx="5612130" cy="387413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D8B479-123D-4432-ABA3-57BB9F5B9A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44CDCE" w14:textId="2D3C4A24" w:rsidR="004F2485" w:rsidRDefault="004F2485" w:rsidP="004F2485"/>
    <w:p w14:paraId="7CF51A2C" w14:textId="77777777" w:rsidR="002F67C6" w:rsidRPr="004F2485" w:rsidRDefault="002F67C6" w:rsidP="004F2485"/>
    <w:p w14:paraId="5F9847DA" w14:textId="77777777" w:rsidR="00D15F0F" w:rsidRPr="00561A62" w:rsidRDefault="00D15F0F" w:rsidP="00D15F0F">
      <w:pPr>
        <w:pStyle w:val="Ttulo2"/>
      </w:pPr>
      <w:bookmarkStart w:id="21" w:name="_Toc214611281"/>
      <w:r w:rsidRPr="00561A62">
        <w:t>III.</w:t>
      </w:r>
      <w:r w:rsidR="00FC13B9">
        <w:t>2</w:t>
      </w:r>
      <w:r w:rsidRPr="00561A62">
        <w:t xml:space="preserve">. </w:t>
      </w:r>
      <w:bookmarkEnd w:id="18"/>
      <w:r w:rsidR="00FC13B9">
        <w:t>Resultados por grupo de sujeto obligado.</w:t>
      </w:r>
      <w:bookmarkEnd w:id="21"/>
    </w:p>
    <w:p w14:paraId="70096550" w14:textId="77777777" w:rsidR="00D15F0F" w:rsidRDefault="00D15F0F" w:rsidP="00D15F0F"/>
    <w:p w14:paraId="33809637" w14:textId="77777777" w:rsidR="00345B5A" w:rsidRPr="00561A62" w:rsidRDefault="00345B5A" w:rsidP="00345B5A">
      <w:pPr>
        <w:pStyle w:val="Ttulo3"/>
      </w:pPr>
      <w:bookmarkStart w:id="22" w:name="_Toc214611282"/>
      <w:bookmarkStart w:id="23" w:name="_Hlk214966698"/>
      <w:r>
        <w:t>III.2.</w:t>
      </w:r>
      <w:r w:rsidR="00CA6A70">
        <w:t>1</w:t>
      </w:r>
      <w:r>
        <w:t xml:space="preserve"> Entidades </w:t>
      </w:r>
      <w:r w:rsidR="00392089">
        <w:t>Integrantes</w:t>
      </w:r>
      <w:r>
        <w:t xml:space="preserve"> del Sector Público Institucional </w:t>
      </w:r>
      <w:r w:rsidR="00392089">
        <w:t>Estatal.</w:t>
      </w:r>
      <w:bookmarkEnd w:id="22"/>
    </w:p>
    <w:p w14:paraId="670F8209" w14:textId="77777777" w:rsidR="00D15F0F" w:rsidRPr="00561A62" w:rsidRDefault="00D15F0F" w:rsidP="00D15F0F"/>
    <w:p w14:paraId="58FC8D1A" w14:textId="77777777" w:rsidR="00392089" w:rsidRDefault="00392089" w:rsidP="00392089">
      <w:r w:rsidRPr="00D468AD">
        <w:t xml:space="preserve">Las </w:t>
      </w:r>
      <w:r w:rsidR="000010A9" w:rsidRPr="00D468AD">
        <w:t>entidades</w:t>
      </w:r>
      <w:r w:rsidRPr="00D468AD">
        <w:t xml:space="preserve"> seleccionadas en este grupo de sujetos obligados para participar en una tercera evaluación de cumplimiento son </w:t>
      </w:r>
      <w:r w:rsidR="00D468AD">
        <w:t>53</w:t>
      </w:r>
      <w:r w:rsidRPr="00D468AD">
        <w:t xml:space="preserve">. Todas ellas habían obtenido un ICIO inferior al </w:t>
      </w:r>
      <w:r w:rsidR="000010A9" w:rsidRPr="00D468AD">
        <w:t>75</w:t>
      </w:r>
      <w:r w:rsidRPr="00D468AD">
        <w:t>% en la segunda evaluación de cumplimiento realizada</w:t>
      </w:r>
      <w:r w:rsidR="001339EC" w:rsidRPr="00D468AD">
        <w:t>,</w:t>
      </w:r>
      <w:r w:rsidR="000B511A" w:rsidRPr="00D468AD">
        <w:t xml:space="preserve"> situándose el ICIO promedio de estas entidades en el </w:t>
      </w:r>
      <w:r w:rsidR="002443BF">
        <w:t>45,7</w:t>
      </w:r>
      <w:r w:rsidR="000B511A" w:rsidRPr="00D468AD">
        <w:t xml:space="preserve">%, con un rango de variación de entre el </w:t>
      </w:r>
      <w:r w:rsidR="00D468AD">
        <w:t>11,7 y el 74,6</w:t>
      </w:r>
      <w:r w:rsidR="00D1742F" w:rsidRPr="00D468AD">
        <w:t>%.</w:t>
      </w:r>
    </w:p>
    <w:p w14:paraId="6BBE059F" w14:textId="77777777" w:rsidR="00D468AD" w:rsidRDefault="00392089" w:rsidP="00392089">
      <w:r>
        <w:t xml:space="preserve">Como resultado </w:t>
      </w:r>
      <w:r w:rsidR="00F43CB6">
        <w:t xml:space="preserve">de </w:t>
      </w:r>
      <w:r w:rsidR="00D1742F">
        <w:t>esta</w:t>
      </w:r>
      <w:r>
        <w:t xml:space="preserve"> segunda evaluación se efectuaron un total de </w:t>
      </w:r>
      <w:r w:rsidR="00D468AD">
        <w:t>773</w:t>
      </w:r>
      <w:r w:rsidR="005C4797">
        <w:t xml:space="preserve"> recomendaciones</w:t>
      </w:r>
      <w:r w:rsidR="00AB31F4">
        <w:t>, constatándose e</w:t>
      </w:r>
      <w:r>
        <w:t>n la tercera evaluación que se ha</w:t>
      </w:r>
      <w:r w:rsidR="005C4797">
        <w:t xml:space="preserve">n aplicado </w:t>
      </w:r>
      <w:r w:rsidR="00D468AD">
        <w:t>217</w:t>
      </w:r>
      <w:r w:rsidR="005C4797">
        <w:t xml:space="preserve">, </w:t>
      </w:r>
      <w:r w:rsidR="00B50BE4">
        <w:t xml:space="preserve">el </w:t>
      </w:r>
      <w:r w:rsidR="00D468AD">
        <w:t>28,1</w:t>
      </w:r>
      <w:r w:rsidR="00B50BE4">
        <w:t>% del total, con un rango de variación que oscila entre 0 y el 100%</w:t>
      </w:r>
      <w:r w:rsidR="00EE2DF2">
        <w:t>.</w:t>
      </w:r>
    </w:p>
    <w:p w14:paraId="73EA832B" w14:textId="77777777" w:rsidR="00305E29" w:rsidRDefault="00305E29" w:rsidP="00392089">
      <w:r>
        <w:t xml:space="preserve">El ICIO medio alcanzado en la </w:t>
      </w:r>
      <w:r w:rsidR="00D468AD">
        <w:t>tercera</w:t>
      </w:r>
      <w:r>
        <w:t xml:space="preserve"> evaluación </w:t>
      </w:r>
      <w:r w:rsidR="00522CF8">
        <w:t>alcanza el</w:t>
      </w:r>
      <w:r w:rsidR="00D468AD">
        <w:t xml:space="preserve"> 53,2</w:t>
      </w:r>
      <w:r w:rsidR="003B012E">
        <w:t xml:space="preserve">%, </w:t>
      </w:r>
      <w:r w:rsidR="00BE0ACF">
        <w:t xml:space="preserve">con un rango de variación de entre el </w:t>
      </w:r>
      <w:r w:rsidR="001939C5">
        <w:t>13,3</w:t>
      </w:r>
      <w:r w:rsidR="00BE0ACF">
        <w:t xml:space="preserve"> y el 100%. </w:t>
      </w:r>
      <w:r w:rsidR="00263098">
        <w:t>El</w:t>
      </w:r>
      <w:r w:rsidR="003B012E">
        <w:t xml:space="preserve"> incremento </w:t>
      </w:r>
      <w:r w:rsidR="00723726">
        <w:t xml:space="preserve">medio </w:t>
      </w:r>
      <w:r w:rsidR="00263098">
        <w:t xml:space="preserve">del ICIO es </w:t>
      </w:r>
      <w:r w:rsidR="003B012E">
        <w:t xml:space="preserve">de </w:t>
      </w:r>
      <w:r w:rsidR="002443BF">
        <w:t>7,5</w:t>
      </w:r>
      <w:r w:rsidR="003B012E">
        <w:t xml:space="preserve"> p.p</w:t>
      </w:r>
      <w:r w:rsidR="00D1518A">
        <w:t xml:space="preserve">. </w:t>
      </w:r>
      <w:r w:rsidR="00723726">
        <w:t>y l</w:t>
      </w:r>
      <w:r w:rsidR="003B012E">
        <w:t xml:space="preserve">a mejora lograda por estas entidades </w:t>
      </w:r>
      <w:r w:rsidR="00263098">
        <w:t xml:space="preserve">puede cuantificarse en el </w:t>
      </w:r>
      <w:r w:rsidR="002443BF">
        <w:t>16,4</w:t>
      </w:r>
      <w:r w:rsidR="00263098">
        <w:t>%.</w:t>
      </w:r>
    </w:p>
    <w:p w14:paraId="06B703BB" w14:textId="77777777" w:rsidR="007C27BC" w:rsidRDefault="00263098" w:rsidP="00392089">
      <w:r>
        <w:lastRenderedPageBreak/>
        <w:t>En promedio estas entidades han incrementado sus ICIO</w:t>
      </w:r>
      <w:r w:rsidR="00623773">
        <w:t xml:space="preserve"> entre la </w:t>
      </w:r>
      <w:r w:rsidR="001939C5">
        <w:t>primera</w:t>
      </w:r>
      <w:r w:rsidR="00623773">
        <w:t xml:space="preserve"> y la </w:t>
      </w:r>
      <w:r w:rsidR="001939C5">
        <w:t>tercera</w:t>
      </w:r>
      <w:r w:rsidR="00623773">
        <w:t xml:space="preserve"> evaluación en </w:t>
      </w:r>
      <w:r w:rsidR="007D0751">
        <w:t>20,3</w:t>
      </w:r>
      <w:r w:rsidR="00623773">
        <w:t xml:space="preserve"> p.p. Tras </w:t>
      </w:r>
      <w:r w:rsidR="001939C5">
        <w:t>tres</w:t>
      </w:r>
      <w:r w:rsidR="00623773">
        <w:t xml:space="preserve"> evaluaciones de cumplimiento</w:t>
      </w:r>
      <w:r w:rsidR="007C27BC">
        <w:t xml:space="preserve">, estas entidades han mejorado sus ICIO en el </w:t>
      </w:r>
      <w:r w:rsidR="007D0751">
        <w:t>61,7</w:t>
      </w:r>
      <w:r w:rsidR="007C27BC">
        <w:t>% en promedio.</w:t>
      </w:r>
    </w:p>
    <w:p w14:paraId="3616E132" w14:textId="77777777" w:rsidR="00263098" w:rsidRDefault="007C27BC" w:rsidP="00392089">
      <w:r>
        <w:t xml:space="preserve">Finalmente, esta </w:t>
      </w:r>
      <w:r w:rsidR="00B77E7D">
        <w:t>última</w:t>
      </w:r>
      <w:r>
        <w:t xml:space="preserve"> evaluación de cumplimiento también ha evidenciado que</w:t>
      </w:r>
      <w:r w:rsidR="00B77E7D">
        <w:t>,</w:t>
      </w:r>
      <w:r w:rsidR="00564D9C">
        <w:t xml:space="preserve"> </w:t>
      </w:r>
      <w:r w:rsidR="00455471">
        <w:t xml:space="preserve">tras </w:t>
      </w:r>
      <w:r w:rsidR="001939C5">
        <w:t>tres</w:t>
      </w:r>
      <w:r w:rsidR="00455471">
        <w:t xml:space="preserve"> evaluaciones</w:t>
      </w:r>
      <w:r w:rsidR="00B77E7D">
        <w:t>,</w:t>
      </w:r>
      <w:r>
        <w:t xml:space="preserve"> subsisten </w:t>
      </w:r>
      <w:r w:rsidR="001939C5">
        <w:t>556</w:t>
      </w:r>
      <w:r w:rsidR="00455471">
        <w:t xml:space="preserve"> incumplimientos de la LTAIBG, </w:t>
      </w:r>
      <w:r w:rsidR="001939C5">
        <w:t>10,9</w:t>
      </w:r>
      <w:r w:rsidR="00FC5523">
        <w:t xml:space="preserve"> en promedio por entidad</w:t>
      </w:r>
      <w:r w:rsidR="00B77E7D">
        <w:t>,</w:t>
      </w:r>
      <w:r w:rsidR="00FC5523">
        <w:t xml:space="preserve"> con un rango de variación que oscila </w:t>
      </w:r>
      <w:r w:rsidR="00723726">
        <w:t>entre</w:t>
      </w:r>
      <w:r w:rsidR="00FC5523">
        <w:t xml:space="preserve"> 1 y </w:t>
      </w:r>
      <w:r w:rsidR="001939C5">
        <w:t>27</w:t>
      </w:r>
      <w:r w:rsidR="00FC5523">
        <w:t xml:space="preserve"> incumplimientos</w:t>
      </w:r>
      <w:r w:rsidR="00FC5523" w:rsidRPr="006D00C1">
        <w:t>. Puede considerarse, por lo tanto</w:t>
      </w:r>
      <w:r w:rsidR="00C1673E" w:rsidRPr="006D00C1">
        <w:t>, que se trata de incumplimientos reiterados, en los términos que establece el artículo 9.3 de la LTAIBG.</w:t>
      </w:r>
    </w:p>
    <w:p w14:paraId="26CA00D9" w14:textId="77777777" w:rsidR="00392089" w:rsidRDefault="00392089" w:rsidP="005C10F4">
      <w:r>
        <w:t xml:space="preserve">Los resultados individuales obtenidos por este grupo </w:t>
      </w:r>
      <w:r w:rsidR="009C0F0D">
        <w:t>d</w:t>
      </w:r>
      <w:r>
        <w:t>e sujetos obligados</w:t>
      </w:r>
      <w:r w:rsidR="002C2954">
        <w:t xml:space="preserve">, ordenados en función del ICIO obtenido en la </w:t>
      </w:r>
      <w:r w:rsidR="001939C5">
        <w:t>tercera</w:t>
      </w:r>
      <w:r w:rsidR="002C2954">
        <w:t xml:space="preserve"> evaluación de cumplimiento, </w:t>
      </w:r>
      <w:r>
        <w:t>se reflejan en la siguiente tabla.</w:t>
      </w:r>
    </w:p>
    <w:tbl>
      <w:tblPr>
        <w:tblStyle w:val="Listavistosa-nfasis2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559"/>
        <w:gridCol w:w="1134"/>
        <w:gridCol w:w="1134"/>
        <w:gridCol w:w="1276"/>
      </w:tblGrid>
      <w:tr w:rsidR="00564D9C" w:rsidRPr="00564D9C" w14:paraId="2F06812D" w14:textId="77777777" w:rsidTr="002F6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E8F5BD3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  <w:bookmarkStart w:id="24" w:name="_Hlk214966716"/>
            <w:bookmarkEnd w:id="23"/>
          </w:p>
        </w:tc>
        <w:tc>
          <w:tcPr>
            <w:tcW w:w="1134" w:type="dxa"/>
            <w:noWrap/>
            <w:hideMark/>
          </w:tcPr>
          <w:p w14:paraId="4CC28312" w14:textId="77777777" w:rsidR="00564D9C" w:rsidRPr="00564D9C" w:rsidRDefault="00564D9C" w:rsidP="00564D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ICIO 2ª evaluación</w:t>
            </w:r>
          </w:p>
        </w:tc>
        <w:tc>
          <w:tcPr>
            <w:tcW w:w="1559" w:type="dxa"/>
            <w:noWrap/>
            <w:hideMark/>
          </w:tcPr>
          <w:p w14:paraId="5D2B2613" w14:textId="77777777" w:rsidR="00564D9C" w:rsidRPr="00564D9C" w:rsidRDefault="00564D9C" w:rsidP="00564D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Proporción de recomendaciones aplicadas derivadas de la segunda evaluación</w:t>
            </w:r>
          </w:p>
        </w:tc>
        <w:tc>
          <w:tcPr>
            <w:tcW w:w="1134" w:type="dxa"/>
            <w:noWrap/>
            <w:hideMark/>
          </w:tcPr>
          <w:p w14:paraId="5B608D41" w14:textId="77777777" w:rsidR="00564D9C" w:rsidRPr="00564D9C" w:rsidRDefault="00564D9C" w:rsidP="00564D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ICIO 3ª evaluación</w:t>
            </w:r>
          </w:p>
        </w:tc>
        <w:tc>
          <w:tcPr>
            <w:tcW w:w="1134" w:type="dxa"/>
            <w:noWrap/>
            <w:hideMark/>
          </w:tcPr>
          <w:p w14:paraId="2217D51A" w14:textId="77777777" w:rsidR="00564D9C" w:rsidRPr="00564D9C" w:rsidRDefault="00564D9C" w:rsidP="00564D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Diferencia ICIO entre la tercera y la segunda evaluación (%)</w:t>
            </w:r>
          </w:p>
        </w:tc>
        <w:tc>
          <w:tcPr>
            <w:tcW w:w="1276" w:type="dxa"/>
            <w:noWrap/>
            <w:hideMark/>
          </w:tcPr>
          <w:p w14:paraId="0756FBCC" w14:textId="77777777" w:rsidR="00564D9C" w:rsidRPr="00564D9C" w:rsidRDefault="00564D9C" w:rsidP="00564D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Incumplimientos subsistentes tras 3 evaluaciones de cumplimiento</w:t>
            </w:r>
          </w:p>
        </w:tc>
      </w:tr>
      <w:tr w:rsidR="007D72AF" w:rsidRPr="00564D9C" w14:paraId="46BB82DE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7965A70" w14:textId="4EB6AB0F" w:rsidR="007D72AF" w:rsidRPr="00564D9C" w:rsidRDefault="007D72AF" w:rsidP="007D72AF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Barcelona</w:t>
            </w:r>
          </w:p>
        </w:tc>
        <w:tc>
          <w:tcPr>
            <w:tcW w:w="1134" w:type="dxa"/>
            <w:noWrap/>
            <w:hideMark/>
          </w:tcPr>
          <w:p w14:paraId="4E185247" w14:textId="50CD312C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70,1</w:t>
            </w:r>
          </w:p>
        </w:tc>
        <w:tc>
          <w:tcPr>
            <w:tcW w:w="1559" w:type="dxa"/>
            <w:noWrap/>
            <w:hideMark/>
          </w:tcPr>
          <w:p w14:paraId="16195499" w14:textId="6AE4384D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100,0%</w:t>
            </w:r>
          </w:p>
        </w:tc>
        <w:tc>
          <w:tcPr>
            <w:tcW w:w="1134" w:type="dxa"/>
            <w:noWrap/>
            <w:hideMark/>
          </w:tcPr>
          <w:p w14:paraId="64CF2D26" w14:textId="5050E193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7B03F427" w14:textId="49EAAB21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42,7%</w:t>
            </w:r>
          </w:p>
        </w:tc>
        <w:tc>
          <w:tcPr>
            <w:tcW w:w="1276" w:type="dxa"/>
            <w:noWrap/>
            <w:hideMark/>
          </w:tcPr>
          <w:p w14:paraId="61BA64D7" w14:textId="4AB3EBF3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564D9C" w:rsidRPr="00564D9C" w14:paraId="52AE5E77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29854AB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Confederación Hidrográfica Tajo</w:t>
            </w:r>
          </w:p>
        </w:tc>
        <w:tc>
          <w:tcPr>
            <w:tcW w:w="1134" w:type="dxa"/>
            <w:noWrap/>
            <w:hideMark/>
          </w:tcPr>
          <w:p w14:paraId="48F4EBA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43,3</w:t>
            </w:r>
          </w:p>
        </w:tc>
        <w:tc>
          <w:tcPr>
            <w:tcW w:w="1559" w:type="dxa"/>
            <w:noWrap/>
            <w:hideMark/>
          </w:tcPr>
          <w:p w14:paraId="7702379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100,0%</w:t>
            </w:r>
          </w:p>
        </w:tc>
        <w:tc>
          <w:tcPr>
            <w:tcW w:w="1134" w:type="dxa"/>
            <w:noWrap/>
            <w:hideMark/>
          </w:tcPr>
          <w:p w14:paraId="2B1BA3B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5E63F00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130,9%</w:t>
            </w:r>
          </w:p>
        </w:tc>
        <w:tc>
          <w:tcPr>
            <w:tcW w:w="1276" w:type="dxa"/>
            <w:noWrap/>
            <w:hideMark/>
          </w:tcPr>
          <w:p w14:paraId="3AFB385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7D72AF" w:rsidRPr="00564D9C" w14:paraId="70C67477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14:paraId="7AE6D1CF" w14:textId="2F71174A" w:rsidR="007D72AF" w:rsidRPr="00564D9C" w:rsidRDefault="007D72AF" w:rsidP="007D72AF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Consejo Super</w:t>
            </w:r>
            <w:r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i</w:t>
            </w: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or de Investigaciones Científicas</w:t>
            </w:r>
          </w:p>
        </w:tc>
        <w:tc>
          <w:tcPr>
            <w:tcW w:w="1134" w:type="dxa"/>
            <w:noWrap/>
          </w:tcPr>
          <w:p w14:paraId="040BDFE6" w14:textId="20973AF1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44,4</w:t>
            </w:r>
          </w:p>
        </w:tc>
        <w:tc>
          <w:tcPr>
            <w:tcW w:w="1559" w:type="dxa"/>
            <w:noWrap/>
          </w:tcPr>
          <w:p w14:paraId="56992B08" w14:textId="64BCE6D9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94,4%</w:t>
            </w:r>
          </w:p>
        </w:tc>
        <w:tc>
          <w:tcPr>
            <w:tcW w:w="1134" w:type="dxa"/>
            <w:noWrap/>
          </w:tcPr>
          <w:p w14:paraId="4D14BFC0" w14:textId="3DF0EE9F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</w:tcPr>
          <w:p w14:paraId="300D0D88" w14:textId="5EFF10CB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color w:val="auto"/>
                <w:sz w:val="16"/>
                <w:szCs w:val="16"/>
              </w:rPr>
              <w:t>125,2%</w:t>
            </w:r>
          </w:p>
        </w:tc>
        <w:tc>
          <w:tcPr>
            <w:tcW w:w="1276" w:type="dxa"/>
            <w:noWrap/>
          </w:tcPr>
          <w:p w14:paraId="7FCCD9A4" w14:textId="7A341D13" w:rsidR="007D72AF" w:rsidRPr="00564D9C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</w:t>
            </w:r>
          </w:p>
        </w:tc>
      </w:tr>
      <w:tr w:rsidR="00564D9C" w:rsidRPr="00564D9C" w14:paraId="3DF94C40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135CDE3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Mutualidad General Judicial</w:t>
            </w:r>
          </w:p>
        </w:tc>
        <w:tc>
          <w:tcPr>
            <w:tcW w:w="1134" w:type="dxa"/>
            <w:noWrap/>
            <w:hideMark/>
          </w:tcPr>
          <w:p w14:paraId="782851D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57,5</w:t>
            </w:r>
          </w:p>
        </w:tc>
        <w:tc>
          <w:tcPr>
            <w:tcW w:w="1559" w:type="dxa"/>
            <w:noWrap/>
            <w:hideMark/>
          </w:tcPr>
          <w:p w14:paraId="3DD84673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72,7%</w:t>
            </w:r>
          </w:p>
        </w:tc>
        <w:tc>
          <w:tcPr>
            <w:tcW w:w="1134" w:type="dxa"/>
            <w:noWrap/>
            <w:hideMark/>
          </w:tcPr>
          <w:p w14:paraId="2D137D2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95,1</w:t>
            </w:r>
          </w:p>
        </w:tc>
        <w:tc>
          <w:tcPr>
            <w:tcW w:w="1134" w:type="dxa"/>
            <w:noWrap/>
            <w:hideMark/>
          </w:tcPr>
          <w:p w14:paraId="5FB5E13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65,4%</w:t>
            </w:r>
          </w:p>
        </w:tc>
        <w:tc>
          <w:tcPr>
            <w:tcW w:w="1276" w:type="dxa"/>
            <w:noWrap/>
            <w:hideMark/>
          </w:tcPr>
          <w:p w14:paraId="5F8CF75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564D9C" w:rsidRPr="00564D9C" w14:paraId="4C263A0F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FEEFAF5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Sevilla</w:t>
            </w:r>
          </w:p>
        </w:tc>
        <w:tc>
          <w:tcPr>
            <w:tcW w:w="1134" w:type="dxa"/>
            <w:noWrap/>
            <w:hideMark/>
          </w:tcPr>
          <w:p w14:paraId="2E1E5C5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69,7</w:t>
            </w:r>
          </w:p>
        </w:tc>
        <w:tc>
          <w:tcPr>
            <w:tcW w:w="1559" w:type="dxa"/>
            <w:noWrap/>
            <w:hideMark/>
          </w:tcPr>
          <w:p w14:paraId="5DC8B56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83,3%</w:t>
            </w:r>
          </w:p>
        </w:tc>
        <w:tc>
          <w:tcPr>
            <w:tcW w:w="1134" w:type="dxa"/>
            <w:noWrap/>
            <w:hideMark/>
          </w:tcPr>
          <w:p w14:paraId="77E3A3F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93,6</w:t>
            </w:r>
          </w:p>
        </w:tc>
        <w:tc>
          <w:tcPr>
            <w:tcW w:w="1134" w:type="dxa"/>
            <w:noWrap/>
            <w:hideMark/>
          </w:tcPr>
          <w:p w14:paraId="7316A82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34,3%</w:t>
            </w:r>
          </w:p>
        </w:tc>
        <w:tc>
          <w:tcPr>
            <w:tcW w:w="1276" w:type="dxa"/>
            <w:noWrap/>
            <w:hideMark/>
          </w:tcPr>
          <w:p w14:paraId="473EB80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</w:t>
            </w:r>
          </w:p>
        </w:tc>
      </w:tr>
      <w:tr w:rsidR="00564D9C" w:rsidRPr="00564D9C" w14:paraId="2CA84AD1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18E2BA9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Agencia Estatal de Seguridad Aérea</w:t>
            </w:r>
          </w:p>
        </w:tc>
        <w:tc>
          <w:tcPr>
            <w:tcW w:w="1134" w:type="dxa"/>
            <w:noWrap/>
            <w:hideMark/>
          </w:tcPr>
          <w:p w14:paraId="762DE6E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49,7</w:t>
            </w:r>
          </w:p>
        </w:tc>
        <w:tc>
          <w:tcPr>
            <w:tcW w:w="1559" w:type="dxa"/>
            <w:noWrap/>
            <w:hideMark/>
          </w:tcPr>
          <w:p w14:paraId="5A003D8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93,8%</w:t>
            </w:r>
          </w:p>
        </w:tc>
        <w:tc>
          <w:tcPr>
            <w:tcW w:w="1134" w:type="dxa"/>
            <w:noWrap/>
            <w:hideMark/>
          </w:tcPr>
          <w:p w14:paraId="5644550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91,2</w:t>
            </w:r>
          </w:p>
        </w:tc>
        <w:tc>
          <w:tcPr>
            <w:tcW w:w="1134" w:type="dxa"/>
            <w:noWrap/>
            <w:hideMark/>
          </w:tcPr>
          <w:p w14:paraId="167DEAB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83,5%</w:t>
            </w:r>
          </w:p>
        </w:tc>
        <w:tc>
          <w:tcPr>
            <w:tcW w:w="1276" w:type="dxa"/>
            <w:noWrap/>
            <w:hideMark/>
          </w:tcPr>
          <w:p w14:paraId="77A26923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</w:t>
            </w:r>
          </w:p>
        </w:tc>
      </w:tr>
      <w:tr w:rsidR="00564D9C" w:rsidRPr="00564D9C" w14:paraId="59929B71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4F4B0B5E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Casa Mediterráneo</w:t>
            </w:r>
          </w:p>
        </w:tc>
        <w:tc>
          <w:tcPr>
            <w:tcW w:w="1134" w:type="dxa"/>
            <w:noWrap/>
            <w:hideMark/>
          </w:tcPr>
          <w:p w14:paraId="0CFFEE0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74,6</w:t>
            </w:r>
          </w:p>
        </w:tc>
        <w:tc>
          <w:tcPr>
            <w:tcW w:w="1559" w:type="dxa"/>
            <w:noWrap/>
            <w:hideMark/>
          </w:tcPr>
          <w:p w14:paraId="515AD34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60,0%</w:t>
            </w:r>
          </w:p>
        </w:tc>
        <w:tc>
          <w:tcPr>
            <w:tcW w:w="1134" w:type="dxa"/>
            <w:noWrap/>
            <w:hideMark/>
          </w:tcPr>
          <w:p w14:paraId="246799F1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88,0</w:t>
            </w:r>
          </w:p>
        </w:tc>
        <w:tc>
          <w:tcPr>
            <w:tcW w:w="1134" w:type="dxa"/>
            <w:noWrap/>
            <w:hideMark/>
          </w:tcPr>
          <w:p w14:paraId="35897BE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18,0%</w:t>
            </w:r>
          </w:p>
        </w:tc>
        <w:tc>
          <w:tcPr>
            <w:tcW w:w="1276" w:type="dxa"/>
            <w:noWrap/>
            <w:hideMark/>
          </w:tcPr>
          <w:p w14:paraId="7663467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</w:t>
            </w:r>
          </w:p>
        </w:tc>
      </w:tr>
      <w:tr w:rsidR="00564D9C" w:rsidRPr="00564D9C" w14:paraId="1BAD1D00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8622D0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Consorcio Zona Franca Barcelona</w:t>
            </w:r>
          </w:p>
        </w:tc>
        <w:tc>
          <w:tcPr>
            <w:tcW w:w="1134" w:type="dxa"/>
            <w:noWrap/>
            <w:hideMark/>
          </w:tcPr>
          <w:p w14:paraId="1965F30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73,3</w:t>
            </w:r>
          </w:p>
        </w:tc>
        <w:tc>
          <w:tcPr>
            <w:tcW w:w="1559" w:type="dxa"/>
            <w:noWrap/>
            <w:hideMark/>
          </w:tcPr>
          <w:p w14:paraId="7729480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42,9%</w:t>
            </w:r>
          </w:p>
        </w:tc>
        <w:tc>
          <w:tcPr>
            <w:tcW w:w="1134" w:type="dxa"/>
            <w:noWrap/>
            <w:hideMark/>
          </w:tcPr>
          <w:p w14:paraId="05BE2C3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86,0</w:t>
            </w:r>
          </w:p>
        </w:tc>
        <w:tc>
          <w:tcPr>
            <w:tcW w:w="1134" w:type="dxa"/>
            <w:noWrap/>
            <w:hideMark/>
          </w:tcPr>
          <w:p w14:paraId="6BB3CA0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17,3%</w:t>
            </w:r>
          </w:p>
        </w:tc>
        <w:tc>
          <w:tcPr>
            <w:tcW w:w="1276" w:type="dxa"/>
            <w:noWrap/>
            <w:hideMark/>
          </w:tcPr>
          <w:p w14:paraId="6B5AF67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09954CDA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5B3E5BA5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Desarrollos Empresariales de la Zona Franca de Cádiz</w:t>
            </w:r>
          </w:p>
        </w:tc>
        <w:tc>
          <w:tcPr>
            <w:tcW w:w="1134" w:type="dxa"/>
            <w:noWrap/>
            <w:hideMark/>
          </w:tcPr>
          <w:p w14:paraId="024EB03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61,9</w:t>
            </w:r>
          </w:p>
        </w:tc>
        <w:tc>
          <w:tcPr>
            <w:tcW w:w="1559" w:type="dxa"/>
            <w:noWrap/>
            <w:hideMark/>
          </w:tcPr>
          <w:p w14:paraId="1FCA2D2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71,4%</w:t>
            </w:r>
          </w:p>
        </w:tc>
        <w:tc>
          <w:tcPr>
            <w:tcW w:w="1134" w:type="dxa"/>
            <w:noWrap/>
            <w:hideMark/>
          </w:tcPr>
          <w:p w14:paraId="2A340E5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82,8</w:t>
            </w:r>
          </w:p>
        </w:tc>
        <w:tc>
          <w:tcPr>
            <w:tcW w:w="1134" w:type="dxa"/>
            <w:noWrap/>
            <w:hideMark/>
          </w:tcPr>
          <w:p w14:paraId="2A16D4C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33,8%</w:t>
            </w:r>
          </w:p>
        </w:tc>
        <w:tc>
          <w:tcPr>
            <w:tcW w:w="1276" w:type="dxa"/>
            <w:noWrap/>
            <w:hideMark/>
          </w:tcPr>
          <w:p w14:paraId="48EEBB5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</w:t>
            </w:r>
          </w:p>
        </w:tc>
      </w:tr>
      <w:tr w:rsidR="00564D9C" w:rsidRPr="00564D9C" w14:paraId="0FFE3D04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FB1F7AD" w14:textId="60DBC4FC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Mutua de Andaluc</w:t>
            </w:r>
            <w:r w:rsidR="00075F1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í</w:t>
            </w: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29776F5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46,7</w:t>
            </w:r>
          </w:p>
        </w:tc>
        <w:tc>
          <w:tcPr>
            <w:tcW w:w="1559" w:type="dxa"/>
            <w:noWrap/>
            <w:hideMark/>
          </w:tcPr>
          <w:p w14:paraId="65F6CE4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53,8%</w:t>
            </w:r>
          </w:p>
        </w:tc>
        <w:tc>
          <w:tcPr>
            <w:tcW w:w="1134" w:type="dxa"/>
            <w:noWrap/>
            <w:hideMark/>
          </w:tcPr>
          <w:p w14:paraId="4854F8D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78,4</w:t>
            </w:r>
          </w:p>
        </w:tc>
        <w:tc>
          <w:tcPr>
            <w:tcW w:w="1134" w:type="dxa"/>
            <w:noWrap/>
            <w:hideMark/>
          </w:tcPr>
          <w:p w14:paraId="7EDB825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67,9%</w:t>
            </w:r>
          </w:p>
        </w:tc>
        <w:tc>
          <w:tcPr>
            <w:tcW w:w="1276" w:type="dxa"/>
            <w:noWrap/>
            <w:hideMark/>
          </w:tcPr>
          <w:p w14:paraId="4624E1F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564D9C" w:rsidRPr="00564D9C" w14:paraId="3277C490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7778C56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Gerencia de </w:t>
            </w:r>
            <w:proofErr w:type="spellStart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Infraestruturas</w:t>
            </w:r>
            <w:proofErr w:type="spellEnd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 y Equipamientos de la Seguridad del Estado</w:t>
            </w:r>
          </w:p>
        </w:tc>
        <w:tc>
          <w:tcPr>
            <w:tcW w:w="1134" w:type="dxa"/>
            <w:noWrap/>
            <w:hideMark/>
          </w:tcPr>
          <w:p w14:paraId="304F767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71,9</w:t>
            </w:r>
          </w:p>
        </w:tc>
        <w:tc>
          <w:tcPr>
            <w:tcW w:w="1559" w:type="dxa"/>
            <w:noWrap/>
            <w:hideMark/>
          </w:tcPr>
          <w:p w14:paraId="7380880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33,3%</w:t>
            </w:r>
          </w:p>
        </w:tc>
        <w:tc>
          <w:tcPr>
            <w:tcW w:w="1134" w:type="dxa"/>
            <w:noWrap/>
            <w:hideMark/>
          </w:tcPr>
          <w:p w14:paraId="24F025E1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76,7</w:t>
            </w:r>
          </w:p>
        </w:tc>
        <w:tc>
          <w:tcPr>
            <w:tcW w:w="1134" w:type="dxa"/>
            <w:noWrap/>
            <w:hideMark/>
          </w:tcPr>
          <w:p w14:paraId="2BE9E36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6,7%</w:t>
            </w:r>
          </w:p>
        </w:tc>
        <w:tc>
          <w:tcPr>
            <w:tcW w:w="1276" w:type="dxa"/>
            <w:noWrap/>
            <w:hideMark/>
          </w:tcPr>
          <w:p w14:paraId="46C5EF3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4B19312C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7BC942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Fundación Lázaro Galdiano</w:t>
            </w:r>
          </w:p>
        </w:tc>
        <w:tc>
          <w:tcPr>
            <w:tcW w:w="1134" w:type="dxa"/>
            <w:noWrap/>
            <w:hideMark/>
          </w:tcPr>
          <w:p w14:paraId="588BFC06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53,6</w:t>
            </w:r>
          </w:p>
        </w:tc>
        <w:tc>
          <w:tcPr>
            <w:tcW w:w="1559" w:type="dxa"/>
            <w:noWrap/>
            <w:hideMark/>
          </w:tcPr>
          <w:p w14:paraId="0D504EF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33,3%</w:t>
            </w:r>
          </w:p>
        </w:tc>
        <w:tc>
          <w:tcPr>
            <w:tcW w:w="1134" w:type="dxa"/>
            <w:noWrap/>
            <w:hideMark/>
          </w:tcPr>
          <w:p w14:paraId="5CF1487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72,4</w:t>
            </w:r>
          </w:p>
        </w:tc>
        <w:tc>
          <w:tcPr>
            <w:tcW w:w="1134" w:type="dxa"/>
            <w:noWrap/>
            <w:hideMark/>
          </w:tcPr>
          <w:p w14:paraId="2F750F8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35,1%</w:t>
            </w:r>
          </w:p>
        </w:tc>
        <w:tc>
          <w:tcPr>
            <w:tcW w:w="1276" w:type="dxa"/>
            <w:noWrap/>
            <w:hideMark/>
          </w:tcPr>
          <w:p w14:paraId="38E1D79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4DC7BC8A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08032FD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Instituto Nacional de Administración Pública</w:t>
            </w:r>
          </w:p>
        </w:tc>
        <w:tc>
          <w:tcPr>
            <w:tcW w:w="1134" w:type="dxa"/>
            <w:noWrap/>
            <w:hideMark/>
          </w:tcPr>
          <w:p w14:paraId="7130CAC1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58,8</w:t>
            </w:r>
          </w:p>
        </w:tc>
        <w:tc>
          <w:tcPr>
            <w:tcW w:w="1559" w:type="dxa"/>
            <w:noWrap/>
            <w:hideMark/>
          </w:tcPr>
          <w:p w14:paraId="77DF4CD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27,3%</w:t>
            </w:r>
          </w:p>
        </w:tc>
        <w:tc>
          <w:tcPr>
            <w:tcW w:w="1134" w:type="dxa"/>
            <w:noWrap/>
            <w:hideMark/>
          </w:tcPr>
          <w:p w14:paraId="4C92CDC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71,8</w:t>
            </w:r>
          </w:p>
        </w:tc>
        <w:tc>
          <w:tcPr>
            <w:tcW w:w="1134" w:type="dxa"/>
            <w:noWrap/>
            <w:hideMark/>
          </w:tcPr>
          <w:p w14:paraId="36EC719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22,1%</w:t>
            </w:r>
          </w:p>
        </w:tc>
        <w:tc>
          <w:tcPr>
            <w:tcW w:w="1276" w:type="dxa"/>
            <w:noWrap/>
            <w:hideMark/>
          </w:tcPr>
          <w:p w14:paraId="27CF10E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</w:t>
            </w:r>
          </w:p>
        </w:tc>
      </w:tr>
      <w:tr w:rsidR="00564D9C" w:rsidRPr="00564D9C" w14:paraId="29421172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0298DF71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Baleares</w:t>
            </w:r>
          </w:p>
        </w:tc>
        <w:tc>
          <w:tcPr>
            <w:tcW w:w="1134" w:type="dxa"/>
            <w:noWrap/>
            <w:hideMark/>
          </w:tcPr>
          <w:p w14:paraId="3DC0955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70,1</w:t>
            </w:r>
          </w:p>
        </w:tc>
        <w:tc>
          <w:tcPr>
            <w:tcW w:w="1559" w:type="dxa"/>
            <w:noWrap/>
            <w:hideMark/>
          </w:tcPr>
          <w:p w14:paraId="202E19A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50,0%</w:t>
            </w:r>
          </w:p>
        </w:tc>
        <w:tc>
          <w:tcPr>
            <w:tcW w:w="1134" w:type="dxa"/>
            <w:noWrap/>
            <w:hideMark/>
          </w:tcPr>
          <w:p w14:paraId="239AED7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71,7</w:t>
            </w:r>
          </w:p>
        </w:tc>
        <w:tc>
          <w:tcPr>
            <w:tcW w:w="1134" w:type="dxa"/>
            <w:noWrap/>
            <w:hideMark/>
          </w:tcPr>
          <w:p w14:paraId="0995BBB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2,3%</w:t>
            </w:r>
          </w:p>
        </w:tc>
        <w:tc>
          <w:tcPr>
            <w:tcW w:w="1276" w:type="dxa"/>
            <w:noWrap/>
            <w:hideMark/>
          </w:tcPr>
          <w:p w14:paraId="505007A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5EF62F93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6A40759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Consorcio Zona Franca Vigo</w:t>
            </w:r>
          </w:p>
        </w:tc>
        <w:tc>
          <w:tcPr>
            <w:tcW w:w="1134" w:type="dxa"/>
            <w:noWrap/>
            <w:hideMark/>
          </w:tcPr>
          <w:p w14:paraId="3DBABF5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404C516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12,5%</w:t>
            </w:r>
          </w:p>
        </w:tc>
        <w:tc>
          <w:tcPr>
            <w:tcW w:w="1134" w:type="dxa"/>
            <w:noWrap/>
            <w:hideMark/>
          </w:tcPr>
          <w:p w14:paraId="4ADC284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69,0</w:t>
            </w:r>
          </w:p>
        </w:tc>
        <w:tc>
          <w:tcPr>
            <w:tcW w:w="1134" w:type="dxa"/>
            <w:noWrap/>
            <w:hideMark/>
          </w:tcPr>
          <w:p w14:paraId="7B02CED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-1,7%</w:t>
            </w:r>
          </w:p>
        </w:tc>
        <w:tc>
          <w:tcPr>
            <w:tcW w:w="1276" w:type="dxa"/>
            <w:noWrap/>
            <w:hideMark/>
          </w:tcPr>
          <w:p w14:paraId="35C4EE4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564D9C" w:rsidRPr="00564D9C" w14:paraId="5E488A2D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58BF811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MERCASA</w:t>
            </w:r>
          </w:p>
        </w:tc>
        <w:tc>
          <w:tcPr>
            <w:tcW w:w="1134" w:type="dxa"/>
            <w:noWrap/>
            <w:hideMark/>
          </w:tcPr>
          <w:p w14:paraId="05B8599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61,1</w:t>
            </w:r>
          </w:p>
        </w:tc>
        <w:tc>
          <w:tcPr>
            <w:tcW w:w="1559" w:type="dxa"/>
            <w:noWrap/>
            <w:hideMark/>
          </w:tcPr>
          <w:p w14:paraId="0C522FF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28,6%</w:t>
            </w:r>
          </w:p>
        </w:tc>
        <w:tc>
          <w:tcPr>
            <w:tcW w:w="1134" w:type="dxa"/>
            <w:noWrap/>
            <w:hideMark/>
          </w:tcPr>
          <w:p w14:paraId="48076B2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67,8</w:t>
            </w:r>
          </w:p>
        </w:tc>
        <w:tc>
          <w:tcPr>
            <w:tcW w:w="1134" w:type="dxa"/>
            <w:noWrap/>
            <w:hideMark/>
          </w:tcPr>
          <w:p w14:paraId="5FA68F2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11,0%</w:t>
            </w:r>
          </w:p>
        </w:tc>
        <w:tc>
          <w:tcPr>
            <w:tcW w:w="1276" w:type="dxa"/>
            <w:noWrap/>
            <w:hideMark/>
          </w:tcPr>
          <w:p w14:paraId="13CDEEA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</w:t>
            </w:r>
          </w:p>
        </w:tc>
      </w:tr>
      <w:tr w:rsidR="00564D9C" w:rsidRPr="00564D9C" w14:paraId="36AB5AC5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FE9CB93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Centro de Investigación </w:t>
            </w:r>
            <w:proofErr w:type="spellStart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Biomédca</w:t>
            </w:r>
            <w:proofErr w:type="spellEnd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 en Red</w:t>
            </w:r>
          </w:p>
        </w:tc>
        <w:tc>
          <w:tcPr>
            <w:tcW w:w="1134" w:type="dxa"/>
            <w:noWrap/>
            <w:hideMark/>
          </w:tcPr>
          <w:p w14:paraId="6733771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559" w:type="dxa"/>
            <w:noWrap/>
            <w:hideMark/>
          </w:tcPr>
          <w:p w14:paraId="3C6D233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60,0%</w:t>
            </w:r>
          </w:p>
        </w:tc>
        <w:tc>
          <w:tcPr>
            <w:tcW w:w="1134" w:type="dxa"/>
            <w:noWrap/>
            <w:hideMark/>
          </w:tcPr>
          <w:p w14:paraId="41EC0D9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134" w:type="dxa"/>
            <w:noWrap/>
            <w:hideMark/>
          </w:tcPr>
          <w:p w14:paraId="17D1CD7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25,5%</w:t>
            </w:r>
          </w:p>
        </w:tc>
        <w:tc>
          <w:tcPr>
            <w:tcW w:w="1276" w:type="dxa"/>
            <w:noWrap/>
            <w:hideMark/>
          </w:tcPr>
          <w:p w14:paraId="66C535B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564D9C" w:rsidRPr="00564D9C" w14:paraId="2F7BCA22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6C5F980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Logroño Integración del Ferrocarril</w:t>
            </w:r>
          </w:p>
        </w:tc>
        <w:tc>
          <w:tcPr>
            <w:tcW w:w="1134" w:type="dxa"/>
            <w:noWrap/>
            <w:hideMark/>
          </w:tcPr>
          <w:p w14:paraId="54019DB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</w:t>
            </w:r>
          </w:p>
        </w:tc>
        <w:tc>
          <w:tcPr>
            <w:tcW w:w="1559" w:type="dxa"/>
            <w:noWrap/>
            <w:hideMark/>
          </w:tcPr>
          <w:p w14:paraId="5D0C0C6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75,0%</w:t>
            </w:r>
          </w:p>
        </w:tc>
        <w:tc>
          <w:tcPr>
            <w:tcW w:w="1134" w:type="dxa"/>
            <w:noWrap/>
            <w:hideMark/>
          </w:tcPr>
          <w:p w14:paraId="3244E1F3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65,2</w:t>
            </w:r>
          </w:p>
        </w:tc>
        <w:tc>
          <w:tcPr>
            <w:tcW w:w="1134" w:type="dxa"/>
            <w:noWrap/>
            <w:hideMark/>
          </w:tcPr>
          <w:p w14:paraId="179CFDE6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97,6%</w:t>
            </w:r>
          </w:p>
        </w:tc>
        <w:tc>
          <w:tcPr>
            <w:tcW w:w="1276" w:type="dxa"/>
            <w:noWrap/>
            <w:hideMark/>
          </w:tcPr>
          <w:p w14:paraId="7CC5132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72C62864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B06389E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A.I. ABRA Industrial</w:t>
            </w:r>
          </w:p>
        </w:tc>
        <w:tc>
          <w:tcPr>
            <w:tcW w:w="1134" w:type="dxa"/>
            <w:noWrap/>
            <w:hideMark/>
          </w:tcPr>
          <w:p w14:paraId="78B6DD1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15,3</w:t>
            </w:r>
          </w:p>
        </w:tc>
        <w:tc>
          <w:tcPr>
            <w:tcW w:w="1559" w:type="dxa"/>
            <w:noWrap/>
            <w:hideMark/>
          </w:tcPr>
          <w:p w14:paraId="1A4B9C9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78,9%</w:t>
            </w:r>
          </w:p>
        </w:tc>
        <w:tc>
          <w:tcPr>
            <w:tcW w:w="1134" w:type="dxa"/>
            <w:noWrap/>
            <w:hideMark/>
          </w:tcPr>
          <w:p w14:paraId="61C2DE0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64,7</w:t>
            </w:r>
          </w:p>
        </w:tc>
        <w:tc>
          <w:tcPr>
            <w:tcW w:w="1134" w:type="dxa"/>
            <w:noWrap/>
            <w:hideMark/>
          </w:tcPr>
          <w:p w14:paraId="0BCC09C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322,9%</w:t>
            </w:r>
          </w:p>
        </w:tc>
        <w:tc>
          <w:tcPr>
            <w:tcW w:w="1276" w:type="dxa"/>
            <w:noWrap/>
            <w:hideMark/>
          </w:tcPr>
          <w:p w14:paraId="2DA01EB1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564D9C" w:rsidRPr="00564D9C" w14:paraId="2AF5E289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7087818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Organización Nacional de </w:t>
            </w:r>
            <w:proofErr w:type="spellStart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Transplantes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AF3FC9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57,4</w:t>
            </w:r>
          </w:p>
        </w:tc>
        <w:tc>
          <w:tcPr>
            <w:tcW w:w="1559" w:type="dxa"/>
            <w:noWrap/>
            <w:hideMark/>
          </w:tcPr>
          <w:p w14:paraId="5D2F39A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16,7%</w:t>
            </w:r>
          </w:p>
        </w:tc>
        <w:tc>
          <w:tcPr>
            <w:tcW w:w="1134" w:type="dxa"/>
            <w:noWrap/>
            <w:hideMark/>
          </w:tcPr>
          <w:p w14:paraId="77C47A7C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64,4</w:t>
            </w:r>
          </w:p>
        </w:tc>
        <w:tc>
          <w:tcPr>
            <w:tcW w:w="1134" w:type="dxa"/>
            <w:noWrap/>
            <w:hideMark/>
          </w:tcPr>
          <w:p w14:paraId="479BE2A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12,2%</w:t>
            </w:r>
          </w:p>
        </w:tc>
        <w:tc>
          <w:tcPr>
            <w:tcW w:w="1276" w:type="dxa"/>
            <w:noWrap/>
            <w:hideMark/>
          </w:tcPr>
          <w:p w14:paraId="4253FBF6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564D9C" w:rsidRPr="00564D9C" w14:paraId="7BA65185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6007743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Fundación UIMP Campo de Gibraltar</w:t>
            </w:r>
          </w:p>
        </w:tc>
        <w:tc>
          <w:tcPr>
            <w:tcW w:w="1134" w:type="dxa"/>
            <w:noWrap/>
            <w:hideMark/>
          </w:tcPr>
          <w:p w14:paraId="4AEC28D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60E7C8B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66,7%</w:t>
            </w:r>
          </w:p>
        </w:tc>
        <w:tc>
          <w:tcPr>
            <w:tcW w:w="1134" w:type="dxa"/>
            <w:noWrap/>
            <w:hideMark/>
          </w:tcPr>
          <w:p w14:paraId="370B59E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63,3</w:t>
            </w:r>
          </w:p>
        </w:tc>
        <w:tc>
          <w:tcPr>
            <w:tcW w:w="1134" w:type="dxa"/>
            <w:noWrap/>
            <w:hideMark/>
          </w:tcPr>
          <w:p w14:paraId="498431A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216,5%</w:t>
            </w:r>
          </w:p>
        </w:tc>
        <w:tc>
          <w:tcPr>
            <w:tcW w:w="1276" w:type="dxa"/>
            <w:noWrap/>
            <w:hideMark/>
          </w:tcPr>
          <w:p w14:paraId="6F71CBD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564D9C" w:rsidRPr="00564D9C" w14:paraId="4D93225D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69247BD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Comisionado para el Mercado de Tabacos</w:t>
            </w:r>
          </w:p>
        </w:tc>
        <w:tc>
          <w:tcPr>
            <w:tcW w:w="1134" w:type="dxa"/>
            <w:noWrap/>
            <w:hideMark/>
          </w:tcPr>
          <w:p w14:paraId="24D6F13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4F0460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12,5%</w:t>
            </w:r>
          </w:p>
        </w:tc>
        <w:tc>
          <w:tcPr>
            <w:tcW w:w="1134" w:type="dxa"/>
            <w:noWrap/>
            <w:hideMark/>
          </w:tcPr>
          <w:p w14:paraId="70BBA18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62,6</w:t>
            </w:r>
          </w:p>
        </w:tc>
        <w:tc>
          <w:tcPr>
            <w:tcW w:w="1134" w:type="dxa"/>
            <w:noWrap/>
            <w:hideMark/>
          </w:tcPr>
          <w:p w14:paraId="6931C01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-6,6%</w:t>
            </w:r>
          </w:p>
        </w:tc>
        <w:tc>
          <w:tcPr>
            <w:tcW w:w="1276" w:type="dxa"/>
            <w:noWrap/>
            <w:hideMark/>
          </w:tcPr>
          <w:p w14:paraId="34A2333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564D9C" w:rsidRPr="00564D9C" w14:paraId="4B5A095B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09A26C6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SECEGSA</w:t>
            </w:r>
          </w:p>
        </w:tc>
        <w:tc>
          <w:tcPr>
            <w:tcW w:w="1134" w:type="dxa"/>
            <w:noWrap/>
            <w:hideMark/>
          </w:tcPr>
          <w:p w14:paraId="54CE3D5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73,5</w:t>
            </w:r>
          </w:p>
        </w:tc>
        <w:tc>
          <w:tcPr>
            <w:tcW w:w="1559" w:type="dxa"/>
            <w:noWrap/>
            <w:hideMark/>
          </w:tcPr>
          <w:p w14:paraId="071504E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4C6A163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60,8</w:t>
            </w:r>
          </w:p>
        </w:tc>
        <w:tc>
          <w:tcPr>
            <w:tcW w:w="1134" w:type="dxa"/>
            <w:noWrap/>
            <w:hideMark/>
          </w:tcPr>
          <w:p w14:paraId="1CE419D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-17,3%</w:t>
            </w:r>
          </w:p>
        </w:tc>
        <w:tc>
          <w:tcPr>
            <w:tcW w:w="1276" w:type="dxa"/>
            <w:noWrap/>
            <w:hideMark/>
          </w:tcPr>
          <w:p w14:paraId="75BF6A3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564D9C" w:rsidRPr="00564D9C" w14:paraId="35DD060B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5825D860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Confederación Hidrográfica Ebro</w:t>
            </w:r>
          </w:p>
        </w:tc>
        <w:tc>
          <w:tcPr>
            <w:tcW w:w="1134" w:type="dxa"/>
            <w:noWrap/>
            <w:hideMark/>
          </w:tcPr>
          <w:p w14:paraId="3EEABF6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51,8</w:t>
            </w:r>
          </w:p>
        </w:tc>
        <w:tc>
          <w:tcPr>
            <w:tcW w:w="1559" w:type="dxa"/>
            <w:noWrap/>
            <w:hideMark/>
          </w:tcPr>
          <w:p w14:paraId="4EBEAFA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18,8%</w:t>
            </w:r>
          </w:p>
        </w:tc>
        <w:tc>
          <w:tcPr>
            <w:tcW w:w="1134" w:type="dxa"/>
            <w:noWrap/>
            <w:hideMark/>
          </w:tcPr>
          <w:p w14:paraId="0465B1E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59,5</w:t>
            </w:r>
          </w:p>
        </w:tc>
        <w:tc>
          <w:tcPr>
            <w:tcW w:w="1134" w:type="dxa"/>
            <w:noWrap/>
            <w:hideMark/>
          </w:tcPr>
          <w:p w14:paraId="4C67882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14,9%</w:t>
            </w:r>
          </w:p>
        </w:tc>
        <w:tc>
          <w:tcPr>
            <w:tcW w:w="1276" w:type="dxa"/>
            <w:noWrap/>
            <w:hideMark/>
          </w:tcPr>
          <w:p w14:paraId="3ADFC6D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564D9C" w:rsidRPr="00564D9C" w14:paraId="0EC986A5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B3DB433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proofErr w:type="spellStart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Vipar</w:t>
            </w:r>
            <w:proofErr w:type="spellEnd"/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 xml:space="preserve"> Parque Empresarial</w:t>
            </w:r>
          </w:p>
        </w:tc>
        <w:tc>
          <w:tcPr>
            <w:tcW w:w="1134" w:type="dxa"/>
            <w:noWrap/>
            <w:hideMark/>
          </w:tcPr>
          <w:p w14:paraId="0937116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16,1</w:t>
            </w:r>
          </w:p>
        </w:tc>
        <w:tc>
          <w:tcPr>
            <w:tcW w:w="1559" w:type="dxa"/>
            <w:noWrap/>
            <w:hideMark/>
          </w:tcPr>
          <w:p w14:paraId="20A430A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66,7%</w:t>
            </w:r>
          </w:p>
        </w:tc>
        <w:tc>
          <w:tcPr>
            <w:tcW w:w="1134" w:type="dxa"/>
            <w:noWrap/>
            <w:hideMark/>
          </w:tcPr>
          <w:p w14:paraId="55EC51E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134" w:type="dxa"/>
            <w:noWrap/>
            <w:hideMark/>
          </w:tcPr>
          <w:p w14:paraId="660E40A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231,7%</w:t>
            </w:r>
          </w:p>
        </w:tc>
        <w:tc>
          <w:tcPr>
            <w:tcW w:w="1276" w:type="dxa"/>
            <w:noWrap/>
            <w:hideMark/>
          </w:tcPr>
          <w:p w14:paraId="4BD3935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564D9C" w:rsidRPr="00564D9C" w14:paraId="30BDFE41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43F275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Casa América</w:t>
            </w:r>
          </w:p>
        </w:tc>
        <w:tc>
          <w:tcPr>
            <w:tcW w:w="1134" w:type="dxa"/>
            <w:noWrap/>
            <w:hideMark/>
          </w:tcPr>
          <w:p w14:paraId="65D4B4F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50,4</w:t>
            </w:r>
          </w:p>
        </w:tc>
        <w:tc>
          <w:tcPr>
            <w:tcW w:w="1559" w:type="dxa"/>
            <w:noWrap/>
            <w:hideMark/>
          </w:tcPr>
          <w:p w14:paraId="2C2FD78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6,7%</w:t>
            </w:r>
          </w:p>
        </w:tc>
        <w:tc>
          <w:tcPr>
            <w:tcW w:w="1134" w:type="dxa"/>
            <w:noWrap/>
            <w:hideMark/>
          </w:tcPr>
          <w:p w14:paraId="426B2CE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52,0</w:t>
            </w:r>
          </w:p>
        </w:tc>
        <w:tc>
          <w:tcPr>
            <w:tcW w:w="1134" w:type="dxa"/>
            <w:noWrap/>
            <w:hideMark/>
          </w:tcPr>
          <w:p w14:paraId="24A781B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3,2%</w:t>
            </w:r>
          </w:p>
        </w:tc>
        <w:tc>
          <w:tcPr>
            <w:tcW w:w="1276" w:type="dxa"/>
            <w:noWrap/>
            <w:hideMark/>
          </w:tcPr>
          <w:p w14:paraId="4928793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564D9C" w:rsidRPr="00564D9C" w14:paraId="1377BF2E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03CFD8F6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INNVIERTE Economía Sostenible</w:t>
            </w:r>
          </w:p>
        </w:tc>
        <w:tc>
          <w:tcPr>
            <w:tcW w:w="1134" w:type="dxa"/>
            <w:noWrap/>
            <w:hideMark/>
          </w:tcPr>
          <w:p w14:paraId="57C3049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34,2</w:t>
            </w:r>
          </w:p>
        </w:tc>
        <w:tc>
          <w:tcPr>
            <w:tcW w:w="1559" w:type="dxa"/>
            <w:noWrap/>
            <w:hideMark/>
          </w:tcPr>
          <w:p w14:paraId="6F933F8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27,3%</w:t>
            </w:r>
          </w:p>
        </w:tc>
        <w:tc>
          <w:tcPr>
            <w:tcW w:w="1134" w:type="dxa"/>
            <w:noWrap/>
            <w:hideMark/>
          </w:tcPr>
          <w:p w14:paraId="7EF862B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19EF4C4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46,2%</w:t>
            </w:r>
          </w:p>
        </w:tc>
        <w:tc>
          <w:tcPr>
            <w:tcW w:w="1276" w:type="dxa"/>
            <w:noWrap/>
            <w:hideMark/>
          </w:tcPr>
          <w:p w14:paraId="0C4D7B1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</w:t>
            </w:r>
          </w:p>
        </w:tc>
      </w:tr>
      <w:tr w:rsidR="00564D9C" w:rsidRPr="00564D9C" w14:paraId="3840271A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3EE066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lastRenderedPageBreak/>
              <w:t>Agencia Española de Cooperación Internacional para el Desarrollo</w:t>
            </w:r>
          </w:p>
        </w:tc>
        <w:tc>
          <w:tcPr>
            <w:tcW w:w="1134" w:type="dxa"/>
            <w:noWrap/>
            <w:hideMark/>
          </w:tcPr>
          <w:p w14:paraId="0D795EB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60,7</w:t>
            </w:r>
          </w:p>
        </w:tc>
        <w:tc>
          <w:tcPr>
            <w:tcW w:w="1559" w:type="dxa"/>
            <w:noWrap/>
            <w:hideMark/>
          </w:tcPr>
          <w:p w14:paraId="0433412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25,0%</w:t>
            </w:r>
          </w:p>
        </w:tc>
        <w:tc>
          <w:tcPr>
            <w:tcW w:w="1134" w:type="dxa"/>
            <w:noWrap/>
            <w:hideMark/>
          </w:tcPr>
          <w:p w14:paraId="3D57A1F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48,5</w:t>
            </w:r>
          </w:p>
        </w:tc>
        <w:tc>
          <w:tcPr>
            <w:tcW w:w="1134" w:type="dxa"/>
            <w:noWrap/>
            <w:hideMark/>
          </w:tcPr>
          <w:p w14:paraId="65ECE23C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-20,1%</w:t>
            </w:r>
          </w:p>
        </w:tc>
        <w:tc>
          <w:tcPr>
            <w:tcW w:w="1276" w:type="dxa"/>
            <w:noWrap/>
            <w:hideMark/>
          </w:tcPr>
          <w:p w14:paraId="4BAFF46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</w:t>
            </w:r>
          </w:p>
        </w:tc>
      </w:tr>
      <w:tr w:rsidR="00564D9C" w:rsidRPr="00564D9C" w14:paraId="2DF1E459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028EAD0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Ferrol</w:t>
            </w:r>
          </w:p>
        </w:tc>
        <w:tc>
          <w:tcPr>
            <w:tcW w:w="1134" w:type="dxa"/>
            <w:noWrap/>
            <w:hideMark/>
          </w:tcPr>
          <w:p w14:paraId="0CC4E34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47,9</w:t>
            </w:r>
          </w:p>
        </w:tc>
        <w:tc>
          <w:tcPr>
            <w:tcW w:w="1559" w:type="dxa"/>
            <w:noWrap/>
            <w:hideMark/>
          </w:tcPr>
          <w:p w14:paraId="78504A6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13,3%</w:t>
            </w:r>
          </w:p>
        </w:tc>
        <w:tc>
          <w:tcPr>
            <w:tcW w:w="1134" w:type="dxa"/>
            <w:noWrap/>
            <w:hideMark/>
          </w:tcPr>
          <w:p w14:paraId="3B44087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134" w:type="dxa"/>
            <w:noWrap/>
            <w:hideMark/>
          </w:tcPr>
          <w:p w14:paraId="3C04D6F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-0,2%</w:t>
            </w:r>
          </w:p>
        </w:tc>
        <w:tc>
          <w:tcPr>
            <w:tcW w:w="1276" w:type="dxa"/>
            <w:noWrap/>
            <w:hideMark/>
          </w:tcPr>
          <w:p w14:paraId="20B72AC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564D9C" w:rsidRPr="00564D9C" w14:paraId="7665D582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3D1F70F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Centro Nacional del Hidrógeno</w:t>
            </w:r>
          </w:p>
        </w:tc>
        <w:tc>
          <w:tcPr>
            <w:tcW w:w="1134" w:type="dxa"/>
            <w:noWrap/>
            <w:hideMark/>
          </w:tcPr>
          <w:p w14:paraId="18FFD44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559" w:type="dxa"/>
            <w:noWrap/>
            <w:hideMark/>
          </w:tcPr>
          <w:p w14:paraId="297FEC8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44,4%</w:t>
            </w:r>
          </w:p>
        </w:tc>
        <w:tc>
          <w:tcPr>
            <w:tcW w:w="1134" w:type="dxa"/>
            <w:noWrap/>
            <w:hideMark/>
          </w:tcPr>
          <w:p w14:paraId="2BA2DCF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47,6</w:t>
            </w:r>
          </w:p>
        </w:tc>
        <w:tc>
          <w:tcPr>
            <w:tcW w:w="1134" w:type="dxa"/>
            <w:noWrap/>
            <w:hideMark/>
          </w:tcPr>
          <w:p w14:paraId="2204310C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9,7%</w:t>
            </w:r>
          </w:p>
        </w:tc>
        <w:tc>
          <w:tcPr>
            <w:tcW w:w="1276" w:type="dxa"/>
            <w:noWrap/>
            <w:hideMark/>
          </w:tcPr>
          <w:p w14:paraId="15DA651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564D9C" w:rsidRPr="00564D9C" w14:paraId="1B88C06A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BBCE379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Fundación Centro Nacional del Vidrio</w:t>
            </w:r>
          </w:p>
        </w:tc>
        <w:tc>
          <w:tcPr>
            <w:tcW w:w="1134" w:type="dxa"/>
            <w:noWrap/>
            <w:hideMark/>
          </w:tcPr>
          <w:p w14:paraId="586F6D8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31,3</w:t>
            </w:r>
          </w:p>
        </w:tc>
        <w:tc>
          <w:tcPr>
            <w:tcW w:w="1559" w:type="dxa"/>
            <w:noWrap/>
            <w:hideMark/>
          </w:tcPr>
          <w:p w14:paraId="45CA96D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28,6%</w:t>
            </w:r>
          </w:p>
        </w:tc>
        <w:tc>
          <w:tcPr>
            <w:tcW w:w="1134" w:type="dxa"/>
            <w:noWrap/>
            <w:hideMark/>
          </w:tcPr>
          <w:p w14:paraId="080956B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47,0</w:t>
            </w:r>
          </w:p>
        </w:tc>
        <w:tc>
          <w:tcPr>
            <w:tcW w:w="1134" w:type="dxa"/>
            <w:noWrap/>
            <w:hideMark/>
          </w:tcPr>
          <w:p w14:paraId="694FEB6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50,2%</w:t>
            </w:r>
          </w:p>
        </w:tc>
        <w:tc>
          <w:tcPr>
            <w:tcW w:w="1276" w:type="dxa"/>
            <w:noWrap/>
            <w:hideMark/>
          </w:tcPr>
          <w:p w14:paraId="3A06376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564D9C" w:rsidRPr="00564D9C" w14:paraId="34A46A67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84A735A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Confederación Hidrográfica Segura</w:t>
            </w:r>
          </w:p>
        </w:tc>
        <w:tc>
          <w:tcPr>
            <w:tcW w:w="1134" w:type="dxa"/>
            <w:noWrap/>
            <w:hideMark/>
          </w:tcPr>
          <w:p w14:paraId="0B38438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44,7</w:t>
            </w:r>
          </w:p>
        </w:tc>
        <w:tc>
          <w:tcPr>
            <w:tcW w:w="1559" w:type="dxa"/>
            <w:noWrap/>
            <w:hideMark/>
          </w:tcPr>
          <w:p w14:paraId="088340E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2E5C990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45,2</w:t>
            </w:r>
          </w:p>
        </w:tc>
        <w:tc>
          <w:tcPr>
            <w:tcW w:w="1134" w:type="dxa"/>
            <w:noWrap/>
            <w:hideMark/>
          </w:tcPr>
          <w:p w14:paraId="3166AE1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1,1%</w:t>
            </w:r>
          </w:p>
        </w:tc>
        <w:tc>
          <w:tcPr>
            <w:tcW w:w="1276" w:type="dxa"/>
            <w:noWrap/>
            <w:hideMark/>
          </w:tcPr>
          <w:p w14:paraId="4B3112A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564D9C" w:rsidRPr="00564D9C" w14:paraId="0FF72713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292C8F0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Patrimonio Nacional</w:t>
            </w:r>
          </w:p>
        </w:tc>
        <w:tc>
          <w:tcPr>
            <w:tcW w:w="1134" w:type="dxa"/>
            <w:noWrap/>
            <w:hideMark/>
          </w:tcPr>
          <w:p w14:paraId="743358A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41,8</w:t>
            </w:r>
          </w:p>
        </w:tc>
        <w:tc>
          <w:tcPr>
            <w:tcW w:w="1559" w:type="dxa"/>
            <w:noWrap/>
            <w:hideMark/>
          </w:tcPr>
          <w:p w14:paraId="70DD0B15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23,5%</w:t>
            </w:r>
          </w:p>
        </w:tc>
        <w:tc>
          <w:tcPr>
            <w:tcW w:w="1134" w:type="dxa"/>
            <w:noWrap/>
            <w:hideMark/>
          </w:tcPr>
          <w:p w14:paraId="6AFF0DC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44,8</w:t>
            </w:r>
          </w:p>
        </w:tc>
        <w:tc>
          <w:tcPr>
            <w:tcW w:w="1134" w:type="dxa"/>
            <w:noWrap/>
            <w:hideMark/>
          </w:tcPr>
          <w:p w14:paraId="55BF78F5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7,2%</w:t>
            </w:r>
          </w:p>
        </w:tc>
        <w:tc>
          <w:tcPr>
            <w:tcW w:w="1276" w:type="dxa"/>
            <w:noWrap/>
            <w:hideMark/>
          </w:tcPr>
          <w:p w14:paraId="2D9032B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564D9C" w:rsidRPr="00564D9C" w14:paraId="23293195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7A2B00A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EMGRISA</w:t>
            </w:r>
          </w:p>
        </w:tc>
        <w:tc>
          <w:tcPr>
            <w:tcW w:w="1134" w:type="dxa"/>
            <w:noWrap/>
            <w:hideMark/>
          </w:tcPr>
          <w:p w14:paraId="5748229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69,9</w:t>
            </w:r>
          </w:p>
        </w:tc>
        <w:tc>
          <w:tcPr>
            <w:tcW w:w="1559" w:type="dxa"/>
            <w:noWrap/>
            <w:hideMark/>
          </w:tcPr>
          <w:p w14:paraId="05639BC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595AE49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43,6</w:t>
            </w:r>
          </w:p>
        </w:tc>
        <w:tc>
          <w:tcPr>
            <w:tcW w:w="1134" w:type="dxa"/>
            <w:noWrap/>
            <w:hideMark/>
          </w:tcPr>
          <w:p w14:paraId="0F0199B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-37,6%</w:t>
            </w:r>
          </w:p>
        </w:tc>
        <w:tc>
          <w:tcPr>
            <w:tcW w:w="1276" w:type="dxa"/>
            <w:noWrap/>
            <w:hideMark/>
          </w:tcPr>
          <w:p w14:paraId="4B7358F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564D9C" w:rsidRPr="00564D9C" w14:paraId="17041553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E5FF4E5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Almería</w:t>
            </w:r>
          </w:p>
        </w:tc>
        <w:tc>
          <w:tcPr>
            <w:tcW w:w="1134" w:type="dxa"/>
            <w:noWrap/>
            <w:hideMark/>
          </w:tcPr>
          <w:p w14:paraId="4242F83E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1E3A308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11,1%</w:t>
            </w:r>
          </w:p>
        </w:tc>
        <w:tc>
          <w:tcPr>
            <w:tcW w:w="1134" w:type="dxa"/>
            <w:noWrap/>
            <w:hideMark/>
          </w:tcPr>
          <w:p w14:paraId="396461E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42,1</w:t>
            </w:r>
          </w:p>
        </w:tc>
        <w:tc>
          <w:tcPr>
            <w:tcW w:w="1134" w:type="dxa"/>
            <w:noWrap/>
            <w:hideMark/>
          </w:tcPr>
          <w:p w14:paraId="5B0C402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11,4%</w:t>
            </w:r>
          </w:p>
        </w:tc>
        <w:tc>
          <w:tcPr>
            <w:tcW w:w="1276" w:type="dxa"/>
            <w:noWrap/>
            <w:hideMark/>
          </w:tcPr>
          <w:p w14:paraId="0006916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564D9C" w:rsidRPr="00564D9C" w14:paraId="7317A1CA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2B2D7E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Biblioteca Nacional de España</w:t>
            </w:r>
          </w:p>
        </w:tc>
        <w:tc>
          <w:tcPr>
            <w:tcW w:w="1134" w:type="dxa"/>
            <w:noWrap/>
            <w:hideMark/>
          </w:tcPr>
          <w:p w14:paraId="7210F29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35,5</w:t>
            </w:r>
          </w:p>
        </w:tc>
        <w:tc>
          <w:tcPr>
            <w:tcW w:w="1559" w:type="dxa"/>
            <w:noWrap/>
            <w:hideMark/>
          </w:tcPr>
          <w:p w14:paraId="0F36FA9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15,8%</w:t>
            </w:r>
          </w:p>
        </w:tc>
        <w:tc>
          <w:tcPr>
            <w:tcW w:w="1134" w:type="dxa"/>
            <w:noWrap/>
            <w:hideMark/>
          </w:tcPr>
          <w:p w14:paraId="4B39418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41,4</w:t>
            </w:r>
          </w:p>
        </w:tc>
        <w:tc>
          <w:tcPr>
            <w:tcW w:w="1134" w:type="dxa"/>
            <w:noWrap/>
            <w:hideMark/>
          </w:tcPr>
          <w:p w14:paraId="6E94F3B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16,6%</w:t>
            </w:r>
          </w:p>
        </w:tc>
        <w:tc>
          <w:tcPr>
            <w:tcW w:w="1276" w:type="dxa"/>
            <w:noWrap/>
            <w:hideMark/>
          </w:tcPr>
          <w:p w14:paraId="6355F15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564D9C" w:rsidRPr="00564D9C" w14:paraId="2C675214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CA6BBC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Museo Nacional Centro de Arte Reina Sofía</w:t>
            </w:r>
          </w:p>
        </w:tc>
        <w:tc>
          <w:tcPr>
            <w:tcW w:w="1134" w:type="dxa"/>
            <w:noWrap/>
            <w:hideMark/>
          </w:tcPr>
          <w:p w14:paraId="537E31E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38,8</w:t>
            </w:r>
          </w:p>
        </w:tc>
        <w:tc>
          <w:tcPr>
            <w:tcW w:w="1559" w:type="dxa"/>
            <w:noWrap/>
            <w:hideMark/>
          </w:tcPr>
          <w:p w14:paraId="2B4E6EA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5,3%</w:t>
            </w:r>
          </w:p>
        </w:tc>
        <w:tc>
          <w:tcPr>
            <w:tcW w:w="1134" w:type="dxa"/>
            <w:noWrap/>
            <w:hideMark/>
          </w:tcPr>
          <w:p w14:paraId="7AF895F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40,8</w:t>
            </w:r>
          </w:p>
        </w:tc>
        <w:tc>
          <w:tcPr>
            <w:tcW w:w="1134" w:type="dxa"/>
            <w:noWrap/>
            <w:hideMark/>
          </w:tcPr>
          <w:p w14:paraId="2D9D607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5,2%</w:t>
            </w:r>
          </w:p>
        </w:tc>
        <w:tc>
          <w:tcPr>
            <w:tcW w:w="1276" w:type="dxa"/>
            <w:noWrap/>
            <w:hideMark/>
          </w:tcPr>
          <w:p w14:paraId="098AC9A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564D9C" w:rsidRPr="00564D9C" w14:paraId="2DF0C485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12C4A282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UNED Vitoria</w:t>
            </w:r>
          </w:p>
        </w:tc>
        <w:tc>
          <w:tcPr>
            <w:tcW w:w="1134" w:type="dxa"/>
            <w:noWrap/>
            <w:hideMark/>
          </w:tcPr>
          <w:p w14:paraId="1C9B158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34,4</w:t>
            </w:r>
          </w:p>
        </w:tc>
        <w:tc>
          <w:tcPr>
            <w:tcW w:w="1559" w:type="dxa"/>
            <w:noWrap/>
            <w:hideMark/>
          </w:tcPr>
          <w:p w14:paraId="04953CF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30,0%</w:t>
            </w:r>
          </w:p>
        </w:tc>
        <w:tc>
          <w:tcPr>
            <w:tcW w:w="1134" w:type="dxa"/>
            <w:noWrap/>
            <w:hideMark/>
          </w:tcPr>
          <w:p w14:paraId="6C50018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40,2</w:t>
            </w:r>
          </w:p>
        </w:tc>
        <w:tc>
          <w:tcPr>
            <w:tcW w:w="1134" w:type="dxa"/>
            <w:noWrap/>
            <w:hideMark/>
          </w:tcPr>
          <w:p w14:paraId="545699C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16,9%</w:t>
            </w:r>
          </w:p>
        </w:tc>
        <w:tc>
          <w:tcPr>
            <w:tcW w:w="1276" w:type="dxa"/>
            <w:noWrap/>
            <w:hideMark/>
          </w:tcPr>
          <w:p w14:paraId="1956B1D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564D9C" w:rsidRPr="00564D9C" w14:paraId="08D67ABF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08AFE621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REDALSA</w:t>
            </w:r>
          </w:p>
        </w:tc>
        <w:tc>
          <w:tcPr>
            <w:tcW w:w="1134" w:type="dxa"/>
            <w:noWrap/>
            <w:hideMark/>
          </w:tcPr>
          <w:p w14:paraId="5F1C423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44,4</w:t>
            </w:r>
          </w:p>
        </w:tc>
        <w:tc>
          <w:tcPr>
            <w:tcW w:w="1559" w:type="dxa"/>
            <w:noWrap/>
            <w:hideMark/>
          </w:tcPr>
          <w:p w14:paraId="5A25746D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69F04CC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38,9</w:t>
            </w:r>
          </w:p>
        </w:tc>
        <w:tc>
          <w:tcPr>
            <w:tcW w:w="1134" w:type="dxa"/>
            <w:noWrap/>
            <w:hideMark/>
          </w:tcPr>
          <w:p w14:paraId="42BDECD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-12,4%</w:t>
            </w:r>
          </w:p>
        </w:tc>
        <w:tc>
          <w:tcPr>
            <w:tcW w:w="1276" w:type="dxa"/>
            <w:noWrap/>
            <w:hideMark/>
          </w:tcPr>
          <w:p w14:paraId="0B34EF8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</w:t>
            </w:r>
          </w:p>
        </w:tc>
      </w:tr>
      <w:tr w:rsidR="00564D9C" w:rsidRPr="00564D9C" w14:paraId="690EE24D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72F9D4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Sistema de Observación Costero de las Illes Balears</w:t>
            </w:r>
          </w:p>
        </w:tc>
        <w:tc>
          <w:tcPr>
            <w:tcW w:w="1134" w:type="dxa"/>
            <w:noWrap/>
            <w:hideMark/>
          </w:tcPr>
          <w:p w14:paraId="68B2310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40,4</w:t>
            </w:r>
          </w:p>
        </w:tc>
        <w:tc>
          <w:tcPr>
            <w:tcW w:w="1559" w:type="dxa"/>
            <w:noWrap/>
            <w:hideMark/>
          </w:tcPr>
          <w:p w14:paraId="170F607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5,6%</w:t>
            </w:r>
          </w:p>
        </w:tc>
        <w:tc>
          <w:tcPr>
            <w:tcW w:w="1134" w:type="dxa"/>
            <w:noWrap/>
            <w:hideMark/>
          </w:tcPr>
          <w:p w14:paraId="43F3777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37,0</w:t>
            </w:r>
          </w:p>
        </w:tc>
        <w:tc>
          <w:tcPr>
            <w:tcW w:w="1134" w:type="dxa"/>
            <w:noWrap/>
            <w:hideMark/>
          </w:tcPr>
          <w:p w14:paraId="6E39D9D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-8,4%</w:t>
            </w:r>
          </w:p>
        </w:tc>
        <w:tc>
          <w:tcPr>
            <w:tcW w:w="1276" w:type="dxa"/>
            <w:noWrap/>
            <w:hideMark/>
          </w:tcPr>
          <w:p w14:paraId="3C677C0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564D9C" w:rsidRPr="00564D9C" w14:paraId="09930898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B0C8D2B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Real Patronato para la Discapacidad</w:t>
            </w:r>
          </w:p>
        </w:tc>
        <w:tc>
          <w:tcPr>
            <w:tcW w:w="1134" w:type="dxa"/>
            <w:noWrap/>
            <w:hideMark/>
          </w:tcPr>
          <w:p w14:paraId="2B90ABB9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559" w:type="dxa"/>
            <w:noWrap/>
            <w:hideMark/>
          </w:tcPr>
          <w:p w14:paraId="6818B0D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16454A1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36,5</w:t>
            </w:r>
          </w:p>
        </w:tc>
        <w:tc>
          <w:tcPr>
            <w:tcW w:w="1134" w:type="dxa"/>
            <w:noWrap/>
            <w:hideMark/>
          </w:tcPr>
          <w:p w14:paraId="7B38960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-23,6%</w:t>
            </w:r>
          </w:p>
        </w:tc>
        <w:tc>
          <w:tcPr>
            <w:tcW w:w="1276" w:type="dxa"/>
            <w:noWrap/>
            <w:hideMark/>
          </w:tcPr>
          <w:p w14:paraId="44E1129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564D9C" w:rsidRPr="00564D9C" w14:paraId="1BA19E03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8BD6B9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Santander</w:t>
            </w:r>
          </w:p>
        </w:tc>
        <w:tc>
          <w:tcPr>
            <w:tcW w:w="1134" w:type="dxa"/>
            <w:noWrap/>
            <w:hideMark/>
          </w:tcPr>
          <w:p w14:paraId="45D628F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29,3</w:t>
            </w:r>
          </w:p>
        </w:tc>
        <w:tc>
          <w:tcPr>
            <w:tcW w:w="1559" w:type="dxa"/>
            <w:noWrap/>
            <w:hideMark/>
          </w:tcPr>
          <w:p w14:paraId="43EDAD9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9,5%</w:t>
            </w:r>
          </w:p>
        </w:tc>
        <w:tc>
          <w:tcPr>
            <w:tcW w:w="1134" w:type="dxa"/>
            <w:noWrap/>
            <w:hideMark/>
          </w:tcPr>
          <w:p w14:paraId="102A8136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36,0</w:t>
            </w:r>
          </w:p>
        </w:tc>
        <w:tc>
          <w:tcPr>
            <w:tcW w:w="1134" w:type="dxa"/>
            <w:noWrap/>
            <w:hideMark/>
          </w:tcPr>
          <w:p w14:paraId="49AB9CE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22,9%</w:t>
            </w:r>
          </w:p>
        </w:tc>
        <w:tc>
          <w:tcPr>
            <w:tcW w:w="1276" w:type="dxa"/>
            <w:noWrap/>
            <w:hideMark/>
          </w:tcPr>
          <w:p w14:paraId="57B025A9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19</w:t>
            </w:r>
          </w:p>
        </w:tc>
      </w:tr>
      <w:tr w:rsidR="00564D9C" w:rsidRPr="00564D9C" w14:paraId="56D7A58F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23795D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Museo Nacional del Prado Difusión</w:t>
            </w:r>
          </w:p>
        </w:tc>
        <w:tc>
          <w:tcPr>
            <w:tcW w:w="1134" w:type="dxa"/>
            <w:noWrap/>
            <w:hideMark/>
          </w:tcPr>
          <w:p w14:paraId="497CD85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43,6</w:t>
            </w:r>
          </w:p>
        </w:tc>
        <w:tc>
          <w:tcPr>
            <w:tcW w:w="1559" w:type="dxa"/>
            <w:noWrap/>
            <w:hideMark/>
          </w:tcPr>
          <w:p w14:paraId="5583422A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278E1B9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35,4</w:t>
            </w:r>
          </w:p>
        </w:tc>
        <w:tc>
          <w:tcPr>
            <w:tcW w:w="1134" w:type="dxa"/>
            <w:noWrap/>
            <w:hideMark/>
          </w:tcPr>
          <w:p w14:paraId="11C4B9D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-18,8%</w:t>
            </w:r>
          </w:p>
        </w:tc>
        <w:tc>
          <w:tcPr>
            <w:tcW w:w="1276" w:type="dxa"/>
            <w:noWrap/>
            <w:hideMark/>
          </w:tcPr>
          <w:p w14:paraId="4319FBA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564D9C" w:rsidRPr="00564D9C" w14:paraId="0F23D9B2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9F736C4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Autoridad Portuaria Marín</w:t>
            </w:r>
          </w:p>
        </w:tc>
        <w:tc>
          <w:tcPr>
            <w:tcW w:w="1134" w:type="dxa"/>
            <w:noWrap/>
            <w:hideMark/>
          </w:tcPr>
          <w:p w14:paraId="0BFCD28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1559" w:type="dxa"/>
            <w:noWrap/>
            <w:hideMark/>
          </w:tcPr>
          <w:p w14:paraId="7D261A6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4,3%</w:t>
            </w:r>
          </w:p>
        </w:tc>
        <w:tc>
          <w:tcPr>
            <w:tcW w:w="1134" w:type="dxa"/>
            <w:noWrap/>
            <w:hideMark/>
          </w:tcPr>
          <w:p w14:paraId="39D0B212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33,8</w:t>
            </w:r>
          </w:p>
        </w:tc>
        <w:tc>
          <w:tcPr>
            <w:tcW w:w="1134" w:type="dxa"/>
            <w:noWrap/>
            <w:hideMark/>
          </w:tcPr>
          <w:p w14:paraId="164C3AB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9,0%</w:t>
            </w:r>
          </w:p>
        </w:tc>
        <w:tc>
          <w:tcPr>
            <w:tcW w:w="1276" w:type="dxa"/>
            <w:noWrap/>
            <w:hideMark/>
          </w:tcPr>
          <w:p w14:paraId="0575B16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22</w:t>
            </w:r>
          </w:p>
        </w:tc>
      </w:tr>
      <w:tr w:rsidR="00564D9C" w:rsidRPr="00564D9C" w14:paraId="2FF6A4FC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D633F41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Hipódromo de la Zarzuela SA</w:t>
            </w:r>
          </w:p>
        </w:tc>
        <w:tc>
          <w:tcPr>
            <w:tcW w:w="1134" w:type="dxa"/>
            <w:noWrap/>
            <w:hideMark/>
          </w:tcPr>
          <w:p w14:paraId="137E864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53,8</w:t>
            </w:r>
          </w:p>
        </w:tc>
        <w:tc>
          <w:tcPr>
            <w:tcW w:w="1559" w:type="dxa"/>
            <w:noWrap/>
            <w:hideMark/>
          </w:tcPr>
          <w:p w14:paraId="77F2B17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348E908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134" w:type="dxa"/>
            <w:noWrap/>
            <w:hideMark/>
          </w:tcPr>
          <w:p w14:paraId="5C4C29C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-39,6%</w:t>
            </w:r>
          </w:p>
        </w:tc>
        <w:tc>
          <w:tcPr>
            <w:tcW w:w="1276" w:type="dxa"/>
            <w:noWrap/>
            <w:hideMark/>
          </w:tcPr>
          <w:p w14:paraId="70EC2FE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564D9C" w:rsidRPr="00564D9C" w14:paraId="6B81786E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42418F6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Renfe operadora</w:t>
            </w:r>
          </w:p>
        </w:tc>
        <w:tc>
          <w:tcPr>
            <w:tcW w:w="1134" w:type="dxa"/>
            <w:noWrap/>
            <w:hideMark/>
          </w:tcPr>
          <w:p w14:paraId="17DE5ECD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36,2</w:t>
            </w:r>
          </w:p>
        </w:tc>
        <w:tc>
          <w:tcPr>
            <w:tcW w:w="1559" w:type="dxa"/>
            <w:noWrap/>
            <w:hideMark/>
          </w:tcPr>
          <w:p w14:paraId="48E7923F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5,6%</w:t>
            </w:r>
          </w:p>
        </w:tc>
        <w:tc>
          <w:tcPr>
            <w:tcW w:w="1134" w:type="dxa"/>
            <w:noWrap/>
            <w:hideMark/>
          </w:tcPr>
          <w:p w14:paraId="76E2686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32,4</w:t>
            </w:r>
          </w:p>
        </w:tc>
        <w:tc>
          <w:tcPr>
            <w:tcW w:w="1134" w:type="dxa"/>
            <w:noWrap/>
            <w:hideMark/>
          </w:tcPr>
          <w:p w14:paraId="66CD333A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-10,5%</w:t>
            </w:r>
          </w:p>
        </w:tc>
        <w:tc>
          <w:tcPr>
            <w:tcW w:w="1276" w:type="dxa"/>
            <w:noWrap/>
            <w:hideMark/>
          </w:tcPr>
          <w:p w14:paraId="69332E3B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564D9C" w:rsidRPr="00564D9C" w14:paraId="60D83272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0F5FC7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Consorcio Zona Franca Gran Canaria</w:t>
            </w:r>
          </w:p>
        </w:tc>
        <w:tc>
          <w:tcPr>
            <w:tcW w:w="1134" w:type="dxa"/>
            <w:noWrap/>
            <w:hideMark/>
          </w:tcPr>
          <w:p w14:paraId="57E409D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22,4</w:t>
            </w:r>
          </w:p>
        </w:tc>
        <w:tc>
          <w:tcPr>
            <w:tcW w:w="1559" w:type="dxa"/>
            <w:noWrap/>
            <w:hideMark/>
          </w:tcPr>
          <w:p w14:paraId="625B8E45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11,1%</w:t>
            </w:r>
          </w:p>
        </w:tc>
        <w:tc>
          <w:tcPr>
            <w:tcW w:w="1134" w:type="dxa"/>
            <w:noWrap/>
            <w:hideMark/>
          </w:tcPr>
          <w:p w14:paraId="6D6DDA3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28,8</w:t>
            </w:r>
          </w:p>
        </w:tc>
        <w:tc>
          <w:tcPr>
            <w:tcW w:w="1134" w:type="dxa"/>
            <w:noWrap/>
            <w:hideMark/>
          </w:tcPr>
          <w:p w14:paraId="2A5A229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28,6%</w:t>
            </w:r>
          </w:p>
        </w:tc>
        <w:tc>
          <w:tcPr>
            <w:tcW w:w="1276" w:type="dxa"/>
            <w:noWrap/>
            <w:hideMark/>
          </w:tcPr>
          <w:p w14:paraId="5EEDB8D2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</w:t>
            </w:r>
          </w:p>
        </w:tc>
      </w:tr>
      <w:tr w:rsidR="00564D9C" w:rsidRPr="00564D9C" w14:paraId="65FAAB72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6114174E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Fundación Teatro Real</w:t>
            </w:r>
          </w:p>
        </w:tc>
        <w:tc>
          <w:tcPr>
            <w:tcW w:w="1134" w:type="dxa"/>
            <w:noWrap/>
            <w:hideMark/>
          </w:tcPr>
          <w:p w14:paraId="5ACEE7A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35,7</w:t>
            </w:r>
          </w:p>
        </w:tc>
        <w:tc>
          <w:tcPr>
            <w:tcW w:w="1559" w:type="dxa"/>
            <w:noWrap/>
            <w:hideMark/>
          </w:tcPr>
          <w:p w14:paraId="4E999CC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761F5C9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34" w:type="dxa"/>
            <w:noWrap/>
            <w:hideMark/>
          </w:tcPr>
          <w:p w14:paraId="2C30342C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-21,8%</w:t>
            </w:r>
          </w:p>
        </w:tc>
        <w:tc>
          <w:tcPr>
            <w:tcW w:w="1276" w:type="dxa"/>
            <w:noWrap/>
            <w:hideMark/>
          </w:tcPr>
          <w:p w14:paraId="504E46B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564D9C" w:rsidRPr="00564D9C" w14:paraId="31C672F7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5C9028A0" w14:textId="225CDED3" w:rsidR="00564D9C" w:rsidRPr="00564D9C" w:rsidRDefault="00075F1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075F1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Trabajo Penitenciario y Formación para el Empleo</w:t>
            </w:r>
          </w:p>
        </w:tc>
        <w:tc>
          <w:tcPr>
            <w:tcW w:w="1134" w:type="dxa"/>
            <w:noWrap/>
            <w:hideMark/>
          </w:tcPr>
          <w:p w14:paraId="217377C4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28,4</w:t>
            </w:r>
          </w:p>
        </w:tc>
        <w:tc>
          <w:tcPr>
            <w:tcW w:w="1559" w:type="dxa"/>
            <w:noWrap/>
            <w:hideMark/>
          </w:tcPr>
          <w:p w14:paraId="65C6546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04A1923F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23,8</w:t>
            </w:r>
          </w:p>
        </w:tc>
        <w:tc>
          <w:tcPr>
            <w:tcW w:w="1134" w:type="dxa"/>
            <w:noWrap/>
            <w:hideMark/>
          </w:tcPr>
          <w:p w14:paraId="45743AA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-16,2%</w:t>
            </w:r>
          </w:p>
        </w:tc>
        <w:tc>
          <w:tcPr>
            <w:tcW w:w="1276" w:type="dxa"/>
            <w:noWrap/>
            <w:hideMark/>
          </w:tcPr>
          <w:p w14:paraId="16FAE240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</w:t>
            </w:r>
          </w:p>
        </w:tc>
      </w:tr>
      <w:tr w:rsidR="00564D9C" w:rsidRPr="00564D9C" w14:paraId="733497F1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25352CAC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Centro de Estudios Jurídicos</w:t>
            </w:r>
          </w:p>
        </w:tc>
        <w:tc>
          <w:tcPr>
            <w:tcW w:w="1134" w:type="dxa"/>
            <w:noWrap/>
            <w:hideMark/>
          </w:tcPr>
          <w:p w14:paraId="03FF8C25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33,7</w:t>
            </w:r>
          </w:p>
        </w:tc>
        <w:tc>
          <w:tcPr>
            <w:tcW w:w="1559" w:type="dxa"/>
            <w:noWrap/>
            <w:hideMark/>
          </w:tcPr>
          <w:p w14:paraId="7DB009C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657338A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23,1</w:t>
            </w:r>
          </w:p>
        </w:tc>
        <w:tc>
          <w:tcPr>
            <w:tcW w:w="1134" w:type="dxa"/>
            <w:noWrap/>
            <w:hideMark/>
          </w:tcPr>
          <w:p w14:paraId="10517580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-31,5%</w:t>
            </w:r>
          </w:p>
        </w:tc>
        <w:tc>
          <w:tcPr>
            <w:tcW w:w="1276" w:type="dxa"/>
            <w:noWrap/>
            <w:hideMark/>
          </w:tcPr>
          <w:p w14:paraId="20157BA1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19</w:t>
            </w:r>
          </w:p>
        </w:tc>
      </w:tr>
      <w:tr w:rsidR="00564D9C" w:rsidRPr="00564D9C" w14:paraId="361ACCF3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43B5EB31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Agencia de Información y Control Alimentarios</w:t>
            </w:r>
          </w:p>
        </w:tc>
        <w:tc>
          <w:tcPr>
            <w:tcW w:w="1134" w:type="dxa"/>
            <w:noWrap/>
            <w:hideMark/>
          </w:tcPr>
          <w:p w14:paraId="350C8D5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15,5</w:t>
            </w:r>
          </w:p>
        </w:tc>
        <w:tc>
          <w:tcPr>
            <w:tcW w:w="1559" w:type="dxa"/>
            <w:noWrap/>
            <w:hideMark/>
          </w:tcPr>
          <w:p w14:paraId="3D973AF1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3,8%</w:t>
            </w:r>
          </w:p>
        </w:tc>
        <w:tc>
          <w:tcPr>
            <w:tcW w:w="1134" w:type="dxa"/>
            <w:noWrap/>
            <w:hideMark/>
          </w:tcPr>
          <w:p w14:paraId="6DBCFE7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067A65E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16,1%</w:t>
            </w:r>
          </w:p>
        </w:tc>
        <w:tc>
          <w:tcPr>
            <w:tcW w:w="1276" w:type="dxa"/>
            <w:noWrap/>
            <w:hideMark/>
          </w:tcPr>
          <w:p w14:paraId="20A35C5B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25</w:t>
            </w:r>
          </w:p>
        </w:tc>
      </w:tr>
      <w:tr w:rsidR="00564D9C" w:rsidRPr="00564D9C" w14:paraId="032D4DF6" w14:textId="77777777" w:rsidTr="002F6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3D356177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SERVIPORT Andalucía</w:t>
            </w:r>
          </w:p>
        </w:tc>
        <w:tc>
          <w:tcPr>
            <w:tcW w:w="1134" w:type="dxa"/>
            <w:noWrap/>
            <w:hideMark/>
          </w:tcPr>
          <w:p w14:paraId="43E8EE3E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15,1</w:t>
            </w:r>
          </w:p>
        </w:tc>
        <w:tc>
          <w:tcPr>
            <w:tcW w:w="1559" w:type="dxa"/>
            <w:noWrap/>
            <w:hideMark/>
          </w:tcPr>
          <w:p w14:paraId="5A089C76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134" w:type="dxa"/>
            <w:noWrap/>
            <w:hideMark/>
          </w:tcPr>
          <w:p w14:paraId="17672FD7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15,7</w:t>
            </w:r>
          </w:p>
        </w:tc>
        <w:tc>
          <w:tcPr>
            <w:tcW w:w="1134" w:type="dxa"/>
            <w:noWrap/>
            <w:hideMark/>
          </w:tcPr>
          <w:p w14:paraId="6CA2FDD4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4,0%</w:t>
            </w:r>
          </w:p>
        </w:tc>
        <w:tc>
          <w:tcPr>
            <w:tcW w:w="1276" w:type="dxa"/>
            <w:noWrap/>
            <w:hideMark/>
          </w:tcPr>
          <w:p w14:paraId="43F0AD18" w14:textId="77777777" w:rsidR="00564D9C" w:rsidRPr="00564D9C" w:rsidRDefault="00564D9C" w:rsidP="00564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564D9C" w:rsidRPr="00564D9C" w14:paraId="1A5064F6" w14:textId="77777777" w:rsidTr="002F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C147A7B" w14:textId="77777777" w:rsidR="00564D9C" w:rsidRPr="00564D9C" w:rsidRDefault="00564D9C" w:rsidP="00564D9C">
            <w:pPr>
              <w:jc w:val="left"/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 w:val="0"/>
                <w:color w:val="auto"/>
                <w:sz w:val="16"/>
                <w:szCs w:val="16"/>
              </w:rPr>
              <w:t>Instituto Nacional de Investigaciones Agrarias</w:t>
            </w:r>
          </w:p>
        </w:tc>
        <w:tc>
          <w:tcPr>
            <w:tcW w:w="1134" w:type="dxa"/>
            <w:noWrap/>
            <w:hideMark/>
          </w:tcPr>
          <w:p w14:paraId="38ABAFA8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11,7</w:t>
            </w:r>
          </w:p>
        </w:tc>
        <w:tc>
          <w:tcPr>
            <w:tcW w:w="1559" w:type="dxa"/>
            <w:noWrap/>
            <w:hideMark/>
          </w:tcPr>
          <w:p w14:paraId="2D7E8AE3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3,6%</w:t>
            </w:r>
          </w:p>
        </w:tc>
        <w:tc>
          <w:tcPr>
            <w:tcW w:w="1134" w:type="dxa"/>
            <w:noWrap/>
            <w:hideMark/>
          </w:tcPr>
          <w:p w14:paraId="6AA2EB8C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13,3</w:t>
            </w:r>
          </w:p>
        </w:tc>
        <w:tc>
          <w:tcPr>
            <w:tcW w:w="1134" w:type="dxa"/>
            <w:noWrap/>
            <w:hideMark/>
          </w:tcPr>
          <w:p w14:paraId="073345D6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13,7%</w:t>
            </w:r>
          </w:p>
        </w:tc>
        <w:tc>
          <w:tcPr>
            <w:tcW w:w="1276" w:type="dxa"/>
            <w:noWrap/>
            <w:hideMark/>
          </w:tcPr>
          <w:p w14:paraId="550ACC67" w14:textId="77777777" w:rsidR="00564D9C" w:rsidRPr="00564D9C" w:rsidRDefault="00564D9C" w:rsidP="00564D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</w:t>
            </w:r>
          </w:p>
        </w:tc>
      </w:tr>
      <w:bookmarkEnd w:id="24"/>
    </w:tbl>
    <w:p w14:paraId="193DE72B" w14:textId="77777777" w:rsidR="00D15F0F" w:rsidRDefault="00D15F0F" w:rsidP="00015DB5"/>
    <w:p w14:paraId="76DA2021" w14:textId="77777777" w:rsidR="00FE6D43" w:rsidRPr="00561A62" w:rsidRDefault="00FE6D43" w:rsidP="00FE6D43">
      <w:pPr>
        <w:pStyle w:val="Ttulo3"/>
      </w:pPr>
      <w:bookmarkStart w:id="25" w:name="_Toc214611283"/>
      <w:bookmarkStart w:id="26" w:name="_Hlk214966746"/>
      <w:r>
        <w:t>III.2.</w:t>
      </w:r>
      <w:r w:rsidR="00CA6A70">
        <w:t>2</w:t>
      </w:r>
      <w:r>
        <w:t xml:space="preserve"> Entidades perceptoras de subvenciones y ayudas públicas.</w:t>
      </w:r>
      <w:bookmarkEnd w:id="25"/>
    </w:p>
    <w:p w14:paraId="53712A1B" w14:textId="77777777" w:rsidR="00FE6D43" w:rsidRDefault="00FE6D43" w:rsidP="00075F1C">
      <w:pPr>
        <w:spacing w:before="240"/>
      </w:pPr>
      <w:r>
        <w:t>Las entidades seleccionadas en este grupo de sujetos obligados para participar en una tercera evaluación de cumplimiento son 2</w:t>
      </w:r>
      <w:r w:rsidR="002570CD">
        <w:t>4</w:t>
      </w:r>
      <w:r>
        <w:t xml:space="preserve">. Como en el caso de las entidades integrantes del Sector Público Institucional Estatal, todas ellas habían obtenido un ICIO inferior al 75% en la segunda evaluación de cumplimiento realizada, situándose el ICIO promedio de estas entidades en el </w:t>
      </w:r>
      <w:r w:rsidR="00564D9C">
        <w:t>35,8</w:t>
      </w:r>
      <w:r>
        <w:t xml:space="preserve">%, con un rango de variación de entre el </w:t>
      </w:r>
      <w:r w:rsidR="002570CD">
        <w:t>6,6</w:t>
      </w:r>
      <w:r>
        <w:t xml:space="preserve"> y el </w:t>
      </w:r>
      <w:r w:rsidR="002570CD">
        <w:t>71,9</w:t>
      </w:r>
      <w:r>
        <w:t>%.</w:t>
      </w:r>
    </w:p>
    <w:p w14:paraId="37691F7B" w14:textId="77777777" w:rsidR="00FE6D43" w:rsidRDefault="00FE6D43" w:rsidP="00FE6D43">
      <w:r>
        <w:t xml:space="preserve">Como resultado esta segunda evaluación se efectuaron un total de </w:t>
      </w:r>
      <w:r w:rsidR="002570CD">
        <w:t>219</w:t>
      </w:r>
      <w:r>
        <w:t xml:space="preserve"> recomendaciones, constatándose en la tercera evaluación que se habían aplicado </w:t>
      </w:r>
      <w:r w:rsidR="002570CD">
        <w:t>21</w:t>
      </w:r>
      <w:r>
        <w:t>, el</w:t>
      </w:r>
      <w:r w:rsidR="002570CD">
        <w:t xml:space="preserve"> 9,6</w:t>
      </w:r>
      <w:r>
        <w:t xml:space="preserve">% del total, con un rango de variación que oscila entre el 0 y el </w:t>
      </w:r>
      <w:r w:rsidR="00E71830">
        <w:t>8</w:t>
      </w:r>
      <w:r>
        <w:t xml:space="preserve">0%. </w:t>
      </w:r>
    </w:p>
    <w:p w14:paraId="56E98B12" w14:textId="77777777" w:rsidR="00FE6D43" w:rsidRDefault="00FE6D43" w:rsidP="00FE6D43">
      <w:r>
        <w:lastRenderedPageBreak/>
        <w:t xml:space="preserve">El ICIO medio alcanzado en la </w:t>
      </w:r>
      <w:r w:rsidR="00E71830">
        <w:t>tercera</w:t>
      </w:r>
      <w:r>
        <w:t xml:space="preserve"> evaluación es del </w:t>
      </w:r>
      <w:r w:rsidR="007D0751">
        <w:t>37,3</w:t>
      </w:r>
      <w:r>
        <w:t xml:space="preserve">%, con un rango de variación de entre el </w:t>
      </w:r>
      <w:r w:rsidR="00E71830">
        <w:t>6,6</w:t>
      </w:r>
      <w:r>
        <w:t xml:space="preserve"> y el </w:t>
      </w:r>
      <w:r w:rsidR="00E71830">
        <w:t>79,4</w:t>
      </w:r>
      <w:r>
        <w:t>%. El incremento del ICIO</w:t>
      </w:r>
      <w:r w:rsidR="00E71830">
        <w:t xml:space="preserve"> respecto de la segunda evaluación</w:t>
      </w:r>
      <w:r>
        <w:t xml:space="preserve"> es de </w:t>
      </w:r>
      <w:r w:rsidR="00564D9C">
        <w:t>1,5</w:t>
      </w:r>
      <w:r>
        <w:t xml:space="preserve"> p.p. La mejora lograda por estas entidades puede cuantificarse en el </w:t>
      </w:r>
      <w:r w:rsidR="00564D9C">
        <w:t>4,2</w:t>
      </w:r>
      <w:r>
        <w:t>%.</w:t>
      </w:r>
    </w:p>
    <w:p w14:paraId="58892620" w14:textId="77777777" w:rsidR="00FE6D43" w:rsidRDefault="00FE6D43" w:rsidP="00FE6D43">
      <w:r>
        <w:t xml:space="preserve">En promedio estas entidades han incrementado sus ICIO entre la </w:t>
      </w:r>
      <w:r w:rsidR="00E71830">
        <w:t>primera</w:t>
      </w:r>
      <w:r>
        <w:t xml:space="preserve"> y la </w:t>
      </w:r>
      <w:r w:rsidR="00E71830">
        <w:t>tercera</w:t>
      </w:r>
      <w:r>
        <w:t xml:space="preserve"> evaluación en </w:t>
      </w:r>
      <w:r w:rsidR="007D0751">
        <w:t>7,3</w:t>
      </w:r>
      <w:r>
        <w:t xml:space="preserve"> p.p. Tras </w:t>
      </w:r>
      <w:r w:rsidR="00E71830">
        <w:t>tres</w:t>
      </w:r>
      <w:r>
        <w:t xml:space="preserve"> evaluaciones de cumplimiento, estas entidades han mejorado sus ICIO en el </w:t>
      </w:r>
      <w:r w:rsidR="007D0751">
        <w:t>24,3</w:t>
      </w:r>
      <w:r>
        <w:t>% en promedio.</w:t>
      </w:r>
    </w:p>
    <w:p w14:paraId="20888BBE" w14:textId="77777777" w:rsidR="00FE6D43" w:rsidRDefault="00FE6D43" w:rsidP="00FE6D43">
      <w:r>
        <w:t xml:space="preserve">Finalmente, esta última evaluación también ha evidenciado que, tras </w:t>
      </w:r>
      <w:r w:rsidR="00E71830">
        <w:t>tres</w:t>
      </w:r>
      <w:r>
        <w:t xml:space="preserve"> evaluaciones, subsisten </w:t>
      </w:r>
      <w:r w:rsidR="00E71830">
        <w:t>198</w:t>
      </w:r>
      <w:r>
        <w:t xml:space="preserve"> incumplimientos de la LTAIBG</w:t>
      </w:r>
      <w:r w:rsidR="000A3607">
        <w:t xml:space="preserve"> (</w:t>
      </w:r>
      <w:r w:rsidR="00E71830">
        <w:t>8,3</w:t>
      </w:r>
      <w:r>
        <w:t xml:space="preserve"> en promedio por entidad</w:t>
      </w:r>
      <w:r w:rsidR="000A3607">
        <w:t>)</w:t>
      </w:r>
      <w:r>
        <w:t xml:space="preserve">, con un rango de variación que oscila entre </w:t>
      </w:r>
      <w:r w:rsidR="00480E1B">
        <w:t xml:space="preserve">1 </w:t>
      </w:r>
      <w:r>
        <w:t xml:space="preserve">y </w:t>
      </w:r>
      <w:r w:rsidR="00480E1B">
        <w:t>1</w:t>
      </w:r>
      <w:r w:rsidR="00E71830">
        <w:t>4</w:t>
      </w:r>
      <w:r>
        <w:t xml:space="preserve"> incumplimientos</w:t>
      </w:r>
      <w:r w:rsidRPr="006D00C1">
        <w:t xml:space="preserve">. </w:t>
      </w:r>
    </w:p>
    <w:p w14:paraId="3165C400" w14:textId="77777777" w:rsidR="00FE6D43" w:rsidRDefault="00FE6D43" w:rsidP="00FE6D43">
      <w:r>
        <w:t xml:space="preserve">Los resultados individuales obtenidos por este grupo de sujetos obligados, ordenados en función del ICIO obtenido en la </w:t>
      </w:r>
      <w:r w:rsidR="00E71830">
        <w:t>tercera</w:t>
      </w:r>
      <w:r>
        <w:t xml:space="preserve"> evaluación de cumplimiento, se reflejan en la siguiente tabla.</w:t>
      </w:r>
    </w:p>
    <w:tbl>
      <w:tblPr>
        <w:tblStyle w:val="Listavistosa-nfasis2"/>
        <w:tblW w:w="9608" w:type="dxa"/>
        <w:tblLook w:val="04A0" w:firstRow="1" w:lastRow="0" w:firstColumn="1" w:lastColumn="0" w:noHBand="0" w:noVBand="1"/>
      </w:tblPr>
      <w:tblGrid>
        <w:gridCol w:w="2598"/>
        <w:gridCol w:w="1187"/>
        <w:gridCol w:w="1667"/>
        <w:gridCol w:w="1334"/>
        <w:gridCol w:w="1260"/>
        <w:gridCol w:w="1562"/>
      </w:tblGrid>
      <w:tr w:rsidR="003967D1" w:rsidRPr="00F930C3" w14:paraId="6B85F0F6" w14:textId="77777777" w:rsidTr="00396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81D14E2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27" w:name="_Hlk214980048"/>
          </w:p>
        </w:tc>
        <w:tc>
          <w:tcPr>
            <w:tcW w:w="1187" w:type="dxa"/>
            <w:noWrap/>
            <w:hideMark/>
          </w:tcPr>
          <w:p w14:paraId="7EB6F69E" w14:textId="77777777" w:rsidR="00F930C3" w:rsidRPr="00F930C3" w:rsidRDefault="00F930C3" w:rsidP="00F930C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F930C3">
              <w:rPr>
                <w:rFonts w:eastAsia="Times New Roman" w:cs="Calibri"/>
                <w:sz w:val="16"/>
                <w:szCs w:val="16"/>
              </w:rPr>
              <w:t>ICIO 2ª evaluación</w:t>
            </w:r>
          </w:p>
        </w:tc>
        <w:tc>
          <w:tcPr>
            <w:tcW w:w="1667" w:type="dxa"/>
            <w:noWrap/>
            <w:hideMark/>
          </w:tcPr>
          <w:p w14:paraId="4C200768" w14:textId="77777777" w:rsidR="00F930C3" w:rsidRPr="00F930C3" w:rsidRDefault="00F930C3" w:rsidP="00F930C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F930C3">
              <w:rPr>
                <w:rFonts w:eastAsia="Times New Roman" w:cs="Calibri"/>
                <w:sz w:val="16"/>
                <w:szCs w:val="16"/>
              </w:rPr>
              <w:t>Proporción de recomendaciones aplicadas derivadas de la segunda evaluación</w:t>
            </w:r>
          </w:p>
        </w:tc>
        <w:tc>
          <w:tcPr>
            <w:tcW w:w="1334" w:type="dxa"/>
            <w:noWrap/>
            <w:hideMark/>
          </w:tcPr>
          <w:p w14:paraId="03C8EBF0" w14:textId="77777777" w:rsidR="00F930C3" w:rsidRPr="00F930C3" w:rsidRDefault="00F930C3" w:rsidP="00F930C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F930C3">
              <w:rPr>
                <w:rFonts w:eastAsia="Times New Roman" w:cs="Calibri"/>
                <w:sz w:val="16"/>
                <w:szCs w:val="16"/>
              </w:rPr>
              <w:t>ICIO 3ª evaluación</w:t>
            </w:r>
          </w:p>
        </w:tc>
        <w:tc>
          <w:tcPr>
            <w:tcW w:w="1260" w:type="dxa"/>
            <w:noWrap/>
            <w:hideMark/>
          </w:tcPr>
          <w:p w14:paraId="4E1010C8" w14:textId="77777777" w:rsidR="00F930C3" w:rsidRPr="00F930C3" w:rsidRDefault="00F930C3" w:rsidP="00F93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F930C3">
              <w:rPr>
                <w:rFonts w:eastAsia="Times New Roman" w:cs="Calibri"/>
                <w:sz w:val="16"/>
                <w:szCs w:val="16"/>
              </w:rPr>
              <w:t>Diferencia ICIO entre la tercera y la segunda evaluación (%)</w:t>
            </w:r>
          </w:p>
        </w:tc>
        <w:tc>
          <w:tcPr>
            <w:tcW w:w="1562" w:type="dxa"/>
            <w:noWrap/>
            <w:hideMark/>
          </w:tcPr>
          <w:p w14:paraId="5960A424" w14:textId="77777777" w:rsidR="00F930C3" w:rsidRPr="00F930C3" w:rsidRDefault="00F930C3" w:rsidP="00F930C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F930C3">
              <w:rPr>
                <w:rFonts w:eastAsia="Times New Roman" w:cs="Calibri"/>
                <w:sz w:val="16"/>
                <w:szCs w:val="16"/>
              </w:rPr>
              <w:t>Incumplimientos subsistentes tras 3 evaluaciones de cumplimiento</w:t>
            </w:r>
          </w:p>
        </w:tc>
      </w:tr>
      <w:tr w:rsidR="003967D1" w:rsidRPr="00F930C3" w14:paraId="6FEA78EB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0C79FF30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Fundación Márgenes y Vínculos</w:t>
            </w:r>
          </w:p>
        </w:tc>
        <w:tc>
          <w:tcPr>
            <w:tcW w:w="1187" w:type="dxa"/>
            <w:noWrap/>
            <w:hideMark/>
          </w:tcPr>
          <w:p w14:paraId="3F3F849E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69,2</w:t>
            </w:r>
          </w:p>
        </w:tc>
        <w:tc>
          <w:tcPr>
            <w:tcW w:w="1667" w:type="dxa"/>
            <w:noWrap/>
            <w:hideMark/>
          </w:tcPr>
          <w:p w14:paraId="02CF7360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80,0%</w:t>
            </w:r>
          </w:p>
        </w:tc>
        <w:tc>
          <w:tcPr>
            <w:tcW w:w="1334" w:type="dxa"/>
            <w:noWrap/>
            <w:hideMark/>
          </w:tcPr>
          <w:p w14:paraId="6B89D269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79,4</w:t>
            </w:r>
          </w:p>
        </w:tc>
        <w:tc>
          <w:tcPr>
            <w:tcW w:w="1260" w:type="dxa"/>
            <w:noWrap/>
            <w:hideMark/>
          </w:tcPr>
          <w:p w14:paraId="2159EA4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14,7%</w:t>
            </w:r>
          </w:p>
        </w:tc>
        <w:tc>
          <w:tcPr>
            <w:tcW w:w="1562" w:type="dxa"/>
            <w:noWrap/>
            <w:hideMark/>
          </w:tcPr>
          <w:p w14:paraId="117C7D95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</w:t>
            </w:r>
          </w:p>
        </w:tc>
      </w:tr>
      <w:tr w:rsidR="003967D1" w:rsidRPr="00F930C3" w14:paraId="559D7C91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112DCDA1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Fundación Ayuda en Acción</w:t>
            </w:r>
          </w:p>
        </w:tc>
        <w:tc>
          <w:tcPr>
            <w:tcW w:w="1187" w:type="dxa"/>
            <w:noWrap/>
            <w:hideMark/>
          </w:tcPr>
          <w:p w14:paraId="25364F83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69,6</w:t>
            </w:r>
          </w:p>
        </w:tc>
        <w:tc>
          <w:tcPr>
            <w:tcW w:w="1667" w:type="dxa"/>
            <w:noWrap/>
            <w:hideMark/>
          </w:tcPr>
          <w:p w14:paraId="2F952D02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08EC6618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76,1</w:t>
            </w:r>
          </w:p>
        </w:tc>
        <w:tc>
          <w:tcPr>
            <w:tcW w:w="1260" w:type="dxa"/>
            <w:noWrap/>
            <w:hideMark/>
          </w:tcPr>
          <w:p w14:paraId="70155B51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9,3%</w:t>
            </w:r>
          </w:p>
        </w:tc>
        <w:tc>
          <w:tcPr>
            <w:tcW w:w="1562" w:type="dxa"/>
            <w:noWrap/>
            <w:hideMark/>
          </w:tcPr>
          <w:p w14:paraId="7E5D1FE4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3967D1" w:rsidRPr="00F930C3" w14:paraId="7A542B06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15C0A191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Federación Española de Taekwondo</w:t>
            </w:r>
          </w:p>
        </w:tc>
        <w:tc>
          <w:tcPr>
            <w:tcW w:w="1187" w:type="dxa"/>
            <w:noWrap/>
            <w:hideMark/>
          </w:tcPr>
          <w:p w14:paraId="1A02F7D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25,3</w:t>
            </w:r>
          </w:p>
        </w:tc>
        <w:tc>
          <w:tcPr>
            <w:tcW w:w="1667" w:type="dxa"/>
            <w:noWrap/>
            <w:hideMark/>
          </w:tcPr>
          <w:p w14:paraId="7EE9D2FB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40,0%</w:t>
            </w:r>
          </w:p>
        </w:tc>
        <w:tc>
          <w:tcPr>
            <w:tcW w:w="1334" w:type="dxa"/>
            <w:noWrap/>
            <w:hideMark/>
          </w:tcPr>
          <w:p w14:paraId="6B4FE104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74,6</w:t>
            </w:r>
          </w:p>
        </w:tc>
        <w:tc>
          <w:tcPr>
            <w:tcW w:w="1260" w:type="dxa"/>
            <w:noWrap/>
            <w:hideMark/>
          </w:tcPr>
          <w:p w14:paraId="72783DC7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194,9%</w:t>
            </w:r>
          </w:p>
        </w:tc>
        <w:tc>
          <w:tcPr>
            <w:tcW w:w="1562" w:type="dxa"/>
            <w:noWrap/>
            <w:hideMark/>
          </w:tcPr>
          <w:p w14:paraId="09E6E7B8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3967D1" w:rsidRPr="00F930C3" w14:paraId="18B84F68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0A037354" w14:textId="386925FC" w:rsidR="00F930C3" w:rsidRPr="00F930C3" w:rsidRDefault="00075F1C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075F1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Confederación Española de Organizaciones Empresariales</w:t>
            </w:r>
          </w:p>
        </w:tc>
        <w:tc>
          <w:tcPr>
            <w:tcW w:w="1187" w:type="dxa"/>
            <w:noWrap/>
            <w:hideMark/>
          </w:tcPr>
          <w:p w14:paraId="416C1197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71,9</w:t>
            </w:r>
          </w:p>
        </w:tc>
        <w:tc>
          <w:tcPr>
            <w:tcW w:w="1667" w:type="dxa"/>
            <w:noWrap/>
            <w:hideMark/>
          </w:tcPr>
          <w:p w14:paraId="69EBB0E9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11EEB96F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71,9</w:t>
            </w:r>
          </w:p>
        </w:tc>
        <w:tc>
          <w:tcPr>
            <w:tcW w:w="1260" w:type="dxa"/>
            <w:noWrap/>
            <w:hideMark/>
          </w:tcPr>
          <w:p w14:paraId="0E4C8230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282B1B05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3967D1" w:rsidRPr="00F930C3" w14:paraId="35BCD7F9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71CB1248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ACERINOX</w:t>
            </w:r>
          </w:p>
        </w:tc>
        <w:tc>
          <w:tcPr>
            <w:tcW w:w="1187" w:type="dxa"/>
            <w:noWrap/>
            <w:hideMark/>
          </w:tcPr>
          <w:p w14:paraId="16895BA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52,7</w:t>
            </w:r>
          </w:p>
        </w:tc>
        <w:tc>
          <w:tcPr>
            <w:tcW w:w="1667" w:type="dxa"/>
            <w:noWrap/>
            <w:hideMark/>
          </w:tcPr>
          <w:p w14:paraId="2E8CF28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7041D480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63,7</w:t>
            </w:r>
          </w:p>
        </w:tc>
        <w:tc>
          <w:tcPr>
            <w:tcW w:w="1260" w:type="dxa"/>
            <w:noWrap/>
            <w:hideMark/>
          </w:tcPr>
          <w:p w14:paraId="2882251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20,9%</w:t>
            </w:r>
          </w:p>
        </w:tc>
        <w:tc>
          <w:tcPr>
            <w:tcW w:w="1562" w:type="dxa"/>
            <w:noWrap/>
            <w:hideMark/>
          </w:tcPr>
          <w:p w14:paraId="23D4CCA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3967D1" w:rsidRPr="00F930C3" w14:paraId="29EDCE0B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8B63E1B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Telefónica de España</w:t>
            </w:r>
          </w:p>
        </w:tc>
        <w:tc>
          <w:tcPr>
            <w:tcW w:w="1187" w:type="dxa"/>
            <w:noWrap/>
            <w:hideMark/>
          </w:tcPr>
          <w:p w14:paraId="727952B2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55,5</w:t>
            </w:r>
          </w:p>
        </w:tc>
        <w:tc>
          <w:tcPr>
            <w:tcW w:w="1667" w:type="dxa"/>
            <w:noWrap/>
            <w:hideMark/>
          </w:tcPr>
          <w:p w14:paraId="33665C0B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78E5E2B1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26369232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13,5%</w:t>
            </w:r>
          </w:p>
        </w:tc>
        <w:tc>
          <w:tcPr>
            <w:tcW w:w="1562" w:type="dxa"/>
            <w:noWrap/>
            <w:hideMark/>
          </w:tcPr>
          <w:p w14:paraId="16933F3D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3967D1" w:rsidRPr="00F930C3" w14:paraId="0464BCDD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3064F65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Federación de Entidades Religiosas Evangélicas de España</w:t>
            </w:r>
          </w:p>
        </w:tc>
        <w:tc>
          <w:tcPr>
            <w:tcW w:w="1187" w:type="dxa"/>
            <w:noWrap/>
            <w:hideMark/>
          </w:tcPr>
          <w:p w14:paraId="44208F89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71,7</w:t>
            </w:r>
          </w:p>
        </w:tc>
        <w:tc>
          <w:tcPr>
            <w:tcW w:w="1667" w:type="dxa"/>
            <w:noWrap/>
            <w:hideMark/>
          </w:tcPr>
          <w:p w14:paraId="302F5D4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241B2758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61,3</w:t>
            </w:r>
          </w:p>
        </w:tc>
        <w:tc>
          <w:tcPr>
            <w:tcW w:w="1260" w:type="dxa"/>
            <w:noWrap/>
            <w:hideMark/>
          </w:tcPr>
          <w:p w14:paraId="40C122A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-14,5%</w:t>
            </w:r>
          </w:p>
        </w:tc>
        <w:tc>
          <w:tcPr>
            <w:tcW w:w="1562" w:type="dxa"/>
            <w:noWrap/>
            <w:hideMark/>
          </w:tcPr>
          <w:p w14:paraId="4C5C1A2B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3967D1" w:rsidRPr="00F930C3" w14:paraId="152DBAB4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7AE2A93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TÉCNICAS REUNIDAS</w:t>
            </w:r>
          </w:p>
        </w:tc>
        <w:tc>
          <w:tcPr>
            <w:tcW w:w="1187" w:type="dxa"/>
            <w:noWrap/>
            <w:hideMark/>
          </w:tcPr>
          <w:p w14:paraId="5FA41D65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56,6</w:t>
            </w:r>
          </w:p>
        </w:tc>
        <w:tc>
          <w:tcPr>
            <w:tcW w:w="1667" w:type="dxa"/>
            <w:noWrap/>
            <w:hideMark/>
          </w:tcPr>
          <w:p w14:paraId="36089D49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0386BB16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56,6</w:t>
            </w:r>
          </w:p>
        </w:tc>
        <w:tc>
          <w:tcPr>
            <w:tcW w:w="1260" w:type="dxa"/>
            <w:noWrap/>
            <w:hideMark/>
          </w:tcPr>
          <w:p w14:paraId="62C3EBFE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11416789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3967D1" w:rsidRPr="00F930C3" w14:paraId="6F33A994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16604D41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Ferroglobe</w:t>
            </w:r>
            <w:proofErr w:type="spellEnd"/>
          </w:p>
        </w:tc>
        <w:tc>
          <w:tcPr>
            <w:tcW w:w="1187" w:type="dxa"/>
            <w:noWrap/>
            <w:hideMark/>
          </w:tcPr>
          <w:p w14:paraId="0780837E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34,1</w:t>
            </w:r>
          </w:p>
        </w:tc>
        <w:tc>
          <w:tcPr>
            <w:tcW w:w="1667" w:type="dxa"/>
            <w:noWrap/>
            <w:hideMark/>
          </w:tcPr>
          <w:p w14:paraId="68413A2F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30,0%</w:t>
            </w:r>
          </w:p>
        </w:tc>
        <w:tc>
          <w:tcPr>
            <w:tcW w:w="1334" w:type="dxa"/>
            <w:noWrap/>
            <w:hideMark/>
          </w:tcPr>
          <w:p w14:paraId="29620CDE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52,5</w:t>
            </w:r>
          </w:p>
        </w:tc>
        <w:tc>
          <w:tcPr>
            <w:tcW w:w="1260" w:type="dxa"/>
            <w:noWrap/>
            <w:hideMark/>
          </w:tcPr>
          <w:p w14:paraId="31947ACA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54,0%</w:t>
            </w:r>
          </w:p>
        </w:tc>
        <w:tc>
          <w:tcPr>
            <w:tcW w:w="1562" w:type="dxa"/>
            <w:noWrap/>
            <w:hideMark/>
          </w:tcPr>
          <w:p w14:paraId="28375E9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3967D1" w:rsidRPr="00F930C3" w14:paraId="002CF782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BFD88DB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Asociación Empresarial de Acuicultura de España (APROMAR)</w:t>
            </w:r>
          </w:p>
        </w:tc>
        <w:tc>
          <w:tcPr>
            <w:tcW w:w="1187" w:type="dxa"/>
            <w:noWrap/>
            <w:hideMark/>
          </w:tcPr>
          <w:p w14:paraId="3877F73A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24,5</w:t>
            </w:r>
          </w:p>
        </w:tc>
        <w:tc>
          <w:tcPr>
            <w:tcW w:w="1667" w:type="dxa"/>
            <w:noWrap/>
            <w:hideMark/>
          </w:tcPr>
          <w:p w14:paraId="6D54325A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54,5%</w:t>
            </w:r>
          </w:p>
        </w:tc>
        <w:tc>
          <w:tcPr>
            <w:tcW w:w="1334" w:type="dxa"/>
            <w:noWrap/>
            <w:hideMark/>
          </w:tcPr>
          <w:p w14:paraId="521C8F12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260" w:type="dxa"/>
            <w:noWrap/>
            <w:hideMark/>
          </w:tcPr>
          <w:p w14:paraId="2CA9806E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92,7%</w:t>
            </w:r>
          </w:p>
        </w:tc>
        <w:tc>
          <w:tcPr>
            <w:tcW w:w="1562" w:type="dxa"/>
            <w:noWrap/>
            <w:hideMark/>
          </w:tcPr>
          <w:p w14:paraId="7DB0BC19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</w:t>
            </w:r>
          </w:p>
        </w:tc>
      </w:tr>
      <w:tr w:rsidR="003967D1" w:rsidRPr="00F930C3" w14:paraId="252C7492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581FE368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AIR EUROPA</w:t>
            </w:r>
          </w:p>
        </w:tc>
        <w:tc>
          <w:tcPr>
            <w:tcW w:w="1187" w:type="dxa"/>
            <w:noWrap/>
            <w:hideMark/>
          </w:tcPr>
          <w:p w14:paraId="5A63FAE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73,4</w:t>
            </w:r>
          </w:p>
        </w:tc>
        <w:tc>
          <w:tcPr>
            <w:tcW w:w="1667" w:type="dxa"/>
            <w:noWrap/>
            <w:hideMark/>
          </w:tcPr>
          <w:p w14:paraId="489E3EC6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79DB0240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41,7</w:t>
            </w:r>
          </w:p>
        </w:tc>
        <w:tc>
          <w:tcPr>
            <w:tcW w:w="1260" w:type="dxa"/>
            <w:noWrap/>
            <w:hideMark/>
          </w:tcPr>
          <w:p w14:paraId="61F246A9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-43,2%</w:t>
            </w:r>
          </w:p>
        </w:tc>
        <w:tc>
          <w:tcPr>
            <w:tcW w:w="1562" w:type="dxa"/>
            <w:noWrap/>
            <w:hideMark/>
          </w:tcPr>
          <w:p w14:paraId="268DB383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3967D1" w:rsidRPr="00F930C3" w14:paraId="3985BB87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3580BF8F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MEGASA Siderúrgica, S.L.</w:t>
            </w:r>
          </w:p>
        </w:tc>
        <w:tc>
          <w:tcPr>
            <w:tcW w:w="1187" w:type="dxa"/>
            <w:noWrap/>
            <w:hideMark/>
          </w:tcPr>
          <w:p w14:paraId="2741A578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667" w:type="dxa"/>
            <w:noWrap/>
            <w:hideMark/>
          </w:tcPr>
          <w:p w14:paraId="1C75C23D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46,2%</w:t>
            </w:r>
          </w:p>
        </w:tc>
        <w:tc>
          <w:tcPr>
            <w:tcW w:w="1334" w:type="dxa"/>
            <w:noWrap/>
            <w:hideMark/>
          </w:tcPr>
          <w:p w14:paraId="6CA9693C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39,7</w:t>
            </w:r>
          </w:p>
        </w:tc>
        <w:tc>
          <w:tcPr>
            <w:tcW w:w="1260" w:type="dxa"/>
            <w:noWrap/>
            <w:hideMark/>
          </w:tcPr>
          <w:p w14:paraId="3A372326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501,5%</w:t>
            </w:r>
          </w:p>
        </w:tc>
        <w:tc>
          <w:tcPr>
            <w:tcW w:w="1562" w:type="dxa"/>
            <w:noWrap/>
            <w:hideMark/>
          </w:tcPr>
          <w:p w14:paraId="704C487C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3967D1" w:rsidRPr="00F930C3" w14:paraId="78E6EA6C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5A77F4E5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Fundación Naturaleza y Hombre</w:t>
            </w:r>
          </w:p>
        </w:tc>
        <w:tc>
          <w:tcPr>
            <w:tcW w:w="1187" w:type="dxa"/>
            <w:noWrap/>
            <w:hideMark/>
          </w:tcPr>
          <w:p w14:paraId="46FAE0A3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27,6</w:t>
            </w:r>
          </w:p>
        </w:tc>
        <w:tc>
          <w:tcPr>
            <w:tcW w:w="1667" w:type="dxa"/>
            <w:noWrap/>
            <w:hideMark/>
          </w:tcPr>
          <w:p w14:paraId="2188B930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15353677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27,6</w:t>
            </w:r>
          </w:p>
        </w:tc>
        <w:tc>
          <w:tcPr>
            <w:tcW w:w="1260" w:type="dxa"/>
            <w:noWrap/>
            <w:hideMark/>
          </w:tcPr>
          <w:p w14:paraId="35772668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37093FF2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3967D1" w:rsidRPr="00F930C3" w14:paraId="65A5EB0B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4DBC2453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Universidad Camilo José Cela</w:t>
            </w:r>
          </w:p>
        </w:tc>
        <w:tc>
          <w:tcPr>
            <w:tcW w:w="1187" w:type="dxa"/>
            <w:noWrap/>
            <w:hideMark/>
          </w:tcPr>
          <w:p w14:paraId="45CA5DFE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42,9</w:t>
            </w:r>
          </w:p>
        </w:tc>
        <w:tc>
          <w:tcPr>
            <w:tcW w:w="1667" w:type="dxa"/>
            <w:noWrap/>
            <w:hideMark/>
          </w:tcPr>
          <w:p w14:paraId="7F84AAF1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1F9EDF4E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26,5</w:t>
            </w:r>
          </w:p>
        </w:tc>
        <w:tc>
          <w:tcPr>
            <w:tcW w:w="1260" w:type="dxa"/>
            <w:noWrap/>
            <w:hideMark/>
          </w:tcPr>
          <w:p w14:paraId="2CE981A3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-38,2%</w:t>
            </w:r>
          </w:p>
        </w:tc>
        <w:tc>
          <w:tcPr>
            <w:tcW w:w="1562" w:type="dxa"/>
            <w:noWrap/>
            <w:hideMark/>
          </w:tcPr>
          <w:p w14:paraId="151F1CF0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3967D1" w:rsidRPr="00F930C3" w14:paraId="2D76BA2E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2936E641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UBE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Corporation</w:t>
            </w:r>
            <w:proofErr w:type="spellEnd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Europe</w:t>
            </w:r>
            <w:proofErr w:type="spellEnd"/>
          </w:p>
        </w:tc>
        <w:tc>
          <w:tcPr>
            <w:tcW w:w="1187" w:type="dxa"/>
            <w:noWrap/>
            <w:hideMark/>
          </w:tcPr>
          <w:p w14:paraId="3A2C1C9D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24,5</w:t>
            </w:r>
          </w:p>
        </w:tc>
        <w:tc>
          <w:tcPr>
            <w:tcW w:w="1667" w:type="dxa"/>
            <w:noWrap/>
            <w:hideMark/>
          </w:tcPr>
          <w:p w14:paraId="49527413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7B3BC9DA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24,5</w:t>
            </w:r>
          </w:p>
        </w:tc>
        <w:tc>
          <w:tcPr>
            <w:tcW w:w="1260" w:type="dxa"/>
            <w:noWrap/>
            <w:hideMark/>
          </w:tcPr>
          <w:p w14:paraId="3FBB9EF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1BCD4903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3967D1" w:rsidRPr="00F930C3" w14:paraId="655B0782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3ED13221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Sidenor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Forgings&amp;Castings</w:t>
            </w:r>
            <w:proofErr w:type="spellEnd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87" w:type="dxa"/>
            <w:noWrap/>
            <w:hideMark/>
          </w:tcPr>
          <w:p w14:paraId="7A7CF766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20,9</w:t>
            </w:r>
          </w:p>
        </w:tc>
        <w:tc>
          <w:tcPr>
            <w:tcW w:w="1667" w:type="dxa"/>
            <w:noWrap/>
            <w:hideMark/>
          </w:tcPr>
          <w:p w14:paraId="272BF4F9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5C61C41B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21,4</w:t>
            </w:r>
          </w:p>
        </w:tc>
        <w:tc>
          <w:tcPr>
            <w:tcW w:w="1260" w:type="dxa"/>
            <w:noWrap/>
            <w:hideMark/>
          </w:tcPr>
          <w:p w14:paraId="2DAD1CDF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2,4%</w:t>
            </w:r>
          </w:p>
        </w:tc>
        <w:tc>
          <w:tcPr>
            <w:tcW w:w="1562" w:type="dxa"/>
            <w:noWrap/>
            <w:hideMark/>
          </w:tcPr>
          <w:p w14:paraId="6539616A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3967D1" w:rsidRPr="00F930C3" w14:paraId="22AD71EA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703BE48F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SOFIDEL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1187" w:type="dxa"/>
            <w:noWrap/>
            <w:hideMark/>
          </w:tcPr>
          <w:p w14:paraId="44BC3617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18,4</w:t>
            </w:r>
          </w:p>
        </w:tc>
        <w:tc>
          <w:tcPr>
            <w:tcW w:w="1667" w:type="dxa"/>
            <w:noWrap/>
            <w:hideMark/>
          </w:tcPr>
          <w:p w14:paraId="0373D8D1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0E516FD8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18,4</w:t>
            </w:r>
          </w:p>
        </w:tc>
        <w:tc>
          <w:tcPr>
            <w:tcW w:w="1260" w:type="dxa"/>
            <w:noWrap/>
            <w:hideMark/>
          </w:tcPr>
          <w:p w14:paraId="653C617F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58752F89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3967D1" w:rsidRPr="00F930C3" w14:paraId="7B93687D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72F7DAFF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Barna Steel</w:t>
            </w:r>
          </w:p>
        </w:tc>
        <w:tc>
          <w:tcPr>
            <w:tcW w:w="1187" w:type="dxa"/>
            <w:noWrap/>
            <w:hideMark/>
          </w:tcPr>
          <w:p w14:paraId="2999634C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14,3</w:t>
            </w:r>
          </w:p>
        </w:tc>
        <w:tc>
          <w:tcPr>
            <w:tcW w:w="1667" w:type="dxa"/>
            <w:noWrap/>
            <w:hideMark/>
          </w:tcPr>
          <w:p w14:paraId="7C831B6B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4CBFDCA5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14,3</w:t>
            </w:r>
          </w:p>
        </w:tc>
        <w:tc>
          <w:tcPr>
            <w:tcW w:w="1260" w:type="dxa"/>
            <w:noWrap/>
            <w:hideMark/>
          </w:tcPr>
          <w:p w14:paraId="77807AAF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16EF7620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3967D1" w:rsidRPr="00F930C3" w14:paraId="4FDD08AA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611C6C75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Federación Católica Española de Servicios a la Juventud Femenina</w:t>
            </w:r>
          </w:p>
        </w:tc>
        <w:tc>
          <w:tcPr>
            <w:tcW w:w="1187" w:type="dxa"/>
            <w:noWrap/>
            <w:hideMark/>
          </w:tcPr>
          <w:p w14:paraId="1A79B7D2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12,2</w:t>
            </w:r>
          </w:p>
        </w:tc>
        <w:tc>
          <w:tcPr>
            <w:tcW w:w="1667" w:type="dxa"/>
            <w:noWrap/>
            <w:hideMark/>
          </w:tcPr>
          <w:p w14:paraId="4A8DBBAB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3A657ACB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12,2</w:t>
            </w:r>
          </w:p>
        </w:tc>
        <w:tc>
          <w:tcPr>
            <w:tcW w:w="1260" w:type="dxa"/>
            <w:noWrap/>
            <w:hideMark/>
          </w:tcPr>
          <w:p w14:paraId="62249842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30F20600" w14:textId="77777777" w:rsidR="00F930C3" w:rsidRPr="00F930C3" w:rsidRDefault="00F930C3" w:rsidP="00F93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3967D1" w:rsidRPr="00F930C3" w14:paraId="6F1A95A1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6DA2335A" w14:textId="77777777" w:rsidR="00F930C3" w:rsidRPr="00F930C3" w:rsidRDefault="00F930C3" w:rsidP="00F930C3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ADAMO Telecom Iberia</w:t>
            </w:r>
          </w:p>
        </w:tc>
        <w:tc>
          <w:tcPr>
            <w:tcW w:w="1187" w:type="dxa"/>
            <w:noWrap/>
            <w:hideMark/>
          </w:tcPr>
          <w:p w14:paraId="0298FC7C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667" w:type="dxa"/>
            <w:noWrap/>
            <w:hideMark/>
          </w:tcPr>
          <w:p w14:paraId="421ACD08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1938774A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260" w:type="dxa"/>
            <w:noWrap/>
            <w:hideMark/>
          </w:tcPr>
          <w:p w14:paraId="26451206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42D1363D" w14:textId="77777777" w:rsidR="00F930C3" w:rsidRPr="00F930C3" w:rsidRDefault="00F930C3" w:rsidP="00F930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7D72AF" w:rsidRPr="00F930C3" w14:paraId="2FBF729F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</w:tcPr>
          <w:p w14:paraId="58F19D3D" w14:textId="28CF9E45" w:rsidR="007D72AF" w:rsidRPr="00F930C3" w:rsidRDefault="007D72AF" w:rsidP="007D72AF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Asociación Productores Mejillón de Galicia</w:t>
            </w:r>
          </w:p>
        </w:tc>
        <w:tc>
          <w:tcPr>
            <w:tcW w:w="1187" w:type="dxa"/>
            <w:noWrap/>
          </w:tcPr>
          <w:p w14:paraId="482A0F51" w14:textId="3FF79149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667" w:type="dxa"/>
            <w:noWrap/>
          </w:tcPr>
          <w:p w14:paraId="109A6E52" w14:textId="178D7DA8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</w:tcPr>
          <w:p w14:paraId="0F86F5BE" w14:textId="2A1A4B3B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260" w:type="dxa"/>
            <w:noWrap/>
          </w:tcPr>
          <w:p w14:paraId="478E251B" w14:textId="4DC4EEEC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</w:tcPr>
          <w:p w14:paraId="333267A8" w14:textId="170EC16F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7D72AF" w:rsidRPr="00F930C3" w14:paraId="6DE516EE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</w:tcPr>
          <w:p w14:paraId="5E9D0864" w14:textId="153B8C13" w:rsidR="007D72AF" w:rsidRPr="00F930C3" w:rsidRDefault="007D72AF" w:rsidP="007D72AF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Industrias de Tecnologías Aplicadas de Refrigeración y Conservación, SL (INTARCON)</w:t>
            </w:r>
          </w:p>
        </w:tc>
        <w:tc>
          <w:tcPr>
            <w:tcW w:w="1187" w:type="dxa"/>
            <w:noWrap/>
          </w:tcPr>
          <w:p w14:paraId="4957BADF" w14:textId="28796648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14,3</w:t>
            </w:r>
          </w:p>
        </w:tc>
        <w:tc>
          <w:tcPr>
            <w:tcW w:w="1667" w:type="dxa"/>
            <w:noWrap/>
          </w:tcPr>
          <w:p w14:paraId="45A8CEFC" w14:textId="5455A688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</w:tcPr>
          <w:p w14:paraId="78196871" w14:textId="74E28918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260" w:type="dxa"/>
            <w:noWrap/>
          </w:tcPr>
          <w:p w14:paraId="01C8C186" w14:textId="31B247D2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-53,8%</w:t>
            </w:r>
          </w:p>
        </w:tc>
        <w:tc>
          <w:tcPr>
            <w:tcW w:w="1562" w:type="dxa"/>
            <w:noWrap/>
          </w:tcPr>
          <w:p w14:paraId="0DB4D892" w14:textId="1F79FE8F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</w:t>
            </w:r>
          </w:p>
        </w:tc>
      </w:tr>
      <w:tr w:rsidR="007D72AF" w:rsidRPr="00F930C3" w14:paraId="0974D1DA" w14:textId="77777777" w:rsidTr="0039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69EB28AA" w14:textId="77777777" w:rsidR="007D72AF" w:rsidRPr="00F930C3" w:rsidRDefault="007D72AF" w:rsidP="007D72AF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SAMPOL Ingeniería y obras</w:t>
            </w:r>
          </w:p>
        </w:tc>
        <w:tc>
          <w:tcPr>
            <w:tcW w:w="1187" w:type="dxa"/>
            <w:noWrap/>
            <w:hideMark/>
          </w:tcPr>
          <w:p w14:paraId="7D83E03D" w14:textId="77777777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667" w:type="dxa"/>
            <w:noWrap/>
            <w:hideMark/>
          </w:tcPr>
          <w:p w14:paraId="473E863C" w14:textId="77777777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44B09239" w14:textId="77777777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260" w:type="dxa"/>
            <w:noWrap/>
            <w:hideMark/>
          </w:tcPr>
          <w:p w14:paraId="44E67A29" w14:textId="77777777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562" w:type="dxa"/>
            <w:noWrap/>
            <w:hideMark/>
          </w:tcPr>
          <w:p w14:paraId="58E94E7C" w14:textId="77777777" w:rsidR="007D72AF" w:rsidRPr="00F930C3" w:rsidRDefault="007D72AF" w:rsidP="007D72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7D72AF" w:rsidRPr="00F930C3" w14:paraId="150691A6" w14:textId="77777777" w:rsidTr="003967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noWrap/>
            <w:hideMark/>
          </w:tcPr>
          <w:p w14:paraId="64A852EE" w14:textId="77777777" w:rsidR="007D72AF" w:rsidRPr="00F930C3" w:rsidRDefault="007D72AF" w:rsidP="007D72AF">
            <w:pPr>
              <w:jc w:val="lef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Smurfit Kappa Nervión</w:t>
            </w:r>
          </w:p>
        </w:tc>
        <w:tc>
          <w:tcPr>
            <w:tcW w:w="1187" w:type="dxa"/>
            <w:noWrap/>
            <w:hideMark/>
          </w:tcPr>
          <w:p w14:paraId="28826AD9" w14:textId="77777777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27,5</w:t>
            </w:r>
          </w:p>
        </w:tc>
        <w:tc>
          <w:tcPr>
            <w:tcW w:w="1667" w:type="dxa"/>
            <w:noWrap/>
            <w:hideMark/>
          </w:tcPr>
          <w:p w14:paraId="2E49E05F" w14:textId="77777777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0,0%</w:t>
            </w:r>
          </w:p>
        </w:tc>
        <w:tc>
          <w:tcPr>
            <w:tcW w:w="1334" w:type="dxa"/>
            <w:noWrap/>
            <w:hideMark/>
          </w:tcPr>
          <w:p w14:paraId="633178AC" w14:textId="77777777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1260" w:type="dxa"/>
            <w:noWrap/>
            <w:hideMark/>
          </w:tcPr>
          <w:p w14:paraId="7BEF485B" w14:textId="77777777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-76,0%</w:t>
            </w:r>
          </w:p>
        </w:tc>
        <w:tc>
          <w:tcPr>
            <w:tcW w:w="1562" w:type="dxa"/>
            <w:noWrap/>
            <w:hideMark/>
          </w:tcPr>
          <w:p w14:paraId="25B7BE26" w14:textId="77777777" w:rsidR="007D72AF" w:rsidRPr="00F930C3" w:rsidRDefault="007D72AF" w:rsidP="007D72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</w:tbl>
    <w:p w14:paraId="149EB86D" w14:textId="77777777" w:rsidR="00AD3585" w:rsidRDefault="00AD3585" w:rsidP="00844B6A">
      <w:pPr>
        <w:pStyle w:val="Ttulo1"/>
        <w:numPr>
          <w:ilvl w:val="0"/>
          <w:numId w:val="19"/>
        </w:numPr>
        <w:rPr>
          <w:rStyle w:val="Ttulo1Car"/>
        </w:rPr>
      </w:pPr>
      <w:bookmarkStart w:id="28" w:name="_Toc214611284"/>
      <w:bookmarkEnd w:id="26"/>
      <w:bookmarkEnd w:id="27"/>
      <w:r>
        <w:rPr>
          <w:rStyle w:val="Ttulo1Car"/>
        </w:rPr>
        <w:lastRenderedPageBreak/>
        <w:t>Conclusiones.</w:t>
      </w:r>
      <w:bookmarkEnd w:id="28"/>
    </w:p>
    <w:p w14:paraId="2815FBD3" w14:textId="77777777" w:rsidR="00844B6A" w:rsidRDefault="00844B6A" w:rsidP="00844B6A"/>
    <w:p w14:paraId="6E6A9967" w14:textId="7929A52D" w:rsidR="00554679" w:rsidRDefault="00BB7FB1" w:rsidP="00844B6A">
      <w:pPr>
        <w:rPr>
          <w:b/>
          <w:color w:val="3C8378"/>
          <w:szCs w:val="24"/>
        </w:rPr>
      </w:pPr>
      <w:r w:rsidRPr="009E3C42">
        <w:rPr>
          <w:b/>
          <w:color w:val="3C8378"/>
          <w:szCs w:val="24"/>
        </w:rPr>
        <w:t>En promedio</w:t>
      </w:r>
      <w:r w:rsidR="000A3607">
        <w:rPr>
          <w:b/>
          <w:color w:val="3C8378"/>
          <w:szCs w:val="24"/>
        </w:rPr>
        <w:t>,</w:t>
      </w:r>
      <w:r w:rsidR="0060106E">
        <w:rPr>
          <w:b/>
          <w:color w:val="3C8378"/>
          <w:szCs w:val="24"/>
        </w:rPr>
        <w:t xml:space="preserve"> </w:t>
      </w:r>
      <w:r w:rsidR="00AE5A58" w:rsidRPr="009E3C42">
        <w:rPr>
          <w:b/>
          <w:color w:val="3C8378"/>
          <w:szCs w:val="24"/>
        </w:rPr>
        <w:t>lo</w:t>
      </w:r>
      <w:r w:rsidR="00AE5A58">
        <w:rPr>
          <w:b/>
          <w:color w:val="3C8378"/>
          <w:szCs w:val="24"/>
        </w:rPr>
        <w:t>s</w:t>
      </w:r>
      <w:r w:rsidR="00AE5A58" w:rsidRPr="009E3C42">
        <w:rPr>
          <w:b/>
          <w:color w:val="3C8378"/>
          <w:szCs w:val="24"/>
        </w:rPr>
        <w:t xml:space="preserve"> niveles de cumplimiento de la LTAIBG</w:t>
      </w:r>
      <w:r w:rsidR="00F930C3">
        <w:rPr>
          <w:b/>
          <w:color w:val="3C8378"/>
          <w:szCs w:val="24"/>
        </w:rPr>
        <w:t xml:space="preserve"> </w:t>
      </w:r>
      <w:r w:rsidR="00AE5A58">
        <w:rPr>
          <w:b/>
          <w:color w:val="3C8378"/>
          <w:szCs w:val="24"/>
        </w:rPr>
        <w:t>por parte de las entidades</w:t>
      </w:r>
      <w:r w:rsidR="00AE5A58" w:rsidRPr="009E3C42">
        <w:rPr>
          <w:b/>
          <w:color w:val="3C8378"/>
          <w:szCs w:val="24"/>
        </w:rPr>
        <w:t xml:space="preserve"> seleccionadas para una tercera evaluación en 202</w:t>
      </w:r>
      <w:r w:rsidR="00F930C3">
        <w:rPr>
          <w:b/>
          <w:color w:val="3C8378"/>
          <w:szCs w:val="24"/>
        </w:rPr>
        <w:t xml:space="preserve">5 </w:t>
      </w:r>
      <w:r w:rsidR="00AE5A58" w:rsidRPr="009E3C42">
        <w:rPr>
          <w:b/>
          <w:color w:val="3C8378"/>
          <w:szCs w:val="24"/>
        </w:rPr>
        <w:t>se situaban</w:t>
      </w:r>
      <w:r w:rsidRPr="009E3C42">
        <w:rPr>
          <w:b/>
          <w:color w:val="3C8378"/>
          <w:szCs w:val="24"/>
        </w:rPr>
        <w:t xml:space="preserve"> en el </w:t>
      </w:r>
      <w:r w:rsidR="007D0751">
        <w:rPr>
          <w:b/>
          <w:color w:val="3C8378"/>
          <w:szCs w:val="24"/>
        </w:rPr>
        <w:t>42,3</w:t>
      </w:r>
      <w:r w:rsidRPr="009E3C42">
        <w:rPr>
          <w:b/>
          <w:color w:val="3C8378"/>
          <w:szCs w:val="24"/>
        </w:rPr>
        <w:t xml:space="preserve">%. </w:t>
      </w:r>
      <w:r w:rsidR="001060D5" w:rsidRPr="009E3C42">
        <w:rPr>
          <w:b/>
          <w:color w:val="3C8378"/>
          <w:szCs w:val="24"/>
        </w:rPr>
        <w:t>Estos Índices de Cumplimiento presenta</w:t>
      </w:r>
      <w:r w:rsidR="005365BE">
        <w:rPr>
          <w:b/>
          <w:color w:val="3C8378"/>
          <w:szCs w:val="24"/>
        </w:rPr>
        <w:t>ba</w:t>
      </w:r>
      <w:r w:rsidR="001060D5" w:rsidRPr="009E3C42">
        <w:rPr>
          <w:b/>
          <w:color w:val="3C8378"/>
          <w:szCs w:val="24"/>
        </w:rPr>
        <w:t xml:space="preserve">n variabilidad según la tipología de sujeto obligado establecida en los artículos 2 y 3 </w:t>
      </w:r>
      <w:r w:rsidR="009E3C42" w:rsidRPr="009E3C42">
        <w:rPr>
          <w:b/>
          <w:color w:val="3C8378"/>
          <w:szCs w:val="24"/>
        </w:rPr>
        <w:t>de</w:t>
      </w:r>
      <w:r w:rsidR="001060D5" w:rsidRPr="009E3C42">
        <w:rPr>
          <w:b/>
          <w:color w:val="3C8378"/>
          <w:szCs w:val="24"/>
        </w:rPr>
        <w:t xml:space="preserve"> la LTAIBG.</w:t>
      </w:r>
    </w:p>
    <w:p w14:paraId="0A8BF6C3" w14:textId="4E4B9062" w:rsidR="009E3C42" w:rsidRDefault="009E3C42" w:rsidP="00844B6A">
      <w:pPr>
        <w:rPr>
          <w:bCs/>
          <w:szCs w:val="24"/>
        </w:rPr>
      </w:pPr>
      <w:r>
        <w:rPr>
          <w:bCs/>
          <w:szCs w:val="24"/>
        </w:rPr>
        <w:t xml:space="preserve">Mientras </w:t>
      </w:r>
      <w:r w:rsidR="000A3607">
        <w:rPr>
          <w:bCs/>
          <w:szCs w:val="24"/>
        </w:rPr>
        <w:t xml:space="preserve">que </w:t>
      </w:r>
      <w:r>
        <w:rPr>
          <w:bCs/>
          <w:szCs w:val="24"/>
        </w:rPr>
        <w:t xml:space="preserve">entre </w:t>
      </w:r>
      <w:r w:rsidR="00C435E6">
        <w:rPr>
          <w:bCs/>
          <w:szCs w:val="24"/>
        </w:rPr>
        <w:t xml:space="preserve">las entidades integrantes </w:t>
      </w:r>
      <w:r w:rsidR="00045A16">
        <w:rPr>
          <w:bCs/>
          <w:szCs w:val="24"/>
        </w:rPr>
        <w:t xml:space="preserve">del Sector Público Institucional el grado de cumplimiento de la Ley </w:t>
      </w:r>
      <w:r w:rsidR="007D0751">
        <w:rPr>
          <w:bCs/>
          <w:szCs w:val="24"/>
        </w:rPr>
        <w:t xml:space="preserve">se situaba en el </w:t>
      </w:r>
      <w:r w:rsidR="008D0A4B">
        <w:rPr>
          <w:bCs/>
          <w:szCs w:val="24"/>
        </w:rPr>
        <w:t>45,7%</w:t>
      </w:r>
      <w:r w:rsidR="005365BE">
        <w:rPr>
          <w:bCs/>
          <w:szCs w:val="24"/>
        </w:rPr>
        <w:t xml:space="preserve">, entre </w:t>
      </w:r>
      <w:r w:rsidR="008F111A">
        <w:rPr>
          <w:bCs/>
          <w:szCs w:val="24"/>
        </w:rPr>
        <w:t>las entidades privadas perceptoras d</w:t>
      </w:r>
      <w:r w:rsidR="008D0A4B">
        <w:rPr>
          <w:bCs/>
          <w:szCs w:val="24"/>
        </w:rPr>
        <w:t>e subvenciones y ayudas pública</w:t>
      </w:r>
      <w:r w:rsidR="00AA50BF">
        <w:rPr>
          <w:bCs/>
          <w:szCs w:val="24"/>
        </w:rPr>
        <w:t>s</w:t>
      </w:r>
      <w:r w:rsidR="0060106E" w:rsidRPr="0060106E">
        <w:rPr>
          <w:bCs/>
          <w:szCs w:val="24"/>
        </w:rPr>
        <w:t xml:space="preserve"> </w:t>
      </w:r>
      <w:r w:rsidR="0060106E">
        <w:rPr>
          <w:bCs/>
          <w:szCs w:val="24"/>
        </w:rPr>
        <w:t xml:space="preserve">era </w:t>
      </w:r>
      <w:proofErr w:type="spellStart"/>
      <w:r w:rsidR="0060106E">
        <w:rPr>
          <w:bCs/>
          <w:szCs w:val="24"/>
        </w:rPr>
        <w:t>aun</w:t>
      </w:r>
      <w:proofErr w:type="spellEnd"/>
      <w:r w:rsidR="0060106E">
        <w:rPr>
          <w:bCs/>
          <w:szCs w:val="24"/>
        </w:rPr>
        <w:t xml:space="preserve"> menor</w:t>
      </w:r>
      <w:r w:rsidR="008D0A4B">
        <w:rPr>
          <w:bCs/>
          <w:szCs w:val="24"/>
        </w:rPr>
        <w:t xml:space="preserve">: el </w:t>
      </w:r>
      <w:r w:rsidR="00C2343E">
        <w:rPr>
          <w:bCs/>
          <w:szCs w:val="24"/>
        </w:rPr>
        <w:t>35,8</w:t>
      </w:r>
      <w:r w:rsidR="008D0A4B">
        <w:rPr>
          <w:bCs/>
          <w:szCs w:val="24"/>
        </w:rPr>
        <w:t>%</w:t>
      </w:r>
      <w:r w:rsidR="008F111A">
        <w:rPr>
          <w:bCs/>
          <w:szCs w:val="24"/>
        </w:rPr>
        <w:t>.</w:t>
      </w:r>
    </w:p>
    <w:p w14:paraId="36865182" w14:textId="0128269D" w:rsidR="00165721" w:rsidRDefault="00165721" w:rsidP="00844B6A">
      <w:pPr>
        <w:rPr>
          <w:b/>
          <w:color w:val="3C8378"/>
          <w:szCs w:val="24"/>
        </w:rPr>
      </w:pPr>
      <w:r w:rsidRPr="00AC1E77">
        <w:rPr>
          <w:b/>
          <w:color w:val="3C8378"/>
          <w:szCs w:val="24"/>
        </w:rPr>
        <w:t xml:space="preserve">Para la subsanación de estos incumplimientos, se efectuaron un total de </w:t>
      </w:r>
      <w:r w:rsidR="008D0A4B">
        <w:rPr>
          <w:b/>
          <w:color w:val="3C8378"/>
          <w:szCs w:val="24"/>
        </w:rPr>
        <w:t>992</w:t>
      </w:r>
      <w:r w:rsidRPr="00AC1E77">
        <w:rPr>
          <w:b/>
          <w:color w:val="3C8378"/>
          <w:szCs w:val="24"/>
        </w:rPr>
        <w:t xml:space="preserve"> recomendaciones dirigidas a lograr el pleno cumplimiento de la Ley por parte de estas entidades. Sin embargo, el grado de aplicación de estas recomendaciones </w:t>
      </w:r>
      <w:r w:rsidR="00AC1E77" w:rsidRPr="00AC1E77">
        <w:rPr>
          <w:b/>
          <w:color w:val="3C8378"/>
          <w:szCs w:val="24"/>
        </w:rPr>
        <w:t xml:space="preserve">puede considerarse muy insuficiente, dado que </w:t>
      </w:r>
      <w:r w:rsidR="00FD00ED">
        <w:rPr>
          <w:b/>
          <w:color w:val="3C8378"/>
          <w:szCs w:val="24"/>
        </w:rPr>
        <w:t>solo</w:t>
      </w:r>
      <w:r w:rsidR="00AC1E77" w:rsidRPr="00AC1E77">
        <w:rPr>
          <w:b/>
          <w:color w:val="3C8378"/>
          <w:szCs w:val="24"/>
        </w:rPr>
        <w:t xml:space="preserve"> se </w:t>
      </w:r>
      <w:r w:rsidR="00AA50BF">
        <w:rPr>
          <w:b/>
          <w:color w:val="3C8378"/>
          <w:szCs w:val="24"/>
        </w:rPr>
        <w:t xml:space="preserve">ha </w:t>
      </w:r>
      <w:r w:rsidR="00BA40B5">
        <w:rPr>
          <w:b/>
          <w:color w:val="3C8378"/>
          <w:szCs w:val="24"/>
        </w:rPr>
        <w:t>implement</w:t>
      </w:r>
      <w:r w:rsidR="00AA50BF">
        <w:rPr>
          <w:b/>
          <w:color w:val="3C8378"/>
          <w:szCs w:val="24"/>
        </w:rPr>
        <w:t>ado</w:t>
      </w:r>
      <w:r w:rsidR="00AC1E77" w:rsidRPr="00AC1E77">
        <w:rPr>
          <w:b/>
          <w:color w:val="3C8378"/>
          <w:szCs w:val="24"/>
        </w:rPr>
        <w:t xml:space="preserve"> el 2</w:t>
      </w:r>
      <w:r w:rsidR="008D0A4B">
        <w:rPr>
          <w:b/>
          <w:color w:val="3C8378"/>
          <w:szCs w:val="24"/>
        </w:rPr>
        <w:t>4</w:t>
      </w:r>
      <w:r w:rsidR="00AC1E77" w:rsidRPr="00AC1E77">
        <w:rPr>
          <w:b/>
          <w:color w:val="3C8378"/>
          <w:szCs w:val="24"/>
        </w:rPr>
        <w:t xml:space="preserve">% de ellas. </w:t>
      </w:r>
    </w:p>
    <w:p w14:paraId="59F1CAAE" w14:textId="3C1236F0" w:rsidR="00DB1884" w:rsidRDefault="00FD00ED" w:rsidP="005646C1">
      <w:r>
        <w:t>Solo</w:t>
      </w:r>
      <w:r w:rsidR="005646C1" w:rsidRPr="00E60962">
        <w:t xml:space="preserve"> </w:t>
      </w:r>
      <w:r w:rsidR="008D0A4B">
        <w:t>2</w:t>
      </w:r>
      <w:r w:rsidR="005646C1" w:rsidRPr="00E60962">
        <w:t xml:space="preserve"> de las </w:t>
      </w:r>
      <w:r w:rsidR="008D0A4B">
        <w:t>77</w:t>
      </w:r>
      <w:r w:rsidR="005646C1" w:rsidRPr="00E60962">
        <w:t xml:space="preserve"> entidades aplicaron la totalidad de las recomendaciones realizadas, mientras </w:t>
      </w:r>
      <w:r w:rsidR="00475CDF" w:rsidRPr="00E60962">
        <w:t>que 3</w:t>
      </w:r>
      <w:r w:rsidR="008D0A4B">
        <w:t>0</w:t>
      </w:r>
      <w:r w:rsidR="00AA50BF">
        <w:t>, un 38,96%,</w:t>
      </w:r>
      <w:r w:rsidR="00475CDF" w:rsidRPr="00E60962">
        <w:t xml:space="preserve"> no aplicaron ninguna.</w:t>
      </w:r>
      <w:r w:rsidR="009D2E18" w:rsidRPr="00E60962">
        <w:t xml:space="preserve"> También en este caso</w:t>
      </w:r>
      <w:r w:rsidR="00C2343E">
        <w:t>,</w:t>
      </w:r>
      <w:r w:rsidR="009D2E18" w:rsidRPr="00E60962">
        <w:t xml:space="preserve"> se observan diferencias según tipología de sujeto obligado. Aplicaron el 100% de las recomendaciones </w:t>
      </w:r>
      <w:r w:rsidR="00DB1884" w:rsidRPr="00E60962">
        <w:t>dos</w:t>
      </w:r>
      <w:r w:rsidR="008D0A4B">
        <w:t xml:space="preserve"> </w:t>
      </w:r>
      <w:r w:rsidR="00DB1884" w:rsidRPr="00E60962">
        <w:t xml:space="preserve">entidades del </w:t>
      </w:r>
      <w:r w:rsidR="007C457B" w:rsidRPr="00E60962">
        <w:t>S</w:t>
      </w:r>
      <w:r w:rsidR="00DB1884" w:rsidRPr="00E60962">
        <w:t xml:space="preserve">ector </w:t>
      </w:r>
      <w:r w:rsidR="007C457B" w:rsidRPr="00E60962">
        <w:t>P</w:t>
      </w:r>
      <w:r w:rsidR="00DB1884" w:rsidRPr="00E60962">
        <w:t xml:space="preserve">úblico </w:t>
      </w:r>
      <w:r w:rsidR="007C457B" w:rsidRPr="00E60962">
        <w:t>I</w:t>
      </w:r>
      <w:r w:rsidR="00DB1884" w:rsidRPr="00E60962">
        <w:t>nstitucional</w:t>
      </w:r>
      <w:r w:rsidR="00DB1884">
        <w:t>.</w:t>
      </w:r>
    </w:p>
    <w:p w14:paraId="2BF968FA" w14:textId="7D85F9E4" w:rsidR="00DB1884" w:rsidRDefault="00DB1884" w:rsidP="005646C1">
      <w:r>
        <w:t xml:space="preserve">En la posición contraria, </w:t>
      </w:r>
      <w:r w:rsidR="00AA50BF">
        <w:t xml:space="preserve">con </w:t>
      </w:r>
      <w:r>
        <w:t xml:space="preserve">ninguna recomendación aplicada, se localiza </w:t>
      </w:r>
      <w:r w:rsidR="007C457B">
        <w:t xml:space="preserve">el </w:t>
      </w:r>
      <w:r w:rsidR="001F6BA4">
        <w:t>20,8</w:t>
      </w:r>
      <w:r w:rsidR="007C457B">
        <w:t>% de las entidades del Sector Público Institucional</w:t>
      </w:r>
      <w:r w:rsidR="00D5760F">
        <w:t xml:space="preserve"> y el </w:t>
      </w:r>
      <w:r w:rsidR="001F6BA4">
        <w:t>79,2</w:t>
      </w:r>
      <w:r w:rsidR="00D5760F">
        <w:t>% de las entidades perceptoras de subvenciones y ayudas públicas.</w:t>
      </w:r>
    </w:p>
    <w:p w14:paraId="1A3D0AA6" w14:textId="13FEA5F3" w:rsidR="00D5760F" w:rsidRDefault="00D5760F" w:rsidP="005646C1">
      <w:pPr>
        <w:rPr>
          <w:b/>
          <w:color w:val="3C8378"/>
          <w:szCs w:val="24"/>
        </w:rPr>
      </w:pPr>
      <w:r w:rsidRPr="00B21BD7">
        <w:rPr>
          <w:b/>
          <w:color w:val="3C8378"/>
          <w:szCs w:val="24"/>
        </w:rPr>
        <w:t>Esta falta de aplicación de las recomendaciones realizadas se tradujo</w:t>
      </w:r>
      <w:r w:rsidR="00B21BD7">
        <w:rPr>
          <w:b/>
          <w:color w:val="3C8378"/>
          <w:szCs w:val="24"/>
        </w:rPr>
        <w:t>,</w:t>
      </w:r>
      <w:r w:rsidR="005051FB" w:rsidRPr="00B21BD7">
        <w:rPr>
          <w:b/>
          <w:color w:val="3C8378"/>
          <w:szCs w:val="24"/>
        </w:rPr>
        <w:t xml:space="preserve"> tras la tercera evaluación realizada en 202</w:t>
      </w:r>
      <w:r w:rsidR="00C2343E">
        <w:rPr>
          <w:b/>
          <w:color w:val="3C8378"/>
          <w:szCs w:val="24"/>
        </w:rPr>
        <w:t>5</w:t>
      </w:r>
      <w:r w:rsidR="005051FB" w:rsidRPr="00B21BD7">
        <w:rPr>
          <w:b/>
          <w:color w:val="3C8378"/>
          <w:szCs w:val="24"/>
        </w:rPr>
        <w:t>,</w:t>
      </w:r>
      <w:r w:rsidRPr="00B21BD7">
        <w:rPr>
          <w:b/>
          <w:color w:val="3C8378"/>
          <w:szCs w:val="24"/>
        </w:rPr>
        <w:t xml:space="preserve"> en un escaso incremento de </w:t>
      </w:r>
      <w:r w:rsidR="005051FB" w:rsidRPr="00B21BD7">
        <w:rPr>
          <w:b/>
          <w:color w:val="3C8378"/>
          <w:szCs w:val="24"/>
        </w:rPr>
        <w:t xml:space="preserve">los </w:t>
      </w:r>
      <w:r w:rsidR="00AA50BF">
        <w:rPr>
          <w:b/>
          <w:color w:val="3C8378"/>
          <w:szCs w:val="24"/>
        </w:rPr>
        <w:t>í</w:t>
      </w:r>
      <w:r w:rsidR="005051FB" w:rsidRPr="00B21BD7">
        <w:rPr>
          <w:b/>
          <w:color w:val="3C8378"/>
          <w:szCs w:val="24"/>
        </w:rPr>
        <w:t xml:space="preserve">ndices de </w:t>
      </w:r>
      <w:r w:rsidR="00AA50BF">
        <w:rPr>
          <w:b/>
          <w:color w:val="3C8378"/>
          <w:szCs w:val="24"/>
        </w:rPr>
        <w:t>c</w:t>
      </w:r>
      <w:r w:rsidR="005051FB" w:rsidRPr="00B21BD7">
        <w:rPr>
          <w:b/>
          <w:color w:val="3C8378"/>
          <w:szCs w:val="24"/>
        </w:rPr>
        <w:t xml:space="preserve">umplimiento de estas entidades. En promedio </w:t>
      </w:r>
      <w:r w:rsidR="005964CB" w:rsidRPr="00B21BD7">
        <w:rPr>
          <w:b/>
          <w:color w:val="3C8378"/>
          <w:szCs w:val="24"/>
        </w:rPr>
        <w:t>aumentaron</w:t>
      </w:r>
      <w:r w:rsidR="005051FB" w:rsidRPr="00B21BD7">
        <w:rPr>
          <w:b/>
          <w:color w:val="3C8378"/>
          <w:szCs w:val="24"/>
        </w:rPr>
        <w:t xml:space="preserve"> el </w:t>
      </w:r>
      <w:r w:rsidR="001F6BA4">
        <w:rPr>
          <w:b/>
          <w:color w:val="3C8378"/>
          <w:szCs w:val="24"/>
        </w:rPr>
        <w:t>18,2</w:t>
      </w:r>
      <w:r w:rsidR="005964CB" w:rsidRPr="00B21BD7">
        <w:rPr>
          <w:b/>
          <w:color w:val="3C8378"/>
          <w:szCs w:val="24"/>
        </w:rPr>
        <w:t xml:space="preserve">%, alcanzando </w:t>
      </w:r>
      <w:r w:rsidR="00C1726E">
        <w:rPr>
          <w:b/>
          <w:color w:val="3C8378"/>
          <w:szCs w:val="24"/>
        </w:rPr>
        <w:t>un ICIO del</w:t>
      </w:r>
      <w:r w:rsidR="005964CB" w:rsidRPr="00B21BD7">
        <w:rPr>
          <w:b/>
          <w:color w:val="3C8378"/>
          <w:szCs w:val="24"/>
        </w:rPr>
        <w:t xml:space="preserve"> </w:t>
      </w:r>
      <w:r w:rsidR="001F6BA4">
        <w:rPr>
          <w:b/>
          <w:color w:val="3C8378"/>
          <w:szCs w:val="24"/>
        </w:rPr>
        <w:t>50</w:t>
      </w:r>
      <w:r w:rsidR="00B21BD7" w:rsidRPr="00B21BD7">
        <w:rPr>
          <w:b/>
          <w:color w:val="3C8378"/>
          <w:szCs w:val="24"/>
        </w:rPr>
        <w:t>%.</w:t>
      </w:r>
    </w:p>
    <w:p w14:paraId="32CE5540" w14:textId="11205B88" w:rsidR="00B21BD7" w:rsidRDefault="00FD00ED" w:rsidP="005646C1">
      <w:pPr>
        <w:rPr>
          <w:bCs/>
          <w:szCs w:val="24"/>
        </w:rPr>
      </w:pPr>
      <w:bookmarkStart w:id="29" w:name="_Hlk214966803"/>
      <w:r>
        <w:rPr>
          <w:bCs/>
          <w:szCs w:val="24"/>
        </w:rPr>
        <w:t>Solo</w:t>
      </w:r>
      <w:r w:rsidR="00EC77A0" w:rsidRPr="00EC77A0">
        <w:rPr>
          <w:bCs/>
          <w:szCs w:val="24"/>
        </w:rPr>
        <w:t xml:space="preserve"> </w:t>
      </w:r>
      <w:r w:rsidR="001F6BA4">
        <w:rPr>
          <w:bCs/>
          <w:szCs w:val="24"/>
        </w:rPr>
        <w:t>3</w:t>
      </w:r>
      <w:r w:rsidR="00EC77A0" w:rsidRPr="00EC77A0">
        <w:rPr>
          <w:bCs/>
          <w:szCs w:val="24"/>
        </w:rPr>
        <w:t xml:space="preserve"> entidades lograron el pleno cumplimiento de la Ley</w:t>
      </w:r>
      <w:r w:rsidR="00EC77A0">
        <w:rPr>
          <w:bCs/>
          <w:szCs w:val="24"/>
        </w:rPr>
        <w:t xml:space="preserve">: </w:t>
      </w:r>
      <w:r w:rsidR="001F6BA4">
        <w:rPr>
          <w:bCs/>
          <w:szCs w:val="24"/>
        </w:rPr>
        <w:t>el Consejo Supe</w:t>
      </w:r>
      <w:r w:rsidR="00266F5F">
        <w:rPr>
          <w:bCs/>
          <w:szCs w:val="24"/>
        </w:rPr>
        <w:t>r</w:t>
      </w:r>
      <w:r w:rsidR="001F6BA4">
        <w:rPr>
          <w:bCs/>
          <w:szCs w:val="24"/>
        </w:rPr>
        <w:t xml:space="preserve">ior de Investigaciones Científicas, la </w:t>
      </w:r>
      <w:r w:rsidR="00C2343E">
        <w:rPr>
          <w:bCs/>
          <w:szCs w:val="24"/>
        </w:rPr>
        <w:t>C</w:t>
      </w:r>
      <w:r w:rsidR="001F6BA4">
        <w:rPr>
          <w:bCs/>
          <w:szCs w:val="24"/>
        </w:rPr>
        <w:t>onfederación Hidrográfica del Tajo y la Autoridad Portuaria de Barcelona</w:t>
      </w:r>
      <w:r w:rsidR="007469D6">
        <w:rPr>
          <w:bCs/>
          <w:szCs w:val="24"/>
        </w:rPr>
        <w:t xml:space="preserve">. </w:t>
      </w:r>
      <w:r>
        <w:rPr>
          <w:bCs/>
          <w:szCs w:val="24"/>
        </w:rPr>
        <w:t>Solo</w:t>
      </w:r>
      <w:r w:rsidR="007469D6">
        <w:rPr>
          <w:bCs/>
          <w:szCs w:val="24"/>
        </w:rPr>
        <w:t xml:space="preserve"> </w:t>
      </w:r>
      <w:r w:rsidR="001F6BA4">
        <w:rPr>
          <w:bCs/>
          <w:szCs w:val="24"/>
        </w:rPr>
        <w:t xml:space="preserve">13 </w:t>
      </w:r>
      <w:r w:rsidR="007469D6">
        <w:rPr>
          <w:bCs/>
          <w:szCs w:val="24"/>
        </w:rPr>
        <w:t xml:space="preserve">entidades se situaron por encima de los niveles de cumplimiento </w:t>
      </w:r>
      <w:r w:rsidR="005A7FB7">
        <w:rPr>
          <w:bCs/>
          <w:szCs w:val="24"/>
        </w:rPr>
        <w:t>establecidos</w:t>
      </w:r>
      <w:r w:rsidR="00BA40B5">
        <w:rPr>
          <w:rStyle w:val="Refdenotaalpie"/>
          <w:bCs/>
          <w:szCs w:val="24"/>
        </w:rPr>
        <w:footnoteReference w:id="5"/>
      </w:r>
      <w:r w:rsidR="005A7FB7">
        <w:rPr>
          <w:bCs/>
          <w:szCs w:val="24"/>
        </w:rPr>
        <w:t xml:space="preserve"> para su selección como entidades candidatas a una tercera evaluación de cumplimiento. </w:t>
      </w:r>
    </w:p>
    <w:p w14:paraId="30A95503" w14:textId="386644F4" w:rsidR="005039E1" w:rsidRDefault="005039E1" w:rsidP="005646C1">
      <w:pPr>
        <w:rPr>
          <w:bCs/>
          <w:szCs w:val="24"/>
        </w:rPr>
      </w:pPr>
      <w:r>
        <w:rPr>
          <w:bCs/>
          <w:szCs w:val="24"/>
        </w:rPr>
        <w:t xml:space="preserve">Por otra parte, </w:t>
      </w:r>
      <w:r w:rsidR="00867063">
        <w:rPr>
          <w:bCs/>
          <w:szCs w:val="24"/>
        </w:rPr>
        <w:t>19</w:t>
      </w:r>
      <w:r>
        <w:rPr>
          <w:bCs/>
          <w:szCs w:val="24"/>
        </w:rPr>
        <w:t xml:space="preserve"> entidades evolucionaron negativamente, obteniendo un ICIO inferior al alcanzado en la segunda evaluación</w:t>
      </w:r>
      <w:r w:rsidR="00D51551">
        <w:rPr>
          <w:bCs/>
          <w:szCs w:val="24"/>
        </w:rPr>
        <w:t xml:space="preserve">, como consecuencia de la falta de </w:t>
      </w:r>
      <w:r w:rsidR="00F6465E">
        <w:rPr>
          <w:bCs/>
          <w:szCs w:val="24"/>
        </w:rPr>
        <w:t xml:space="preserve">aplicación de recomendaciones y de la existencia de incumplimientos sobrevenidos </w:t>
      </w:r>
      <w:r w:rsidR="0047200F">
        <w:rPr>
          <w:bCs/>
          <w:szCs w:val="24"/>
        </w:rPr>
        <w:t>tras esta</w:t>
      </w:r>
      <w:r w:rsidR="00F6465E">
        <w:rPr>
          <w:bCs/>
          <w:szCs w:val="24"/>
        </w:rPr>
        <w:t xml:space="preserve"> evaluación. </w:t>
      </w:r>
      <w:bookmarkEnd w:id="29"/>
      <w:r w:rsidR="0047200F">
        <w:rPr>
          <w:bCs/>
          <w:szCs w:val="24"/>
        </w:rPr>
        <w:t>Entre estas entidades, l</w:t>
      </w:r>
      <w:r w:rsidR="00D51551">
        <w:rPr>
          <w:bCs/>
          <w:szCs w:val="24"/>
        </w:rPr>
        <w:t xml:space="preserve">a disminución promedio </w:t>
      </w:r>
      <w:r w:rsidR="0047200F">
        <w:rPr>
          <w:bCs/>
          <w:szCs w:val="24"/>
        </w:rPr>
        <w:t xml:space="preserve">en los </w:t>
      </w:r>
      <w:r w:rsidR="00266F5F">
        <w:rPr>
          <w:bCs/>
          <w:szCs w:val="24"/>
        </w:rPr>
        <w:t>í</w:t>
      </w:r>
      <w:r w:rsidR="0047200F">
        <w:rPr>
          <w:bCs/>
          <w:szCs w:val="24"/>
        </w:rPr>
        <w:t xml:space="preserve">ndices de </w:t>
      </w:r>
      <w:r w:rsidR="00266F5F">
        <w:rPr>
          <w:bCs/>
          <w:szCs w:val="24"/>
        </w:rPr>
        <w:t>c</w:t>
      </w:r>
      <w:r w:rsidR="0047200F">
        <w:rPr>
          <w:bCs/>
          <w:szCs w:val="24"/>
        </w:rPr>
        <w:t xml:space="preserve">umplimiento </w:t>
      </w:r>
      <w:r w:rsidR="00D51551">
        <w:rPr>
          <w:bCs/>
          <w:szCs w:val="24"/>
        </w:rPr>
        <w:t>alcanz</w:t>
      </w:r>
      <w:r w:rsidR="00F6465E">
        <w:rPr>
          <w:bCs/>
          <w:szCs w:val="24"/>
        </w:rPr>
        <w:t>ó</w:t>
      </w:r>
      <w:r w:rsidR="00D51551">
        <w:rPr>
          <w:bCs/>
          <w:szCs w:val="24"/>
        </w:rPr>
        <w:t xml:space="preserve"> el 2</w:t>
      </w:r>
      <w:r w:rsidR="004C1204">
        <w:rPr>
          <w:bCs/>
          <w:szCs w:val="24"/>
        </w:rPr>
        <w:t>4</w:t>
      </w:r>
      <w:r w:rsidR="00D51551">
        <w:rPr>
          <w:bCs/>
          <w:szCs w:val="24"/>
        </w:rPr>
        <w:t xml:space="preserve">,6%. </w:t>
      </w:r>
      <w:r w:rsidR="0047200F">
        <w:rPr>
          <w:bCs/>
          <w:szCs w:val="24"/>
        </w:rPr>
        <w:t>E</w:t>
      </w:r>
      <w:r w:rsidR="00D51551">
        <w:rPr>
          <w:bCs/>
          <w:szCs w:val="24"/>
        </w:rPr>
        <w:t xml:space="preserve">l </w:t>
      </w:r>
      <w:r w:rsidR="00867063">
        <w:rPr>
          <w:bCs/>
          <w:szCs w:val="24"/>
        </w:rPr>
        <w:t>26,4</w:t>
      </w:r>
      <w:r w:rsidR="00BA40B5">
        <w:rPr>
          <w:bCs/>
          <w:szCs w:val="24"/>
        </w:rPr>
        <w:t>% de</w:t>
      </w:r>
      <w:r w:rsidR="00F6465E">
        <w:rPr>
          <w:bCs/>
          <w:szCs w:val="24"/>
        </w:rPr>
        <w:t xml:space="preserve"> las entidades de</w:t>
      </w:r>
      <w:r w:rsidR="004C1204">
        <w:rPr>
          <w:bCs/>
          <w:szCs w:val="24"/>
        </w:rPr>
        <w:t xml:space="preserve">l Sector Público Institucional </w:t>
      </w:r>
      <w:r w:rsidR="00F6465E">
        <w:rPr>
          <w:bCs/>
          <w:szCs w:val="24"/>
        </w:rPr>
        <w:t xml:space="preserve">y el </w:t>
      </w:r>
      <w:r w:rsidR="004C1204">
        <w:rPr>
          <w:bCs/>
          <w:szCs w:val="24"/>
        </w:rPr>
        <w:t>20,8</w:t>
      </w:r>
      <w:r w:rsidR="00F6465E">
        <w:rPr>
          <w:bCs/>
          <w:szCs w:val="24"/>
        </w:rPr>
        <w:t>% de las entidades perceptoras de subvenciones y ayudas públicas</w:t>
      </w:r>
      <w:r w:rsidR="0047200F">
        <w:rPr>
          <w:bCs/>
          <w:szCs w:val="24"/>
        </w:rPr>
        <w:t xml:space="preserve"> se localizan en el </w:t>
      </w:r>
      <w:r w:rsidR="00D4486A">
        <w:rPr>
          <w:bCs/>
          <w:szCs w:val="24"/>
        </w:rPr>
        <w:t xml:space="preserve">grupo </w:t>
      </w:r>
      <w:r w:rsidR="0047200F">
        <w:rPr>
          <w:bCs/>
          <w:szCs w:val="24"/>
        </w:rPr>
        <w:t xml:space="preserve">de </w:t>
      </w:r>
      <w:r w:rsidR="0047200F">
        <w:rPr>
          <w:bCs/>
          <w:szCs w:val="24"/>
        </w:rPr>
        <w:lastRenderedPageBreak/>
        <w:t xml:space="preserve">entidades que presentan una evolución negativa </w:t>
      </w:r>
      <w:r w:rsidR="00D4486A">
        <w:rPr>
          <w:bCs/>
          <w:szCs w:val="24"/>
        </w:rPr>
        <w:t>entre la segunda y tercera evaluación realizadas.</w:t>
      </w:r>
    </w:p>
    <w:p w14:paraId="6B2F28FB" w14:textId="77777777" w:rsidR="000C2106" w:rsidRDefault="00943515" w:rsidP="00844B6A">
      <w:pPr>
        <w:rPr>
          <w:b/>
          <w:color w:val="3C8378"/>
          <w:szCs w:val="24"/>
        </w:rPr>
      </w:pPr>
      <w:bookmarkStart w:id="30" w:name="_Hlk214966853"/>
      <w:r w:rsidRPr="00943515">
        <w:rPr>
          <w:b/>
          <w:color w:val="3C8378"/>
          <w:szCs w:val="24"/>
        </w:rPr>
        <w:t xml:space="preserve">Lo cierto es </w:t>
      </w:r>
      <w:r w:rsidR="000C2106" w:rsidRPr="00943515">
        <w:rPr>
          <w:b/>
          <w:color w:val="3C8378"/>
          <w:szCs w:val="24"/>
        </w:rPr>
        <w:t>que,</w:t>
      </w:r>
      <w:r w:rsidRPr="00943515">
        <w:rPr>
          <w:b/>
          <w:color w:val="3C8378"/>
          <w:szCs w:val="24"/>
        </w:rPr>
        <w:t xml:space="preserve"> tras </w:t>
      </w:r>
      <w:r w:rsidR="004C1204">
        <w:rPr>
          <w:b/>
          <w:color w:val="3C8378"/>
          <w:szCs w:val="24"/>
        </w:rPr>
        <w:t>tres</w:t>
      </w:r>
      <w:r w:rsidRPr="00943515">
        <w:rPr>
          <w:b/>
          <w:color w:val="3C8378"/>
          <w:szCs w:val="24"/>
        </w:rPr>
        <w:t xml:space="preserve"> evaluaciones de cumplimiento</w:t>
      </w:r>
      <w:r>
        <w:rPr>
          <w:b/>
          <w:color w:val="3C8378"/>
          <w:szCs w:val="24"/>
        </w:rPr>
        <w:t xml:space="preserve">, todavía subsisten </w:t>
      </w:r>
      <w:r w:rsidR="004C1204">
        <w:rPr>
          <w:b/>
          <w:color w:val="3C8378"/>
          <w:szCs w:val="24"/>
        </w:rPr>
        <w:t>754</w:t>
      </w:r>
      <w:r w:rsidR="000C2106">
        <w:rPr>
          <w:b/>
          <w:color w:val="3C8378"/>
          <w:szCs w:val="24"/>
        </w:rPr>
        <w:t xml:space="preserve"> incumplimientos de la LTAIBG. </w:t>
      </w:r>
      <w:r w:rsidR="00A034F7">
        <w:rPr>
          <w:b/>
          <w:color w:val="3C8378"/>
          <w:szCs w:val="24"/>
        </w:rPr>
        <w:t xml:space="preserve">Dado que se han realizado </w:t>
      </w:r>
      <w:r w:rsidR="004C1204">
        <w:rPr>
          <w:b/>
          <w:color w:val="3C8378"/>
          <w:szCs w:val="24"/>
        </w:rPr>
        <w:t>tres</w:t>
      </w:r>
      <w:r w:rsidR="00A034F7">
        <w:rPr>
          <w:b/>
          <w:color w:val="3C8378"/>
          <w:szCs w:val="24"/>
        </w:rPr>
        <w:t xml:space="preserve"> evaluaciones y que, como resultado de estas evaluaciones, se han señalado </w:t>
      </w:r>
      <w:r w:rsidR="004C1204">
        <w:rPr>
          <w:b/>
          <w:color w:val="3C8378"/>
          <w:szCs w:val="24"/>
        </w:rPr>
        <w:t>2.283</w:t>
      </w:r>
      <w:r w:rsidR="00A034F7">
        <w:rPr>
          <w:b/>
          <w:color w:val="3C8378"/>
          <w:szCs w:val="24"/>
        </w:rPr>
        <w:t xml:space="preserve"> incumplimientos, </w:t>
      </w:r>
      <w:r w:rsidR="007B2FB2">
        <w:rPr>
          <w:b/>
          <w:color w:val="3C8378"/>
          <w:szCs w:val="24"/>
        </w:rPr>
        <w:t>no es argumentable por parte de las entidades que continúan incumpliendo la LTAIBG un hipotético desconocimiento de las obligaciones de publicidad activa que les son de aplicación y de la manera de cumplir con estas obligaciones conforme a los criterios que establece la Ley.</w:t>
      </w:r>
    </w:p>
    <w:p w14:paraId="0B441DAC" w14:textId="77777777" w:rsidR="006019E8" w:rsidRDefault="009A3624" w:rsidP="009A3624">
      <w:r>
        <w:t xml:space="preserve">Entre estas entidades se encuentran un total de </w:t>
      </w:r>
      <w:r w:rsidR="00C2343E">
        <w:t>42</w:t>
      </w:r>
      <w:r>
        <w:t xml:space="preserve"> entidades del sector público institucional estatal</w:t>
      </w:r>
      <w:r w:rsidR="000E3542">
        <w:t>, que no han alcanzado un nivel de cumplimiento superior o igual al 75%.</w:t>
      </w:r>
    </w:p>
    <w:bookmarkEnd w:id="30"/>
    <w:p w14:paraId="4F3305F5" w14:textId="77777777" w:rsidR="004903E0" w:rsidRDefault="006019E8" w:rsidP="009A3624">
      <w:r>
        <w:t>Se trata de entidades que</w:t>
      </w:r>
      <w:r w:rsidR="00397C77">
        <w:t>:</w:t>
      </w:r>
    </w:p>
    <w:p w14:paraId="737863DD" w14:textId="77777777" w:rsidR="0007016E" w:rsidRDefault="004903E0" w:rsidP="004903E0">
      <w:pPr>
        <w:pStyle w:val="Prrafodelista"/>
        <w:numPr>
          <w:ilvl w:val="0"/>
          <w:numId w:val="20"/>
        </w:numPr>
      </w:pPr>
      <w:r>
        <w:t>N</w:t>
      </w:r>
      <w:r w:rsidR="006019E8">
        <w:t xml:space="preserve">o han mejorado sus niveles de cumplimiento básicamente por la falta de </w:t>
      </w:r>
      <w:r w:rsidR="00EA0A91">
        <w:t>subsanación de los incumplimientos señalados por este Consejo</w:t>
      </w:r>
      <w:r w:rsidR="006019E8">
        <w:t xml:space="preserve"> (</w:t>
      </w:r>
      <w:r w:rsidR="00DF2683">
        <w:t xml:space="preserve">Autoridad Portuaria de Marín, Autoridad Portuaria de Santander, </w:t>
      </w:r>
      <w:r w:rsidR="00DF2683" w:rsidRPr="00DF2683">
        <w:t>Museo Nacional Centro de Arte Reina Sofía</w:t>
      </w:r>
      <w:r w:rsidR="00DF2683">
        <w:t>, Autoridad Portuaria de Almería, Confederación Hidrográfica del Segura, Casa de América</w:t>
      </w:r>
      <w:r>
        <w:t xml:space="preserve">) y que, por lo </w:t>
      </w:r>
      <w:r w:rsidR="0007016E">
        <w:t>tanto,</w:t>
      </w:r>
      <w:r>
        <w:t xml:space="preserve"> siguen presentando un elevado</w:t>
      </w:r>
      <w:r w:rsidR="004F4E56">
        <w:t xml:space="preserve"> volumen de </w:t>
      </w:r>
      <w:r w:rsidR="0007016E">
        <w:t>incumplimientos</w:t>
      </w:r>
      <w:r w:rsidR="004F4E56">
        <w:t xml:space="preserve"> de la LTAIBG</w:t>
      </w:r>
      <w:r w:rsidR="0007016E">
        <w:t>.</w:t>
      </w:r>
    </w:p>
    <w:p w14:paraId="6C9C09A5" w14:textId="191C8E13" w:rsidR="009A3624" w:rsidRDefault="0007016E" w:rsidP="004903E0">
      <w:pPr>
        <w:pStyle w:val="Prrafodelista"/>
        <w:numPr>
          <w:ilvl w:val="0"/>
          <w:numId w:val="20"/>
        </w:numPr>
      </w:pPr>
      <w:r>
        <w:t xml:space="preserve">Aunque han mejorado </w:t>
      </w:r>
      <w:r w:rsidR="00C6575C">
        <w:t>sus niveles de cumplimiento</w:t>
      </w:r>
      <w:r w:rsidR="00590034">
        <w:t>,</w:t>
      </w:r>
      <w:r w:rsidR="00C6575C">
        <w:t xml:space="preserve"> estos siguen siendo claramente insuficientes</w:t>
      </w:r>
      <w:r w:rsidR="00E356B7">
        <w:t xml:space="preserve"> (entre el </w:t>
      </w:r>
      <w:r w:rsidR="00331AD4">
        <w:t>13,3</w:t>
      </w:r>
      <w:r w:rsidR="00E356B7">
        <w:t xml:space="preserve"> y el </w:t>
      </w:r>
      <w:r w:rsidR="00331AD4">
        <w:t>67,8</w:t>
      </w:r>
      <w:r w:rsidR="00E356B7">
        <w:t>%)</w:t>
      </w:r>
      <w:r w:rsidR="00331AD4">
        <w:t xml:space="preserve"> </w:t>
      </w:r>
      <w:r w:rsidR="00C6575C">
        <w:t xml:space="preserve">y para las que se siguen observando un </w:t>
      </w:r>
      <w:r w:rsidR="00E356B7">
        <w:t>volumen</w:t>
      </w:r>
      <w:r w:rsidR="00C6575C">
        <w:t xml:space="preserve"> importante </w:t>
      </w:r>
      <w:r w:rsidR="00E356B7">
        <w:t xml:space="preserve">de incumplimientos de la LTAIBG: </w:t>
      </w:r>
      <w:r w:rsidR="00331AD4" w:rsidRPr="00331AD4">
        <w:t>Instituto Nacional de Investigaciones Agrarias</w:t>
      </w:r>
      <w:r w:rsidR="00331AD4">
        <w:t xml:space="preserve">, </w:t>
      </w:r>
      <w:r w:rsidR="00331AD4" w:rsidRPr="00331AD4">
        <w:t>Agencia de Información y Control Alimentarios</w:t>
      </w:r>
      <w:r w:rsidR="00331AD4">
        <w:t xml:space="preserve">, </w:t>
      </w:r>
      <w:r w:rsidR="00331AD4" w:rsidRPr="00331AD4">
        <w:t>Consorcio Zona Franca Gran Canaria</w:t>
      </w:r>
      <w:r w:rsidR="00331AD4">
        <w:t xml:space="preserve">, </w:t>
      </w:r>
      <w:r w:rsidR="00331AD4" w:rsidRPr="00331AD4">
        <w:t>Autoridad Portuaria Santander</w:t>
      </w:r>
      <w:r w:rsidR="00331AD4">
        <w:t xml:space="preserve">, Consorcio del Centro Universitario de la UNED en Vitoria-Gasteiz, </w:t>
      </w:r>
      <w:r w:rsidR="00331AD4" w:rsidRPr="00331AD4">
        <w:t>Biblioteca Nacional de España</w:t>
      </w:r>
      <w:r w:rsidR="00331AD4">
        <w:t xml:space="preserve">, </w:t>
      </w:r>
      <w:r w:rsidR="00331AD4" w:rsidRPr="00331AD4">
        <w:t>Autoridad Portuaria Almería</w:t>
      </w:r>
      <w:r w:rsidR="00331AD4">
        <w:t xml:space="preserve">, </w:t>
      </w:r>
      <w:r w:rsidR="00331AD4" w:rsidRPr="00331AD4">
        <w:t>Fundación Centro Nacional del Vidrio</w:t>
      </w:r>
      <w:r w:rsidR="00331AD4">
        <w:t xml:space="preserve">, </w:t>
      </w:r>
      <w:r w:rsidR="00331AD4" w:rsidRPr="00331AD4">
        <w:t>INNVIERTE Economía Sostenible</w:t>
      </w:r>
      <w:r w:rsidR="00331AD4">
        <w:t xml:space="preserve">, </w:t>
      </w:r>
      <w:proofErr w:type="spellStart"/>
      <w:r w:rsidR="00331AD4" w:rsidRPr="00331AD4">
        <w:t>Vipar</w:t>
      </w:r>
      <w:proofErr w:type="spellEnd"/>
      <w:r w:rsidR="00331AD4" w:rsidRPr="00331AD4">
        <w:t xml:space="preserve"> Parque Empresarial</w:t>
      </w:r>
      <w:r w:rsidR="003E6AE4">
        <w:t xml:space="preserve">, </w:t>
      </w:r>
      <w:r w:rsidR="003E6AE4" w:rsidRPr="003E6AE4">
        <w:t>Confederación Hidrográfica Ebro</w:t>
      </w:r>
      <w:r w:rsidR="003E6AE4">
        <w:t xml:space="preserve">, </w:t>
      </w:r>
      <w:r w:rsidR="003E6AE4" w:rsidRPr="003E6AE4">
        <w:t>Fundación UIMP Campo de Gibraltar</w:t>
      </w:r>
      <w:r w:rsidR="003E6AE4">
        <w:t xml:space="preserve">, </w:t>
      </w:r>
      <w:r w:rsidR="003E6AE4" w:rsidRPr="003E6AE4">
        <w:t xml:space="preserve">Organización Nacional de </w:t>
      </w:r>
      <w:proofErr w:type="spellStart"/>
      <w:r w:rsidR="003E6AE4" w:rsidRPr="003E6AE4">
        <w:t>Transplantes</w:t>
      </w:r>
      <w:proofErr w:type="spellEnd"/>
      <w:r w:rsidR="003E6AE4">
        <w:t xml:space="preserve">, </w:t>
      </w:r>
      <w:r w:rsidR="003E6AE4" w:rsidRPr="003E6AE4">
        <w:t>A.I. ABRA Industrial</w:t>
      </w:r>
      <w:r w:rsidR="003E6AE4">
        <w:t xml:space="preserve">, </w:t>
      </w:r>
      <w:r w:rsidR="003E6AE4" w:rsidRPr="003E6AE4">
        <w:t>Logroño Integración del Ferrocarril</w:t>
      </w:r>
      <w:r w:rsidR="003E6AE4">
        <w:t xml:space="preserve">, </w:t>
      </w:r>
      <w:r w:rsidR="003E6AE4" w:rsidRPr="003E6AE4">
        <w:t>Centro de Investigación Bioméd</w:t>
      </w:r>
      <w:r w:rsidR="00EE0B1D">
        <w:t>i</w:t>
      </w:r>
      <w:r w:rsidR="003E6AE4" w:rsidRPr="003E6AE4">
        <w:t>ca en Red</w:t>
      </w:r>
      <w:r w:rsidR="003E6AE4">
        <w:t xml:space="preserve"> y </w:t>
      </w:r>
      <w:r w:rsidR="003E6AE4" w:rsidRPr="003E6AE4">
        <w:t>MERCASA</w:t>
      </w:r>
      <w:r w:rsidR="0048420D">
        <w:t>.</w:t>
      </w:r>
    </w:p>
    <w:p w14:paraId="392B0297" w14:textId="77777777" w:rsidR="00645661" w:rsidRDefault="00397C77" w:rsidP="005034F6">
      <w:pPr>
        <w:pStyle w:val="Prrafodelista"/>
        <w:numPr>
          <w:ilvl w:val="0"/>
          <w:numId w:val="20"/>
        </w:numPr>
      </w:pPr>
      <w:r>
        <w:t xml:space="preserve">Evolucionan negativamente entre la segunda y la </w:t>
      </w:r>
      <w:r w:rsidR="00D3375F">
        <w:t>tercera</w:t>
      </w:r>
      <w:r>
        <w:t xml:space="preserve"> evaluación de cumplimiento</w:t>
      </w:r>
      <w:r w:rsidR="00590034">
        <w:t>:</w:t>
      </w:r>
      <w:r w:rsidR="00DF2683">
        <w:t xml:space="preserve"> </w:t>
      </w:r>
      <w:r w:rsidR="00D3375F">
        <w:t xml:space="preserve">Centro de Estudios Jurídicos, Trabajo Penitenciario y Formación para el Empleo, Fundación del Teatro Real, Renfe Operadora, Hipódromo de la Zarzuela, </w:t>
      </w:r>
      <w:r w:rsidR="00D3375F" w:rsidRPr="00D3375F">
        <w:t>Museo Nacional del Prado Difusión</w:t>
      </w:r>
      <w:r w:rsidR="00D3375F">
        <w:t xml:space="preserve">, </w:t>
      </w:r>
      <w:r w:rsidR="00122885">
        <w:t xml:space="preserve"> </w:t>
      </w:r>
      <w:r w:rsidR="00D3375F" w:rsidRPr="00D3375F">
        <w:t>Real Patronato de Discapacidad</w:t>
      </w:r>
      <w:r w:rsidR="00D3375F">
        <w:t xml:space="preserve">, </w:t>
      </w:r>
      <w:r w:rsidR="00867063" w:rsidRPr="00867063">
        <w:t>Sistema de Observación Costero de las Illes Balears</w:t>
      </w:r>
      <w:r w:rsidR="00867063">
        <w:t xml:space="preserve">, </w:t>
      </w:r>
      <w:r w:rsidR="00D3375F" w:rsidRPr="00D3375F">
        <w:t xml:space="preserve"> </w:t>
      </w:r>
      <w:r w:rsidR="00867063" w:rsidRPr="00867063">
        <w:t>REDALSA</w:t>
      </w:r>
      <w:r w:rsidR="00867063">
        <w:t xml:space="preserve">, Autoridad Portuaria de Ferrol, </w:t>
      </w:r>
      <w:r w:rsidR="00867063" w:rsidRPr="00867063">
        <w:t>Agencia Española de Cooperación Internacional para el Desarrollo</w:t>
      </w:r>
      <w:r w:rsidR="00867063">
        <w:t xml:space="preserve">, SECEGSA, </w:t>
      </w:r>
      <w:r w:rsidR="00867063" w:rsidRPr="00867063">
        <w:t>Comisionado para el Mercado de Tabacos</w:t>
      </w:r>
      <w:r w:rsidR="00867063">
        <w:t xml:space="preserve">, </w:t>
      </w:r>
      <w:r w:rsidR="00867063" w:rsidRPr="00867063">
        <w:t xml:space="preserve">Consorcio Zona Franca Vigo </w:t>
      </w:r>
      <w:r w:rsidR="00122885">
        <w:t>(</w:t>
      </w:r>
      <w:r w:rsidR="00867063">
        <w:t xml:space="preserve">entre </w:t>
      </w:r>
      <w:r w:rsidR="00122885">
        <w:t>-</w:t>
      </w:r>
      <w:r w:rsidR="00867063">
        <w:t>1,7 y -39,6</w:t>
      </w:r>
      <w:r w:rsidR="00122885">
        <w:t xml:space="preserve">%), </w:t>
      </w:r>
    </w:p>
    <w:p w14:paraId="420F3A3D" w14:textId="77777777" w:rsidR="00071603" w:rsidRDefault="004F4E56" w:rsidP="00645661">
      <w:bookmarkStart w:id="31" w:name="_Hlk214967044"/>
      <w:r>
        <w:t xml:space="preserve">En todos estos casos, </w:t>
      </w:r>
      <w:r w:rsidR="00CC147D">
        <w:t xml:space="preserve">y a pesar de los señalamientos efectuados por este Consejo, se sigue incumpliendo la Ley, razón por la que </w:t>
      </w:r>
      <w:r w:rsidR="0095668E">
        <w:t xml:space="preserve">puede considerarse que se trata de un </w:t>
      </w:r>
      <w:r w:rsidR="0095668E">
        <w:lastRenderedPageBreak/>
        <w:t xml:space="preserve">incumplimiento reiterado de las obligaciones de publicidad activa en los términos establecidos en el artículo 9.3 de la LTAIBG, </w:t>
      </w:r>
      <w:r w:rsidR="00263287">
        <w:t>incumplimiento</w:t>
      </w:r>
      <w:r w:rsidR="0095668E">
        <w:t xml:space="preserve">, </w:t>
      </w:r>
      <w:r w:rsidR="00A832AE">
        <w:t>que,</w:t>
      </w:r>
      <w:r w:rsidR="0095668E">
        <w:t xml:space="preserve"> a tenor de lo señalado en este artículo, </w:t>
      </w:r>
      <w:r w:rsidR="00263287">
        <w:t>tiene la consideración infracción grave</w:t>
      </w:r>
      <w:r w:rsidR="00A832AE">
        <w:t xml:space="preserve"> a efectos disciplinarios. </w:t>
      </w:r>
    </w:p>
    <w:p w14:paraId="5D3A18C4" w14:textId="68CFFDEC" w:rsidR="004F4E56" w:rsidRDefault="00A832AE" w:rsidP="004F4E56">
      <w:bookmarkStart w:id="32" w:name="_Hlk197360952"/>
      <w:r>
        <w:t>Dado que</w:t>
      </w:r>
      <w:r w:rsidR="00C2343E">
        <w:t xml:space="preserve"> </w:t>
      </w:r>
      <w:r w:rsidR="00E22089">
        <w:t>la falta de desarrollo reglamentario de la Ley impide llevar a la práctica las previsiones del artículo 9.2</w:t>
      </w:r>
      <w:r w:rsidR="00EA0A91">
        <w:t xml:space="preserve">, </w:t>
      </w:r>
      <w:r w:rsidR="00C76BE1">
        <w:t xml:space="preserve">este Consejo </w:t>
      </w:r>
      <w:r w:rsidR="00EE0B1D">
        <w:t>debe</w:t>
      </w:r>
      <w:r w:rsidR="005B5D59">
        <w:t xml:space="preserve"> limitarse a</w:t>
      </w:r>
      <w:r w:rsidR="004C1204">
        <w:t xml:space="preserve"> </w:t>
      </w:r>
      <w:r w:rsidR="0023356C">
        <w:t xml:space="preserve">dar publicidad a los resultados de la </w:t>
      </w:r>
      <w:r w:rsidR="004C1204">
        <w:t>tercera</w:t>
      </w:r>
      <w:r w:rsidR="0023356C">
        <w:t xml:space="preserve"> evaluación de cumplimiento realizada</w:t>
      </w:r>
      <w:r w:rsidR="00247158">
        <w:t xml:space="preserve">. </w:t>
      </w:r>
    </w:p>
    <w:bookmarkEnd w:id="32"/>
    <w:p w14:paraId="18D4F28B" w14:textId="77777777" w:rsidR="00247158" w:rsidRDefault="00B22F0E" w:rsidP="004F4E56">
      <w:r>
        <w:t xml:space="preserve">En cuanto a las entidades privadas se da una situación similar. </w:t>
      </w:r>
      <w:r w:rsidR="009D1AB5">
        <w:t>La diferencia es que, en este caso, la Ley no prevé ninguna medida ni atribuye al Consejo ninguna competencia dirigida al cese de</w:t>
      </w:r>
      <w:r w:rsidR="00BF7FD9">
        <w:t>l</w:t>
      </w:r>
      <w:r w:rsidR="009D1AB5">
        <w:t xml:space="preserve"> incumplimiento</w:t>
      </w:r>
      <w:r w:rsidR="00BF7FD9">
        <w:t xml:space="preserve"> reiterado de las obligaciones de publicidad activa por parte de los sujetos privados. </w:t>
      </w:r>
    </w:p>
    <w:p w14:paraId="3C698215" w14:textId="77777777" w:rsidR="00A832AE" w:rsidRDefault="007A557F" w:rsidP="004F4E56">
      <w:r w:rsidRPr="002C22FB">
        <w:t>La relación de las entidades públicas y privadas que se encontrarían en el grupo que se podría denominar entidades reiteradamente incumplidoras de las obligaciones de publicidad activa se contempla en la siguiente tabla.</w:t>
      </w:r>
      <w:r>
        <w:t xml:space="preserve"> </w:t>
      </w:r>
    </w:p>
    <w:p w14:paraId="36B03353" w14:textId="77777777" w:rsidR="004F4E56" w:rsidRDefault="004F4E56" w:rsidP="004F4E56"/>
    <w:tbl>
      <w:tblPr>
        <w:tblStyle w:val="Listavistosa-nfasis2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9"/>
        <w:gridCol w:w="4291"/>
        <w:gridCol w:w="84"/>
        <w:gridCol w:w="457"/>
        <w:gridCol w:w="740"/>
        <w:gridCol w:w="646"/>
        <w:gridCol w:w="390"/>
      </w:tblGrid>
      <w:tr w:rsidR="00C2343E" w:rsidRPr="00564D9C" w14:paraId="3F83DAC5" w14:textId="77777777" w:rsidTr="002C2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0ADCCDF" w14:textId="77777777" w:rsidR="00C2343E" w:rsidRPr="00564D9C" w:rsidRDefault="00C2343E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699590F" w14:textId="77777777" w:rsidR="00C2343E" w:rsidRPr="00564D9C" w:rsidRDefault="00C2343E" w:rsidP="00C2343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740" w:type="dxa"/>
            <w:noWrap/>
            <w:hideMark/>
          </w:tcPr>
          <w:p w14:paraId="03FA6A52" w14:textId="77777777" w:rsidR="00C2343E" w:rsidRPr="00564D9C" w:rsidRDefault="00C2343E" w:rsidP="00C2343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ICIO 3ª evaluación</w:t>
            </w:r>
          </w:p>
        </w:tc>
        <w:tc>
          <w:tcPr>
            <w:tcW w:w="1036" w:type="dxa"/>
            <w:gridSpan w:val="2"/>
            <w:noWrap/>
            <w:hideMark/>
          </w:tcPr>
          <w:p w14:paraId="38CD8569" w14:textId="77777777" w:rsidR="00C2343E" w:rsidRPr="00564D9C" w:rsidRDefault="00C2343E" w:rsidP="00C2343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564D9C">
              <w:rPr>
                <w:rFonts w:eastAsia="Times New Roman" w:cs="Calibri"/>
                <w:sz w:val="16"/>
                <w:szCs w:val="16"/>
              </w:rPr>
              <w:t>Incumplimientos subsistentes tras 3 evaluaciones de cumplimiento</w:t>
            </w:r>
          </w:p>
        </w:tc>
      </w:tr>
      <w:tr w:rsidR="002C22FB" w:rsidRPr="00564D9C" w14:paraId="6A45428D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14:paraId="406C984D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 w:val="0"/>
                <w:sz w:val="16"/>
                <w:szCs w:val="16"/>
              </w:rPr>
              <w:t>Sujetos Públicos</w:t>
            </w:r>
          </w:p>
        </w:tc>
        <w:tc>
          <w:tcPr>
            <w:tcW w:w="4851" w:type="dxa"/>
            <w:gridSpan w:val="4"/>
            <w:noWrap/>
            <w:hideMark/>
          </w:tcPr>
          <w:p w14:paraId="211B888F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Consorcio Zona Franca Vigo</w:t>
            </w:r>
          </w:p>
        </w:tc>
        <w:tc>
          <w:tcPr>
            <w:tcW w:w="740" w:type="dxa"/>
            <w:noWrap/>
            <w:hideMark/>
          </w:tcPr>
          <w:p w14:paraId="38528D7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69,0</w:t>
            </w:r>
          </w:p>
        </w:tc>
        <w:tc>
          <w:tcPr>
            <w:tcW w:w="1036" w:type="dxa"/>
            <w:gridSpan w:val="2"/>
            <w:noWrap/>
            <w:hideMark/>
          </w:tcPr>
          <w:p w14:paraId="520A254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564D9C" w14:paraId="6032FA15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7E16FDAD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30EC99C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MERCASA</w:t>
            </w:r>
          </w:p>
        </w:tc>
        <w:tc>
          <w:tcPr>
            <w:tcW w:w="740" w:type="dxa"/>
            <w:noWrap/>
            <w:hideMark/>
          </w:tcPr>
          <w:p w14:paraId="795957EF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67,8</w:t>
            </w:r>
          </w:p>
        </w:tc>
        <w:tc>
          <w:tcPr>
            <w:tcW w:w="1036" w:type="dxa"/>
            <w:gridSpan w:val="2"/>
            <w:noWrap/>
            <w:hideMark/>
          </w:tcPr>
          <w:p w14:paraId="738F6C1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</w:t>
            </w:r>
          </w:p>
        </w:tc>
      </w:tr>
      <w:tr w:rsidR="002C22FB" w:rsidRPr="00564D9C" w14:paraId="31F2DC74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EB0F356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0573FFD0" w14:textId="0E4D3050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Centro de Investigación Bioméd</w:t>
            </w:r>
            <w:r w:rsidR="00EE0B1D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i</w:t>
            </w: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ca en Red</w:t>
            </w:r>
          </w:p>
        </w:tc>
        <w:tc>
          <w:tcPr>
            <w:tcW w:w="740" w:type="dxa"/>
            <w:noWrap/>
            <w:hideMark/>
          </w:tcPr>
          <w:p w14:paraId="4E2992AC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036" w:type="dxa"/>
            <w:gridSpan w:val="2"/>
            <w:noWrap/>
            <w:hideMark/>
          </w:tcPr>
          <w:p w14:paraId="2BECAE9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2C22FB" w:rsidRPr="00564D9C" w14:paraId="4910E328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4D0022CF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194442C8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Logroño Integración del Ferrocarril</w:t>
            </w:r>
          </w:p>
        </w:tc>
        <w:tc>
          <w:tcPr>
            <w:tcW w:w="740" w:type="dxa"/>
            <w:noWrap/>
            <w:hideMark/>
          </w:tcPr>
          <w:p w14:paraId="6AC2B57D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65,2</w:t>
            </w:r>
          </w:p>
        </w:tc>
        <w:tc>
          <w:tcPr>
            <w:tcW w:w="1036" w:type="dxa"/>
            <w:gridSpan w:val="2"/>
            <w:noWrap/>
            <w:hideMark/>
          </w:tcPr>
          <w:p w14:paraId="4AB97D83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2C22FB" w:rsidRPr="00564D9C" w14:paraId="4BBCA54D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7E743D5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E221519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A.I. ABRA Industrial</w:t>
            </w:r>
          </w:p>
        </w:tc>
        <w:tc>
          <w:tcPr>
            <w:tcW w:w="740" w:type="dxa"/>
            <w:noWrap/>
            <w:hideMark/>
          </w:tcPr>
          <w:p w14:paraId="2C904E4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64,7</w:t>
            </w:r>
          </w:p>
        </w:tc>
        <w:tc>
          <w:tcPr>
            <w:tcW w:w="1036" w:type="dxa"/>
            <w:gridSpan w:val="2"/>
            <w:noWrap/>
            <w:hideMark/>
          </w:tcPr>
          <w:p w14:paraId="3718C14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2C22FB" w:rsidRPr="00564D9C" w14:paraId="01641CE1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F1E5E41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B12B0F0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 xml:space="preserve">Organización Nacional de </w:t>
            </w:r>
            <w:proofErr w:type="spellStart"/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Transplantes</w:t>
            </w:r>
            <w:proofErr w:type="spellEnd"/>
          </w:p>
        </w:tc>
        <w:tc>
          <w:tcPr>
            <w:tcW w:w="740" w:type="dxa"/>
            <w:noWrap/>
            <w:hideMark/>
          </w:tcPr>
          <w:p w14:paraId="471AD26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64,4</w:t>
            </w:r>
          </w:p>
        </w:tc>
        <w:tc>
          <w:tcPr>
            <w:tcW w:w="1036" w:type="dxa"/>
            <w:gridSpan w:val="2"/>
            <w:noWrap/>
            <w:hideMark/>
          </w:tcPr>
          <w:p w14:paraId="6B06DD4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2C22FB" w:rsidRPr="00564D9C" w14:paraId="781A0431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78B491D1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24AF3F7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Fundación UIMP Campo de Gibraltar</w:t>
            </w:r>
          </w:p>
        </w:tc>
        <w:tc>
          <w:tcPr>
            <w:tcW w:w="740" w:type="dxa"/>
            <w:noWrap/>
            <w:hideMark/>
          </w:tcPr>
          <w:p w14:paraId="507E257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63,3</w:t>
            </w:r>
          </w:p>
        </w:tc>
        <w:tc>
          <w:tcPr>
            <w:tcW w:w="1036" w:type="dxa"/>
            <w:gridSpan w:val="2"/>
            <w:noWrap/>
            <w:hideMark/>
          </w:tcPr>
          <w:p w14:paraId="1270452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2C22FB" w:rsidRPr="00564D9C" w14:paraId="11541634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91FC4E3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2D10051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Comisionado para el Mercado de Tabacos</w:t>
            </w:r>
          </w:p>
        </w:tc>
        <w:tc>
          <w:tcPr>
            <w:tcW w:w="740" w:type="dxa"/>
            <w:noWrap/>
            <w:hideMark/>
          </w:tcPr>
          <w:p w14:paraId="57062B0B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62,6</w:t>
            </w:r>
          </w:p>
        </w:tc>
        <w:tc>
          <w:tcPr>
            <w:tcW w:w="1036" w:type="dxa"/>
            <w:gridSpan w:val="2"/>
            <w:noWrap/>
            <w:hideMark/>
          </w:tcPr>
          <w:p w14:paraId="22AE3C82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564D9C" w14:paraId="7929284E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1E48D99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18191614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SECEGSA</w:t>
            </w:r>
          </w:p>
        </w:tc>
        <w:tc>
          <w:tcPr>
            <w:tcW w:w="740" w:type="dxa"/>
            <w:noWrap/>
            <w:hideMark/>
          </w:tcPr>
          <w:p w14:paraId="1570BB8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60,8</w:t>
            </w:r>
          </w:p>
        </w:tc>
        <w:tc>
          <w:tcPr>
            <w:tcW w:w="1036" w:type="dxa"/>
            <w:gridSpan w:val="2"/>
            <w:noWrap/>
            <w:hideMark/>
          </w:tcPr>
          <w:p w14:paraId="20D72813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2C22FB" w:rsidRPr="00564D9C" w14:paraId="689053A8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3AFC3C83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9AA30F2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Confederación Hidrográfica Ebro</w:t>
            </w:r>
          </w:p>
        </w:tc>
        <w:tc>
          <w:tcPr>
            <w:tcW w:w="740" w:type="dxa"/>
            <w:noWrap/>
            <w:hideMark/>
          </w:tcPr>
          <w:p w14:paraId="1124BF6F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59,5</w:t>
            </w:r>
          </w:p>
        </w:tc>
        <w:tc>
          <w:tcPr>
            <w:tcW w:w="1036" w:type="dxa"/>
            <w:gridSpan w:val="2"/>
            <w:noWrap/>
            <w:hideMark/>
          </w:tcPr>
          <w:p w14:paraId="49D0C131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2C22FB" w:rsidRPr="00564D9C" w14:paraId="2EF0B5B7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03E65297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35FB1651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proofErr w:type="spellStart"/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Vipar</w:t>
            </w:r>
            <w:proofErr w:type="spellEnd"/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 xml:space="preserve"> Parque Empresarial</w:t>
            </w:r>
          </w:p>
        </w:tc>
        <w:tc>
          <w:tcPr>
            <w:tcW w:w="740" w:type="dxa"/>
            <w:noWrap/>
            <w:hideMark/>
          </w:tcPr>
          <w:p w14:paraId="7C93E263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036" w:type="dxa"/>
            <w:gridSpan w:val="2"/>
            <w:noWrap/>
            <w:hideMark/>
          </w:tcPr>
          <w:p w14:paraId="5060DC4F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2C22FB" w:rsidRPr="00564D9C" w14:paraId="7B160953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3780059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0DB2527E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Casa América</w:t>
            </w:r>
          </w:p>
        </w:tc>
        <w:tc>
          <w:tcPr>
            <w:tcW w:w="740" w:type="dxa"/>
            <w:noWrap/>
            <w:hideMark/>
          </w:tcPr>
          <w:p w14:paraId="0D135E6E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52,0</w:t>
            </w:r>
          </w:p>
        </w:tc>
        <w:tc>
          <w:tcPr>
            <w:tcW w:w="1036" w:type="dxa"/>
            <w:gridSpan w:val="2"/>
            <w:noWrap/>
            <w:hideMark/>
          </w:tcPr>
          <w:p w14:paraId="3B1A4D58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564D9C" w14:paraId="108B9FB5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770A59F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78E90F6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INNVIERTE Economía Sostenible</w:t>
            </w:r>
          </w:p>
        </w:tc>
        <w:tc>
          <w:tcPr>
            <w:tcW w:w="740" w:type="dxa"/>
            <w:noWrap/>
            <w:hideMark/>
          </w:tcPr>
          <w:p w14:paraId="135C232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50,0</w:t>
            </w:r>
          </w:p>
        </w:tc>
        <w:tc>
          <w:tcPr>
            <w:tcW w:w="1036" w:type="dxa"/>
            <w:gridSpan w:val="2"/>
            <w:noWrap/>
            <w:hideMark/>
          </w:tcPr>
          <w:p w14:paraId="50BD7DB0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</w:t>
            </w:r>
          </w:p>
        </w:tc>
      </w:tr>
      <w:tr w:rsidR="002C22FB" w:rsidRPr="00564D9C" w14:paraId="4C0D1412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77AA344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16D6509B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Agencia Española de Cooperación Internacional para el Desarrollo</w:t>
            </w:r>
          </w:p>
        </w:tc>
        <w:tc>
          <w:tcPr>
            <w:tcW w:w="740" w:type="dxa"/>
            <w:noWrap/>
            <w:hideMark/>
          </w:tcPr>
          <w:p w14:paraId="36DF092D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48,5</w:t>
            </w:r>
          </w:p>
        </w:tc>
        <w:tc>
          <w:tcPr>
            <w:tcW w:w="1036" w:type="dxa"/>
            <w:gridSpan w:val="2"/>
            <w:noWrap/>
            <w:hideMark/>
          </w:tcPr>
          <w:p w14:paraId="256FC60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</w:t>
            </w:r>
          </w:p>
        </w:tc>
      </w:tr>
      <w:tr w:rsidR="002C22FB" w:rsidRPr="00564D9C" w14:paraId="515AB248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CC7D759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099D3EE3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Autoridad Portuaria Ferrol</w:t>
            </w:r>
          </w:p>
        </w:tc>
        <w:tc>
          <w:tcPr>
            <w:tcW w:w="740" w:type="dxa"/>
            <w:noWrap/>
            <w:hideMark/>
          </w:tcPr>
          <w:p w14:paraId="70823DDD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036" w:type="dxa"/>
            <w:gridSpan w:val="2"/>
            <w:noWrap/>
            <w:hideMark/>
          </w:tcPr>
          <w:p w14:paraId="4F8C385A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2C22FB" w:rsidRPr="00564D9C" w14:paraId="54933728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F7648FA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17DA69FA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Centro Nacional del Hidrógeno</w:t>
            </w:r>
          </w:p>
        </w:tc>
        <w:tc>
          <w:tcPr>
            <w:tcW w:w="740" w:type="dxa"/>
            <w:noWrap/>
            <w:hideMark/>
          </w:tcPr>
          <w:p w14:paraId="3120566A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47,6</w:t>
            </w:r>
          </w:p>
        </w:tc>
        <w:tc>
          <w:tcPr>
            <w:tcW w:w="1036" w:type="dxa"/>
            <w:gridSpan w:val="2"/>
            <w:noWrap/>
            <w:hideMark/>
          </w:tcPr>
          <w:p w14:paraId="409FFBFF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2C22FB" w:rsidRPr="00564D9C" w14:paraId="06E04E57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EB7EB59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0CC8BCC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Fundación Centro Nacional del Vidrio</w:t>
            </w:r>
          </w:p>
        </w:tc>
        <w:tc>
          <w:tcPr>
            <w:tcW w:w="740" w:type="dxa"/>
            <w:noWrap/>
            <w:hideMark/>
          </w:tcPr>
          <w:p w14:paraId="221C027A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47,0</w:t>
            </w:r>
          </w:p>
        </w:tc>
        <w:tc>
          <w:tcPr>
            <w:tcW w:w="1036" w:type="dxa"/>
            <w:gridSpan w:val="2"/>
            <w:noWrap/>
            <w:hideMark/>
          </w:tcPr>
          <w:p w14:paraId="2797D55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2C22FB" w:rsidRPr="00564D9C" w14:paraId="39758A32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62A0A03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5CF0DF2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Confederación Hidrográfica Segura</w:t>
            </w:r>
          </w:p>
        </w:tc>
        <w:tc>
          <w:tcPr>
            <w:tcW w:w="740" w:type="dxa"/>
            <w:noWrap/>
            <w:hideMark/>
          </w:tcPr>
          <w:p w14:paraId="2356FC98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45,2</w:t>
            </w:r>
          </w:p>
        </w:tc>
        <w:tc>
          <w:tcPr>
            <w:tcW w:w="1036" w:type="dxa"/>
            <w:gridSpan w:val="2"/>
            <w:noWrap/>
            <w:hideMark/>
          </w:tcPr>
          <w:p w14:paraId="5B251A7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2C22FB" w:rsidRPr="00564D9C" w14:paraId="67C17867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D436BC4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E8A229B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Patrimonio Nacional</w:t>
            </w:r>
          </w:p>
        </w:tc>
        <w:tc>
          <w:tcPr>
            <w:tcW w:w="740" w:type="dxa"/>
            <w:noWrap/>
            <w:hideMark/>
          </w:tcPr>
          <w:p w14:paraId="245E7D6F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44,8</w:t>
            </w:r>
          </w:p>
        </w:tc>
        <w:tc>
          <w:tcPr>
            <w:tcW w:w="1036" w:type="dxa"/>
            <w:gridSpan w:val="2"/>
            <w:noWrap/>
            <w:hideMark/>
          </w:tcPr>
          <w:p w14:paraId="57FEDF1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2C22FB" w:rsidRPr="00564D9C" w14:paraId="73307C93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0434FBB6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FA924FE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EMGRISA</w:t>
            </w:r>
          </w:p>
        </w:tc>
        <w:tc>
          <w:tcPr>
            <w:tcW w:w="740" w:type="dxa"/>
            <w:noWrap/>
            <w:hideMark/>
          </w:tcPr>
          <w:p w14:paraId="16FD271A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36" w:type="dxa"/>
            <w:gridSpan w:val="2"/>
            <w:noWrap/>
            <w:hideMark/>
          </w:tcPr>
          <w:p w14:paraId="08D1C99F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2C22FB" w:rsidRPr="00564D9C" w14:paraId="5E90463B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6280CDD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9823EB1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Autoridad Portuaria Almería</w:t>
            </w:r>
          </w:p>
        </w:tc>
        <w:tc>
          <w:tcPr>
            <w:tcW w:w="740" w:type="dxa"/>
            <w:noWrap/>
            <w:hideMark/>
          </w:tcPr>
          <w:p w14:paraId="44AC064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42,1</w:t>
            </w:r>
          </w:p>
        </w:tc>
        <w:tc>
          <w:tcPr>
            <w:tcW w:w="1036" w:type="dxa"/>
            <w:gridSpan w:val="2"/>
            <w:noWrap/>
            <w:hideMark/>
          </w:tcPr>
          <w:p w14:paraId="1679ED46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2C22FB" w:rsidRPr="00564D9C" w14:paraId="2753F25F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FE3414A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2C4C9764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Biblioteca Nacional de España</w:t>
            </w:r>
          </w:p>
        </w:tc>
        <w:tc>
          <w:tcPr>
            <w:tcW w:w="740" w:type="dxa"/>
            <w:noWrap/>
            <w:hideMark/>
          </w:tcPr>
          <w:p w14:paraId="11589333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41,4</w:t>
            </w:r>
          </w:p>
        </w:tc>
        <w:tc>
          <w:tcPr>
            <w:tcW w:w="1036" w:type="dxa"/>
            <w:gridSpan w:val="2"/>
            <w:noWrap/>
            <w:hideMark/>
          </w:tcPr>
          <w:p w14:paraId="0E13C407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2C22FB" w:rsidRPr="00564D9C" w14:paraId="54E4C9B1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A85F855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094BC34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Museo Nacional Centro de Arte Reina Sofía</w:t>
            </w:r>
          </w:p>
        </w:tc>
        <w:tc>
          <w:tcPr>
            <w:tcW w:w="740" w:type="dxa"/>
            <w:noWrap/>
            <w:hideMark/>
          </w:tcPr>
          <w:p w14:paraId="4505033D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40,8</w:t>
            </w:r>
          </w:p>
        </w:tc>
        <w:tc>
          <w:tcPr>
            <w:tcW w:w="1036" w:type="dxa"/>
            <w:gridSpan w:val="2"/>
            <w:noWrap/>
            <w:hideMark/>
          </w:tcPr>
          <w:p w14:paraId="6C5A07A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2C22FB" w:rsidRPr="00564D9C" w14:paraId="464179C1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81A6955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847E082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UNED Vitoria</w:t>
            </w:r>
          </w:p>
        </w:tc>
        <w:tc>
          <w:tcPr>
            <w:tcW w:w="740" w:type="dxa"/>
            <w:noWrap/>
            <w:hideMark/>
          </w:tcPr>
          <w:p w14:paraId="587CB404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40,2</w:t>
            </w:r>
          </w:p>
        </w:tc>
        <w:tc>
          <w:tcPr>
            <w:tcW w:w="1036" w:type="dxa"/>
            <w:gridSpan w:val="2"/>
            <w:noWrap/>
            <w:hideMark/>
          </w:tcPr>
          <w:p w14:paraId="4312E0A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564D9C" w14:paraId="3EAFD1E1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8E8AA18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0D23168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REDALSA</w:t>
            </w:r>
          </w:p>
        </w:tc>
        <w:tc>
          <w:tcPr>
            <w:tcW w:w="740" w:type="dxa"/>
            <w:noWrap/>
            <w:hideMark/>
          </w:tcPr>
          <w:p w14:paraId="4ABE690D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38,9</w:t>
            </w:r>
          </w:p>
        </w:tc>
        <w:tc>
          <w:tcPr>
            <w:tcW w:w="1036" w:type="dxa"/>
            <w:gridSpan w:val="2"/>
            <w:noWrap/>
            <w:hideMark/>
          </w:tcPr>
          <w:p w14:paraId="05D104BF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</w:t>
            </w:r>
          </w:p>
        </w:tc>
      </w:tr>
      <w:tr w:rsidR="002C22FB" w:rsidRPr="00564D9C" w14:paraId="560FC6D9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7A136AF1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5FAA752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Sistema de Observación Costero de las Illes Balears</w:t>
            </w:r>
          </w:p>
        </w:tc>
        <w:tc>
          <w:tcPr>
            <w:tcW w:w="740" w:type="dxa"/>
            <w:noWrap/>
            <w:hideMark/>
          </w:tcPr>
          <w:p w14:paraId="0BF1D3BA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37,0</w:t>
            </w:r>
          </w:p>
        </w:tc>
        <w:tc>
          <w:tcPr>
            <w:tcW w:w="1036" w:type="dxa"/>
            <w:gridSpan w:val="2"/>
            <w:noWrap/>
            <w:hideMark/>
          </w:tcPr>
          <w:p w14:paraId="57543F5D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2C22FB" w:rsidRPr="00564D9C" w14:paraId="7D33BE61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364C5A89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2A39FC3C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Real Patronato para la Discapacidad</w:t>
            </w:r>
          </w:p>
        </w:tc>
        <w:tc>
          <w:tcPr>
            <w:tcW w:w="740" w:type="dxa"/>
            <w:noWrap/>
            <w:hideMark/>
          </w:tcPr>
          <w:p w14:paraId="0D8E41B2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36,5</w:t>
            </w:r>
          </w:p>
        </w:tc>
        <w:tc>
          <w:tcPr>
            <w:tcW w:w="1036" w:type="dxa"/>
            <w:gridSpan w:val="2"/>
            <w:noWrap/>
            <w:hideMark/>
          </w:tcPr>
          <w:p w14:paraId="257B1079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16</w:t>
            </w:r>
          </w:p>
        </w:tc>
      </w:tr>
      <w:tr w:rsidR="002C22FB" w:rsidRPr="00564D9C" w14:paraId="046CF8E5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451B99EE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EED21B1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Autoridad Portuaria Santander</w:t>
            </w:r>
          </w:p>
        </w:tc>
        <w:tc>
          <w:tcPr>
            <w:tcW w:w="740" w:type="dxa"/>
            <w:noWrap/>
            <w:hideMark/>
          </w:tcPr>
          <w:p w14:paraId="7A326228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36,0</w:t>
            </w:r>
          </w:p>
        </w:tc>
        <w:tc>
          <w:tcPr>
            <w:tcW w:w="1036" w:type="dxa"/>
            <w:gridSpan w:val="2"/>
            <w:noWrap/>
            <w:hideMark/>
          </w:tcPr>
          <w:p w14:paraId="79EC9715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19</w:t>
            </w:r>
          </w:p>
        </w:tc>
      </w:tr>
      <w:tr w:rsidR="002C22FB" w:rsidRPr="00564D9C" w14:paraId="34F1497C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3950AD5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67CD7C92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Museo Nacional del Prado Difusión</w:t>
            </w:r>
          </w:p>
        </w:tc>
        <w:tc>
          <w:tcPr>
            <w:tcW w:w="740" w:type="dxa"/>
            <w:noWrap/>
            <w:hideMark/>
          </w:tcPr>
          <w:p w14:paraId="5130DC2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35,4</w:t>
            </w:r>
          </w:p>
        </w:tc>
        <w:tc>
          <w:tcPr>
            <w:tcW w:w="1036" w:type="dxa"/>
            <w:gridSpan w:val="2"/>
            <w:noWrap/>
            <w:hideMark/>
          </w:tcPr>
          <w:p w14:paraId="5A7AD2A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564D9C" w14:paraId="4F33C319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79CDF95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83A202F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Autoridad Portuaria Marín</w:t>
            </w:r>
          </w:p>
        </w:tc>
        <w:tc>
          <w:tcPr>
            <w:tcW w:w="740" w:type="dxa"/>
            <w:noWrap/>
            <w:hideMark/>
          </w:tcPr>
          <w:p w14:paraId="78F188BB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33,8</w:t>
            </w:r>
          </w:p>
        </w:tc>
        <w:tc>
          <w:tcPr>
            <w:tcW w:w="1036" w:type="dxa"/>
            <w:gridSpan w:val="2"/>
            <w:noWrap/>
            <w:hideMark/>
          </w:tcPr>
          <w:p w14:paraId="65177015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22</w:t>
            </w:r>
          </w:p>
        </w:tc>
      </w:tr>
      <w:tr w:rsidR="002C22FB" w:rsidRPr="00564D9C" w14:paraId="794A0095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0FD07E63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C8D4972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Hipódromo de la Zarzuela SA</w:t>
            </w:r>
          </w:p>
        </w:tc>
        <w:tc>
          <w:tcPr>
            <w:tcW w:w="740" w:type="dxa"/>
            <w:noWrap/>
            <w:hideMark/>
          </w:tcPr>
          <w:p w14:paraId="63477E11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036" w:type="dxa"/>
            <w:gridSpan w:val="2"/>
            <w:noWrap/>
            <w:hideMark/>
          </w:tcPr>
          <w:p w14:paraId="48BC4258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2C22FB" w:rsidRPr="00564D9C" w14:paraId="017E92DF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705536F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125E942E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Renfe operadora</w:t>
            </w:r>
          </w:p>
        </w:tc>
        <w:tc>
          <w:tcPr>
            <w:tcW w:w="740" w:type="dxa"/>
            <w:noWrap/>
            <w:hideMark/>
          </w:tcPr>
          <w:p w14:paraId="51676DCB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32,4</w:t>
            </w:r>
          </w:p>
        </w:tc>
        <w:tc>
          <w:tcPr>
            <w:tcW w:w="1036" w:type="dxa"/>
            <w:gridSpan w:val="2"/>
            <w:noWrap/>
            <w:hideMark/>
          </w:tcPr>
          <w:p w14:paraId="07EBF0B9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</w:t>
            </w:r>
          </w:p>
        </w:tc>
      </w:tr>
      <w:tr w:rsidR="002C22FB" w:rsidRPr="00564D9C" w14:paraId="729CFD95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FD5282F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F739599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Consorcio Zona Franca Gran Canaria</w:t>
            </w:r>
          </w:p>
        </w:tc>
        <w:tc>
          <w:tcPr>
            <w:tcW w:w="740" w:type="dxa"/>
            <w:noWrap/>
            <w:hideMark/>
          </w:tcPr>
          <w:p w14:paraId="703F03F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28,8</w:t>
            </w:r>
          </w:p>
        </w:tc>
        <w:tc>
          <w:tcPr>
            <w:tcW w:w="1036" w:type="dxa"/>
            <w:gridSpan w:val="2"/>
            <w:noWrap/>
            <w:hideMark/>
          </w:tcPr>
          <w:p w14:paraId="3C891951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</w:t>
            </w:r>
          </w:p>
        </w:tc>
      </w:tr>
      <w:tr w:rsidR="002C22FB" w:rsidRPr="00564D9C" w14:paraId="78C04C42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0BB93013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A75EE97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Fundación Teatro Real</w:t>
            </w:r>
          </w:p>
        </w:tc>
        <w:tc>
          <w:tcPr>
            <w:tcW w:w="740" w:type="dxa"/>
            <w:noWrap/>
            <w:hideMark/>
          </w:tcPr>
          <w:p w14:paraId="794EFEB4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036" w:type="dxa"/>
            <w:gridSpan w:val="2"/>
            <w:noWrap/>
            <w:hideMark/>
          </w:tcPr>
          <w:p w14:paraId="668E3626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2C22FB" w:rsidRPr="00564D9C" w14:paraId="218A6D89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043A74DE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1A229E9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Trabajo penitenciario</w:t>
            </w:r>
          </w:p>
        </w:tc>
        <w:tc>
          <w:tcPr>
            <w:tcW w:w="740" w:type="dxa"/>
            <w:noWrap/>
            <w:hideMark/>
          </w:tcPr>
          <w:p w14:paraId="552EB180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23,8</w:t>
            </w:r>
          </w:p>
        </w:tc>
        <w:tc>
          <w:tcPr>
            <w:tcW w:w="1036" w:type="dxa"/>
            <w:gridSpan w:val="2"/>
            <w:noWrap/>
            <w:hideMark/>
          </w:tcPr>
          <w:p w14:paraId="7B5C5DE1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</w:t>
            </w:r>
          </w:p>
        </w:tc>
      </w:tr>
      <w:tr w:rsidR="002C22FB" w:rsidRPr="00564D9C" w14:paraId="369E9F5A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698F0B8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4457956A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Centro de Estudios Jurídicos</w:t>
            </w:r>
          </w:p>
        </w:tc>
        <w:tc>
          <w:tcPr>
            <w:tcW w:w="740" w:type="dxa"/>
            <w:noWrap/>
            <w:hideMark/>
          </w:tcPr>
          <w:p w14:paraId="6F0BE3CA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23,1</w:t>
            </w:r>
          </w:p>
        </w:tc>
        <w:tc>
          <w:tcPr>
            <w:tcW w:w="1036" w:type="dxa"/>
            <w:gridSpan w:val="2"/>
            <w:noWrap/>
            <w:hideMark/>
          </w:tcPr>
          <w:p w14:paraId="362EA5E2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19</w:t>
            </w:r>
          </w:p>
        </w:tc>
      </w:tr>
      <w:tr w:rsidR="002C22FB" w:rsidRPr="00564D9C" w14:paraId="32452DDB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7E5407C6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78BB2D17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Agencia de Información y Control Alimentarios</w:t>
            </w:r>
          </w:p>
        </w:tc>
        <w:tc>
          <w:tcPr>
            <w:tcW w:w="740" w:type="dxa"/>
            <w:noWrap/>
            <w:hideMark/>
          </w:tcPr>
          <w:p w14:paraId="3FBDB66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036" w:type="dxa"/>
            <w:gridSpan w:val="2"/>
            <w:noWrap/>
            <w:hideMark/>
          </w:tcPr>
          <w:p w14:paraId="6C0C632A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25</w:t>
            </w:r>
          </w:p>
        </w:tc>
      </w:tr>
      <w:tr w:rsidR="002C22FB" w:rsidRPr="00564D9C" w14:paraId="20A344FA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22FCFE1B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noWrap/>
            <w:hideMark/>
          </w:tcPr>
          <w:p w14:paraId="5EAD1997" w14:textId="77777777" w:rsidR="002C22FB" w:rsidRPr="00564D9C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SERVIPORT Andalucía</w:t>
            </w:r>
          </w:p>
        </w:tc>
        <w:tc>
          <w:tcPr>
            <w:tcW w:w="740" w:type="dxa"/>
            <w:noWrap/>
            <w:hideMark/>
          </w:tcPr>
          <w:p w14:paraId="31BB9025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15,7</w:t>
            </w:r>
          </w:p>
        </w:tc>
        <w:tc>
          <w:tcPr>
            <w:tcW w:w="1036" w:type="dxa"/>
            <w:gridSpan w:val="2"/>
            <w:noWrap/>
            <w:hideMark/>
          </w:tcPr>
          <w:p w14:paraId="0395B090" w14:textId="77777777" w:rsidR="002C22FB" w:rsidRPr="00564D9C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</w:t>
            </w:r>
          </w:p>
        </w:tc>
      </w:tr>
      <w:tr w:rsidR="002C22FB" w:rsidRPr="00564D9C" w14:paraId="6D08F28B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bottom w:val="single" w:sz="12" w:space="0" w:color="FFFFFF" w:themeColor="background1"/>
            </w:tcBorders>
          </w:tcPr>
          <w:p w14:paraId="3299FB4B" w14:textId="77777777" w:rsidR="002C22FB" w:rsidRPr="00564D9C" w:rsidRDefault="002C22FB" w:rsidP="00C2343E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</w:p>
        </w:tc>
        <w:tc>
          <w:tcPr>
            <w:tcW w:w="4851" w:type="dxa"/>
            <w:gridSpan w:val="4"/>
            <w:tcBorders>
              <w:bottom w:val="single" w:sz="12" w:space="0" w:color="FFFFFF" w:themeColor="background1"/>
            </w:tcBorders>
            <w:noWrap/>
            <w:hideMark/>
          </w:tcPr>
          <w:p w14:paraId="584A493B" w14:textId="77777777" w:rsidR="002C22FB" w:rsidRPr="00564D9C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</w:rPr>
              <w:t>Instituto Nacional de Investigaciones Agrarias</w:t>
            </w:r>
          </w:p>
        </w:tc>
        <w:tc>
          <w:tcPr>
            <w:tcW w:w="740" w:type="dxa"/>
            <w:tcBorders>
              <w:bottom w:val="single" w:sz="12" w:space="0" w:color="FFFFFF" w:themeColor="background1"/>
            </w:tcBorders>
            <w:noWrap/>
            <w:hideMark/>
          </w:tcPr>
          <w:p w14:paraId="34E8463C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13,3</w:t>
            </w:r>
          </w:p>
        </w:tc>
        <w:tc>
          <w:tcPr>
            <w:tcW w:w="1036" w:type="dxa"/>
            <w:gridSpan w:val="2"/>
            <w:tcBorders>
              <w:bottom w:val="single" w:sz="12" w:space="0" w:color="FFFFFF" w:themeColor="background1"/>
            </w:tcBorders>
            <w:noWrap/>
            <w:hideMark/>
          </w:tcPr>
          <w:p w14:paraId="4DDB318E" w14:textId="77777777" w:rsidR="002C22FB" w:rsidRPr="00564D9C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564D9C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</w:t>
            </w:r>
          </w:p>
        </w:tc>
      </w:tr>
      <w:tr w:rsidR="002C22FB" w:rsidRPr="002C22FB" w14:paraId="2A136BF9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 w:val="restart"/>
            <w:tcBorders>
              <w:top w:val="single" w:sz="12" w:space="0" w:color="FFFFFF" w:themeColor="background1"/>
            </w:tcBorders>
            <w:shd w:val="clear" w:color="auto" w:fill="E0EEF0"/>
          </w:tcPr>
          <w:p w14:paraId="0B4DB629" w14:textId="77777777" w:rsidR="002C22FB" w:rsidRPr="002C22FB" w:rsidRDefault="002C22FB" w:rsidP="002C22FB">
            <w:pPr>
              <w:jc w:val="left"/>
              <w:rPr>
                <w:rFonts w:ascii="Calibri" w:eastAsia="Times New Roman" w:hAnsi="Calibri" w:cs="Calibri"/>
                <w:b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 w:val="0"/>
                <w:sz w:val="16"/>
                <w:szCs w:val="16"/>
              </w:rPr>
              <w:t>Sujetos Privados</w:t>
            </w:r>
          </w:p>
        </w:tc>
        <w:tc>
          <w:tcPr>
            <w:tcW w:w="4375" w:type="dxa"/>
            <w:gridSpan w:val="2"/>
            <w:tcBorders>
              <w:top w:val="single" w:sz="12" w:space="0" w:color="FFFFFF" w:themeColor="background1"/>
            </w:tcBorders>
            <w:shd w:val="clear" w:color="auto" w:fill="E0EEF0"/>
            <w:noWrap/>
            <w:hideMark/>
          </w:tcPr>
          <w:p w14:paraId="3F51F985" w14:textId="77777777" w:rsidR="002C22FB" w:rsidRPr="004620F8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4620F8">
              <w:rPr>
                <w:rFonts w:ascii="Calibri" w:eastAsia="Times New Roman" w:hAnsi="Calibri" w:cs="Calibri"/>
                <w:bCs/>
                <w:sz w:val="16"/>
                <w:szCs w:val="16"/>
              </w:rPr>
              <w:t>ACERINOX</w:t>
            </w:r>
          </w:p>
        </w:tc>
        <w:tc>
          <w:tcPr>
            <w:tcW w:w="1843" w:type="dxa"/>
            <w:gridSpan w:val="3"/>
            <w:tcBorders>
              <w:top w:val="single" w:sz="12" w:space="0" w:color="FFFFFF" w:themeColor="background1"/>
            </w:tcBorders>
            <w:shd w:val="clear" w:color="auto" w:fill="E0EEF0"/>
            <w:noWrap/>
            <w:hideMark/>
          </w:tcPr>
          <w:p w14:paraId="46DE26C0" w14:textId="77777777" w:rsidR="002C22FB" w:rsidRPr="002C22FB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2C22FB">
              <w:rPr>
                <w:rFonts w:ascii="Calibri" w:eastAsia="Times New Roman" w:hAnsi="Calibri" w:cs="Calibri"/>
                <w:b/>
                <w:sz w:val="16"/>
                <w:szCs w:val="16"/>
              </w:rPr>
              <w:t>63,7</w:t>
            </w:r>
          </w:p>
        </w:tc>
        <w:tc>
          <w:tcPr>
            <w:tcW w:w="390" w:type="dxa"/>
            <w:tcBorders>
              <w:top w:val="single" w:sz="12" w:space="0" w:color="FFFFFF" w:themeColor="background1"/>
            </w:tcBorders>
            <w:shd w:val="clear" w:color="auto" w:fill="E0EEF0"/>
            <w:noWrap/>
            <w:hideMark/>
          </w:tcPr>
          <w:p w14:paraId="53817FDF" w14:textId="77777777" w:rsidR="002C22FB" w:rsidRPr="002C22FB" w:rsidRDefault="002C22FB" w:rsidP="002C22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2C22FB">
              <w:rPr>
                <w:rFonts w:ascii="Calibri" w:eastAsia="Times New Roman" w:hAnsi="Calibri" w:cs="Calibri"/>
                <w:b/>
                <w:sz w:val="16"/>
                <w:szCs w:val="16"/>
              </w:rPr>
              <w:t>6</w:t>
            </w:r>
          </w:p>
        </w:tc>
      </w:tr>
      <w:tr w:rsidR="002C22FB" w:rsidRPr="00F930C3" w14:paraId="0FBB91AF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62200C1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2183C907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Telefónica de España</w:t>
            </w:r>
          </w:p>
        </w:tc>
        <w:tc>
          <w:tcPr>
            <w:tcW w:w="1927" w:type="dxa"/>
            <w:gridSpan w:val="4"/>
            <w:noWrap/>
            <w:hideMark/>
          </w:tcPr>
          <w:p w14:paraId="57C3CE02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63</w:t>
            </w:r>
          </w:p>
        </w:tc>
        <w:tc>
          <w:tcPr>
            <w:tcW w:w="390" w:type="dxa"/>
            <w:noWrap/>
            <w:hideMark/>
          </w:tcPr>
          <w:p w14:paraId="0DC312F9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F930C3" w14:paraId="75A4F096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29D09508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41F21F0F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Federación de Entidades Religiosas Evangélicas de España</w:t>
            </w:r>
          </w:p>
        </w:tc>
        <w:tc>
          <w:tcPr>
            <w:tcW w:w="1927" w:type="dxa"/>
            <w:gridSpan w:val="4"/>
            <w:noWrap/>
            <w:hideMark/>
          </w:tcPr>
          <w:p w14:paraId="009E6369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61,3</w:t>
            </w:r>
          </w:p>
        </w:tc>
        <w:tc>
          <w:tcPr>
            <w:tcW w:w="390" w:type="dxa"/>
            <w:noWrap/>
            <w:hideMark/>
          </w:tcPr>
          <w:p w14:paraId="57586845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</w:t>
            </w:r>
          </w:p>
        </w:tc>
      </w:tr>
      <w:tr w:rsidR="002C22FB" w:rsidRPr="00F930C3" w14:paraId="1560385F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53AEA7C5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6E672561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TÉCNICAS REUNIDAS</w:t>
            </w:r>
          </w:p>
        </w:tc>
        <w:tc>
          <w:tcPr>
            <w:tcW w:w="1927" w:type="dxa"/>
            <w:gridSpan w:val="4"/>
            <w:noWrap/>
            <w:hideMark/>
          </w:tcPr>
          <w:p w14:paraId="0611DAE6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56,6</w:t>
            </w:r>
          </w:p>
        </w:tc>
        <w:tc>
          <w:tcPr>
            <w:tcW w:w="390" w:type="dxa"/>
            <w:noWrap/>
            <w:hideMark/>
          </w:tcPr>
          <w:p w14:paraId="76076951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</w:t>
            </w:r>
          </w:p>
        </w:tc>
      </w:tr>
      <w:tr w:rsidR="002C22FB" w:rsidRPr="00F930C3" w14:paraId="49D66618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275F5660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0F816DC1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Ferroglobe</w:t>
            </w:r>
            <w:proofErr w:type="spellEnd"/>
          </w:p>
        </w:tc>
        <w:tc>
          <w:tcPr>
            <w:tcW w:w="1927" w:type="dxa"/>
            <w:gridSpan w:val="4"/>
            <w:noWrap/>
            <w:hideMark/>
          </w:tcPr>
          <w:p w14:paraId="735C4686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52,5</w:t>
            </w:r>
          </w:p>
        </w:tc>
        <w:tc>
          <w:tcPr>
            <w:tcW w:w="390" w:type="dxa"/>
            <w:noWrap/>
            <w:hideMark/>
          </w:tcPr>
          <w:p w14:paraId="360A7279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F930C3" w14:paraId="49DB0E7D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1179444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409FBD9C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Asociación Empresarial de Acuicultura de España (APROMAR)</w:t>
            </w:r>
          </w:p>
        </w:tc>
        <w:tc>
          <w:tcPr>
            <w:tcW w:w="1927" w:type="dxa"/>
            <w:gridSpan w:val="4"/>
            <w:noWrap/>
            <w:hideMark/>
          </w:tcPr>
          <w:p w14:paraId="4B39D965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47,2</w:t>
            </w:r>
          </w:p>
        </w:tc>
        <w:tc>
          <w:tcPr>
            <w:tcW w:w="390" w:type="dxa"/>
            <w:noWrap/>
            <w:hideMark/>
          </w:tcPr>
          <w:p w14:paraId="0555DBB9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</w:t>
            </w:r>
          </w:p>
        </w:tc>
      </w:tr>
      <w:tr w:rsidR="002C22FB" w:rsidRPr="00F930C3" w14:paraId="0A211389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73C7B9C8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502F2ED5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AIR EUROPA</w:t>
            </w:r>
          </w:p>
        </w:tc>
        <w:tc>
          <w:tcPr>
            <w:tcW w:w="1927" w:type="dxa"/>
            <w:gridSpan w:val="4"/>
            <w:noWrap/>
            <w:hideMark/>
          </w:tcPr>
          <w:p w14:paraId="3D2480EA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41,7</w:t>
            </w:r>
          </w:p>
        </w:tc>
        <w:tc>
          <w:tcPr>
            <w:tcW w:w="390" w:type="dxa"/>
            <w:noWrap/>
            <w:hideMark/>
          </w:tcPr>
          <w:p w14:paraId="3C725B30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</w:t>
            </w:r>
          </w:p>
        </w:tc>
      </w:tr>
      <w:tr w:rsidR="002C22FB" w:rsidRPr="00F930C3" w14:paraId="7CA1A6E5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31F7331B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73705F75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MEGASA Siderúrgica, S.L.</w:t>
            </w:r>
          </w:p>
        </w:tc>
        <w:tc>
          <w:tcPr>
            <w:tcW w:w="1927" w:type="dxa"/>
            <w:gridSpan w:val="4"/>
            <w:noWrap/>
            <w:hideMark/>
          </w:tcPr>
          <w:p w14:paraId="390B04BD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39,7</w:t>
            </w:r>
          </w:p>
        </w:tc>
        <w:tc>
          <w:tcPr>
            <w:tcW w:w="390" w:type="dxa"/>
            <w:noWrap/>
            <w:hideMark/>
          </w:tcPr>
          <w:p w14:paraId="76C19C9A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F930C3" w14:paraId="09FAABA8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608C8F35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0B5ED360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Fundación Naturaleza y Hombre</w:t>
            </w:r>
          </w:p>
        </w:tc>
        <w:tc>
          <w:tcPr>
            <w:tcW w:w="1927" w:type="dxa"/>
            <w:gridSpan w:val="4"/>
            <w:noWrap/>
            <w:hideMark/>
          </w:tcPr>
          <w:p w14:paraId="4FDFCBA9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27,6</w:t>
            </w:r>
          </w:p>
        </w:tc>
        <w:tc>
          <w:tcPr>
            <w:tcW w:w="390" w:type="dxa"/>
            <w:noWrap/>
            <w:hideMark/>
          </w:tcPr>
          <w:p w14:paraId="5794FEAA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2C22FB" w:rsidRPr="00F930C3" w14:paraId="66F853E1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70981515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156DCAA8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Universidad Camilo José Cela</w:t>
            </w:r>
          </w:p>
        </w:tc>
        <w:tc>
          <w:tcPr>
            <w:tcW w:w="1927" w:type="dxa"/>
            <w:gridSpan w:val="4"/>
            <w:noWrap/>
            <w:hideMark/>
          </w:tcPr>
          <w:p w14:paraId="3004449B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26,5</w:t>
            </w:r>
          </w:p>
        </w:tc>
        <w:tc>
          <w:tcPr>
            <w:tcW w:w="390" w:type="dxa"/>
            <w:noWrap/>
            <w:hideMark/>
          </w:tcPr>
          <w:p w14:paraId="2EC8C347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</w:t>
            </w:r>
          </w:p>
        </w:tc>
      </w:tr>
      <w:tr w:rsidR="002C22FB" w:rsidRPr="00F930C3" w14:paraId="6386A9EA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5FB6DDD1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0568772B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UBE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Corporation</w:t>
            </w:r>
            <w:proofErr w:type="spellEnd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Europe</w:t>
            </w:r>
            <w:proofErr w:type="spellEnd"/>
          </w:p>
        </w:tc>
        <w:tc>
          <w:tcPr>
            <w:tcW w:w="1927" w:type="dxa"/>
            <w:gridSpan w:val="4"/>
            <w:noWrap/>
            <w:hideMark/>
          </w:tcPr>
          <w:p w14:paraId="13B050BD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24,5</w:t>
            </w:r>
          </w:p>
        </w:tc>
        <w:tc>
          <w:tcPr>
            <w:tcW w:w="390" w:type="dxa"/>
            <w:noWrap/>
            <w:hideMark/>
          </w:tcPr>
          <w:p w14:paraId="6E162B43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tr w:rsidR="002C22FB" w:rsidRPr="00F930C3" w14:paraId="57024D38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0316A86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42D05B77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Sidenor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Forgings&amp;Castings</w:t>
            </w:r>
            <w:proofErr w:type="spellEnd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27" w:type="dxa"/>
            <w:gridSpan w:val="4"/>
            <w:noWrap/>
            <w:hideMark/>
          </w:tcPr>
          <w:p w14:paraId="4E51B454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21,4</w:t>
            </w:r>
          </w:p>
        </w:tc>
        <w:tc>
          <w:tcPr>
            <w:tcW w:w="390" w:type="dxa"/>
            <w:noWrap/>
            <w:hideMark/>
          </w:tcPr>
          <w:p w14:paraId="2F7FDB06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2C22FB" w:rsidRPr="00F930C3" w14:paraId="4D5682E1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0E594798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121C5B6D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 xml:space="preserve">SOFIDEL </w:t>
            </w:r>
            <w:proofErr w:type="spellStart"/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1927" w:type="dxa"/>
            <w:gridSpan w:val="4"/>
            <w:noWrap/>
            <w:hideMark/>
          </w:tcPr>
          <w:p w14:paraId="64EC29D4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18,4</w:t>
            </w:r>
          </w:p>
        </w:tc>
        <w:tc>
          <w:tcPr>
            <w:tcW w:w="390" w:type="dxa"/>
            <w:noWrap/>
            <w:hideMark/>
          </w:tcPr>
          <w:p w14:paraId="530DA3EC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11</w:t>
            </w:r>
          </w:p>
        </w:tc>
      </w:tr>
      <w:tr w:rsidR="002C22FB" w:rsidRPr="00F930C3" w14:paraId="0EC1FA9D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0AE7CC08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798AFDA9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Barna Steel</w:t>
            </w:r>
          </w:p>
        </w:tc>
        <w:tc>
          <w:tcPr>
            <w:tcW w:w="1927" w:type="dxa"/>
            <w:gridSpan w:val="4"/>
            <w:noWrap/>
            <w:hideMark/>
          </w:tcPr>
          <w:p w14:paraId="6432236B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14,3</w:t>
            </w:r>
          </w:p>
        </w:tc>
        <w:tc>
          <w:tcPr>
            <w:tcW w:w="390" w:type="dxa"/>
            <w:noWrap/>
            <w:hideMark/>
          </w:tcPr>
          <w:p w14:paraId="7285B6C8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F930C3" w14:paraId="6405D5AF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2B81880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2B90BA92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Federación Católica Española de Servicios a la Juventud Femenina</w:t>
            </w:r>
          </w:p>
        </w:tc>
        <w:tc>
          <w:tcPr>
            <w:tcW w:w="1927" w:type="dxa"/>
            <w:gridSpan w:val="4"/>
            <w:noWrap/>
            <w:hideMark/>
          </w:tcPr>
          <w:p w14:paraId="6A52453C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12,2</w:t>
            </w:r>
          </w:p>
        </w:tc>
        <w:tc>
          <w:tcPr>
            <w:tcW w:w="390" w:type="dxa"/>
            <w:noWrap/>
            <w:hideMark/>
          </w:tcPr>
          <w:p w14:paraId="7136F299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F930C3" w14:paraId="104BDC14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EE38F63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0B00A9A0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ADAMO Telecom Iberia</w:t>
            </w:r>
          </w:p>
        </w:tc>
        <w:tc>
          <w:tcPr>
            <w:tcW w:w="1927" w:type="dxa"/>
            <w:gridSpan w:val="4"/>
            <w:noWrap/>
            <w:hideMark/>
          </w:tcPr>
          <w:p w14:paraId="33781EBD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390" w:type="dxa"/>
            <w:noWrap/>
            <w:hideMark/>
          </w:tcPr>
          <w:p w14:paraId="22401AAB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2C22FB" w:rsidRPr="00F930C3" w14:paraId="1772A796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4946A975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36DFBE34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SAMPOL Ingeniería y obras</w:t>
            </w:r>
          </w:p>
        </w:tc>
        <w:tc>
          <w:tcPr>
            <w:tcW w:w="1927" w:type="dxa"/>
            <w:gridSpan w:val="4"/>
            <w:noWrap/>
            <w:hideMark/>
          </w:tcPr>
          <w:p w14:paraId="40909C6B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390" w:type="dxa"/>
            <w:noWrap/>
            <w:hideMark/>
          </w:tcPr>
          <w:p w14:paraId="06CD924F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13</w:t>
            </w:r>
          </w:p>
        </w:tc>
      </w:tr>
      <w:tr w:rsidR="002C22FB" w:rsidRPr="00F930C3" w14:paraId="1A4BDF70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2493D287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56003EE3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Industrias de Tecnologías Aplicadas de Refrigeración y Conservación, SL (INTARCON)</w:t>
            </w:r>
          </w:p>
        </w:tc>
        <w:tc>
          <w:tcPr>
            <w:tcW w:w="1927" w:type="dxa"/>
            <w:gridSpan w:val="4"/>
            <w:noWrap/>
            <w:hideMark/>
          </w:tcPr>
          <w:p w14:paraId="62796CFE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390" w:type="dxa"/>
            <w:noWrap/>
            <w:hideMark/>
          </w:tcPr>
          <w:p w14:paraId="67574701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</w:t>
            </w:r>
          </w:p>
        </w:tc>
      </w:tr>
      <w:tr w:rsidR="002C22FB" w:rsidRPr="00F930C3" w14:paraId="7A3A3EEC" w14:textId="77777777" w:rsidTr="002C22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6BC778A4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5E6C2B2E" w14:textId="77777777" w:rsidR="002C22FB" w:rsidRPr="00F930C3" w:rsidRDefault="002C22FB" w:rsidP="00C234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Asociación Productores Mejillón de Galicia</w:t>
            </w:r>
          </w:p>
        </w:tc>
        <w:tc>
          <w:tcPr>
            <w:tcW w:w="1927" w:type="dxa"/>
            <w:gridSpan w:val="4"/>
            <w:noWrap/>
            <w:hideMark/>
          </w:tcPr>
          <w:p w14:paraId="76C16A6F" w14:textId="77777777" w:rsidR="002C22FB" w:rsidRPr="00F930C3" w:rsidRDefault="002C22FB" w:rsidP="002C2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390" w:type="dxa"/>
            <w:noWrap/>
            <w:hideMark/>
          </w:tcPr>
          <w:p w14:paraId="751D25A6" w14:textId="77777777" w:rsidR="002C22FB" w:rsidRPr="00F930C3" w:rsidRDefault="002C22FB" w:rsidP="00C234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</w:t>
            </w:r>
          </w:p>
        </w:tc>
      </w:tr>
      <w:tr w:rsidR="002C22FB" w:rsidRPr="00F930C3" w14:paraId="286D3922" w14:textId="77777777" w:rsidTr="002C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vMerge/>
          </w:tcPr>
          <w:p w14:paraId="278CDA0C" w14:textId="77777777" w:rsidR="002C22FB" w:rsidRPr="00F930C3" w:rsidRDefault="002C22FB" w:rsidP="00C2343E">
            <w:pPr>
              <w:jc w:val="lef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91" w:type="dxa"/>
            <w:noWrap/>
            <w:hideMark/>
          </w:tcPr>
          <w:p w14:paraId="6195D101" w14:textId="77777777" w:rsidR="002C22FB" w:rsidRPr="00F930C3" w:rsidRDefault="002C22FB" w:rsidP="00C2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Smurfit Kappa Nervión</w:t>
            </w:r>
          </w:p>
        </w:tc>
        <w:tc>
          <w:tcPr>
            <w:tcW w:w="1927" w:type="dxa"/>
            <w:gridSpan w:val="4"/>
            <w:noWrap/>
            <w:hideMark/>
          </w:tcPr>
          <w:p w14:paraId="4B7FFA9D" w14:textId="77777777" w:rsidR="002C22FB" w:rsidRPr="00F930C3" w:rsidRDefault="002C22FB" w:rsidP="002C2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6,6</w:t>
            </w:r>
          </w:p>
        </w:tc>
        <w:tc>
          <w:tcPr>
            <w:tcW w:w="390" w:type="dxa"/>
            <w:noWrap/>
            <w:hideMark/>
          </w:tcPr>
          <w:p w14:paraId="07BE3E6B" w14:textId="77777777" w:rsidR="002C22FB" w:rsidRPr="00F930C3" w:rsidRDefault="002C22FB" w:rsidP="00C234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930C3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</w:t>
            </w:r>
          </w:p>
        </w:tc>
      </w:tr>
      <w:bookmarkEnd w:id="31"/>
    </w:tbl>
    <w:p w14:paraId="013591EA" w14:textId="7B00F729" w:rsidR="00C2343E" w:rsidRPr="00844B6A" w:rsidRDefault="00C2343E" w:rsidP="00844B6A"/>
    <w:sectPr w:rsidR="00C2343E" w:rsidRPr="00844B6A" w:rsidSect="00A85989">
      <w:headerReference w:type="default" r:id="rId14"/>
      <w:footerReference w:type="even" r:id="rId15"/>
      <w:footerReference w:type="default" r:id="rId16"/>
      <w:pgSz w:w="11907" w:h="16839"/>
      <w:pgMar w:top="1440" w:right="1418" w:bottom="1440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3282" w14:textId="77777777" w:rsidR="00AB0625" w:rsidRDefault="00AB0625">
      <w:pPr>
        <w:spacing w:after="0" w:line="240" w:lineRule="auto"/>
      </w:pPr>
      <w:r>
        <w:separator/>
      </w:r>
    </w:p>
  </w:endnote>
  <w:endnote w:type="continuationSeparator" w:id="0">
    <w:p w14:paraId="4CA24BEA" w14:textId="77777777" w:rsidR="00AB0625" w:rsidRDefault="00AB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AF7E" w14:textId="77777777" w:rsidR="00C2343E" w:rsidRDefault="00CA1E67" w:rsidP="00D8384C">
    <w:pPr>
      <w:jc w:val="right"/>
    </w:pPr>
    <w:r>
      <w:fldChar w:fldCharType="begin"/>
    </w:r>
    <w:r>
      <w:instrText>PAGE   \* MERGEFORMAT</w:instrText>
    </w:r>
    <w:r>
      <w:fldChar w:fldCharType="separate"/>
    </w:r>
    <w:r w:rsidR="002C22FB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6514" w14:textId="77777777" w:rsidR="00C2343E" w:rsidRPr="008876B2" w:rsidRDefault="00CA1E67" w:rsidP="004C195D">
    <w:pPr>
      <w:ind w:right="-852"/>
      <w:jc w:val="right"/>
    </w:pPr>
    <w:r>
      <w:fldChar w:fldCharType="begin"/>
    </w:r>
    <w:r>
      <w:instrText>PAGE   \* MERGEFORMAT</w:instrText>
    </w:r>
    <w:r>
      <w:fldChar w:fldCharType="separate"/>
    </w:r>
    <w:r w:rsidR="002C22FB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2426" w14:textId="77777777" w:rsidR="00AB0625" w:rsidRDefault="00AB0625">
      <w:pPr>
        <w:spacing w:after="0" w:line="240" w:lineRule="auto"/>
      </w:pPr>
      <w:r>
        <w:separator/>
      </w:r>
    </w:p>
  </w:footnote>
  <w:footnote w:type="continuationSeparator" w:id="0">
    <w:p w14:paraId="1DD0455C" w14:textId="77777777" w:rsidR="00AB0625" w:rsidRDefault="00AB0625">
      <w:pPr>
        <w:spacing w:after="0" w:line="240" w:lineRule="auto"/>
      </w:pPr>
      <w:r>
        <w:continuationSeparator/>
      </w:r>
    </w:p>
  </w:footnote>
  <w:footnote w:id="1">
    <w:p w14:paraId="1A796ADC" w14:textId="77777777" w:rsidR="00C2343E" w:rsidRPr="007578DA" w:rsidRDefault="00C2343E" w:rsidP="00015DB5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 w:rsidRPr="007578DA">
        <w:rPr>
          <w:sz w:val="16"/>
          <w:szCs w:val="16"/>
        </w:rPr>
        <w:t>Metodología de Evaluación y Seguimiento de la Transparencia en la Actividad Pública</w:t>
      </w:r>
    </w:p>
  </w:footnote>
  <w:footnote w:id="2">
    <w:p w14:paraId="3F053797" w14:textId="77777777" w:rsidR="00C2343E" w:rsidRDefault="00C2343E" w:rsidP="00217D60">
      <w:pPr>
        <w:pStyle w:val="Textonotapie"/>
      </w:pPr>
      <w:r>
        <w:rPr>
          <w:rStyle w:val="Refdenotaalpie"/>
        </w:rPr>
        <w:footnoteRef/>
      </w:r>
      <w:r>
        <w:t xml:space="preserve"> Sujetos públicos: Entidades integrantes del Sector Público Institucional Estatal.</w:t>
      </w:r>
    </w:p>
  </w:footnote>
  <w:footnote w:id="3">
    <w:p w14:paraId="46326223" w14:textId="77777777" w:rsidR="00C2343E" w:rsidRDefault="00C2343E" w:rsidP="00217D60">
      <w:pPr>
        <w:pStyle w:val="Textonotapie"/>
      </w:pPr>
      <w:r>
        <w:rPr>
          <w:rStyle w:val="Refdenotaalpie"/>
        </w:rPr>
        <w:footnoteRef/>
      </w:r>
      <w:r>
        <w:t xml:space="preserve"> Sujetos privados: Entidades perceptoras de subvenciones y ayudas públicas.</w:t>
      </w:r>
    </w:p>
  </w:footnote>
  <w:footnote w:id="4">
    <w:p w14:paraId="15EBC118" w14:textId="77777777" w:rsidR="00C2343E" w:rsidRDefault="00C2343E">
      <w:pPr>
        <w:pStyle w:val="Textonotapie"/>
      </w:pPr>
      <w:r>
        <w:rPr>
          <w:rStyle w:val="Refdenotaalpie"/>
        </w:rPr>
        <w:footnoteRef/>
      </w:r>
      <w:r>
        <w:t xml:space="preserve"> A pesar de ello, en 2025 se han observado nuevos incumplimientos por parte de</w:t>
      </w:r>
      <w:r w:rsidRPr="00061DE4">
        <w:t xml:space="preserve"> alguna</w:t>
      </w:r>
      <w:r>
        <w:t>s</w:t>
      </w:r>
      <w:r w:rsidRPr="00061DE4">
        <w:t xml:space="preserve"> de estas entidades </w:t>
      </w:r>
      <w:r>
        <w:t xml:space="preserve">que fueron señalados en el correspondiente informe de evaluación. </w:t>
      </w:r>
    </w:p>
  </w:footnote>
  <w:footnote w:id="5">
    <w:p w14:paraId="105B6A2C" w14:textId="77777777" w:rsidR="00C2343E" w:rsidRDefault="00C2343E">
      <w:pPr>
        <w:pStyle w:val="Textonotapie"/>
      </w:pPr>
      <w:r>
        <w:rPr>
          <w:rStyle w:val="Refdenotaalpie"/>
        </w:rPr>
        <w:footnoteRef/>
      </w:r>
      <w:r>
        <w:t xml:space="preserve"> Se recuerda que estos niveles se fijaron en el 75%.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216E" w14:textId="77777777" w:rsidR="00C2343E" w:rsidRPr="008876B2" w:rsidRDefault="00C2343E" w:rsidP="00D74601">
    <w:pPr>
      <w:pStyle w:val="Listaconvietas"/>
      <w:numPr>
        <w:ilvl w:val="0"/>
        <w:numId w:val="0"/>
      </w:numPr>
      <w:ind w:lef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381D09" wp14:editId="13BED18B">
          <wp:simplePos x="0" y="0"/>
          <wp:positionH relativeFrom="margin">
            <wp:posOffset>-29210</wp:posOffset>
          </wp:positionH>
          <wp:positionV relativeFrom="paragraph">
            <wp:posOffset>-195359</wp:posOffset>
          </wp:positionV>
          <wp:extent cx="1750434" cy="378973"/>
          <wp:effectExtent l="0" t="0" r="2540" b="2540"/>
          <wp:wrapNone/>
          <wp:docPr id="11" name="Imagen 11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8" type="#_x0000_t75" style="width:11.25pt;height:11.25pt" o:bullet="t">
        <v:imagedata r:id="rId1" o:title="BD14529_"/>
      </v:shape>
    </w:pict>
  </w:numPicBullet>
  <w:numPicBullet w:numPicBulletId="1">
    <w:pict>
      <v:shape id="_x0000_i1479" type="#_x0000_t75" style="width:11.25pt;height:11.25pt" o:bullet="t">
        <v:imagedata r:id="rId2" o:title="BD14529_"/>
      </v:shape>
    </w:pict>
  </w:numPicBullet>
  <w:abstractNum w:abstractNumId="0" w15:restartNumberingAfterBreak="0">
    <w:nsid w:val="FFFFFF89"/>
    <w:multiLevelType w:val="singleLevel"/>
    <w:tmpl w:val="4FD4F5F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55970"/>
    <w:multiLevelType w:val="hybridMultilevel"/>
    <w:tmpl w:val="26F87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543"/>
    <w:multiLevelType w:val="hybridMultilevel"/>
    <w:tmpl w:val="23060180"/>
    <w:lvl w:ilvl="0" w:tplc="CD246B4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4" w15:restartNumberingAfterBreak="0">
    <w:nsid w:val="12796372"/>
    <w:multiLevelType w:val="hybridMultilevel"/>
    <w:tmpl w:val="386E4C6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593"/>
    <w:multiLevelType w:val="hybridMultilevel"/>
    <w:tmpl w:val="D2D863D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E37"/>
    <w:multiLevelType w:val="hybridMultilevel"/>
    <w:tmpl w:val="5B8455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35C99"/>
    <w:multiLevelType w:val="hybridMultilevel"/>
    <w:tmpl w:val="4B90225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9" w15:restartNumberingAfterBreak="0">
    <w:nsid w:val="43303F17"/>
    <w:multiLevelType w:val="hybridMultilevel"/>
    <w:tmpl w:val="4000B040"/>
    <w:lvl w:ilvl="0" w:tplc="A6C45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206D"/>
    <w:multiLevelType w:val="hybridMultilevel"/>
    <w:tmpl w:val="408236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94F04"/>
    <w:multiLevelType w:val="hybridMultilevel"/>
    <w:tmpl w:val="202EF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17DD0"/>
    <w:multiLevelType w:val="hybridMultilevel"/>
    <w:tmpl w:val="313AEDD8"/>
    <w:lvl w:ilvl="0" w:tplc="31D05BF8">
      <w:start w:val="4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30C00"/>
    <w:multiLevelType w:val="hybridMultilevel"/>
    <w:tmpl w:val="29D65EEC"/>
    <w:lvl w:ilvl="0" w:tplc="1AA80FB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C1FC0"/>
    <w:multiLevelType w:val="hybridMultilevel"/>
    <w:tmpl w:val="152EF1B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70A48"/>
    <w:multiLevelType w:val="hybridMultilevel"/>
    <w:tmpl w:val="60F65B56"/>
    <w:lvl w:ilvl="0" w:tplc="59F6C5FA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505FE"/>
    <w:multiLevelType w:val="hybridMultilevel"/>
    <w:tmpl w:val="DA3CC5C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20CBC"/>
    <w:multiLevelType w:val="hybridMultilevel"/>
    <w:tmpl w:val="58AA0882"/>
    <w:lvl w:ilvl="0" w:tplc="487414D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1C5E"/>
    <w:multiLevelType w:val="hybridMultilevel"/>
    <w:tmpl w:val="E86039E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46715"/>
    <w:multiLevelType w:val="hybridMultilevel"/>
    <w:tmpl w:val="FE86EEA0"/>
    <w:lvl w:ilvl="0" w:tplc="98ACA4F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19"/>
  </w:num>
  <w:num w:numId="14">
    <w:abstractNumId w:val="11"/>
  </w:num>
  <w:num w:numId="15">
    <w:abstractNumId w:val="18"/>
  </w:num>
  <w:num w:numId="16">
    <w:abstractNumId w:val="13"/>
  </w:num>
  <w:num w:numId="17">
    <w:abstractNumId w:val="1"/>
  </w:num>
  <w:num w:numId="18">
    <w:abstractNumId w:val="2"/>
  </w:num>
  <w:num w:numId="19">
    <w:abstractNumId w:val="12"/>
  </w:num>
  <w:num w:numId="20">
    <w:abstractNumId w:val="7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2"/>
    <w:rsid w:val="00000640"/>
    <w:rsid w:val="000010A9"/>
    <w:rsid w:val="0000250A"/>
    <w:rsid w:val="000037FE"/>
    <w:rsid w:val="00004452"/>
    <w:rsid w:val="00004544"/>
    <w:rsid w:val="00004C10"/>
    <w:rsid w:val="00004C5D"/>
    <w:rsid w:val="00005A5E"/>
    <w:rsid w:val="00005E89"/>
    <w:rsid w:val="000076D8"/>
    <w:rsid w:val="00015DB5"/>
    <w:rsid w:val="00015E4D"/>
    <w:rsid w:val="00016CE5"/>
    <w:rsid w:val="000200DB"/>
    <w:rsid w:val="00020673"/>
    <w:rsid w:val="00022692"/>
    <w:rsid w:val="00023922"/>
    <w:rsid w:val="0002440D"/>
    <w:rsid w:val="00026A1D"/>
    <w:rsid w:val="00026FF9"/>
    <w:rsid w:val="000302F6"/>
    <w:rsid w:val="00032714"/>
    <w:rsid w:val="00033C6B"/>
    <w:rsid w:val="00034592"/>
    <w:rsid w:val="00036A50"/>
    <w:rsid w:val="000405C4"/>
    <w:rsid w:val="00040795"/>
    <w:rsid w:val="00040B97"/>
    <w:rsid w:val="000449CB"/>
    <w:rsid w:val="00045A16"/>
    <w:rsid w:val="0004614D"/>
    <w:rsid w:val="000467A9"/>
    <w:rsid w:val="00047055"/>
    <w:rsid w:val="00047DDB"/>
    <w:rsid w:val="00047ECA"/>
    <w:rsid w:val="00053524"/>
    <w:rsid w:val="00053BF4"/>
    <w:rsid w:val="00055C47"/>
    <w:rsid w:val="0005780A"/>
    <w:rsid w:val="00061DE4"/>
    <w:rsid w:val="000632E4"/>
    <w:rsid w:val="0007016E"/>
    <w:rsid w:val="00071449"/>
    <w:rsid w:val="00071603"/>
    <w:rsid w:val="000730B3"/>
    <w:rsid w:val="00075A74"/>
    <w:rsid w:val="00075F1C"/>
    <w:rsid w:val="0007763C"/>
    <w:rsid w:val="00077CDF"/>
    <w:rsid w:val="0008061C"/>
    <w:rsid w:val="00083D3C"/>
    <w:rsid w:val="00087142"/>
    <w:rsid w:val="00087271"/>
    <w:rsid w:val="00090A3E"/>
    <w:rsid w:val="000910A1"/>
    <w:rsid w:val="00092B6B"/>
    <w:rsid w:val="00095E18"/>
    <w:rsid w:val="0009657B"/>
    <w:rsid w:val="000A1C68"/>
    <w:rsid w:val="000A28A4"/>
    <w:rsid w:val="000A3607"/>
    <w:rsid w:val="000A796A"/>
    <w:rsid w:val="000B0027"/>
    <w:rsid w:val="000B4CF5"/>
    <w:rsid w:val="000B511A"/>
    <w:rsid w:val="000B5A54"/>
    <w:rsid w:val="000C0689"/>
    <w:rsid w:val="000C1FEA"/>
    <w:rsid w:val="000C2106"/>
    <w:rsid w:val="000C3439"/>
    <w:rsid w:val="000C37F6"/>
    <w:rsid w:val="000C3B7C"/>
    <w:rsid w:val="000C4A0A"/>
    <w:rsid w:val="000C6A14"/>
    <w:rsid w:val="000C6DA6"/>
    <w:rsid w:val="000C7CFC"/>
    <w:rsid w:val="000C7EEB"/>
    <w:rsid w:val="000D057F"/>
    <w:rsid w:val="000D2D73"/>
    <w:rsid w:val="000D2D9C"/>
    <w:rsid w:val="000D3800"/>
    <w:rsid w:val="000D5243"/>
    <w:rsid w:val="000E0645"/>
    <w:rsid w:val="000E1511"/>
    <w:rsid w:val="000E21A9"/>
    <w:rsid w:val="000E3542"/>
    <w:rsid w:val="000E74F3"/>
    <w:rsid w:val="000F0264"/>
    <w:rsid w:val="000F02B2"/>
    <w:rsid w:val="000F22B5"/>
    <w:rsid w:val="000F3CFB"/>
    <w:rsid w:val="000F41A7"/>
    <w:rsid w:val="000F4388"/>
    <w:rsid w:val="000F53BA"/>
    <w:rsid w:val="000F5663"/>
    <w:rsid w:val="000F6C27"/>
    <w:rsid w:val="000F7251"/>
    <w:rsid w:val="001004EC"/>
    <w:rsid w:val="00100B3A"/>
    <w:rsid w:val="00100FDC"/>
    <w:rsid w:val="00101552"/>
    <w:rsid w:val="001015E0"/>
    <w:rsid w:val="0010175B"/>
    <w:rsid w:val="00104507"/>
    <w:rsid w:val="001048E0"/>
    <w:rsid w:val="001060D5"/>
    <w:rsid w:val="0011009F"/>
    <w:rsid w:val="001138BF"/>
    <w:rsid w:val="00115009"/>
    <w:rsid w:val="00115E70"/>
    <w:rsid w:val="001160E2"/>
    <w:rsid w:val="00120441"/>
    <w:rsid w:val="00122885"/>
    <w:rsid w:val="00122BAC"/>
    <w:rsid w:val="00124108"/>
    <w:rsid w:val="00124764"/>
    <w:rsid w:val="00124F8A"/>
    <w:rsid w:val="00125A53"/>
    <w:rsid w:val="00131645"/>
    <w:rsid w:val="001317A1"/>
    <w:rsid w:val="001339EC"/>
    <w:rsid w:val="0013700C"/>
    <w:rsid w:val="00141DBA"/>
    <w:rsid w:val="0014400F"/>
    <w:rsid w:val="0014410F"/>
    <w:rsid w:val="00144B18"/>
    <w:rsid w:val="00144D75"/>
    <w:rsid w:val="00144DA6"/>
    <w:rsid w:val="00145A25"/>
    <w:rsid w:val="00146232"/>
    <w:rsid w:val="00146504"/>
    <w:rsid w:val="001472E1"/>
    <w:rsid w:val="0014740D"/>
    <w:rsid w:val="00152FBA"/>
    <w:rsid w:val="001534DD"/>
    <w:rsid w:val="001551A7"/>
    <w:rsid w:val="00155D0B"/>
    <w:rsid w:val="00162318"/>
    <w:rsid w:val="00162677"/>
    <w:rsid w:val="00162C20"/>
    <w:rsid w:val="00165721"/>
    <w:rsid w:val="00166516"/>
    <w:rsid w:val="00167A54"/>
    <w:rsid w:val="00167E4C"/>
    <w:rsid w:val="001712BA"/>
    <w:rsid w:val="00174824"/>
    <w:rsid w:val="00174861"/>
    <w:rsid w:val="001752CA"/>
    <w:rsid w:val="00181303"/>
    <w:rsid w:val="00183185"/>
    <w:rsid w:val="001832B6"/>
    <w:rsid w:val="00186CB9"/>
    <w:rsid w:val="0019120F"/>
    <w:rsid w:val="001939C5"/>
    <w:rsid w:val="00195AA0"/>
    <w:rsid w:val="00195B99"/>
    <w:rsid w:val="001963A1"/>
    <w:rsid w:val="00196E57"/>
    <w:rsid w:val="001B2A22"/>
    <w:rsid w:val="001B45B7"/>
    <w:rsid w:val="001B538A"/>
    <w:rsid w:val="001B5750"/>
    <w:rsid w:val="001C07E7"/>
    <w:rsid w:val="001C0ECE"/>
    <w:rsid w:val="001C117D"/>
    <w:rsid w:val="001C5432"/>
    <w:rsid w:val="001D1C55"/>
    <w:rsid w:val="001D1FA3"/>
    <w:rsid w:val="001D3275"/>
    <w:rsid w:val="001D334F"/>
    <w:rsid w:val="001D364C"/>
    <w:rsid w:val="001D3C6A"/>
    <w:rsid w:val="001D5FAD"/>
    <w:rsid w:val="001D7150"/>
    <w:rsid w:val="001E11D9"/>
    <w:rsid w:val="001E280F"/>
    <w:rsid w:val="001E2C39"/>
    <w:rsid w:val="001E40D9"/>
    <w:rsid w:val="001E498D"/>
    <w:rsid w:val="001E62B5"/>
    <w:rsid w:val="001E6FA6"/>
    <w:rsid w:val="001E7F43"/>
    <w:rsid w:val="001F3962"/>
    <w:rsid w:val="001F3FB4"/>
    <w:rsid w:val="001F44BF"/>
    <w:rsid w:val="001F6BA4"/>
    <w:rsid w:val="00200544"/>
    <w:rsid w:val="00205084"/>
    <w:rsid w:val="00205723"/>
    <w:rsid w:val="00207254"/>
    <w:rsid w:val="00207D64"/>
    <w:rsid w:val="002136D7"/>
    <w:rsid w:val="002143D4"/>
    <w:rsid w:val="00215E13"/>
    <w:rsid w:val="00216D63"/>
    <w:rsid w:val="0021780C"/>
    <w:rsid w:val="00217D60"/>
    <w:rsid w:val="002214F5"/>
    <w:rsid w:val="0022471D"/>
    <w:rsid w:val="002313A7"/>
    <w:rsid w:val="00232B29"/>
    <w:rsid w:val="002331B9"/>
    <w:rsid w:val="0023356C"/>
    <w:rsid w:val="00235A5B"/>
    <w:rsid w:val="00241544"/>
    <w:rsid w:val="00241F94"/>
    <w:rsid w:val="00242810"/>
    <w:rsid w:val="0024428C"/>
    <w:rsid w:val="002443BF"/>
    <w:rsid w:val="002453E8"/>
    <w:rsid w:val="002456B0"/>
    <w:rsid w:val="00246847"/>
    <w:rsid w:val="00247158"/>
    <w:rsid w:val="00247E8E"/>
    <w:rsid w:val="00253C0B"/>
    <w:rsid w:val="0025449D"/>
    <w:rsid w:val="00254A2C"/>
    <w:rsid w:val="00255EC4"/>
    <w:rsid w:val="002570CD"/>
    <w:rsid w:val="0026084F"/>
    <w:rsid w:val="002611CD"/>
    <w:rsid w:val="0026153E"/>
    <w:rsid w:val="00262150"/>
    <w:rsid w:val="00263027"/>
    <w:rsid w:val="00263098"/>
    <w:rsid w:val="00263287"/>
    <w:rsid w:val="002652DB"/>
    <w:rsid w:val="00265B07"/>
    <w:rsid w:val="00266F5F"/>
    <w:rsid w:val="00270D2A"/>
    <w:rsid w:val="00271793"/>
    <w:rsid w:val="00272614"/>
    <w:rsid w:val="0027311B"/>
    <w:rsid w:val="002739C3"/>
    <w:rsid w:val="00274A64"/>
    <w:rsid w:val="002752D5"/>
    <w:rsid w:val="00277C4C"/>
    <w:rsid w:val="0028182A"/>
    <w:rsid w:val="00281D5B"/>
    <w:rsid w:val="002821A1"/>
    <w:rsid w:val="00283DCC"/>
    <w:rsid w:val="00286180"/>
    <w:rsid w:val="0028680F"/>
    <w:rsid w:val="00287AFC"/>
    <w:rsid w:val="0029725B"/>
    <w:rsid w:val="002A2410"/>
    <w:rsid w:val="002A2EDA"/>
    <w:rsid w:val="002A63CB"/>
    <w:rsid w:val="002A78E7"/>
    <w:rsid w:val="002B3243"/>
    <w:rsid w:val="002B5A11"/>
    <w:rsid w:val="002B5BB5"/>
    <w:rsid w:val="002B7466"/>
    <w:rsid w:val="002C22FB"/>
    <w:rsid w:val="002C2954"/>
    <w:rsid w:val="002C5AAC"/>
    <w:rsid w:val="002D19C2"/>
    <w:rsid w:val="002D2A9A"/>
    <w:rsid w:val="002D79CB"/>
    <w:rsid w:val="002D79EE"/>
    <w:rsid w:val="002E31AA"/>
    <w:rsid w:val="002E3E78"/>
    <w:rsid w:val="002E428C"/>
    <w:rsid w:val="002E5414"/>
    <w:rsid w:val="002F0C35"/>
    <w:rsid w:val="002F2CAA"/>
    <w:rsid w:val="002F3910"/>
    <w:rsid w:val="002F4D73"/>
    <w:rsid w:val="002F67C6"/>
    <w:rsid w:val="002F71A3"/>
    <w:rsid w:val="003005AA"/>
    <w:rsid w:val="0030146A"/>
    <w:rsid w:val="0030286C"/>
    <w:rsid w:val="00302DBB"/>
    <w:rsid w:val="00305E29"/>
    <w:rsid w:val="0031284F"/>
    <w:rsid w:val="003156BF"/>
    <w:rsid w:val="00315799"/>
    <w:rsid w:val="003211CA"/>
    <w:rsid w:val="003220BF"/>
    <w:rsid w:val="003256DE"/>
    <w:rsid w:val="00330AA4"/>
    <w:rsid w:val="00331AD4"/>
    <w:rsid w:val="00331BD0"/>
    <w:rsid w:val="00337289"/>
    <w:rsid w:val="00340C68"/>
    <w:rsid w:val="00341355"/>
    <w:rsid w:val="00342EA2"/>
    <w:rsid w:val="0034357D"/>
    <w:rsid w:val="0034381D"/>
    <w:rsid w:val="0034525E"/>
    <w:rsid w:val="00345ABD"/>
    <w:rsid w:val="00345B1E"/>
    <w:rsid w:val="00345B5A"/>
    <w:rsid w:val="00347B88"/>
    <w:rsid w:val="0035203D"/>
    <w:rsid w:val="00352180"/>
    <w:rsid w:val="003530A1"/>
    <w:rsid w:val="00353E31"/>
    <w:rsid w:val="003549D0"/>
    <w:rsid w:val="003553DD"/>
    <w:rsid w:val="00355F1A"/>
    <w:rsid w:val="00360984"/>
    <w:rsid w:val="00360B7A"/>
    <w:rsid w:val="00360C44"/>
    <w:rsid w:val="0036144E"/>
    <w:rsid w:val="00361504"/>
    <w:rsid w:val="003668B9"/>
    <w:rsid w:val="00367F5F"/>
    <w:rsid w:val="0037448E"/>
    <w:rsid w:val="00375B00"/>
    <w:rsid w:val="0037618E"/>
    <w:rsid w:val="00377787"/>
    <w:rsid w:val="003805C3"/>
    <w:rsid w:val="00381193"/>
    <w:rsid w:val="003829E0"/>
    <w:rsid w:val="00384774"/>
    <w:rsid w:val="00391F22"/>
    <w:rsid w:val="00392089"/>
    <w:rsid w:val="00395F26"/>
    <w:rsid w:val="003967D1"/>
    <w:rsid w:val="00397C77"/>
    <w:rsid w:val="003A158D"/>
    <w:rsid w:val="003A573B"/>
    <w:rsid w:val="003A5C81"/>
    <w:rsid w:val="003A61D2"/>
    <w:rsid w:val="003A6B5E"/>
    <w:rsid w:val="003B012E"/>
    <w:rsid w:val="003B18E0"/>
    <w:rsid w:val="003C0E00"/>
    <w:rsid w:val="003C2266"/>
    <w:rsid w:val="003C3FCE"/>
    <w:rsid w:val="003C4162"/>
    <w:rsid w:val="003C5266"/>
    <w:rsid w:val="003C7915"/>
    <w:rsid w:val="003D2339"/>
    <w:rsid w:val="003D2B41"/>
    <w:rsid w:val="003D5691"/>
    <w:rsid w:val="003E0D12"/>
    <w:rsid w:val="003E2FA0"/>
    <w:rsid w:val="003E4333"/>
    <w:rsid w:val="003E4942"/>
    <w:rsid w:val="003E4C36"/>
    <w:rsid w:val="003E5190"/>
    <w:rsid w:val="003E6AE4"/>
    <w:rsid w:val="003E71A0"/>
    <w:rsid w:val="003F10D6"/>
    <w:rsid w:val="003F1417"/>
    <w:rsid w:val="003F6385"/>
    <w:rsid w:val="0040046D"/>
    <w:rsid w:val="0040196E"/>
    <w:rsid w:val="00403203"/>
    <w:rsid w:val="0040479B"/>
    <w:rsid w:val="00405141"/>
    <w:rsid w:val="00406693"/>
    <w:rsid w:val="00406C3D"/>
    <w:rsid w:val="00406DDA"/>
    <w:rsid w:val="004076A8"/>
    <w:rsid w:val="00412C7A"/>
    <w:rsid w:val="00413C4E"/>
    <w:rsid w:val="00413D35"/>
    <w:rsid w:val="00414147"/>
    <w:rsid w:val="00414A5B"/>
    <w:rsid w:val="00415CDA"/>
    <w:rsid w:val="004164ED"/>
    <w:rsid w:val="00416CC3"/>
    <w:rsid w:val="004170B3"/>
    <w:rsid w:val="00417966"/>
    <w:rsid w:val="004202C0"/>
    <w:rsid w:val="00422045"/>
    <w:rsid w:val="004234F7"/>
    <w:rsid w:val="0043114C"/>
    <w:rsid w:val="00444142"/>
    <w:rsid w:val="004452FC"/>
    <w:rsid w:val="004518F0"/>
    <w:rsid w:val="00454377"/>
    <w:rsid w:val="00454F2C"/>
    <w:rsid w:val="00455471"/>
    <w:rsid w:val="00456EEF"/>
    <w:rsid w:val="0046145E"/>
    <w:rsid w:val="004615C2"/>
    <w:rsid w:val="004616A7"/>
    <w:rsid w:val="004620F8"/>
    <w:rsid w:val="00463BE8"/>
    <w:rsid w:val="00466003"/>
    <w:rsid w:val="00470683"/>
    <w:rsid w:val="0047079F"/>
    <w:rsid w:val="0047200F"/>
    <w:rsid w:val="0047212C"/>
    <w:rsid w:val="00473CFD"/>
    <w:rsid w:val="00473D85"/>
    <w:rsid w:val="00475A84"/>
    <w:rsid w:val="00475CDF"/>
    <w:rsid w:val="004767D1"/>
    <w:rsid w:val="00476B57"/>
    <w:rsid w:val="00480932"/>
    <w:rsid w:val="00480E1B"/>
    <w:rsid w:val="0048198B"/>
    <w:rsid w:val="00482FC8"/>
    <w:rsid w:val="00483ABF"/>
    <w:rsid w:val="00483CA9"/>
    <w:rsid w:val="0048420D"/>
    <w:rsid w:val="00484A60"/>
    <w:rsid w:val="004856CF"/>
    <w:rsid w:val="004903E0"/>
    <w:rsid w:val="0049275E"/>
    <w:rsid w:val="00493A3D"/>
    <w:rsid w:val="00495148"/>
    <w:rsid w:val="00497839"/>
    <w:rsid w:val="004A2A8F"/>
    <w:rsid w:val="004A60E2"/>
    <w:rsid w:val="004A6EEA"/>
    <w:rsid w:val="004B337E"/>
    <w:rsid w:val="004B360B"/>
    <w:rsid w:val="004B39EF"/>
    <w:rsid w:val="004B3C2B"/>
    <w:rsid w:val="004B5A06"/>
    <w:rsid w:val="004B5C13"/>
    <w:rsid w:val="004C1204"/>
    <w:rsid w:val="004C195D"/>
    <w:rsid w:val="004C21D3"/>
    <w:rsid w:val="004C2402"/>
    <w:rsid w:val="004C740B"/>
    <w:rsid w:val="004C792C"/>
    <w:rsid w:val="004C7E3A"/>
    <w:rsid w:val="004D2478"/>
    <w:rsid w:val="004D2B35"/>
    <w:rsid w:val="004E0D63"/>
    <w:rsid w:val="004E63FC"/>
    <w:rsid w:val="004E7A7C"/>
    <w:rsid w:val="004F2485"/>
    <w:rsid w:val="004F4E56"/>
    <w:rsid w:val="004F6249"/>
    <w:rsid w:val="004F79ED"/>
    <w:rsid w:val="00502149"/>
    <w:rsid w:val="00502CE0"/>
    <w:rsid w:val="005034F6"/>
    <w:rsid w:val="005039E1"/>
    <w:rsid w:val="005051FB"/>
    <w:rsid w:val="00513B21"/>
    <w:rsid w:val="00513EC7"/>
    <w:rsid w:val="005140D7"/>
    <w:rsid w:val="0051614E"/>
    <w:rsid w:val="0051764C"/>
    <w:rsid w:val="00520912"/>
    <w:rsid w:val="00520EF4"/>
    <w:rsid w:val="00521B30"/>
    <w:rsid w:val="00522BF4"/>
    <w:rsid w:val="00522CF8"/>
    <w:rsid w:val="00525C12"/>
    <w:rsid w:val="005271CE"/>
    <w:rsid w:val="0052794A"/>
    <w:rsid w:val="0053007B"/>
    <w:rsid w:val="0053157A"/>
    <w:rsid w:val="00532666"/>
    <w:rsid w:val="00535CD6"/>
    <w:rsid w:val="0053625D"/>
    <w:rsid w:val="005365BE"/>
    <w:rsid w:val="005421E3"/>
    <w:rsid w:val="0054337E"/>
    <w:rsid w:val="005447E3"/>
    <w:rsid w:val="00544F6E"/>
    <w:rsid w:val="00547914"/>
    <w:rsid w:val="00547E59"/>
    <w:rsid w:val="00550FCC"/>
    <w:rsid w:val="00552EBA"/>
    <w:rsid w:val="00554679"/>
    <w:rsid w:val="00554AE4"/>
    <w:rsid w:val="0055528E"/>
    <w:rsid w:val="00556B2B"/>
    <w:rsid w:val="00561567"/>
    <w:rsid w:val="00561E73"/>
    <w:rsid w:val="00562230"/>
    <w:rsid w:val="00563729"/>
    <w:rsid w:val="00563ED9"/>
    <w:rsid w:val="0056416A"/>
    <w:rsid w:val="005646C1"/>
    <w:rsid w:val="005646C3"/>
    <w:rsid w:val="00564D9C"/>
    <w:rsid w:val="00570C16"/>
    <w:rsid w:val="00570F7A"/>
    <w:rsid w:val="005718D7"/>
    <w:rsid w:val="00571A79"/>
    <w:rsid w:val="00574681"/>
    <w:rsid w:val="00577791"/>
    <w:rsid w:val="005821F4"/>
    <w:rsid w:val="00582DA3"/>
    <w:rsid w:val="00586537"/>
    <w:rsid w:val="00590034"/>
    <w:rsid w:val="005915F6"/>
    <w:rsid w:val="00591E4A"/>
    <w:rsid w:val="005924D6"/>
    <w:rsid w:val="005964CB"/>
    <w:rsid w:val="00596EDD"/>
    <w:rsid w:val="005977E0"/>
    <w:rsid w:val="005A096E"/>
    <w:rsid w:val="005A11A6"/>
    <w:rsid w:val="005A1673"/>
    <w:rsid w:val="005A1B1B"/>
    <w:rsid w:val="005A2346"/>
    <w:rsid w:val="005A7FB7"/>
    <w:rsid w:val="005B4B7A"/>
    <w:rsid w:val="005B5D59"/>
    <w:rsid w:val="005B7C64"/>
    <w:rsid w:val="005C10F4"/>
    <w:rsid w:val="005C3FAC"/>
    <w:rsid w:val="005C4797"/>
    <w:rsid w:val="005C4A3E"/>
    <w:rsid w:val="005C4D90"/>
    <w:rsid w:val="005C5DC1"/>
    <w:rsid w:val="005C658E"/>
    <w:rsid w:val="005C74FB"/>
    <w:rsid w:val="005D0932"/>
    <w:rsid w:val="005D7EFD"/>
    <w:rsid w:val="005E17E0"/>
    <w:rsid w:val="005E3566"/>
    <w:rsid w:val="005E45F9"/>
    <w:rsid w:val="005E6AD8"/>
    <w:rsid w:val="005F0168"/>
    <w:rsid w:val="005F0A2F"/>
    <w:rsid w:val="005F586A"/>
    <w:rsid w:val="005F59B9"/>
    <w:rsid w:val="005F7448"/>
    <w:rsid w:val="005F7B64"/>
    <w:rsid w:val="0060106E"/>
    <w:rsid w:val="006019E8"/>
    <w:rsid w:val="00604188"/>
    <w:rsid w:val="00604BD2"/>
    <w:rsid w:val="006052CF"/>
    <w:rsid w:val="00607780"/>
    <w:rsid w:val="00607D82"/>
    <w:rsid w:val="0061323F"/>
    <w:rsid w:val="00613A57"/>
    <w:rsid w:val="006205CF"/>
    <w:rsid w:val="006219DA"/>
    <w:rsid w:val="00623773"/>
    <w:rsid w:val="006256A9"/>
    <w:rsid w:val="0062716C"/>
    <w:rsid w:val="00632B6E"/>
    <w:rsid w:val="00632DF3"/>
    <w:rsid w:val="006333F0"/>
    <w:rsid w:val="006350B7"/>
    <w:rsid w:val="00643A29"/>
    <w:rsid w:val="00645661"/>
    <w:rsid w:val="006456FF"/>
    <w:rsid w:val="00646612"/>
    <w:rsid w:val="006469F3"/>
    <w:rsid w:val="00647885"/>
    <w:rsid w:val="00651737"/>
    <w:rsid w:val="00652359"/>
    <w:rsid w:val="00652A5B"/>
    <w:rsid w:val="0065414C"/>
    <w:rsid w:val="0065420F"/>
    <w:rsid w:val="00656CBC"/>
    <w:rsid w:val="006572D9"/>
    <w:rsid w:val="006600AA"/>
    <w:rsid w:val="00664022"/>
    <w:rsid w:val="006665CE"/>
    <w:rsid w:val="00670C8C"/>
    <w:rsid w:val="006754EF"/>
    <w:rsid w:val="00677748"/>
    <w:rsid w:val="0068077E"/>
    <w:rsid w:val="00681980"/>
    <w:rsid w:val="006831C1"/>
    <w:rsid w:val="00683852"/>
    <w:rsid w:val="006967FB"/>
    <w:rsid w:val="00696D09"/>
    <w:rsid w:val="006970CE"/>
    <w:rsid w:val="00697DE5"/>
    <w:rsid w:val="006A09EB"/>
    <w:rsid w:val="006A0CDC"/>
    <w:rsid w:val="006A1DC0"/>
    <w:rsid w:val="006A2316"/>
    <w:rsid w:val="006A280A"/>
    <w:rsid w:val="006A3047"/>
    <w:rsid w:val="006A42D4"/>
    <w:rsid w:val="006A6F5D"/>
    <w:rsid w:val="006A7B1F"/>
    <w:rsid w:val="006B11CD"/>
    <w:rsid w:val="006B577E"/>
    <w:rsid w:val="006C0613"/>
    <w:rsid w:val="006C216F"/>
    <w:rsid w:val="006C26BB"/>
    <w:rsid w:val="006C2BB7"/>
    <w:rsid w:val="006C3C82"/>
    <w:rsid w:val="006C4499"/>
    <w:rsid w:val="006C4C6E"/>
    <w:rsid w:val="006C6B5E"/>
    <w:rsid w:val="006D00C1"/>
    <w:rsid w:val="006D0307"/>
    <w:rsid w:val="006D7922"/>
    <w:rsid w:val="006D7EE4"/>
    <w:rsid w:val="006E01D9"/>
    <w:rsid w:val="006E10D1"/>
    <w:rsid w:val="006E2148"/>
    <w:rsid w:val="006E2D29"/>
    <w:rsid w:val="006E4E2E"/>
    <w:rsid w:val="006E5FC6"/>
    <w:rsid w:val="006E6A37"/>
    <w:rsid w:val="006E749A"/>
    <w:rsid w:val="006F020E"/>
    <w:rsid w:val="006F2D2D"/>
    <w:rsid w:val="006F723C"/>
    <w:rsid w:val="0070020F"/>
    <w:rsid w:val="007009D5"/>
    <w:rsid w:val="007026EE"/>
    <w:rsid w:val="00702E60"/>
    <w:rsid w:val="00705B04"/>
    <w:rsid w:val="00706B1F"/>
    <w:rsid w:val="0070731A"/>
    <w:rsid w:val="00707633"/>
    <w:rsid w:val="0070780B"/>
    <w:rsid w:val="0070784C"/>
    <w:rsid w:val="007109F5"/>
    <w:rsid w:val="0071144A"/>
    <w:rsid w:val="007160E2"/>
    <w:rsid w:val="007172E5"/>
    <w:rsid w:val="007175CC"/>
    <w:rsid w:val="00723726"/>
    <w:rsid w:val="00723C9E"/>
    <w:rsid w:val="007320EA"/>
    <w:rsid w:val="00733349"/>
    <w:rsid w:val="007343C2"/>
    <w:rsid w:val="0073478F"/>
    <w:rsid w:val="00740188"/>
    <w:rsid w:val="00743995"/>
    <w:rsid w:val="0074544E"/>
    <w:rsid w:val="007462DD"/>
    <w:rsid w:val="007469D6"/>
    <w:rsid w:val="00746B31"/>
    <w:rsid w:val="00752617"/>
    <w:rsid w:val="0075372C"/>
    <w:rsid w:val="00757000"/>
    <w:rsid w:val="007601C2"/>
    <w:rsid w:val="007653AB"/>
    <w:rsid w:val="00765F43"/>
    <w:rsid w:val="0076669A"/>
    <w:rsid w:val="007702EB"/>
    <w:rsid w:val="00770643"/>
    <w:rsid w:val="0077256F"/>
    <w:rsid w:val="00773DF6"/>
    <w:rsid w:val="00777DE9"/>
    <w:rsid w:val="00790AF9"/>
    <w:rsid w:val="0079302E"/>
    <w:rsid w:val="00794A50"/>
    <w:rsid w:val="00795813"/>
    <w:rsid w:val="00797548"/>
    <w:rsid w:val="007A557F"/>
    <w:rsid w:val="007A71C8"/>
    <w:rsid w:val="007A7474"/>
    <w:rsid w:val="007B0DB8"/>
    <w:rsid w:val="007B1A27"/>
    <w:rsid w:val="007B255A"/>
    <w:rsid w:val="007B2FB2"/>
    <w:rsid w:val="007B30CF"/>
    <w:rsid w:val="007B4D91"/>
    <w:rsid w:val="007C0566"/>
    <w:rsid w:val="007C1A12"/>
    <w:rsid w:val="007C27BC"/>
    <w:rsid w:val="007C457B"/>
    <w:rsid w:val="007C562B"/>
    <w:rsid w:val="007C5C43"/>
    <w:rsid w:val="007C6453"/>
    <w:rsid w:val="007D0751"/>
    <w:rsid w:val="007D26C6"/>
    <w:rsid w:val="007D3079"/>
    <w:rsid w:val="007D39F5"/>
    <w:rsid w:val="007D4A36"/>
    <w:rsid w:val="007D72AF"/>
    <w:rsid w:val="007D7BE3"/>
    <w:rsid w:val="007E1A62"/>
    <w:rsid w:val="007E1A7A"/>
    <w:rsid w:val="007E37BF"/>
    <w:rsid w:val="007E5D6B"/>
    <w:rsid w:val="007E7498"/>
    <w:rsid w:val="007E751A"/>
    <w:rsid w:val="007F0C56"/>
    <w:rsid w:val="007F260D"/>
    <w:rsid w:val="007F550C"/>
    <w:rsid w:val="007F74F0"/>
    <w:rsid w:val="00801472"/>
    <w:rsid w:val="008017A1"/>
    <w:rsid w:val="00802231"/>
    <w:rsid w:val="00802233"/>
    <w:rsid w:val="008035FA"/>
    <w:rsid w:val="00805AAD"/>
    <w:rsid w:val="008069A6"/>
    <w:rsid w:val="008072B3"/>
    <w:rsid w:val="00811B08"/>
    <w:rsid w:val="008122CF"/>
    <w:rsid w:val="008135EC"/>
    <w:rsid w:val="00817360"/>
    <w:rsid w:val="008176A6"/>
    <w:rsid w:val="00817E2F"/>
    <w:rsid w:val="008201EE"/>
    <w:rsid w:val="00821554"/>
    <w:rsid w:val="008220D7"/>
    <w:rsid w:val="00822D40"/>
    <w:rsid w:val="008231DE"/>
    <w:rsid w:val="008234D9"/>
    <w:rsid w:val="00823669"/>
    <w:rsid w:val="00827F78"/>
    <w:rsid w:val="008326DA"/>
    <w:rsid w:val="008335CC"/>
    <w:rsid w:val="00834870"/>
    <w:rsid w:val="00841717"/>
    <w:rsid w:val="00841A00"/>
    <w:rsid w:val="00844648"/>
    <w:rsid w:val="00844B6A"/>
    <w:rsid w:val="00845A63"/>
    <w:rsid w:val="008469AD"/>
    <w:rsid w:val="008469B2"/>
    <w:rsid w:val="00847F2F"/>
    <w:rsid w:val="0085057F"/>
    <w:rsid w:val="00853853"/>
    <w:rsid w:val="0085543A"/>
    <w:rsid w:val="008558BB"/>
    <w:rsid w:val="0085636B"/>
    <w:rsid w:val="00860DDA"/>
    <w:rsid w:val="00867063"/>
    <w:rsid w:val="00873EF6"/>
    <w:rsid w:val="008754AF"/>
    <w:rsid w:val="00876DA2"/>
    <w:rsid w:val="00877862"/>
    <w:rsid w:val="008800FB"/>
    <w:rsid w:val="00880158"/>
    <w:rsid w:val="0088145F"/>
    <w:rsid w:val="008848C3"/>
    <w:rsid w:val="00885F4A"/>
    <w:rsid w:val="0088638E"/>
    <w:rsid w:val="00886AF9"/>
    <w:rsid w:val="008876B2"/>
    <w:rsid w:val="00890296"/>
    <w:rsid w:val="00891D45"/>
    <w:rsid w:val="008929EF"/>
    <w:rsid w:val="00893520"/>
    <w:rsid w:val="00893D4A"/>
    <w:rsid w:val="008A439A"/>
    <w:rsid w:val="008A6296"/>
    <w:rsid w:val="008A7D3B"/>
    <w:rsid w:val="008B0A8D"/>
    <w:rsid w:val="008B5F9E"/>
    <w:rsid w:val="008B61F7"/>
    <w:rsid w:val="008B6B94"/>
    <w:rsid w:val="008B6C8E"/>
    <w:rsid w:val="008C0C3D"/>
    <w:rsid w:val="008C2601"/>
    <w:rsid w:val="008D0A4B"/>
    <w:rsid w:val="008D2CA8"/>
    <w:rsid w:val="008D52DA"/>
    <w:rsid w:val="008D5F41"/>
    <w:rsid w:val="008E0D35"/>
    <w:rsid w:val="008E13E7"/>
    <w:rsid w:val="008E16D2"/>
    <w:rsid w:val="008E1A5E"/>
    <w:rsid w:val="008E6CAA"/>
    <w:rsid w:val="008F03C4"/>
    <w:rsid w:val="008F0A3A"/>
    <w:rsid w:val="008F111A"/>
    <w:rsid w:val="008F4F83"/>
    <w:rsid w:val="008F59E8"/>
    <w:rsid w:val="008F7154"/>
    <w:rsid w:val="009005BB"/>
    <w:rsid w:val="00900909"/>
    <w:rsid w:val="00901E5F"/>
    <w:rsid w:val="00902A11"/>
    <w:rsid w:val="00904C1B"/>
    <w:rsid w:val="00906859"/>
    <w:rsid w:val="009111C5"/>
    <w:rsid w:val="009203FE"/>
    <w:rsid w:val="00925637"/>
    <w:rsid w:val="00925B4F"/>
    <w:rsid w:val="00930FFF"/>
    <w:rsid w:val="00931024"/>
    <w:rsid w:val="009318F3"/>
    <w:rsid w:val="009334F2"/>
    <w:rsid w:val="00933B4C"/>
    <w:rsid w:val="009348AA"/>
    <w:rsid w:val="00934C85"/>
    <w:rsid w:val="00940422"/>
    <w:rsid w:val="009417A3"/>
    <w:rsid w:val="0094214C"/>
    <w:rsid w:val="00943515"/>
    <w:rsid w:val="009438FD"/>
    <w:rsid w:val="0094629A"/>
    <w:rsid w:val="0094707C"/>
    <w:rsid w:val="009477E7"/>
    <w:rsid w:val="009505E3"/>
    <w:rsid w:val="00954207"/>
    <w:rsid w:val="00954BE4"/>
    <w:rsid w:val="00954EA4"/>
    <w:rsid w:val="009561F8"/>
    <w:rsid w:val="009564D4"/>
    <w:rsid w:val="0095668E"/>
    <w:rsid w:val="00956AEB"/>
    <w:rsid w:val="00960BD9"/>
    <w:rsid w:val="00961C65"/>
    <w:rsid w:val="00962B08"/>
    <w:rsid w:val="0096329E"/>
    <w:rsid w:val="00967D72"/>
    <w:rsid w:val="00970366"/>
    <w:rsid w:val="0097146A"/>
    <w:rsid w:val="00971688"/>
    <w:rsid w:val="00973C9C"/>
    <w:rsid w:val="00975E6A"/>
    <w:rsid w:val="00976AE5"/>
    <w:rsid w:val="009832A4"/>
    <w:rsid w:val="00984881"/>
    <w:rsid w:val="0099014F"/>
    <w:rsid w:val="00990875"/>
    <w:rsid w:val="00990975"/>
    <w:rsid w:val="00990C33"/>
    <w:rsid w:val="00994607"/>
    <w:rsid w:val="009979EC"/>
    <w:rsid w:val="009A0015"/>
    <w:rsid w:val="009A00E9"/>
    <w:rsid w:val="009A099C"/>
    <w:rsid w:val="009A150C"/>
    <w:rsid w:val="009A1DDA"/>
    <w:rsid w:val="009A2CFD"/>
    <w:rsid w:val="009A2E11"/>
    <w:rsid w:val="009A3624"/>
    <w:rsid w:val="009A60E3"/>
    <w:rsid w:val="009B165E"/>
    <w:rsid w:val="009B2880"/>
    <w:rsid w:val="009B2A77"/>
    <w:rsid w:val="009B2B5E"/>
    <w:rsid w:val="009B4CF8"/>
    <w:rsid w:val="009B4E9D"/>
    <w:rsid w:val="009B529F"/>
    <w:rsid w:val="009B7A2C"/>
    <w:rsid w:val="009C0F0D"/>
    <w:rsid w:val="009C1436"/>
    <w:rsid w:val="009C2CF1"/>
    <w:rsid w:val="009C5A88"/>
    <w:rsid w:val="009C6E9C"/>
    <w:rsid w:val="009C71FF"/>
    <w:rsid w:val="009C7B1E"/>
    <w:rsid w:val="009D1AB5"/>
    <w:rsid w:val="009D1C61"/>
    <w:rsid w:val="009D2E18"/>
    <w:rsid w:val="009D68A8"/>
    <w:rsid w:val="009D6EEB"/>
    <w:rsid w:val="009D759A"/>
    <w:rsid w:val="009D7EB3"/>
    <w:rsid w:val="009E2091"/>
    <w:rsid w:val="009E3455"/>
    <w:rsid w:val="009E3C42"/>
    <w:rsid w:val="009E5841"/>
    <w:rsid w:val="009E6BDE"/>
    <w:rsid w:val="009F1F97"/>
    <w:rsid w:val="009F2E34"/>
    <w:rsid w:val="009F51A6"/>
    <w:rsid w:val="009F5AAA"/>
    <w:rsid w:val="009F6C03"/>
    <w:rsid w:val="009F6C6A"/>
    <w:rsid w:val="009F72C7"/>
    <w:rsid w:val="00A034F7"/>
    <w:rsid w:val="00A0382A"/>
    <w:rsid w:val="00A04DDF"/>
    <w:rsid w:val="00A06467"/>
    <w:rsid w:val="00A06568"/>
    <w:rsid w:val="00A07AF5"/>
    <w:rsid w:val="00A15C85"/>
    <w:rsid w:val="00A222AC"/>
    <w:rsid w:val="00A239A9"/>
    <w:rsid w:val="00A239E3"/>
    <w:rsid w:val="00A25618"/>
    <w:rsid w:val="00A301DD"/>
    <w:rsid w:val="00A32599"/>
    <w:rsid w:val="00A331DE"/>
    <w:rsid w:val="00A356D5"/>
    <w:rsid w:val="00A36403"/>
    <w:rsid w:val="00A375F8"/>
    <w:rsid w:val="00A41BC7"/>
    <w:rsid w:val="00A41D47"/>
    <w:rsid w:val="00A45A61"/>
    <w:rsid w:val="00A51906"/>
    <w:rsid w:val="00A526BF"/>
    <w:rsid w:val="00A53C0A"/>
    <w:rsid w:val="00A54A44"/>
    <w:rsid w:val="00A5659C"/>
    <w:rsid w:val="00A60563"/>
    <w:rsid w:val="00A61B8E"/>
    <w:rsid w:val="00A672C9"/>
    <w:rsid w:val="00A7047D"/>
    <w:rsid w:val="00A705A8"/>
    <w:rsid w:val="00A73F3F"/>
    <w:rsid w:val="00A7598F"/>
    <w:rsid w:val="00A80476"/>
    <w:rsid w:val="00A8294D"/>
    <w:rsid w:val="00A832AE"/>
    <w:rsid w:val="00A83A56"/>
    <w:rsid w:val="00A85403"/>
    <w:rsid w:val="00A85989"/>
    <w:rsid w:val="00A8796B"/>
    <w:rsid w:val="00A93350"/>
    <w:rsid w:val="00A95D44"/>
    <w:rsid w:val="00AA0866"/>
    <w:rsid w:val="00AA2D83"/>
    <w:rsid w:val="00AA4B11"/>
    <w:rsid w:val="00AA50BF"/>
    <w:rsid w:val="00AB0625"/>
    <w:rsid w:val="00AB0ABE"/>
    <w:rsid w:val="00AB13DB"/>
    <w:rsid w:val="00AB31F4"/>
    <w:rsid w:val="00AB5A48"/>
    <w:rsid w:val="00AC149D"/>
    <w:rsid w:val="00AC1E77"/>
    <w:rsid w:val="00AC2C80"/>
    <w:rsid w:val="00AC680F"/>
    <w:rsid w:val="00AC7031"/>
    <w:rsid w:val="00AD02E4"/>
    <w:rsid w:val="00AD1C1C"/>
    <w:rsid w:val="00AD27BB"/>
    <w:rsid w:val="00AD2812"/>
    <w:rsid w:val="00AD3585"/>
    <w:rsid w:val="00AD57CB"/>
    <w:rsid w:val="00AD67F2"/>
    <w:rsid w:val="00AD6D80"/>
    <w:rsid w:val="00AD7353"/>
    <w:rsid w:val="00AE32D7"/>
    <w:rsid w:val="00AE5A58"/>
    <w:rsid w:val="00AF02EB"/>
    <w:rsid w:val="00AF32A5"/>
    <w:rsid w:val="00AF627B"/>
    <w:rsid w:val="00AF6549"/>
    <w:rsid w:val="00AF744A"/>
    <w:rsid w:val="00AF7E66"/>
    <w:rsid w:val="00B044F3"/>
    <w:rsid w:val="00B057CB"/>
    <w:rsid w:val="00B05A97"/>
    <w:rsid w:val="00B0601F"/>
    <w:rsid w:val="00B10F5E"/>
    <w:rsid w:val="00B1253D"/>
    <w:rsid w:val="00B13AD7"/>
    <w:rsid w:val="00B144A5"/>
    <w:rsid w:val="00B14C7B"/>
    <w:rsid w:val="00B153DA"/>
    <w:rsid w:val="00B17F38"/>
    <w:rsid w:val="00B20A1B"/>
    <w:rsid w:val="00B21900"/>
    <w:rsid w:val="00B21BD7"/>
    <w:rsid w:val="00B22F0E"/>
    <w:rsid w:val="00B239EF"/>
    <w:rsid w:val="00B24162"/>
    <w:rsid w:val="00B24EAC"/>
    <w:rsid w:val="00B2636F"/>
    <w:rsid w:val="00B305DD"/>
    <w:rsid w:val="00B308DC"/>
    <w:rsid w:val="00B33B14"/>
    <w:rsid w:val="00B33DAE"/>
    <w:rsid w:val="00B33EE4"/>
    <w:rsid w:val="00B352C0"/>
    <w:rsid w:val="00B36885"/>
    <w:rsid w:val="00B4049C"/>
    <w:rsid w:val="00B4473C"/>
    <w:rsid w:val="00B44F8C"/>
    <w:rsid w:val="00B45100"/>
    <w:rsid w:val="00B461DD"/>
    <w:rsid w:val="00B50B10"/>
    <w:rsid w:val="00B50BE4"/>
    <w:rsid w:val="00B529FF"/>
    <w:rsid w:val="00B553C7"/>
    <w:rsid w:val="00B56352"/>
    <w:rsid w:val="00B5699D"/>
    <w:rsid w:val="00B56D83"/>
    <w:rsid w:val="00B57513"/>
    <w:rsid w:val="00B64350"/>
    <w:rsid w:val="00B654C0"/>
    <w:rsid w:val="00B7068B"/>
    <w:rsid w:val="00B7117C"/>
    <w:rsid w:val="00B725B8"/>
    <w:rsid w:val="00B7453A"/>
    <w:rsid w:val="00B77E7D"/>
    <w:rsid w:val="00B826B8"/>
    <w:rsid w:val="00B82A1F"/>
    <w:rsid w:val="00B82CC0"/>
    <w:rsid w:val="00B842CF"/>
    <w:rsid w:val="00B86CD2"/>
    <w:rsid w:val="00B9274E"/>
    <w:rsid w:val="00B928CA"/>
    <w:rsid w:val="00BA0A0F"/>
    <w:rsid w:val="00BA40B5"/>
    <w:rsid w:val="00BA46CE"/>
    <w:rsid w:val="00BA54C2"/>
    <w:rsid w:val="00BA5A51"/>
    <w:rsid w:val="00BA6D88"/>
    <w:rsid w:val="00BB091B"/>
    <w:rsid w:val="00BB3BB6"/>
    <w:rsid w:val="00BB55B0"/>
    <w:rsid w:val="00BB5FFF"/>
    <w:rsid w:val="00BB66BB"/>
    <w:rsid w:val="00BB7FB1"/>
    <w:rsid w:val="00BC5ED1"/>
    <w:rsid w:val="00BC6A56"/>
    <w:rsid w:val="00BD29BD"/>
    <w:rsid w:val="00BD348B"/>
    <w:rsid w:val="00BD3DF5"/>
    <w:rsid w:val="00BD4A9E"/>
    <w:rsid w:val="00BD4F6E"/>
    <w:rsid w:val="00BE0ACF"/>
    <w:rsid w:val="00BE2C18"/>
    <w:rsid w:val="00BE341A"/>
    <w:rsid w:val="00BE41BE"/>
    <w:rsid w:val="00BE52F3"/>
    <w:rsid w:val="00BE640E"/>
    <w:rsid w:val="00BE68CD"/>
    <w:rsid w:val="00BE7255"/>
    <w:rsid w:val="00BF08C1"/>
    <w:rsid w:val="00BF3DBE"/>
    <w:rsid w:val="00BF3F82"/>
    <w:rsid w:val="00BF47EB"/>
    <w:rsid w:val="00BF4962"/>
    <w:rsid w:val="00BF557E"/>
    <w:rsid w:val="00BF7922"/>
    <w:rsid w:val="00BF7FD9"/>
    <w:rsid w:val="00C02989"/>
    <w:rsid w:val="00C02ADF"/>
    <w:rsid w:val="00C05C6E"/>
    <w:rsid w:val="00C05EE6"/>
    <w:rsid w:val="00C060B9"/>
    <w:rsid w:val="00C06C6A"/>
    <w:rsid w:val="00C1063E"/>
    <w:rsid w:val="00C12FE5"/>
    <w:rsid w:val="00C1607B"/>
    <w:rsid w:val="00C1673E"/>
    <w:rsid w:val="00C1726E"/>
    <w:rsid w:val="00C21225"/>
    <w:rsid w:val="00C21DB0"/>
    <w:rsid w:val="00C227BE"/>
    <w:rsid w:val="00C231E9"/>
    <w:rsid w:val="00C2343E"/>
    <w:rsid w:val="00C2389D"/>
    <w:rsid w:val="00C24900"/>
    <w:rsid w:val="00C31F9B"/>
    <w:rsid w:val="00C326DD"/>
    <w:rsid w:val="00C32933"/>
    <w:rsid w:val="00C32EC6"/>
    <w:rsid w:val="00C33A19"/>
    <w:rsid w:val="00C3519E"/>
    <w:rsid w:val="00C3598B"/>
    <w:rsid w:val="00C375B5"/>
    <w:rsid w:val="00C41BA3"/>
    <w:rsid w:val="00C435E6"/>
    <w:rsid w:val="00C46EF1"/>
    <w:rsid w:val="00C54F77"/>
    <w:rsid w:val="00C57004"/>
    <w:rsid w:val="00C6209D"/>
    <w:rsid w:val="00C626B6"/>
    <w:rsid w:val="00C631D1"/>
    <w:rsid w:val="00C63E91"/>
    <w:rsid w:val="00C6575C"/>
    <w:rsid w:val="00C6614F"/>
    <w:rsid w:val="00C664FE"/>
    <w:rsid w:val="00C731BC"/>
    <w:rsid w:val="00C731FD"/>
    <w:rsid w:val="00C74C29"/>
    <w:rsid w:val="00C7528B"/>
    <w:rsid w:val="00C76BE1"/>
    <w:rsid w:val="00C773FD"/>
    <w:rsid w:val="00C77C94"/>
    <w:rsid w:val="00C83B75"/>
    <w:rsid w:val="00C94FD0"/>
    <w:rsid w:val="00C95495"/>
    <w:rsid w:val="00C9597B"/>
    <w:rsid w:val="00C96495"/>
    <w:rsid w:val="00CA0D69"/>
    <w:rsid w:val="00CA11C5"/>
    <w:rsid w:val="00CA1E67"/>
    <w:rsid w:val="00CA1FF0"/>
    <w:rsid w:val="00CA6A70"/>
    <w:rsid w:val="00CA722F"/>
    <w:rsid w:val="00CB2499"/>
    <w:rsid w:val="00CB3445"/>
    <w:rsid w:val="00CB5C97"/>
    <w:rsid w:val="00CB65E7"/>
    <w:rsid w:val="00CB6D6C"/>
    <w:rsid w:val="00CC147D"/>
    <w:rsid w:val="00CC3142"/>
    <w:rsid w:val="00CC3E90"/>
    <w:rsid w:val="00CC4021"/>
    <w:rsid w:val="00CC520A"/>
    <w:rsid w:val="00CC68CB"/>
    <w:rsid w:val="00CD005F"/>
    <w:rsid w:val="00CD0F93"/>
    <w:rsid w:val="00CD4050"/>
    <w:rsid w:val="00CD4494"/>
    <w:rsid w:val="00CD580C"/>
    <w:rsid w:val="00CD5E26"/>
    <w:rsid w:val="00CD6E1B"/>
    <w:rsid w:val="00CE0AAA"/>
    <w:rsid w:val="00CE0BB5"/>
    <w:rsid w:val="00CE1E32"/>
    <w:rsid w:val="00CE43A8"/>
    <w:rsid w:val="00CE6190"/>
    <w:rsid w:val="00CE75D5"/>
    <w:rsid w:val="00CF174D"/>
    <w:rsid w:val="00CF325D"/>
    <w:rsid w:val="00D000B8"/>
    <w:rsid w:val="00D001DB"/>
    <w:rsid w:val="00D01F58"/>
    <w:rsid w:val="00D01F89"/>
    <w:rsid w:val="00D06800"/>
    <w:rsid w:val="00D070FE"/>
    <w:rsid w:val="00D10882"/>
    <w:rsid w:val="00D134BB"/>
    <w:rsid w:val="00D14934"/>
    <w:rsid w:val="00D1518A"/>
    <w:rsid w:val="00D15F0F"/>
    <w:rsid w:val="00D1742F"/>
    <w:rsid w:val="00D17499"/>
    <w:rsid w:val="00D1755C"/>
    <w:rsid w:val="00D209D0"/>
    <w:rsid w:val="00D21232"/>
    <w:rsid w:val="00D21B17"/>
    <w:rsid w:val="00D23563"/>
    <w:rsid w:val="00D23C35"/>
    <w:rsid w:val="00D2461E"/>
    <w:rsid w:val="00D24B74"/>
    <w:rsid w:val="00D24D36"/>
    <w:rsid w:val="00D252DC"/>
    <w:rsid w:val="00D26B44"/>
    <w:rsid w:val="00D33380"/>
    <w:rsid w:val="00D3350E"/>
    <w:rsid w:val="00D3361A"/>
    <w:rsid w:val="00D3375F"/>
    <w:rsid w:val="00D403B5"/>
    <w:rsid w:val="00D438E9"/>
    <w:rsid w:val="00D4486A"/>
    <w:rsid w:val="00D466EC"/>
    <w:rsid w:val="00D46714"/>
    <w:rsid w:val="00D468AD"/>
    <w:rsid w:val="00D4769F"/>
    <w:rsid w:val="00D47E1E"/>
    <w:rsid w:val="00D50B61"/>
    <w:rsid w:val="00D51551"/>
    <w:rsid w:val="00D544B8"/>
    <w:rsid w:val="00D55168"/>
    <w:rsid w:val="00D55EB5"/>
    <w:rsid w:val="00D5760F"/>
    <w:rsid w:val="00D631CC"/>
    <w:rsid w:val="00D67951"/>
    <w:rsid w:val="00D67B36"/>
    <w:rsid w:val="00D732A1"/>
    <w:rsid w:val="00D7364C"/>
    <w:rsid w:val="00D74601"/>
    <w:rsid w:val="00D74BB6"/>
    <w:rsid w:val="00D836EF"/>
    <w:rsid w:val="00D8384C"/>
    <w:rsid w:val="00D83C3C"/>
    <w:rsid w:val="00D83DA5"/>
    <w:rsid w:val="00D85775"/>
    <w:rsid w:val="00D85A8E"/>
    <w:rsid w:val="00D9157E"/>
    <w:rsid w:val="00D92E89"/>
    <w:rsid w:val="00D9507F"/>
    <w:rsid w:val="00D956D2"/>
    <w:rsid w:val="00D97EF9"/>
    <w:rsid w:val="00DA4323"/>
    <w:rsid w:val="00DA7486"/>
    <w:rsid w:val="00DA75A9"/>
    <w:rsid w:val="00DB0648"/>
    <w:rsid w:val="00DB1884"/>
    <w:rsid w:val="00DB2576"/>
    <w:rsid w:val="00DB52E9"/>
    <w:rsid w:val="00DB5307"/>
    <w:rsid w:val="00DB7E89"/>
    <w:rsid w:val="00DC14C2"/>
    <w:rsid w:val="00DC556C"/>
    <w:rsid w:val="00DC787B"/>
    <w:rsid w:val="00DD073A"/>
    <w:rsid w:val="00DD0F68"/>
    <w:rsid w:val="00DD42A7"/>
    <w:rsid w:val="00DD631D"/>
    <w:rsid w:val="00DD79E7"/>
    <w:rsid w:val="00DE03E1"/>
    <w:rsid w:val="00DE07FC"/>
    <w:rsid w:val="00DE208E"/>
    <w:rsid w:val="00DE2FBE"/>
    <w:rsid w:val="00DE364B"/>
    <w:rsid w:val="00DE5408"/>
    <w:rsid w:val="00DF1B4C"/>
    <w:rsid w:val="00DF1C4A"/>
    <w:rsid w:val="00DF2683"/>
    <w:rsid w:val="00DF323D"/>
    <w:rsid w:val="00DF3688"/>
    <w:rsid w:val="00DF7C00"/>
    <w:rsid w:val="00E068F1"/>
    <w:rsid w:val="00E06FB3"/>
    <w:rsid w:val="00E1247F"/>
    <w:rsid w:val="00E12B1A"/>
    <w:rsid w:val="00E13126"/>
    <w:rsid w:val="00E1322B"/>
    <w:rsid w:val="00E1327F"/>
    <w:rsid w:val="00E13AB1"/>
    <w:rsid w:val="00E2167E"/>
    <w:rsid w:val="00E21B76"/>
    <w:rsid w:val="00E22089"/>
    <w:rsid w:val="00E23761"/>
    <w:rsid w:val="00E25EA7"/>
    <w:rsid w:val="00E30B94"/>
    <w:rsid w:val="00E34E37"/>
    <w:rsid w:val="00E356B7"/>
    <w:rsid w:val="00E41BEC"/>
    <w:rsid w:val="00E430D1"/>
    <w:rsid w:val="00E445D7"/>
    <w:rsid w:val="00E5413A"/>
    <w:rsid w:val="00E54BFA"/>
    <w:rsid w:val="00E57A97"/>
    <w:rsid w:val="00E60962"/>
    <w:rsid w:val="00E654DD"/>
    <w:rsid w:val="00E664A9"/>
    <w:rsid w:val="00E71830"/>
    <w:rsid w:val="00E719EF"/>
    <w:rsid w:val="00E71A20"/>
    <w:rsid w:val="00E72C72"/>
    <w:rsid w:val="00E732A8"/>
    <w:rsid w:val="00E74D60"/>
    <w:rsid w:val="00E750B6"/>
    <w:rsid w:val="00E80335"/>
    <w:rsid w:val="00E828FA"/>
    <w:rsid w:val="00E838E6"/>
    <w:rsid w:val="00E84BCE"/>
    <w:rsid w:val="00E86DC4"/>
    <w:rsid w:val="00E87E65"/>
    <w:rsid w:val="00E924EF"/>
    <w:rsid w:val="00E93133"/>
    <w:rsid w:val="00E931DE"/>
    <w:rsid w:val="00E94BEC"/>
    <w:rsid w:val="00EA0A91"/>
    <w:rsid w:val="00EA0FD2"/>
    <w:rsid w:val="00EA1027"/>
    <w:rsid w:val="00EA10A2"/>
    <w:rsid w:val="00EA37C0"/>
    <w:rsid w:val="00EA3EB9"/>
    <w:rsid w:val="00EB1F5F"/>
    <w:rsid w:val="00EB2012"/>
    <w:rsid w:val="00EB204B"/>
    <w:rsid w:val="00EB43B4"/>
    <w:rsid w:val="00EB47F1"/>
    <w:rsid w:val="00EB5F00"/>
    <w:rsid w:val="00EB6A78"/>
    <w:rsid w:val="00EC2321"/>
    <w:rsid w:val="00EC4CFD"/>
    <w:rsid w:val="00EC5048"/>
    <w:rsid w:val="00EC5B11"/>
    <w:rsid w:val="00EC5BF5"/>
    <w:rsid w:val="00EC677C"/>
    <w:rsid w:val="00EC77A0"/>
    <w:rsid w:val="00EE04EB"/>
    <w:rsid w:val="00EE0B1D"/>
    <w:rsid w:val="00EE20F1"/>
    <w:rsid w:val="00EE2DF2"/>
    <w:rsid w:val="00EE3C20"/>
    <w:rsid w:val="00EE5DCA"/>
    <w:rsid w:val="00EF3A76"/>
    <w:rsid w:val="00EF4390"/>
    <w:rsid w:val="00EF50AC"/>
    <w:rsid w:val="00F02924"/>
    <w:rsid w:val="00F07996"/>
    <w:rsid w:val="00F10784"/>
    <w:rsid w:val="00F16142"/>
    <w:rsid w:val="00F16D98"/>
    <w:rsid w:val="00F20DF6"/>
    <w:rsid w:val="00F222E8"/>
    <w:rsid w:val="00F22E36"/>
    <w:rsid w:val="00F23163"/>
    <w:rsid w:val="00F23B80"/>
    <w:rsid w:val="00F23BD7"/>
    <w:rsid w:val="00F245CD"/>
    <w:rsid w:val="00F24B26"/>
    <w:rsid w:val="00F2504E"/>
    <w:rsid w:val="00F279CA"/>
    <w:rsid w:val="00F27CB0"/>
    <w:rsid w:val="00F30A2C"/>
    <w:rsid w:val="00F358D1"/>
    <w:rsid w:val="00F422E6"/>
    <w:rsid w:val="00F43CB6"/>
    <w:rsid w:val="00F43FB5"/>
    <w:rsid w:val="00F446FB"/>
    <w:rsid w:val="00F45B79"/>
    <w:rsid w:val="00F46105"/>
    <w:rsid w:val="00F47130"/>
    <w:rsid w:val="00F53FF2"/>
    <w:rsid w:val="00F561C1"/>
    <w:rsid w:val="00F60A99"/>
    <w:rsid w:val="00F62A7C"/>
    <w:rsid w:val="00F6465E"/>
    <w:rsid w:val="00F64C0F"/>
    <w:rsid w:val="00F654BB"/>
    <w:rsid w:val="00F658E7"/>
    <w:rsid w:val="00F72F26"/>
    <w:rsid w:val="00F73923"/>
    <w:rsid w:val="00F75548"/>
    <w:rsid w:val="00F80C82"/>
    <w:rsid w:val="00F830F8"/>
    <w:rsid w:val="00F844E5"/>
    <w:rsid w:val="00F85C40"/>
    <w:rsid w:val="00F90011"/>
    <w:rsid w:val="00F920A1"/>
    <w:rsid w:val="00F930C3"/>
    <w:rsid w:val="00F931F3"/>
    <w:rsid w:val="00F936A5"/>
    <w:rsid w:val="00F93EA4"/>
    <w:rsid w:val="00F95BEE"/>
    <w:rsid w:val="00F95EE9"/>
    <w:rsid w:val="00F96677"/>
    <w:rsid w:val="00F97FB0"/>
    <w:rsid w:val="00FA377A"/>
    <w:rsid w:val="00FA5D07"/>
    <w:rsid w:val="00FB32A8"/>
    <w:rsid w:val="00FB4BBF"/>
    <w:rsid w:val="00FB5883"/>
    <w:rsid w:val="00FB7457"/>
    <w:rsid w:val="00FC13B9"/>
    <w:rsid w:val="00FC2244"/>
    <w:rsid w:val="00FC25DB"/>
    <w:rsid w:val="00FC3BD8"/>
    <w:rsid w:val="00FC5523"/>
    <w:rsid w:val="00FC5ED4"/>
    <w:rsid w:val="00FC5EF6"/>
    <w:rsid w:val="00FC5F17"/>
    <w:rsid w:val="00FC70AB"/>
    <w:rsid w:val="00FD00ED"/>
    <w:rsid w:val="00FD051B"/>
    <w:rsid w:val="00FD0A9D"/>
    <w:rsid w:val="00FD0CD1"/>
    <w:rsid w:val="00FD1F18"/>
    <w:rsid w:val="00FD4435"/>
    <w:rsid w:val="00FD588F"/>
    <w:rsid w:val="00FD5B3C"/>
    <w:rsid w:val="00FD66FB"/>
    <w:rsid w:val="00FD67EA"/>
    <w:rsid w:val="00FD717E"/>
    <w:rsid w:val="00FE11BD"/>
    <w:rsid w:val="00FE1478"/>
    <w:rsid w:val="00FE6D43"/>
    <w:rsid w:val="00FF0A46"/>
    <w:rsid w:val="00FF18EC"/>
    <w:rsid w:val="00FF20A2"/>
    <w:rsid w:val="00FF4BFC"/>
    <w:rsid w:val="00FF5B42"/>
    <w:rsid w:val="00FF5F43"/>
    <w:rsid w:val="00FF62D6"/>
    <w:rsid w:val="00FF72D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  <w14:docId w14:val="494A51CD"/>
  <w15:docId w15:val="{51A35E6F-FCBE-4B23-8F5E-EE76648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89"/>
    <w:pPr>
      <w:jc w:val="both"/>
    </w:pPr>
    <w:rPr>
      <w:rFonts w:ascii="Mulish" w:hAnsi="Mulish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B6C8E"/>
    <w:pPr>
      <w:pBdr>
        <w:bottom w:val="single" w:sz="4" w:space="1" w:color="438086" w:themeColor="accent2"/>
      </w:pBdr>
      <w:spacing w:before="360" w:after="80"/>
      <w:outlineLvl w:val="0"/>
    </w:pPr>
    <w:rPr>
      <w:b/>
      <w:color w:val="3C8378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B6C8E"/>
    <w:pPr>
      <w:spacing w:after="0"/>
      <w:outlineLvl w:val="1"/>
    </w:pPr>
    <w:rPr>
      <w:b/>
      <w:color w:val="3C8378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8B6C8E"/>
    <w:pPr>
      <w:spacing w:after="0"/>
      <w:outlineLvl w:val="2"/>
    </w:pPr>
    <w:rPr>
      <w:b/>
      <w:color w:val="3C837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6C8E"/>
    <w:pPr>
      <w:spacing w:after="0"/>
      <w:outlineLvl w:val="3"/>
    </w:pPr>
    <w:rPr>
      <w:b/>
      <w:i/>
      <w:color w:val="3C8378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B6C8E"/>
    <w:pPr>
      <w:spacing w:after="0"/>
      <w:outlineLvl w:val="4"/>
    </w:pPr>
    <w:rPr>
      <w:b/>
      <w:color w:val="3C837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82DA3"/>
    <w:pPr>
      <w:spacing w:after="0"/>
      <w:outlineLvl w:val="5"/>
    </w:pPr>
    <w:rPr>
      <w:b/>
      <w:i/>
      <w:color w:val="3C837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989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989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989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5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uiPriority w:val="10"/>
    <w:qFormat/>
    <w:rsid w:val="000405C4"/>
    <w:pPr>
      <w:spacing w:before="400"/>
    </w:pPr>
    <w:rPr>
      <w:color w:val="3E3E67" w:themeColor="accent1" w:themeShade="BF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5C4"/>
    <w:rPr>
      <w:rFonts w:ascii="Mulish" w:hAnsi="Mulish"/>
      <w:color w:val="3E3E67" w:themeColor="accent1" w:themeShade="BF"/>
      <w:sz w:val="56"/>
      <w:szCs w:val="56"/>
    </w:rPr>
  </w:style>
  <w:style w:type="paragraph" w:styleId="Subttulo">
    <w:name w:val="Subtitle"/>
    <w:basedOn w:val="Normal"/>
    <w:link w:val="SubttuloCar"/>
    <w:uiPriority w:val="11"/>
    <w:qFormat/>
    <w:rsid w:val="00A85989"/>
    <w:pPr>
      <w:spacing w:after="480"/>
    </w:pPr>
    <w:rPr>
      <w:i/>
      <w:color w:val="424456" w:themeColor="text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5989"/>
    <w:rPr>
      <w:i/>
      <w:color w:val="424456" w:themeColor="text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8B6C8E"/>
    <w:rPr>
      <w:rFonts w:ascii="Mulish" w:hAnsi="Mulish" w:cstheme="minorBidi"/>
      <w:b/>
      <w:i/>
      <w:caps/>
      <w:color w:val="3C8378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8B6C8E"/>
    <w:rPr>
      <w:rFonts w:ascii="Mulish" w:hAnsi="Mulish"/>
      <w:b/>
      <w:color w:val="3C837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6C8E"/>
    <w:rPr>
      <w:rFonts w:ascii="Mulish" w:hAnsi="Mulish"/>
      <w:b/>
      <w:color w:val="3C8378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B6C8E"/>
    <w:rPr>
      <w:rFonts w:ascii="Mulish" w:hAnsi="Mulish"/>
      <w:b/>
      <w:color w:val="3C837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6C8E"/>
    <w:rPr>
      <w:rFonts w:ascii="Mulish" w:hAnsi="Mulish"/>
      <w:b/>
      <w:i/>
      <w:color w:val="3C8378"/>
    </w:rPr>
  </w:style>
  <w:style w:type="character" w:customStyle="1" w:styleId="Ttulo5Car">
    <w:name w:val="Título 5 Car"/>
    <w:basedOn w:val="Fuentedeprrafopredeter"/>
    <w:link w:val="Ttulo5"/>
    <w:uiPriority w:val="9"/>
    <w:rsid w:val="008B6C8E"/>
    <w:rPr>
      <w:rFonts w:ascii="Mulish" w:hAnsi="Mulish"/>
      <w:b/>
      <w:color w:val="3C8378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582DA3"/>
    <w:rPr>
      <w:rFonts w:ascii="Mulish" w:hAnsi="Mulish"/>
      <w:b/>
      <w:i/>
      <w:color w:val="3C8378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989"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989"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989"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405C4"/>
    <w:rPr>
      <w:rFonts w:ascii="Mulish" w:hAnsi="Mulish"/>
      <w:b/>
      <w:bCs/>
    </w:rPr>
  </w:style>
  <w:style w:type="paragraph" w:styleId="Textodebloque">
    <w:name w:val="Block Text"/>
    <w:basedOn w:val="Normal"/>
    <w:uiPriority w:val="3"/>
    <w:semiHidden/>
    <w:unhideWhenUsed/>
    <w:rsid w:val="00A85989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nfasissutil">
    <w:name w:val="Subtle Emphasis"/>
    <w:basedOn w:val="Fuentedeprrafopredeter"/>
    <w:uiPriority w:val="19"/>
    <w:qFormat/>
    <w:rsid w:val="008B6C8E"/>
    <w:rPr>
      <w:rFonts w:ascii="Mulish" w:hAnsi="Mulish"/>
      <w:i/>
      <w:color w:val="3C8378"/>
    </w:rPr>
  </w:style>
  <w:style w:type="character" w:styleId="Referenciaintensa">
    <w:name w:val="Intense Reference"/>
    <w:basedOn w:val="Fuentedeprrafopredeter"/>
    <w:uiPriority w:val="32"/>
    <w:qFormat/>
    <w:rsid w:val="000405C4"/>
    <w:rPr>
      <w:rFonts w:ascii="Mulish" w:hAnsi="Mulish" w:cs="Times New Roman"/>
      <w:b/>
      <w:i/>
      <w:caps/>
      <w:color w:val="4E4F89"/>
      <w:spacing w:val="5"/>
    </w:rPr>
  </w:style>
  <w:style w:type="character" w:styleId="Referenciasutil">
    <w:name w:val="Subtle Reference"/>
    <w:basedOn w:val="Fuentedeprrafopredeter"/>
    <w:uiPriority w:val="31"/>
    <w:qFormat/>
    <w:rsid w:val="000405C4"/>
    <w:rPr>
      <w:rFonts w:ascii="Mulish" w:hAnsi="Mulish" w:cs="Times New Roman"/>
      <w:i/>
      <w:color w:val="4E4F89"/>
    </w:rPr>
  </w:style>
  <w:style w:type="character" w:styleId="nfasis">
    <w:name w:val="Emphasis"/>
    <w:uiPriority w:val="20"/>
    <w:qFormat/>
    <w:rsid w:val="008B6C8E"/>
    <w:rPr>
      <w:rFonts w:ascii="Mulish" w:hAnsi="Mulish"/>
      <w:b/>
      <w:color w:val="3C8378"/>
      <w:spacing w:val="10"/>
    </w:rPr>
  </w:style>
  <w:style w:type="character" w:styleId="Ttulodellibro">
    <w:name w:val="Book Title"/>
    <w:basedOn w:val="Fuentedeprrafopredeter"/>
    <w:uiPriority w:val="33"/>
    <w:qFormat/>
    <w:rsid w:val="000405C4"/>
    <w:rPr>
      <w:rFonts w:ascii="Mulish" w:hAnsi="Mulish" w:cs="Times New Roman"/>
      <w:i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598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98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8598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89"/>
    <w:rPr>
      <w:sz w:val="20"/>
      <w:szCs w:val="20"/>
    </w:rPr>
  </w:style>
  <w:style w:type="paragraph" w:styleId="Sangranormal">
    <w:name w:val="Normal Indent"/>
    <w:basedOn w:val="Normal"/>
    <w:uiPriority w:val="99"/>
    <w:unhideWhenUsed/>
    <w:rsid w:val="00A85989"/>
    <w:pPr>
      <w:ind w:left="720"/>
      <w:contextualSpacing/>
    </w:pPr>
  </w:style>
  <w:style w:type="paragraph" w:styleId="Citadestacada">
    <w:name w:val="Intense Quote"/>
    <w:basedOn w:val="Normal"/>
    <w:uiPriority w:val="30"/>
    <w:qFormat/>
    <w:rsid w:val="00A85989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numbering" w:customStyle="1" w:styleId="Listaconvietasurbana">
    <w:name w:val="Lista con viñetas urbana"/>
    <w:uiPriority w:val="99"/>
    <w:rsid w:val="00A85989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A85989"/>
    <w:pPr>
      <w:numPr>
        <w:numId w:val="3"/>
      </w:numPr>
    </w:pPr>
  </w:style>
  <w:style w:type="paragraph" w:styleId="Prrafodelista">
    <w:name w:val="List Paragraph"/>
    <w:basedOn w:val="Normal"/>
    <w:uiPriority w:val="34"/>
    <w:unhideWhenUsed/>
    <w:qFormat/>
    <w:rsid w:val="00A85989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A85989"/>
    <w:pPr>
      <w:spacing w:after="0" w:line="240" w:lineRule="auto"/>
    </w:pPr>
    <w:rPr>
      <w:szCs w:val="32"/>
    </w:rPr>
  </w:style>
  <w:style w:type="character" w:styleId="Textodelmarcadordeposicin">
    <w:name w:val="Placeholder Text"/>
    <w:basedOn w:val="Fuentedeprrafopredeter"/>
    <w:uiPriority w:val="99"/>
    <w:unhideWhenUsed/>
    <w:rsid w:val="00A859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989"/>
    <w:rPr>
      <w:rFonts w:ascii="Tahoma" w:hAnsi="Tahoma" w:cs="Tahoma"/>
      <w:sz w:val="16"/>
      <w:szCs w:val="16"/>
    </w:rPr>
  </w:style>
  <w:style w:type="paragraph" w:customStyle="1" w:styleId="Vieta1">
    <w:name w:val="Viñeta 1"/>
    <w:basedOn w:val="Prrafodelista"/>
    <w:uiPriority w:val="38"/>
    <w:qFormat/>
    <w:rsid w:val="00A85989"/>
    <w:pPr>
      <w:numPr>
        <w:numId w:val="4"/>
      </w:numPr>
      <w:spacing w:after="0"/>
    </w:pPr>
  </w:style>
  <w:style w:type="paragraph" w:customStyle="1" w:styleId="Vieta2">
    <w:name w:val="Viñeta 2"/>
    <w:basedOn w:val="Prrafodelista"/>
    <w:uiPriority w:val="38"/>
    <w:qFormat/>
    <w:rsid w:val="00A85989"/>
    <w:pPr>
      <w:numPr>
        <w:ilvl w:val="1"/>
        <w:numId w:val="4"/>
      </w:numPr>
      <w:spacing w:after="0"/>
    </w:pPr>
  </w:style>
  <w:style w:type="paragraph" w:customStyle="1" w:styleId="Vieta3">
    <w:name w:val="Viñeta 3"/>
    <w:basedOn w:val="Prrafodelista"/>
    <w:uiPriority w:val="38"/>
    <w:qFormat/>
    <w:rsid w:val="00A85989"/>
    <w:pPr>
      <w:numPr>
        <w:ilvl w:val="2"/>
        <w:numId w:val="4"/>
      </w:numPr>
      <w:spacing w:after="0"/>
    </w:pPr>
  </w:style>
  <w:style w:type="paragraph" w:customStyle="1" w:styleId="MarcadorDePosicinPredeterminadoAsunto10">
    <w:name w:val="MarcadorDePosiciónPredeterminado_Asunto10"/>
    <w:uiPriority w:val="39"/>
    <w:rsid w:val="00A85989"/>
    <w:rPr>
      <w:i/>
      <w:color w:val="424456" w:themeColor="text2"/>
      <w:sz w:val="24"/>
      <w:szCs w:val="24"/>
    </w:rPr>
  </w:style>
  <w:style w:type="paragraph" w:customStyle="1" w:styleId="Encabezadopar">
    <w:name w:val="Encabezado par"/>
    <w:basedOn w:val="Encabezado"/>
    <w:uiPriority w:val="39"/>
    <w:rsid w:val="00A85989"/>
    <w:pPr>
      <w:pBdr>
        <w:bottom w:val="single" w:sz="4" w:space="1" w:color="auto"/>
      </w:pBdr>
    </w:pPr>
  </w:style>
  <w:style w:type="paragraph" w:customStyle="1" w:styleId="Encabezadoimpar">
    <w:name w:val="Encabezado impar"/>
    <w:basedOn w:val="Encabezado"/>
    <w:uiPriority w:val="39"/>
    <w:rsid w:val="00A85989"/>
    <w:pPr>
      <w:pBdr>
        <w:bottom w:val="single" w:sz="4" w:space="1" w:color="auto"/>
      </w:pBdr>
      <w:jc w:val="right"/>
    </w:pPr>
  </w:style>
  <w:style w:type="paragraph" w:customStyle="1" w:styleId="Categora">
    <w:name w:val="Categoría"/>
    <w:basedOn w:val="Normal"/>
    <w:uiPriority w:val="39"/>
    <w:qFormat/>
    <w:rsid w:val="00A85989"/>
    <w:pPr>
      <w:framePr w:hSpace="187" w:wrap="around" w:hAnchor="margin" w:xAlign="center" w:y="721"/>
      <w:spacing w:after="0" w:line="240" w:lineRule="auto"/>
    </w:pPr>
    <w:rPr>
      <w:caps/>
      <w:szCs w:val="22"/>
    </w:rPr>
  </w:style>
  <w:style w:type="paragraph" w:customStyle="1" w:styleId="Comentarios">
    <w:name w:val="Comentarios"/>
    <w:basedOn w:val="Normal"/>
    <w:uiPriority w:val="39"/>
    <w:qFormat/>
    <w:rsid w:val="00A85989"/>
    <w:pPr>
      <w:spacing w:after="120" w:line="240" w:lineRule="auto"/>
    </w:pPr>
    <w:rPr>
      <w:b/>
      <w:szCs w:val="22"/>
    </w:rPr>
  </w:style>
  <w:style w:type="paragraph" w:customStyle="1" w:styleId="Textodecomentarios">
    <w:name w:val="Texto de comentarios"/>
    <w:basedOn w:val="Normal"/>
    <w:uiPriority w:val="39"/>
    <w:qFormat/>
    <w:rsid w:val="00A85989"/>
    <w:pPr>
      <w:spacing w:after="120" w:line="288" w:lineRule="auto"/>
    </w:pPr>
    <w:rPr>
      <w:szCs w:val="22"/>
    </w:rPr>
  </w:style>
  <w:style w:type="character" w:styleId="Hipervnculo">
    <w:name w:val="Hyperlink"/>
    <w:basedOn w:val="Fuentedeprrafopredeter"/>
    <w:uiPriority w:val="99"/>
    <w:unhideWhenUsed/>
    <w:rsid w:val="00A85989"/>
    <w:rPr>
      <w:color w:val="67AFBD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32933"/>
    <w:pPr>
      <w:tabs>
        <w:tab w:val="right" w:pos="9061"/>
      </w:tabs>
    </w:pPr>
    <w:rPr>
      <w:rFonts w:eastAsiaTheme="minorEastAsia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32933"/>
    <w:pPr>
      <w:tabs>
        <w:tab w:val="right" w:pos="9061"/>
      </w:tabs>
      <w:ind w:left="284"/>
    </w:pPr>
    <w:rPr>
      <w:rFonts w:eastAsiaTheme="minorEastAsia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C195D"/>
    <w:pPr>
      <w:tabs>
        <w:tab w:val="right" w:pos="9061"/>
      </w:tabs>
      <w:spacing w:after="100"/>
      <w:ind w:left="400"/>
      <w:jc w:val="left"/>
    </w:pPr>
  </w:style>
  <w:style w:type="paragraph" w:styleId="Descripcin">
    <w:name w:val="caption"/>
    <w:basedOn w:val="Normal"/>
    <w:next w:val="Normal"/>
    <w:uiPriority w:val="35"/>
    <w:unhideWhenUsed/>
    <w:qFormat/>
    <w:rsid w:val="00A85989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322B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322B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322B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E924EF"/>
    <w:pPr>
      <w:keepNext/>
      <w:keepLines/>
      <w:pBdr>
        <w:bottom w:val="none" w:sz="0" w:space="0" w:color="auto"/>
      </w:pBdr>
      <w:spacing w:before="480" w:after="0"/>
      <w:jc w:val="left"/>
      <w:outlineLvl w:val="9"/>
    </w:pPr>
    <w:rPr>
      <w:rFonts w:eastAsiaTheme="majorEastAsia" w:cstheme="majorBidi"/>
      <w:bCs/>
      <w:color w:val="3E3E67" w:themeColor="accent1" w:themeShade="BF"/>
      <w:sz w:val="28"/>
      <w:szCs w:val="28"/>
    </w:rPr>
  </w:style>
  <w:style w:type="paragraph" w:styleId="Tabladeilustraciones">
    <w:name w:val="table of figures"/>
    <w:basedOn w:val="Normal"/>
    <w:next w:val="Normal"/>
    <w:uiPriority w:val="99"/>
    <w:unhideWhenUsed/>
    <w:rsid w:val="00E924EF"/>
    <w:pPr>
      <w:spacing w:after="0"/>
      <w:ind w:left="440" w:hanging="440"/>
      <w:jc w:val="left"/>
    </w:pPr>
    <w:rPr>
      <w:rFonts w:asciiTheme="minorHAnsi" w:hAnsiTheme="minorHAnsi"/>
      <w:b/>
      <w:bCs/>
      <w:sz w:val="20"/>
    </w:rPr>
  </w:style>
  <w:style w:type="table" w:styleId="Listavistosa-nfasis2">
    <w:name w:val="Colorful List Accent 2"/>
    <w:basedOn w:val="Tablanormal"/>
    <w:uiPriority w:val="42"/>
    <w:rsid w:val="0008061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666B" w:themeFill="accent2" w:themeFillShade="CC"/>
      </w:tcPr>
    </w:tblStylePr>
    <w:tblStylePr w:type="lastRow">
      <w:rPr>
        <w:b/>
        <w:bCs/>
        <w:color w:val="35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3E5" w:themeFill="accent2" w:themeFillTint="3F"/>
      </w:tcPr>
    </w:tblStylePr>
    <w:tblStylePr w:type="band1Horz">
      <w:tblPr/>
      <w:tcPr>
        <w:shd w:val="clear" w:color="auto" w:fill="D5E8EA" w:themeFill="accent2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931F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D364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5C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CD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CD6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C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CD6"/>
    <w:rPr>
      <w:rFonts w:ascii="Century Gothic" w:hAnsi="Century Gothic"/>
      <w:b/>
      <w:bCs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D74601"/>
    <w:pPr>
      <w:numPr>
        <w:numId w:val="1"/>
      </w:numPr>
      <w:contextualSpacing/>
    </w:pPr>
  </w:style>
  <w:style w:type="table" w:styleId="Listaclara-nfasis2">
    <w:name w:val="Light List Accent 2"/>
    <w:basedOn w:val="Tablanormal"/>
    <w:uiPriority w:val="42"/>
    <w:rsid w:val="00141DBA"/>
    <w:pPr>
      <w:spacing w:after="0" w:line="240" w:lineRule="auto"/>
    </w:pPr>
    <w:tblPr>
      <w:tblStyleRowBandSize w:val="1"/>
      <w:tblStyleColBandSize w:val="1"/>
      <w:tblBorders>
        <w:top w:val="single" w:sz="8" w:space="0" w:color="438086" w:themeColor="accent2"/>
        <w:left w:val="single" w:sz="8" w:space="0" w:color="438086" w:themeColor="accent2"/>
        <w:bottom w:val="single" w:sz="8" w:space="0" w:color="438086" w:themeColor="accent2"/>
        <w:right w:val="single" w:sz="8" w:space="0" w:color="43808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80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086" w:themeColor="accent2"/>
          <w:left w:val="single" w:sz="8" w:space="0" w:color="438086" w:themeColor="accent2"/>
          <w:bottom w:val="single" w:sz="8" w:space="0" w:color="438086" w:themeColor="accent2"/>
          <w:right w:val="single" w:sz="8" w:space="0" w:color="4380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8086" w:themeColor="accent2"/>
          <w:left w:val="single" w:sz="8" w:space="0" w:color="438086" w:themeColor="accent2"/>
          <w:bottom w:val="single" w:sz="8" w:space="0" w:color="438086" w:themeColor="accent2"/>
          <w:right w:val="single" w:sz="8" w:space="0" w:color="438086" w:themeColor="accent2"/>
        </w:tcBorders>
      </w:tcPr>
    </w:tblStylePr>
    <w:tblStylePr w:type="band1Horz">
      <w:tblPr/>
      <w:tcPr>
        <w:tcBorders>
          <w:top w:val="single" w:sz="8" w:space="0" w:color="438086" w:themeColor="accent2"/>
          <w:left w:val="single" w:sz="8" w:space="0" w:color="438086" w:themeColor="accent2"/>
          <w:bottom w:val="single" w:sz="8" w:space="0" w:color="438086" w:themeColor="accent2"/>
          <w:right w:val="single" w:sz="8" w:space="0" w:color="438086" w:themeColor="accent2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0C44"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60C44"/>
    <w:rPr>
      <w:rFonts w:ascii="Century Gothic" w:hAnsi="Century Gothic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60C44"/>
    <w:rPr>
      <w:vertAlign w:val="superscript"/>
    </w:rPr>
  </w:style>
  <w:style w:type="table" w:styleId="Cuadrculamedia3-nfasis2">
    <w:name w:val="Medium Grid 3 Accent 2"/>
    <w:basedOn w:val="Tablanormal"/>
    <w:uiPriority w:val="42"/>
    <w:rsid w:val="00AB5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3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808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808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808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808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7C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7CB" w:themeFill="accent2" w:themeFillTint="7F"/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632B6E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45"/>
    <w:rsid w:val="00632B6E"/>
    <w:pPr>
      <w:spacing w:after="0" w:line="240" w:lineRule="auto"/>
    </w:pPr>
    <w:tblPr>
      <w:tblStyleRowBandSize w:val="1"/>
      <w:tblStyleColBandSize w:val="1"/>
      <w:tblBorders>
        <w:top w:val="single" w:sz="8" w:space="0" w:color="B8825D" w:themeColor="accent5" w:themeTint="BF"/>
        <w:left w:val="single" w:sz="8" w:space="0" w:color="B8825D" w:themeColor="accent5" w:themeTint="BF"/>
        <w:bottom w:val="single" w:sz="8" w:space="0" w:color="B8825D" w:themeColor="accent5" w:themeTint="BF"/>
        <w:right w:val="single" w:sz="8" w:space="0" w:color="B8825D" w:themeColor="accent5" w:themeTint="BF"/>
        <w:insideH w:val="single" w:sz="8" w:space="0" w:color="B882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825D" w:themeColor="accent5" w:themeTint="BF"/>
          <w:left w:val="single" w:sz="8" w:space="0" w:color="B8825D" w:themeColor="accent5" w:themeTint="BF"/>
          <w:bottom w:val="single" w:sz="8" w:space="0" w:color="B8825D" w:themeColor="accent5" w:themeTint="BF"/>
          <w:right w:val="single" w:sz="8" w:space="0" w:color="B8825D" w:themeColor="accent5" w:themeTint="BF"/>
          <w:insideH w:val="nil"/>
          <w:insideV w:val="nil"/>
        </w:tcBorders>
        <w:shd w:val="clear" w:color="auto" w:fill="8B5D3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825D" w:themeColor="accent5" w:themeTint="BF"/>
          <w:left w:val="single" w:sz="8" w:space="0" w:color="B8825D" w:themeColor="accent5" w:themeTint="BF"/>
          <w:bottom w:val="single" w:sz="8" w:space="0" w:color="B8825D" w:themeColor="accent5" w:themeTint="BF"/>
          <w:right w:val="single" w:sz="8" w:space="0" w:color="B882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5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5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D15F0F"/>
    <w:pPr>
      <w:spacing w:after="0" w:line="240" w:lineRule="auto"/>
    </w:pPr>
    <w:tblPr>
      <w:tblStyleRowBandSize w:val="1"/>
      <w:tblStyleColBandSize w:val="1"/>
      <w:tblBorders>
        <w:top w:val="single" w:sz="4" w:space="0" w:color="438086" w:themeColor="accent2"/>
        <w:left w:val="single" w:sz="4" w:space="0" w:color="438086" w:themeColor="accent2"/>
        <w:bottom w:val="single" w:sz="4" w:space="0" w:color="438086" w:themeColor="accent2"/>
        <w:right w:val="single" w:sz="4" w:space="0" w:color="43808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8086" w:themeFill="accent2"/>
      </w:tcPr>
    </w:tblStylePr>
    <w:tblStylePr w:type="lastRow">
      <w:rPr>
        <w:b/>
        <w:bCs/>
      </w:rPr>
      <w:tblPr/>
      <w:tcPr>
        <w:tcBorders>
          <w:top w:val="double" w:sz="4" w:space="0" w:color="43808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8086" w:themeColor="accent2"/>
          <w:right w:val="single" w:sz="4" w:space="0" w:color="438086" w:themeColor="accent2"/>
        </w:tcBorders>
      </w:tcPr>
    </w:tblStylePr>
    <w:tblStylePr w:type="band1Horz">
      <w:tblPr/>
      <w:tcPr>
        <w:tcBorders>
          <w:top w:val="single" w:sz="4" w:space="0" w:color="438086" w:themeColor="accent2"/>
          <w:bottom w:val="single" w:sz="4" w:space="0" w:color="43808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8086" w:themeColor="accent2"/>
          <w:left w:val="nil"/>
        </w:tcBorders>
      </w:tcPr>
    </w:tblStylePr>
    <w:tblStylePr w:type="swCell">
      <w:tblPr/>
      <w:tcPr>
        <w:tcBorders>
          <w:top w:val="double" w:sz="4" w:space="0" w:color="438086" w:themeColor="accent2"/>
          <w:right w:val="nil"/>
        </w:tcBorders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D15F0F"/>
    <w:pPr>
      <w:spacing w:after="0" w:line="240" w:lineRule="auto"/>
    </w:pPr>
    <w:tblPr>
      <w:tblStyleRowBandSize w:val="1"/>
      <w:tblStyleColBandSize w:val="1"/>
      <w:tblBorders>
        <w:top w:val="single" w:sz="4" w:space="0" w:color="83BBC1" w:themeColor="accent2" w:themeTint="99"/>
        <w:left w:val="single" w:sz="4" w:space="0" w:color="83BBC1" w:themeColor="accent2" w:themeTint="99"/>
        <w:bottom w:val="single" w:sz="4" w:space="0" w:color="83BBC1" w:themeColor="accent2" w:themeTint="99"/>
        <w:right w:val="single" w:sz="4" w:space="0" w:color="83BBC1" w:themeColor="accent2" w:themeTint="99"/>
        <w:insideH w:val="single" w:sz="4" w:space="0" w:color="83BBC1" w:themeColor="accent2" w:themeTint="99"/>
        <w:insideV w:val="single" w:sz="4" w:space="0" w:color="83BB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8086" w:themeColor="accent2"/>
          <w:left w:val="single" w:sz="4" w:space="0" w:color="438086" w:themeColor="accent2"/>
          <w:bottom w:val="single" w:sz="4" w:space="0" w:color="438086" w:themeColor="accent2"/>
          <w:right w:val="single" w:sz="4" w:space="0" w:color="438086" w:themeColor="accent2"/>
          <w:insideH w:val="nil"/>
          <w:insideV w:val="nil"/>
        </w:tcBorders>
        <w:shd w:val="clear" w:color="auto" w:fill="438086" w:themeFill="accent2"/>
      </w:tcPr>
    </w:tblStylePr>
    <w:tblStylePr w:type="lastRow">
      <w:rPr>
        <w:b/>
        <w:bCs/>
      </w:rPr>
      <w:tblPr/>
      <w:tcPr>
        <w:tcBorders>
          <w:top w:val="double" w:sz="4" w:space="0" w:color="4380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8EA" w:themeFill="accent2" w:themeFillTint="33"/>
      </w:tcPr>
    </w:tblStylePr>
    <w:tblStylePr w:type="band1Horz">
      <w:tblPr/>
      <w:tcPr>
        <w:shd w:val="clear" w:color="auto" w:fill="D5E8EA" w:themeFill="accent2" w:themeFillTint="33"/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1E498D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92B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2B5"/>
          <w:left w:val="single" w:sz="8" w:space="0" w:color="5C92B5"/>
          <w:bottom w:val="single" w:sz="8" w:space="0" w:color="5C92B5"/>
          <w:right w:val="single" w:sz="8" w:space="0" w:color="5C92B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92B5"/>
          <w:left w:val="single" w:sz="8" w:space="0" w:color="5C92B5"/>
          <w:bottom w:val="single" w:sz="8" w:space="0" w:color="5C92B5"/>
          <w:right w:val="single" w:sz="8" w:space="0" w:color="5C92B5"/>
        </w:tcBorders>
      </w:tcPr>
    </w:tblStylePr>
    <w:tblStylePr w:type="band1Horz">
      <w:tblPr/>
      <w:tcPr>
        <w:tcBorders>
          <w:top w:val="single" w:sz="8" w:space="0" w:color="5C92B5"/>
          <w:left w:val="single" w:sz="8" w:space="0" w:color="5C92B5"/>
          <w:bottom w:val="single" w:sz="8" w:space="0" w:color="5C92B5"/>
          <w:right w:val="single" w:sz="8" w:space="0" w:color="5C92B5"/>
        </w:tcBorders>
      </w:tcPr>
    </w:tblStylePr>
  </w:style>
  <w:style w:type="table" w:styleId="Listaclara-nfasis6">
    <w:name w:val="Light List Accent 6"/>
    <w:basedOn w:val="Tablanormal"/>
    <w:uiPriority w:val="46"/>
    <w:semiHidden/>
    <w:unhideWhenUsed/>
    <w:rsid w:val="001E498D"/>
    <w:pPr>
      <w:spacing w:after="0" w:line="240" w:lineRule="auto"/>
    </w:pPr>
    <w:tblPr>
      <w:tblStyleRowBandSize w:val="1"/>
      <w:tblStyleColBandSize w:val="1"/>
      <w:tblBorders>
        <w:top w:val="single" w:sz="8" w:space="0" w:color="5C92B5" w:themeColor="accent6"/>
        <w:left w:val="single" w:sz="8" w:space="0" w:color="5C92B5" w:themeColor="accent6"/>
        <w:bottom w:val="single" w:sz="8" w:space="0" w:color="5C92B5" w:themeColor="accent6"/>
        <w:right w:val="single" w:sz="8" w:space="0" w:color="5C92B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92B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2B5" w:themeColor="accent6"/>
          <w:left w:val="single" w:sz="8" w:space="0" w:color="5C92B5" w:themeColor="accent6"/>
          <w:bottom w:val="single" w:sz="8" w:space="0" w:color="5C92B5" w:themeColor="accent6"/>
          <w:right w:val="single" w:sz="8" w:space="0" w:color="5C92B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92B5" w:themeColor="accent6"/>
          <w:left w:val="single" w:sz="8" w:space="0" w:color="5C92B5" w:themeColor="accent6"/>
          <w:bottom w:val="single" w:sz="8" w:space="0" w:color="5C92B5" w:themeColor="accent6"/>
          <w:right w:val="single" w:sz="8" w:space="0" w:color="5C92B5" w:themeColor="accent6"/>
        </w:tcBorders>
      </w:tcPr>
    </w:tblStylePr>
    <w:tblStylePr w:type="band1Horz">
      <w:tblPr/>
      <w:tcPr>
        <w:tcBorders>
          <w:top w:val="single" w:sz="8" w:space="0" w:color="5C92B5" w:themeColor="accent6"/>
          <w:left w:val="single" w:sz="8" w:space="0" w:color="5C92B5" w:themeColor="accent6"/>
          <w:bottom w:val="single" w:sz="8" w:space="0" w:color="5C92B5" w:themeColor="accent6"/>
          <w:right w:val="single" w:sz="8" w:space="0" w:color="5C92B5" w:themeColor="accent6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155D0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61">
    <w:name w:val="Tabla con cuadrícula 4 - Énfasis 61"/>
    <w:basedOn w:val="Tablanormal"/>
    <w:uiPriority w:val="49"/>
    <w:rsid w:val="00F936A5"/>
    <w:pPr>
      <w:spacing w:after="0" w:line="240" w:lineRule="auto"/>
    </w:pPr>
    <w:tblPr>
      <w:tblStyleRowBandSize w:val="1"/>
      <w:tblStyleColBandSize w:val="1"/>
      <w:tblBorders>
        <w:top w:val="single" w:sz="4" w:space="0" w:color="9DBDD2" w:themeColor="accent6" w:themeTint="99"/>
        <w:left w:val="single" w:sz="4" w:space="0" w:color="9DBDD2" w:themeColor="accent6" w:themeTint="99"/>
        <w:bottom w:val="single" w:sz="4" w:space="0" w:color="9DBDD2" w:themeColor="accent6" w:themeTint="99"/>
        <w:right w:val="single" w:sz="4" w:space="0" w:color="9DBDD2" w:themeColor="accent6" w:themeTint="99"/>
        <w:insideH w:val="single" w:sz="4" w:space="0" w:color="9DBDD2" w:themeColor="accent6" w:themeTint="99"/>
        <w:insideV w:val="single" w:sz="4" w:space="0" w:color="9DBDD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B5" w:themeColor="accent6"/>
          <w:left w:val="single" w:sz="4" w:space="0" w:color="5C92B5" w:themeColor="accent6"/>
          <w:bottom w:val="single" w:sz="4" w:space="0" w:color="5C92B5" w:themeColor="accent6"/>
          <w:right w:val="single" w:sz="4" w:space="0" w:color="5C92B5" w:themeColor="accent6"/>
          <w:insideH w:val="nil"/>
          <w:insideV w:val="nil"/>
        </w:tcBorders>
        <w:shd w:val="clear" w:color="auto" w:fill="5C92B5" w:themeFill="accent6"/>
      </w:tcPr>
    </w:tblStylePr>
    <w:tblStylePr w:type="lastRow">
      <w:rPr>
        <w:b/>
        <w:bCs/>
      </w:rPr>
      <w:tblPr/>
      <w:tcPr>
        <w:tcBorders>
          <w:top w:val="double" w:sz="4" w:space="0" w:color="5C92B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F0" w:themeFill="accent6" w:themeFillTint="33"/>
      </w:tcPr>
    </w:tblStylePr>
    <w:tblStylePr w:type="band1Horz">
      <w:tblPr/>
      <w:tcPr>
        <w:shd w:val="clear" w:color="auto" w:fill="DEE9F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UrbanReport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Pc%20CTBG\14%20MEMORIA\MEMORIA%202025\Terceras%20evaluaciones\Cumplimiento%20recomendaciones%20terceras%20evaluaciones%20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c%20CTBG\14%20MEMORIA\MEMORIA%202025\Terceras%20evaluaciones\Cumplimiento%20recomendaciones%20terceras%20evaluaciones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c%20CTBG\14%20MEMORIA\MEMORIA%202025\Terceras%20evaluaciones\Cumplimiento%20recomendaciones%20terceras%20evaluaciones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Hoja1!$T$2</c:f>
              <c:strCache>
                <c:ptCount val="1"/>
                <c:pt idx="0">
                  <c:v>% Corporaciones</c:v>
                </c:pt>
              </c:strCache>
            </c:strRef>
          </c:tx>
          <c:spPr>
            <a:solidFill>
              <a:srgbClr val="43808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Hoja1!$R$3:$R$9</c:f>
              <c:strCache>
                <c:ptCount val="7"/>
                <c:pt idx="0">
                  <c:v>100%</c:v>
                </c:pt>
                <c:pt idx="1">
                  <c:v>80-99,9%</c:v>
                </c:pt>
                <c:pt idx="2">
                  <c:v>60-79,9%</c:v>
                </c:pt>
                <c:pt idx="3">
                  <c:v>40-59,9%</c:v>
                </c:pt>
                <c:pt idx="4">
                  <c:v>20-39,9%</c:v>
                </c:pt>
                <c:pt idx="5">
                  <c:v>1-19,9%</c:v>
                </c:pt>
                <c:pt idx="6">
                  <c:v>0%</c:v>
                </c:pt>
              </c:strCache>
            </c:strRef>
          </c:cat>
          <c:val>
            <c:numRef>
              <c:f>Hoja1!$T$3:$T$9</c:f>
              <c:numCache>
                <c:formatCode>0.0%</c:formatCode>
                <c:ptCount val="7"/>
                <c:pt idx="0">
                  <c:v>2.5974025974026014E-2</c:v>
                </c:pt>
                <c:pt idx="1">
                  <c:v>5.1948051948051972E-2</c:v>
                </c:pt>
                <c:pt idx="2">
                  <c:v>0.10389610389610397</c:v>
                </c:pt>
                <c:pt idx="3">
                  <c:v>9.090909090909105E-2</c:v>
                </c:pt>
                <c:pt idx="4">
                  <c:v>0.12987012987012986</c:v>
                </c:pt>
                <c:pt idx="5">
                  <c:v>0.20779220779220808</c:v>
                </c:pt>
                <c:pt idx="6">
                  <c:v>0.38961038961039002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17-4FBB-9A0F-59DE69860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47808"/>
        <c:axId val="155079424"/>
      </c:barChart>
      <c:catAx>
        <c:axId val="155047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% de recomendaciones aplicadas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55079424"/>
        <c:crosses val="autoZero"/>
        <c:auto val="1"/>
        <c:lblAlgn val="ctr"/>
        <c:lblOffset val="100"/>
        <c:noMultiLvlLbl val="0"/>
      </c:catAx>
      <c:valAx>
        <c:axId val="155079424"/>
        <c:scaling>
          <c:orientation val="minMax"/>
        </c:scaling>
        <c:delete val="1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ES" b="1"/>
                  <a:t>% d</a:t>
                </a:r>
                <a:r>
                  <a:rPr lang="es-ES"/>
                  <a:t>e entidades</a:t>
                </a:r>
              </a:p>
            </c:rich>
          </c:tx>
          <c:layout>
            <c:manualLayout>
              <c:xMode val="edge"/>
              <c:yMode val="edge"/>
              <c:x val="3.6111111111111233E-2"/>
              <c:y val="0.26545895304753581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550478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Hoja8!$B$3:$B$22</c:f>
              <c:strCach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 o más</c:v>
                </c:pt>
              </c:strCache>
            </c:strRef>
          </c:cat>
          <c:val>
            <c:numRef>
              <c:f>Hoja8!$D$3:$D$22</c:f>
              <c:numCache>
                <c:formatCode>###0.0</c:formatCode>
                <c:ptCount val="20"/>
                <c:pt idx="0">
                  <c:v>2.5974025974025992</c:v>
                </c:pt>
                <c:pt idx="1">
                  <c:v>5.1948051948051948</c:v>
                </c:pt>
                <c:pt idx="2">
                  <c:v>2.5974025974025992</c:v>
                </c:pt>
                <c:pt idx="3">
                  <c:v>6.4935064935064926</c:v>
                </c:pt>
                <c:pt idx="4">
                  <c:v>9.0909090909091006</c:v>
                </c:pt>
                <c:pt idx="5">
                  <c:v>2.5974025974025992</c:v>
                </c:pt>
                <c:pt idx="6">
                  <c:v>10.389610389610398</c:v>
                </c:pt>
                <c:pt idx="7">
                  <c:v>7.7922077922077921</c:v>
                </c:pt>
                <c:pt idx="8">
                  <c:v>2.5974025974025992</c:v>
                </c:pt>
                <c:pt idx="9">
                  <c:v>1.2987012987012978</c:v>
                </c:pt>
                <c:pt idx="10">
                  <c:v>7.7922077922077921</c:v>
                </c:pt>
                <c:pt idx="11">
                  <c:v>3.8961038961038934</c:v>
                </c:pt>
                <c:pt idx="12">
                  <c:v>2.5974025974025992</c:v>
                </c:pt>
                <c:pt idx="13">
                  <c:v>6.4935064935064926</c:v>
                </c:pt>
                <c:pt idx="14">
                  <c:v>7.7922077922077921</c:v>
                </c:pt>
                <c:pt idx="15">
                  <c:v>3.8961038961038934</c:v>
                </c:pt>
                <c:pt idx="16">
                  <c:v>3.8961038961038934</c:v>
                </c:pt>
                <c:pt idx="17">
                  <c:v>3.8961038961038934</c:v>
                </c:pt>
                <c:pt idx="18">
                  <c:v>2.5974025974025992</c:v>
                </c:pt>
                <c:pt idx="19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14-47E0-ABE7-DAB645F0F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589632"/>
        <c:axId val="155785472"/>
      </c:barChart>
      <c:catAx>
        <c:axId val="155589632"/>
        <c:scaling>
          <c:orientation val="minMax"/>
        </c:scaling>
        <c:delete val="0"/>
        <c:axPos val="b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155785472"/>
        <c:crosses val="autoZero"/>
        <c:auto val="1"/>
        <c:lblAlgn val="ctr"/>
        <c:lblOffset val="1000"/>
        <c:noMultiLvlLbl val="0"/>
      </c:catAx>
      <c:valAx>
        <c:axId val="155785472"/>
        <c:scaling>
          <c:orientation val="minMax"/>
        </c:scaling>
        <c:delete val="0"/>
        <c:axPos val="l"/>
        <c:numFmt formatCode="###0.0" sourceLinked="1"/>
        <c:majorTickMark val="out"/>
        <c:minorTickMark val="none"/>
        <c:tickLblPos val="nextTo"/>
        <c:crossAx val="155589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Hoja2!$H$71</c:f>
              <c:strCache>
                <c:ptCount val="1"/>
                <c:pt idx="0">
                  <c:v>ICIO 1ª evaluación</c:v>
                </c:pt>
              </c:strCache>
            </c:strRef>
          </c:tx>
          <c:spPr>
            <a:solidFill>
              <a:srgbClr val="43808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Hoja2!$G$72:$G$73</c:f>
              <c:strCache>
                <c:ptCount val="2"/>
                <c:pt idx="0">
                  <c:v>Entidades del SPI</c:v>
                </c:pt>
                <c:pt idx="1">
                  <c:v>Entidades perceptoras de subvenciones y ayudas públicas</c:v>
                </c:pt>
              </c:strCache>
            </c:strRef>
          </c:cat>
          <c:val>
            <c:numRef>
              <c:f>Hoja2!$H$72:$H$73</c:f>
              <c:numCache>
                <c:formatCode>General</c:formatCode>
                <c:ptCount val="2"/>
                <c:pt idx="0" formatCode="0.0">
                  <c:v>32.9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4C-429D-8A40-742D24B1D0C1}"/>
            </c:ext>
          </c:extLst>
        </c:ser>
        <c:ser>
          <c:idx val="1"/>
          <c:order val="1"/>
          <c:tx>
            <c:strRef>
              <c:f>Hoja2!$I$71</c:f>
              <c:strCache>
                <c:ptCount val="1"/>
                <c:pt idx="0">
                  <c:v>ICIO 2ª evaluación</c:v>
                </c:pt>
              </c:strCache>
            </c:strRef>
          </c:tx>
          <c:spPr>
            <a:solidFill>
              <a:srgbClr val="74B3B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Hoja2!$G$72:$G$73</c:f>
              <c:strCache>
                <c:ptCount val="2"/>
                <c:pt idx="0">
                  <c:v>Entidades del SPI</c:v>
                </c:pt>
                <c:pt idx="1">
                  <c:v>Entidades perceptoras de subvenciones y ayudas públicas</c:v>
                </c:pt>
              </c:strCache>
            </c:strRef>
          </c:cat>
          <c:val>
            <c:numRef>
              <c:f>Hoja2!$I$72:$I$73</c:f>
              <c:numCache>
                <c:formatCode>General</c:formatCode>
                <c:ptCount val="2"/>
                <c:pt idx="0">
                  <c:v>45.7</c:v>
                </c:pt>
                <c:pt idx="1">
                  <c:v>35.800000000000011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4C-429D-8A40-742D24B1D0C1}"/>
            </c:ext>
          </c:extLst>
        </c:ser>
        <c:ser>
          <c:idx val="2"/>
          <c:order val="2"/>
          <c:tx>
            <c:strRef>
              <c:f>Hoja2!$J$71</c:f>
              <c:strCache>
                <c:ptCount val="1"/>
                <c:pt idx="0">
                  <c:v>ICIO 3ª evaluación</c:v>
                </c:pt>
              </c:strCache>
            </c:strRef>
          </c:tx>
          <c:spPr>
            <a:solidFill>
              <a:srgbClr val="CFE5E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Hoja2!$G$72:$G$73</c:f>
              <c:strCache>
                <c:ptCount val="2"/>
                <c:pt idx="0">
                  <c:v>Entidades del SPI</c:v>
                </c:pt>
                <c:pt idx="1">
                  <c:v>Entidades perceptoras de subvenciones y ayudas públicas</c:v>
                </c:pt>
              </c:strCache>
            </c:strRef>
          </c:cat>
          <c:val>
            <c:numRef>
              <c:f>Hoja2!$J$72:$J$73</c:f>
              <c:numCache>
                <c:formatCode>General</c:formatCode>
                <c:ptCount val="2"/>
                <c:pt idx="0">
                  <c:v>53.2</c:v>
                </c:pt>
                <c:pt idx="1">
                  <c:v>37.300000000000011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4C-429D-8A40-742D24B1D0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710976"/>
        <c:axId val="131712512"/>
      </c:barChart>
      <c:catAx>
        <c:axId val="13171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ES"/>
          </a:p>
        </c:txPr>
        <c:crossAx val="131712512"/>
        <c:crosses val="autoZero"/>
        <c:auto val="1"/>
        <c:lblAlgn val="ctr"/>
        <c:lblOffset val="100"/>
        <c:noMultiLvlLbl val="0"/>
      </c:catAx>
      <c:valAx>
        <c:axId val="131712512"/>
        <c:scaling>
          <c:orientation val="minMax"/>
          <c:max val="14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s-ES"/>
          </a:p>
        </c:txPr>
        <c:crossAx val="13171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Mulish" pitchFamily="2" charset="0"/>
        </a:defRPr>
      </a:pPr>
      <a:endParaRPr lang="es-ES"/>
    </a:p>
  </c:txPr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A9CDB-95FF-484C-B2F9-BB85458A7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CC7A615-CB6E-4AEB-A69D-52C1FBCA7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UrbanReport.dotx</Template>
  <TotalTime>28</TotalTime>
  <Pages>18</Pages>
  <Words>5348</Words>
  <Characters>29420</Characters>
  <Application>Microsoft Office Word</Application>
  <DocSecurity>0</DocSecurity>
  <Lines>245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SGAD</Company>
  <LinksUpToDate>false</LinksUpToDate>
  <CharactersWithSpaces>34699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Evaluaciones 2023.CTBG</dc:subject>
  <dc:creator>Consejo de Transparencia y Buen Gobierno.</dc:creator>
  <cp:keywords/>
  <dc:description/>
  <cp:lastModifiedBy>GONZALO GOMEZ DE VILLALOBOS</cp:lastModifiedBy>
  <cp:revision>4</cp:revision>
  <cp:lastPrinted>2025-11-25T11:45:00Z</cp:lastPrinted>
  <dcterms:created xsi:type="dcterms:W3CDTF">2025-11-26T13:03:00Z</dcterms:created>
  <dcterms:modified xsi:type="dcterms:W3CDTF">2025-11-26T13:37:00Z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TC017730899991</vt:lpwstr>
  </property>
</Properties>
</file>