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AB30" w14:textId="60CA25E4" w:rsidR="00BA4068" w:rsidRDefault="00FD5AAD" w:rsidP="005353F4">
      <w:pPr>
        <w:pStyle w:val="Textoindependiente"/>
        <w:spacing w:before="88" w:line="276" w:lineRule="auto"/>
        <w:ind w:left="708" w:right="21"/>
        <w:rPr>
          <w:sz w:val="22"/>
          <w:szCs w:val="22"/>
          <w:u w:val="single"/>
        </w:rPr>
      </w:pPr>
      <w:bookmarkStart w:id="0" w:name="_Hlk190693673"/>
      <w:r>
        <w:rPr>
          <w:color w:val="0C0C0C" w:themeColor="text1"/>
          <w:sz w:val="22"/>
          <w:szCs w:val="22"/>
          <w:u w:val="single"/>
        </w:rPr>
        <w:t xml:space="preserve">El </w:t>
      </w:r>
      <w:r w:rsidR="00126597" w:rsidRPr="00610C63">
        <w:rPr>
          <w:sz w:val="22"/>
          <w:szCs w:val="22"/>
          <w:u w:val="single"/>
        </w:rPr>
        <w:t>Consejo</w:t>
      </w:r>
      <w:r w:rsidR="00B109CF" w:rsidRPr="00610C63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publica hoy </w:t>
      </w:r>
      <w:r w:rsidR="005148C2">
        <w:rPr>
          <w:sz w:val="22"/>
          <w:szCs w:val="22"/>
          <w:u w:val="single"/>
        </w:rPr>
        <w:t>los resultados de su tercera evaluación de los portales de transparencia de una</w:t>
      </w:r>
      <w:r w:rsidR="00A24C05">
        <w:rPr>
          <w:sz w:val="22"/>
          <w:szCs w:val="22"/>
          <w:u w:val="single"/>
        </w:rPr>
        <w:t xml:space="preserve"> serie de</w:t>
      </w:r>
      <w:r>
        <w:rPr>
          <w:sz w:val="22"/>
          <w:szCs w:val="22"/>
          <w:u w:val="single"/>
        </w:rPr>
        <w:t xml:space="preserve"> </w:t>
      </w:r>
      <w:r w:rsidR="000C4037" w:rsidRPr="00610C63">
        <w:rPr>
          <w:sz w:val="22"/>
          <w:szCs w:val="22"/>
          <w:u w:val="single"/>
        </w:rPr>
        <w:t xml:space="preserve">entidades </w:t>
      </w:r>
      <w:r w:rsidR="00815269">
        <w:rPr>
          <w:sz w:val="22"/>
          <w:szCs w:val="22"/>
          <w:u w:val="single"/>
        </w:rPr>
        <w:t xml:space="preserve">públicas y privadas </w:t>
      </w:r>
    </w:p>
    <w:p w14:paraId="19F4BA46" w14:textId="5C9AC35B" w:rsidR="00FD5AAD" w:rsidRDefault="00FD5AAD" w:rsidP="005353F4">
      <w:pPr>
        <w:pStyle w:val="Textoindependiente"/>
        <w:spacing w:before="88" w:line="276" w:lineRule="auto"/>
        <w:ind w:left="708" w:right="21"/>
        <w:rPr>
          <w:color w:val="0C0C0C" w:themeColor="text1"/>
          <w:sz w:val="22"/>
          <w:szCs w:val="22"/>
          <w:u w:val="single"/>
        </w:rPr>
      </w:pPr>
    </w:p>
    <w:p w14:paraId="39C8896C" w14:textId="51A6A3BD" w:rsidR="00FD5AAD" w:rsidRDefault="00FD5AAD" w:rsidP="00672F1F">
      <w:pPr>
        <w:tabs>
          <w:tab w:val="left" w:pos="2535"/>
        </w:tabs>
        <w:spacing w:after="360"/>
        <w:ind w:left="709"/>
        <w:rPr>
          <w:rFonts w:ascii="Mulish" w:eastAsia="Mulish" w:hAnsi="Mulish" w:cs="Mulish"/>
          <w:b/>
          <w:bCs/>
          <w:color w:val="0C0C0C" w:themeColor="text1"/>
          <w:lang w:eastAsia="es-ES" w:bidi="es-ES"/>
        </w:rPr>
      </w:pPr>
      <w:r>
        <w:rPr>
          <w:rFonts w:ascii="Mulish" w:eastAsia="Mulish" w:hAnsi="Mulish" w:cs="Mulish"/>
          <w:b/>
          <w:bCs/>
          <w:color w:val="0C0C0C" w:themeColor="text1"/>
          <w:lang w:eastAsia="es-ES" w:bidi="es-ES"/>
        </w:rPr>
        <w:t>EL CUMPLIMIENTO MEDIO EN TRANSPARENCIA</w:t>
      </w:r>
      <w:r w:rsidR="005148C2">
        <w:rPr>
          <w:rFonts w:ascii="Mulish" w:eastAsia="Mulish" w:hAnsi="Mulish" w:cs="Mulish"/>
          <w:b/>
          <w:bCs/>
          <w:color w:val="0C0C0C" w:themeColor="text1"/>
          <w:lang w:eastAsia="es-ES" w:bidi="es-ES"/>
        </w:rPr>
        <w:t xml:space="preserve"> ACTIVA</w:t>
      </w:r>
      <w:r>
        <w:rPr>
          <w:rFonts w:ascii="Mulish" w:eastAsia="Mulish" w:hAnsi="Mulish" w:cs="Mulish"/>
          <w:b/>
          <w:bCs/>
          <w:color w:val="0C0C0C" w:themeColor="text1"/>
          <w:lang w:eastAsia="es-ES" w:bidi="es-ES"/>
        </w:rPr>
        <w:t xml:space="preserve"> DE 77 </w:t>
      </w:r>
      <w:r w:rsidR="0037028A">
        <w:rPr>
          <w:rFonts w:ascii="Mulish" w:eastAsia="Mulish" w:hAnsi="Mulish" w:cs="Mulish"/>
          <w:b/>
          <w:bCs/>
          <w:color w:val="0C0C0C" w:themeColor="text1"/>
          <w:lang w:eastAsia="es-ES" w:bidi="es-ES"/>
        </w:rPr>
        <w:t>ENTIDADES EVALUADAS POR TERCERA VEZ POR EL CONSEJO ES SOLO DEL 50%</w:t>
      </w:r>
    </w:p>
    <w:p w14:paraId="5B90515B" w14:textId="00D6AA1F" w:rsidR="00BB6595" w:rsidRDefault="00BB6595" w:rsidP="0037028A">
      <w:pPr>
        <w:pStyle w:val="Prrafodelista"/>
        <w:numPr>
          <w:ilvl w:val="0"/>
          <w:numId w:val="1"/>
        </w:numPr>
        <w:tabs>
          <w:tab w:val="left" w:pos="2535"/>
        </w:tabs>
        <w:ind w:left="714" w:hanging="357"/>
        <w:contextualSpacing w:val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  <w:r>
        <w:rPr>
          <w:rFonts w:ascii="Mulish" w:eastAsia="Mulish" w:hAnsi="Mulish" w:cs="Mulish"/>
          <w:color w:val="0C0C0C" w:themeColor="text1"/>
          <w:lang w:eastAsia="es-ES" w:bidi="es-ES"/>
        </w:rPr>
        <w:t>Tras tres evaluaciones</w:t>
      </w:r>
      <w:r w:rsidR="00B807DE">
        <w:rPr>
          <w:rFonts w:ascii="Mulish" w:eastAsia="Mulish" w:hAnsi="Mulish" w:cs="Mulish"/>
          <w:color w:val="0C0C0C" w:themeColor="text1"/>
          <w:lang w:eastAsia="es-ES" w:bidi="es-ES"/>
        </w:rPr>
        <w:t xml:space="preserve"> en las que el Consejo </w:t>
      </w:r>
      <w:r w:rsidR="00FF18D4">
        <w:rPr>
          <w:rFonts w:ascii="Mulish" w:eastAsia="Mulish" w:hAnsi="Mulish" w:cs="Mulish"/>
          <w:color w:val="0C0C0C" w:themeColor="text1"/>
          <w:lang w:eastAsia="es-ES" w:bidi="es-ES"/>
        </w:rPr>
        <w:t>ha señalado</w:t>
      </w:r>
      <w:r w:rsidR="00B807DE">
        <w:rPr>
          <w:rFonts w:ascii="Mulish" w:eastAsia="Mulish" w:hAnsi="Mulish" w:cs="Mulish"/>
          <w:color w:val="0C0C0C" w:themeColor="text1"/>
          <w:lang w:eastAsia="es-ES" w:bidi="es-ES"/>
        </w:rPr>
        <w:t xml:space="preserve"> </w:t>
      </w:r>
      <w:r w:rsidR="00A274B8">
        <w:rPr>
          <w:rFonts w:ascii="Mulish" w:eastAsia="Mulish" w:hAnsi="Mulish" w:cs="Mulish"/>
          <w:color w:val="0C0C0C" w:themeColor="text1"/>
          <w:lang w:eastAsia="es-ES" w:bidi="es-ES"/>
        </w:rPr>
        <w:t xml:space="preserve">a las entidades </w:t>
      </w:r>
      <w:r w:rsidR="00B807DE">
        <w:rPr>
          <w:rFonts w:ascii="Mulish" w:eastAsia="Mulish" w:hAnsi="Mulish" w:cs="Mulish"/>
          <w:color w:val="0C0C0C" w:themeColor="text1"/>
          <w:lang w:eastAsia="es-ES" w:bidi="es-ES"/>
        </w:rPr>
        <w:t xml:space="preserve">sus incumplimientos y </w:t>
      </w:r>
      <w:r>
        <w:rPr>
          <w:rFonts w:ascii="Mulish" w:eastAsia="Mulish" w:hAnsi="Mulish" w:cs="Mulish"/>
          <w:color w:val="0C0C0C" w:themeColor="text1"/>
          <w:lang w:eastAsia="es-ES" w:bidi="es-ES"/>
        </w:rPr>
        <w:t>la forma de subsanarlos,</w:t>
      </w:r>
      <w:r w:rsidR="006646A2">
        <w:rPr>
          <w:rFonts w:ascii="Mulish" w:eastAsia="Mulish" w:hAnsi="Mulish" w:cs="Mulish"/>
          <w:color w:val="0C0C0C" w:themeColor="text1"/>
          <w:lang w:eastAsia="es-ES" w:bidi="es-ES"/>
        </w:rPr>
        <w:t xml:space="preserve"> y aunque existe gran disparidad entre las entidades evaluadas, en general </w:t>
      </w:r>
      <w:r w:rsidR="00BE7029">
        <w:rPr>
          <w:rFonts w:ascii="Mulish" w:eastAsia="Mulish" w:hAnsi="Mulish" w:cs="Mulish"/>
          <w:color w:val="0C0C0C" w:themeColor="text1"/>
          <w:lang w:eastAsia="es-ES" w:bidi="es-ES"/>
        </w:rPr>
        <w:t xml:space="preserve">el </w:t>
      </w:r>
      <w:r w:rsidR="006646A2">
        <w:rPr>
          <w:rFonts w:ascii="Mulish" w:eastAsia="Mulish" w:hAnsi="Mulish" w:cs="Mulish"/>
          <w:color w:val="0C0C0C" w:themeColor="text1"/>
          <w:lang w:eastAsia="es-ES" w:bidi="es-ES"/>
        </w:rPr>
        <w:t xml:space="preserve">nivel de cumplimiento de </w:t>
      </w:r>
      <w:r w:rsidR="00A274B8">
        <w:rPr>
          <w:rFonts w:ascii="Mulish" w:eastAsia="Mulish" w:hAnsi="Mulish" w:cs="Mulish"/>
          <w:color w:val="0C0C0C" w:themeColor="text1"/>
          <w:lang w:eastAsia="es-ES" w:bidi="es-ES"/>
        </w:rPr>
        <w:t>sus</w:t>
      </w:r>
      <w:r w:rsidR="006646A2">
        <w:rPr>
          <w:rFonts w:ascii="Mulish" w:eastAsia="Mulish" w:hAnsi="Mulish" w:cs="Mulish"/>
          <w:color w:val="0C0C0C" w:themeColor="text1"/>
          <w:lang w:eastAsia="es-ES" w:bidi="es-ES"/>
        </w:rPr>
        <w:t xml:space="preserve"> obligaciones de publicidad activa</w:t>
      </w:r>
      <w:r w:rsidR="00BE7029">
        <w:rPr>
          <w:rFonts w:ascii="Mulish" w:eastAsia="Mulish" w:hAnsi="Mulish" w:cs="Mulish"/>
          <w:color w:val="0C0C0C" w:themeColor="text1"/>
          <w:lang w:eastAsia="es-ES" w:bidi="es-ES"/>
        </w:rPr>
        <w:t xml:space="preserve"> dista mucho de ser satisfactorio</w:t>
      </w: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. </w:t>
      </w:r>
    </w:p>
    <w:p w14:paraId="6AC36815" w14:textId="1B48634B" w:rsidR="005148C2" w:rsidRDefault="005148C2" w:rsidP="0037028A">
      <w:pPr>
        <w:pStyle w:val="Prrafodelista"/>
        <w:numPr>
          <w:ilvl w:val="0"/>
          <w:numId w:val="1"/>
        </w:numPr>
        <w:tabs>
          <w:tab w:val="left" w:pos="2535"/>
        </w:tabs>
        <w:ind w:left="714" w:hanging="357"/>
        <w:contextualSpacing w:val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Alcanzan </w:t>
      </w:r>
      <w:r w:rsidR="006A0075">
        <w:rPr>
          <w:rFonts w:ascii="Mulish" w:eastAsia="Mulish" w:hAnsi="Mulish" w:cs="Mulish"/>
          <w:color w:val="0C0C0C" w:themeColor="text1"/>
          <w:lang w:eastAsia="es-ES" w:bidi="es-ES"/>
        </w:rPr>
        <w:t xml:space="preserve">el </w:t>
      </w:r>
      <w:r>
        <w:rPr>
          <w:rFonts w:ascii="Mulish" w:eastAsia="Mulish" w:hAnsi="Mulish" w:cs="Mulish"/>
          <w:color w:val="0C0C0C" w:themeColor="text1"/>
          <w:lang w:eastAsia="es-ES" w:bidi="es-ES"/>
        </w:rPr>
        <w:t>100% de cumplimiento</w:t>
      </w:r>
      <w:r w:rsidR="00677D25">
        <w:rPr>
          <w:rFonts w:ascii="Mulish" w:eastAsia="Mulish" w:hAnsi="Mulish" w:cs="Mulish"/>
          <w:color w:val="0C0C0C" w:themeColor="text1"/>
          <w:lang w:eastAsia="es-ES" w:bidi="es-ES"/>
        </w:rPr>
        <w:t xml:space="preserve"> solo tres de </w:t>
      </w:r>
      <w:r w:rsidR="0028507C">
        <w:rPr>
          <w:rFonts w:ascii="Mulish" w:eastAsia="Mulish" w:hAnsi="Mulish" w:cs="Mulish"/>
          <w:color w:val="0C0C0C" w:themeColor="text1"/>
          <w:lang w:eastAsia="es-ES" w:bidi="es-ES"/>
        </w:rPr>
        <w:t>ellas</w:t>
      </w:r>
      <w:r w:rsidR="006646A2">
        <w:rPr>
          <w:rFonts w:ascii="Mulish" w:eastAsia="Mulish" w:hAnsi="Mulish" w:cs="Mulish"/>
          <w:color w:val="0C0C0C" w:themeColor="text1"/>
          <w:lang w:eastAsia="es-ES" w:bidi="es-ES"/>
        </w:rPr>
        <w:t xml:space="preserve">, </w:t>
      </w:r>
      <w:r w:rsidR="00D262CE">
        <w:rPr>
          <w:rFonts w:ascii="Mulish" w:eastAsia="Mulish" w:hAnsi="Mulish" w:cs="Mulish"/>
          <w:color w:val="0C0C0C" w:themeColor="text1"/>
          <w:lang w:eastAsia="es-ES" w:bidi="es-ES"/>
        </w:rPr>
        <w:t>tras aplicar</w:t>
      </w:r>
      <w:r w:rsidR="006646A2">
        <w:rPr>
          <w:rFonts w:ascii="Mulish" w:eastAsia="Mulish" w:hAnsi="Mulish" w:cs="Mulish"/>
          <w:color w:val="0C0C0C" w:themeColor="text1"/>
          <w:lang w:eastAsia="es-ES" w:bidi="es-ES"/>
        </w:rPr>
        <w:t xml:space="preserve"> las recomendaciones formuladas por el Consejo</w:t>
      </w:r>
      <w:r w:rsidR="00677D25">
        <w:rPr>
          <w:rFonts w:ascii="Mulish" w:eastAsia="Mulish" w:hAnsi="Mulish" w:cs="Mulish"/>
          <w:color w:val="0C0C0C" w:themeColor="text1"/>
          <w:lang w:eastAsia="es-ES" w:bidi="es-ES"/>
        </w:rPr>
        <w:t>:</w:t>
      </w:r>
      <w:r w:rsidR="005557C9">
        <w:rPr>
          <w:rFonts w:ascii="Mulish" w:eastAsia="Mulish" w:hAnsi="Mulish" w:cs="Mulish"/>
          <w:color w:val="0C0C0C" w:themeColor="text1"/>
          <w:lang w:eastAsia="es-ES" w:bidi="es-ES"/>
        </w:rPr>
        <w:t xml:space="preserve"> </w:t>
      </w:r>
      <w:r w:rsidRPr="0037028A">
        <w:rPr>
          <w:rFonts w:ascii="Mulish" w:eastAsia="Mulish" w:hAnsi="Mulish" w:cs="Mulish"/>
          <w:color w:val="0C0C0C" w:themeColor="text1"/>
          <w:lang w:eastAsia="es-ES" w:bidi="es-ES"/>
        </w:rPr>
        <w:t>la</w:t>
      </w: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 </w:t>
      </w:r>
      <w:r w:rsidRPr="0037028A">
        <w:rPr>
          <w:rFonts w:ascii="Mulish" w:eastAsia="Mulish" w:hAnsi="Mulish" w:cs="Mulish"/>
          <w:color w:val="0C0C0C" w:themeColor="text1"/>
          <w:lang w:eastAsia="es-ES" w:bidi="es-ES"/>
        </w:rPr>
        <w:t>Autoridad Portuaria de Barcelona</w:t>
      </w: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, la </w:t>
      </w:r>
      <w:r w:rsidRPr="0037028A">
        <w:rPr>
          <w:rFonts w:ascii="Mulish" w:eastAsia="Mulish" w:hAnsi="Mulish" w:cs="Mulish"/>
          <w:color w:val="0C0C0C" w:themeColor="text1"/>
          <w:lang w:eastAsia="es-ES" w:bidi="es-ES"/>
        </w:rPr>
        <w:t>Confederación Hidrográfica del Tajo</w:t>
      </w: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 y el CSIC</w:t>
      </w:r>
      <w:r w:rsidR="00FD5AAD" w:rsidRPr="00FD5AAD">
        <w:rPr>
          <w:rFonts w:ascii="Mulish" w:eastAsia="Mulish" w:hAnsi="Mulish" w:cs="Mulish"/>
          <w:color w:val="0C0C0C" w:themeColor="text1"/>
          <w:lang w:eastAsia="es-ES" w:bidi="es-ES"/>
        </w:rPr>
        <w:t xml:space="preserve">. </w:t>
      </w:r>
    </w:p>
    <w:p w14:paraId="2B9BAFF5" w14:textId="46491258" w:rsidR="00BB6595" w:rsidRDefault="001F7540" w:rsidP="00BE5432">
      <w:pPr>
        <w:pStyle w:val="Prrafodelista"/>
        <w:numPr>
          <w:ilvl w:val="0"/>
          <w:numId w:val="1"/>
        </w:numPr>
        <w:tabs>
          <w:tab w:val="left" w:pos="2535"/>
        </w:tabs>
        <w:contextualSpacing w:val="0"/>
        <w:jc w:val="both"/>
        <w:rPr>
          <w:rFonts w:ascii="Mulish" w:eastAsia="Mulish" w:hAnsi="Mulish" w:cs="Mulish"/>
          <w:lang w:eastAsia="es-ES" w:bidi="es-ES"/>
        </w:rPr>
      </w:pPr>
      <w:r>
        <w:rPr>
          <w:rFonts w:ascii="Mulish" w:eastAsia="Mulish" w:hAnsi="Mulish" w:cs="Mulish"/>
          <w:lang w:eastAsia="es-ES" w:bidi="es-ES"/>
        </w:rPr>
        <w:t>64</w:t>
      </w:r>
      <w:r w:rsidRPr="00BB6595">
        <w:rPr>
          <w:rFonts w:ascii="Mulish" w:eastAsia="Mulish" w:hAnsi="Mulish" w:cs="Mulish"/>
          <w:lang w:eastAsia="es-ES" w:bidi="es-ES"/>
        </w:rPr>
        <w:t xml:space="preserve"> </w:t>
      </w:r>
      <w:r w:rsidR="005148C2" w:rsidRPr="00BB6595">
        <w:rPr>
          <w:rFonts w:ascii="Mulish" w:eastAsia="Mulish" w:hAnsi="Mulish" w:cs="Mulish"/>
          <w:lang w:eastAsia="es-ES" w:bidi="es-ES"/>
        </w:rPr>
        <w:t>de las entidades sigue</w:t>
      </w:r>
      <w:r w:rsidR="005B1FF0" w:rsidRPr="00BB6595">
        <w:rPr>
          <w:rFonts w:ascii="Mulish" w:eastAsia="Mulish" w:hAnsi="Mulish" w:cs="Mulish"/>
          <w:lang w:eastAsia="es-ES" w:bidi="es-ES"/>
        </w:rPr>
        <w:t>n</w:t>
      </w:r>
      <w:r w:rsidR="005148C2" w:rsidRPr="00BB6595">
        <w:rPr>
          <w:rFonts w:ascii="Mulish" w:eastAsia="Mulish" w:hAnsi="Mulish" w:cs="Mulish"/>
          <w:lang w:eastAsia="es-ES" w:bidi="es-ES"/>
        </w:rPr>
        <w:t xml:space="preserve"> sin alcanzar el 75% </w:t>
      </w:r>
      <w:r w:rsidR="00675A3E" w:rsidRPr="00BB6595">
        <w:rPr>
          <w:rFonts w:ascii="Mulish" w:eastAsia="Mulish" w:hAnsi="Mulish" w:cs="Mulish"/>
          <w:lang w:eastAsia="es-ES" w:bidi="es-ES"/>
        </w:rPr>
        <w:t>de cumplimiento</w:t>
      </w:r>
      <w:r w:rsidR="00BB6595" w:rsidRPr="00BB6595">
        <w:rPr>
          <w:rFonts w:ascii="Mulish" w:eastAsia="Mulish" w:hAnsi="Mulish" w:cs="Mulish"/>
          <w:lang w:eastAsia="es-ES" w:bidi="es-ES"/>
        </w:rPr>
        <w:t>, y</w:t>
      </w:r>
      <w:r w:rsidR="007E7EF7" w:rsidRPr="005B08E3">
        <w:rPr>
          <w:rFonts w:ascii="Mulish" w:eastAsia="Mulish" w:hAnsi="Mulish" w:cs="Mulish"/>
          <w:lang w:eastAsia="es-ES" w:bidi="es-ES"/>
        </w:rPr>
        <w:t xml:space="preserve"> </w:t>
      </w:r>
      <w:r w:rsidR="00D83AD7">
        <w:rPr>
          <w:rFonts w:ascii="Mulish" w:eastAsia="Mulish" w:hAnsi="Mulish" w:cs="Mulish"/>
          <w:lang w:eastAsia="es-ES" w:bidi="es-ES"/>
        </w:rPr>
        <w:t>19</w:t>
      </w:r>
      <w:r w:rsidR="007E7EF7" w:rsidRPr="005B08E3">
        <w:rPr>
          <w:rFonts w:ascii="Mulish" w:eastAsia="Mulish" w:hAnsi="Mulish" w:cs="Mulish"/>
          <w:lang w:eastAsia="es-ES" w:bidi="es-ES"/>
        </w:rPr>
        <w:t xml:space="preserve"> incluso han empeorado</w:t>
      </w:r>
      <w:r w:rsidR="001B10FD">
        <w:rPr>
          <w:rFonts w:ascii="Mulish" w:eastAsia="Mulish" w:hAnsi="Mulish" w:cs="Mulish"/>
          <w:lang w:eastAsia="es-ES" w:bidi="es-ES"/>
        </w:rPr>
        <w:t xml:space="preserve">. La situación es </w:t>
      </w:r>
      <w:bookmarkStart w:id="1" w:name="_Hlk190865165"/>
      <w:r w:rsidR="00594A30" w:rsidRPr="00BB6595">
        <w:rPr>
          <w:rFonts w:ascii="Mulish" w:eastAsia="Mulish" w:hAnsi="Mulish" w:cs="Mulish"/>
          <w:lang w:eastAsia="es-ES" w:bidi="es-ES"/>
        </w:rPr>
        <w:t>totalmente</w:t>
      </w:r>
      <w:r w:rsidR="007B349E" w:rsidRPr="00BB6595">
        <w:rPr>
          <w:rFonts w:ascii="Mulish" w:eastAsia="Mulish" w:hAnsi="Mulish" w:cs="Mulish"/>
          <w:lang w:eastAsia="es-ES" w:bidi="es-ES"/>
        </w:rPr>
        <w:t xml:space="preserve"> </w:t>
      </w:r>
      <w:r w:rsidR="00BE5432" w:rsidRPr="00BB6595">
        <w:rPr>
          <w:rFonts w:ascii="Mulish" w:eastAsia="Mulish" w:hAnsi="Mulish" w:cs="Mulish"/>
          <w:lang w:eastAsia="es-ES" w:bidi="es-ES"/>
        </w:rPr>
        <w:t>injustificable</w:t>
      </w:r>
      <w:r w:rsidR="009B42F0" w:rsidRPr="00BB6595">
        <w:rPr>
          <w:rFonts w:ascii="Mulish" w:eastAsia="Mulish" w:hAnsi="Mulish" w:cs="Mulish"/>
          <w:lang w:eastAsia="es-ES" w:bidi="es-ES"/>
        </w:rPr>
        <w:t xml:space="preserve"> cuando se han superado </w:t>
      </w:r>
      <w:r w:rsidR="00BE5432" w:rsidRPr="00BB6595">
        <w:rPr>
          <w:rFonts w:ascii="Mulish" w:eastAsia="Mulish" w:hAnsi="Mulish" w:cs="Mulish"/>
          <w:lang w:eastAsia="es-ES" w:bidi="es-ES"/>
        </w:rPr>
        <w:t xml:space="preserve">los 10 años de vigencia de la </w:t>
      </w:r>
      <w:r w:rsidR="005148C2" w:rsidRPr="00BB6595">
        <w:rPr>
          <w:rFonts w:ascii="Mulish" w:eastAsia="Mulish" w:hAnsi="Mulish" w:cs="Mulish"/>
          <w:lang w:eastAsia="es-ES" w:bidi="es-ES"/>
        </w:rPr>
        <w:t>Ley de Transparencia</w:t>
      </w:r>
      <w:r w:rsidR="00BB6595">
        <w:rPr>
          <w:rFonts w:ascii="Mulish" w:eastAsia="Mulish" w:hAnsi="Mulish" w:cs="Mulish"/>
          <w:lang w:eastAsia="es-ES" w:bidi="es-ES"/>
        </w:rPr>
        <w:t xml:space="preserve">. </w:t>
      </w:r>
    </w:p>
    <w:p w14:paraId="78FE7AE0" w14:textId="7C3EE728" w:rsidR="00BE5432" w:rsidRPr="00BB6595" w:rsidRDefault="00BB6595" w:rsidP="005B08E3">
      <w:pPr>
        <w:pStyle w:val="Prrafodelista"/>
        <w:numPr>
          <w:ilvl w:val="0"/>
          <w:numId w:val="1"/>
        </w:numPr>
        <w:tabs>
          <w:tab w:val="left" w:pos="2535"/>
        </w:tabs>
        <w:contextualSpacing w:val="0"/>
        <w:jc w:val="both"/>
        <w:rPr>
          <w:rFonts w:ascii="Mulish" w:eastAsia="Mulish" w:hAnsi="Mulish" w:cs="Mulish"/>
          <w:lang w:eastAsia="es-ES" w:bidi="es-ES"/>
        </w:rPr>
      </w:pPr>
      <w:r>
        <w:rPr>
          <w:rFonts w:ascii="Mulish" w:eastAsia="Mulish" w:hAnsi="Mulish" w:cs="Mulish"/>
          <w:lang w:eastAsia="es-ES" w:bidi="es-ES"/>
        </w:rPr>
        <w:t>E</w:t>
      </w:r>
      <w:r w:rsidR="006A0075" w:rsidRPr="00BB6595">
        <w:rPr>
          <w:rFonts w:ascii="Mulish" w:eastAsia="Mulish" w:hAnsi="Mulish" w:cs="Mulish"/>
          <w:lang w:eastAsia="es-ES" w:bidi="es-ES"/>
        </w:rPr>
        <w:t>l</w:t>
      </w:r>
      <w:r w:rsidR="00675A3E" w:rsidRPr="00BB6595">
        <w:rPr>
          <w:rFonts w:ascii="Mulish" w:eastAsia="Mulish" w:hAnsi="Mulish" w:cs="Mulish"/>
          <w:lang w:eastAsia="es-ES" w:bidi="es-ES"/>
        </w:rPr>
        <w:t xml:space="preserve"> Consejo </w:t>
      </w:r>
      <w:r w:rsidR="007B349E" w:rsidRPr="00BB6595">
        <w:rPr>
          <w:rFonts w:ascii="Mulish" w:eastAsia="Mulish" w:hAnsi="Mulish" w:cs="Mulish"/>
          <w:lang w:eastAsia="es-ES" w:bidi="es-ES"/>
        </w:rPr>
        <w:t xml:space="preserve">insta </w:t>
      </w:r>
      <w:r w:rsidR="00BE5432" w:rsidRPr="00BB6595">
        <w:rPr>
          <w:rFonts w:ascii="Mulish" w:eastAsia="Mulish" w:hAnsi="Mulish" w:cs="Mulish"/>
          <w:lang w:eastAsia="es-ES" w:bidi="es-ES"/>
        </w:rPr>
        <w:t xml:space="preserve">a los responsables de las entidades a cumplir sin demora </w:t>
      </w:r>
      <w:r w:rsidR="00594A30" w:rsidRPr="00BB6595">
        <w:rPr>
          <w:rFonts w:ascii="Mulish" w:eastAsia="Mulish" w:hAnsi="Mulish" w:cs="Mulish"/>
          <w:lang w:eastAsia="es-ES" w:bidi="es-ES"/>
        </w:rPr>
        <w:t>sus</w:t>
      </w:r>
      <w:r w:rsidR="005557C9" w:rsidRPr="00BB6595">
        <w:rPr>
          <w:rFonts w:ascii="Mulish" w:eastAsia="Mulish" w:hAnsi="Mulish" w:cs="Mulish"/>
          <w:lang w:eastAsia="es-ES" w:bidi="es-ES"/>
        </w:rPr>
        <w:t xml:space="preserve"> obligaciones de publicidad activa</w:t>
      </w:r>
      <w:r w:rsidR="007B349E" w:rsidRPr="00BB6595">
        <w:rPr>
          <w:rFonts w:ascii="Mulish" w:eastAsia="Mulish" w:hAnsi="Mulish" w:cs="Mulish"/>
          <w:lang w:eastAsia="es-ES" w:bidi="es-ES"/>
        </w:rPr>
        <w:t xml:space="preserve">, recordándoles </w:t>
      </w:r>
      <w:r w:rsidR="006A7274" w:rsidRPr="00BB6595">
        <w:rPr>
          <w:rFonts w:ascii="Mulish" w:eastAsia="Mulish" w:hAnsi="Mulish" w:cs="Mulish"/>
          <w:lang w:eastAsia="es-ES" w:bidi="es-ES"/>
        </w:rPr>
        <w:t xml:space="preserve">que </w:t>
      </w:r>
      <w:r w:rsidR="00594A30" w:rsidRPr="00BB6595">
        <w:rPr>
          <w:rFonts w:ascii="Mulish" w:eastAsia="Mulish" w:hAnsi="Mulish" w:cs="Mulish"/>
          <w:lang w:eastAsia="es-ES" w:bidi="es-ES"/>
        </w:rPr>
        <w:t>el</w:t>
      </w:r>
      <w:r w:rsidR="00BE5432" w:rsidRPr="00BB6595">
        <w:rPr>
          <w:rFonts w:ascii="Mulish" w:eastAsia="Mulish" w:hAnsi="Mulish" w:cs="Mulish"/>
          <w:lang w:eastAsia="es-ES" w:bidi="es-ES"/>
        </w:rPr>
        <w:t xml:space="preserve"> incumplimiento </w:t>
      </w:r>
      <w:r w:rsidR="00E50B8F" w:rsidRPr="00BB6595">
        <w:rPr>
          <w:rFonts w:ascii="Mulish" w:eastAsia="Mulish" w:hAnsi="Mulish" w:cs="Mulish"/>
          <w:lang w:eastAsia="es-ES" w:bidi="es-ES"/>
        </w:rPr>
        <w:t xml:space="preserve">reiterado </w:t>
      </w:r>
      <w:r w:rsidR="00675A3E" w:rsidRPr="00BB6595">
        <w:rPr>
          <w:rFonts w:ascii="Mulish" w:eastAsia="Mulish" w:hAnsi="Mulish" w:cs="Mulish"/>
          <w:lang w:eastAsia="es-ES" w:bidi="es-ES"/>
        </w:rPr>
        <w:t>se considera</w:t>
      </w:r>
      <w:r w:rsidR="00BE5432" w:rsidRPr="00BB6595">
        <w:rPr>
          <w:rFonts w:ascii="Mulish" w:eastAsia="Mulish" w:hAnsi="Mulish" w:cs="Mulish"/>
          <w:lang w:eastAsia="es-ES" w:bidi="es-ES"/>
        </w:rPr>
        <w:t xml:space="preserve"> infracción grave a efectos disciplinarios. </w:t>
      </w:r>
    </w:p>
    <w:p w14:paraId="14B042EA" w14:textId="3308C3DB" w:rsidR="00126597" w:rsidRPr="00FC4F5D" w:rsidRDefault="00827C57" w:rsidP="00126597">
      <w:pPr>
        <w:pStyle w:val="Prrafodelista"/>
        <w:numPr>
          <w:ilvl w:val="0"/>
          <w:numId w:val="1"/>
        </w:numPr>
        <w:ind w:left="714" w:hanging="357"/>
        <w:contextualSpacing w:val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  <w:bookmarkStart w:id="2" w:name="_Hlk190692049"/>
      <w:bookmarkEnd w:id="1"/>
      <w:r>
        <w:rPr>
          <w:rFonts w:ascii="Mulish" w:eastAsia="Mulish" w:hAnsi="Mulish" w:cs="Mulish"/>
          <w:color w:val="0C0C0C" w:themeColor="text1"/>
          <w:lang w:eastAsia="es-ES" w:bidi="es-ES"/>
        </w:rPr>
        <w:t>La experiencia derivada de los procesos de evaluación realizados en los últimos cuatro años lleva al Consejo a reafirmarse</w:t>
      </w:r>
      <w:r w:rsidR="007F337C">
        <w:rPr>
          <w:rFonts w:ascii="Mulish" w:eastAsia="Mulish" w:hAnsi="Mulish" w:cs="Mulish"/>
          <w:color w:val="0C0C0C" w:themeColor="text1"/>
          <w:lang w:eastAsia="es-ES" w:bidi="es-ES"/>
        </w:rPr>
        <w:t xml:space="preserve"> en la </w:t>
      </w:r>
      <w:r w:rsidR="00456863">
        <w:rPr>
          <w:rFonts w:ascii="Mulish" w:eastAsia="Mulish" w:hAnsi="Mulish" w:cs="Mulish"/>
          <w:color w:val="0C0C0C" w:themeColor="text1"/>
          <w:lang w:eastAsia="es-ES" w:bidi="es-ES"/>
        </w:rPr>
        <w:t xml:space="preserve">necesidad </w:t>
      </w:r>
      <w:r w:rsidR="004735F3" w:rsidRPr="004735F3">
        <w:rPr>
          <w:rFonts w:ascii="Mulish" w:eastAsia="Mulish" w:hAnsi="Mulish" w:cs="Mulish"/>
          <w:color w:val="0C0C0C" w:themeColor="text1"/>
          <w:lang w:eastAsia="es-ES" w:bidi="es-ES"/>
        </w:rPr>
        <w:t xml:space="preserve">de contar con </w:t>
      </w:r>
      <w:r w:rsidR="007F337C">
        <w:rPr>
          <w:rFonts w:ascii="Mulish" w:eastAsia="Mulish" w:hAnsi="Mulish" w:cs="Mulish"/>
          <w:color w:val="0C0C0C" w:themeColor="text1"/>
          <w:lang w:eastAsia="es-ES" w:bidi="es-ES"/>
        </w:rPr>
        <w:t>potestades coercitivas para garantizar el pleno cumplimiento de l</w:t>
      </w:r>
      <w:r w:rsidR="00675A3E">
        <w:rPr>
          <w:rFonts w:ascii="Mulish" w:eastAsia="Mulish" w:hAnsi="Mulish" w:cs="Mulish"/>
          <w:color w:val="0C0C0C" w:themeColor="text1"/>
          <w:lang w:eastAsia="es-ES" w:bidi="es-ES"/>
        </w:rPr>
        <w:t>a ley</w:t>
      </w:r>
      <w:r w:rsidR="00126597" w:rsidRPr="00FC4F5D">
        <w:rPr>
          <w:rFonts w:ascii="Mulish" w:eastAsia="Mulish" w:hAnsi="Mulish" w:cs="Mulish"/>
          <w:color w:val="0C0C0C" w:themeColor="text1"/>
          <w:lang w:eastAsia="es-ES" w:bidi="es-ES"/>
        </w:rPr>
        <w:t xml:space="preserve">. </w:t>
      </w:r>
    </w:p>
    <w:bookmarkEnd w:id="0"/>
    <w:bookmarkEnd w:id="2"/>
    <w:p w14:paraId="6F769704" w14:textId="0BCDE4C4" w:rsidR="00BA4068" w:rsidRDefault="00BA4068" w:rsidP="00BA4068">
      <w:pPr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</w:p>
    <w:p w14:paraId="63F1F6AB" w14:textId="33F24E9B" w:rsidR="00126597" w:rsidRDefault="00BA4068" w:rsidP="00126597">
      <w:pPr>
        <w:spacing w:after="0"/>
        <w:jc w:val="both"/>
        <w:rPr>
          <w:rFonts w:ascii="Mulish" w:eastAsia="Mulish" w:hAnsi="Mulish" w:cs="Mulish"/>
          <w:lang w:eastAsia="es-ES" w:bidi="es-ES"/>
        </w:rPr>
      </w:pPr>
      <w:bookmarkStart w:id="3" w:name="_Hlk190693754"/>
      <w:r w:rsidRPr="00DF4FF2">
        <w:rPr>
          <w:rFonts w:ascii="Mulish" w:eastAsia="Mulish" w:hAnsi="Mulish" w:cs="Mulish"/>
          <w:color w:val="0C0C0C" w:themeColor="text1"/>
          <w:u w:val="single"/>
          <w:lang w:eastAsia="es-ES" w:bidi="es-ES"/>
        </w:rPr>
        <w:t xml:space="preserve">Madrid, </w:t>
      </w:r>
      <w:r w:rsidR="00DF4FF2" w:rsidRPr="00DF4FF2">
        <w:rPr>
          <w:rFonts w:ascii="Mulish" w:eastAsia="Mulish" w:hAnsi="Mulish" w:cs="Mulish"/>
          <w:color w:val="0C0C0C" w:themeColor="text1"/>
          <w:u w:val="single"/>
          <w:lang w:eastAsia="es-ES" w:bidi="es-ES"/>
        </w:rPr>
        <w:t>4</w:t>
      </w:r>
      <w:r w:rsidRPr="00DF4FF2">
        <w:rPr>
          <w:rFonts w:ascii="Mulish" w:eastAsia="Mulish" w:hAnsi="Mulish" w:cs="Mulish"/>
          <w:color w:val="0C0C0C" w:themeColor="text1"/>
          <w:u w:val="single"/>
          <w:lang w:eastAsia="es-ES" w:bidi="es-ES"/>
        </w:rPr>
        <w:t xml:space="preserve"> de </w:t>
      </w:r>
      <w:r w:rsidR="00DF4FF2" w:rsidRPr="00DF4FF2">
        <w:rPr>
          <w:rFonts w:ascii="Mulish" w:eastAsia="Mulish" w:hAnsi="Mulish" w:cs="Mulish"/>
          <w:color w:val="0C0C0C" w:themeColor="text1"/>
          <w:u w:val="single"/>
          <w:lang w:eastAsia="es-ES" w:bidi="es-ES"/>
        </w:rPr>
        <w:t xml:space="preserve">diciembre </w:t>
      </w:r>
      <w:r w:rsidRPr="00DF4FF2">
        <w:rPr>
          <w:rFonts w:ascii="Mulish" w:eastAsia="Mulish" w:hAnsi="Mulish" w:cs="Mulish"/>
          <w:color w:val="0C0C0C" w:themeColor="text1"/>
          <w:u w:val="single"/>
          <w:lang w:eastAsia="es-ES" w:bidi="es-ES"/>
        </w:rPr>
        <w:t>de</w:t>
      </w:r>
      <w:r w:rsidRPr="0012487F">
        <w:rPr>
          <w:rFonts w:ascii="Mulish" w:eastAsia="Mulish" w:hAnsi="Mulish" w:cs="Mulish"/>
          <w:color w:val="0C0C0C" w:themeColor="text1"/>
          <w:u w:val="single"/>
          <w:lang w:eastAsia="es-ES" w:bidi="es-ES"/>
        </w:rPr>
        <w:t xml:space="preserve"> </w:t>
      </w:r>
      <w:r w:rsidR="00995EC5" w:rsidRPr="0012487F">
        <w:rPr>
          <w:rFonts w:ascii="Mulish" w:eastAsia="Mulish" w:hAnsi="Mulish" w:cs="Mulish"/>
          <w:color w:val="0C0C0C" w:themeColor="text1"/>
          <w:u w:val="single"/>
          <w:lang w:eastAsia="es-ES" w:bidi="es-ES"/>
        </w:rPr>
        <w:t>2025</w:t>
      </w:r>
      <w:r w:rsidRPr="0012487F">
        <w:rPr>
          <w:rFonts w:ascii="Mulish" w:eastAsia="Mulish" w:hAnsi="Mulish" w:cs="Mulish"/>
          <w:color w:val="0C0C0C" w:themeColor="text1"/>
          <w:lang w:eastAsia="es-ES" w:bidi="es-ES"/>
        </w:rPr>
        <w:t>.-</w:t>
      </w:r>
      <w:r w:rsidRPr="00B80115">
        <w:rPr>
          <w:rFonts w:ascii="Mulish" w:eastAsia="Mulish" w:hAnsi="Mulish" w:cs="Mulish"/>
          <w:color w:val="0C0C0C" w:themeColor="text1"/>
          <w:lang w:eastAsia="es-ES" w:bidi="es-ES"/>
        </w:rPr>
        <w:t xml:space="preserve"> </w:t>
      </w:r>
      <w:r w:rsidR="00126597" w:rsidRPr="00AA0900">
        <w:rPr>
          <w:rFonts w:ascii="Mulish" w:eastAsia="Mulish" w:hAnsi="Mulish" w:cs="Mulish"/>
          <w:color w:val="0C0C0C" w:themeColor="text1"/>
          <w:lang w:eastAsia="es-ES" w:bidi="es-ES"/>
        </w:rPr>
        <w:t xml:space="preserve">El </w:t>
      </w:r>
      <w:r w:rsidR="00126597" w:rsidRPr="00D61DDC">
        <w:rPr>
          <w:rFonts w:ascii="Mulish" w:eastAsia="Mulish" w:hAnsi="Mulish" w:cs="Mulish"/>
          <w:color w:val="0C0C0C" w:themeColor="text1"/>
          <w:lang w:eastAsia="es-ES" w:bidi="es-ES"/>
        </w:rPr>
        <w:t>Consejo de Transparencia y Buen Gobierno</w:t>
      </w:r>
      <w:r w:rsidR="00126597">
        <w:rPr>
          <w:rFonts w:ascii="Mulish" w:eastAsia="Mulish" w:hAnsi="Mulish" w:cs="Mulish"/>
          <w:color w:val="0C0C0C" w:themeColor="text1"/>
          <w:lang w:eastAsia="es-ES" w:bidi="es-ES"/>
        </w:rPr>
        <w:t xml:space="preserve"> ha publicado hoy los </w:t>
      </w:r>
      <w:r w:rsidR="00457DE8">
        <w:rPr>
          <w:rFonts w:ascii="Mulish" w:eastAsia="Mulish" w:hAnsi="Mulish" w:cs="Mulish"/>
          <w:color w:val="0C0C0C" w:themeColor="text1"/>
          <w:lang w:eastAsia="es-ES" w:bidi="es-ES"/>
        </w:rPr>
        <w:t>informes</w:t>
      </w:r>
      <w:r w:rsidR="00126597">
        <w:rPr>
          <w:rFonts w:ascii="Mulish" w:eastAsia="Mulish" w:hAnsi="Mulish" w:cs="Mulish"/>
          <w:color w:val="0C0C0C" w:themeColor="text1"/>
          <w:lang w:eastAsia="es-ES" w:bidi="es-ES"/>
        </w:rPr>
        <w:t xml:space="preserve"> de las </w:t>
      </w:r>
      <w:r w:rsidR="00A24C05">
        <w:rPr>
          <w:rFonts w:ascii="Mulish" w:eastAsia="Mulish" w:hAnsi="Mulish" w:cs="Mulish"/>
          <w:color w:val="0C0C0C" w:themeColor="text1"/>
          <w:lang w:eastAsia="es-ES" w:bidi="es-ES"/>
        </w:rPr>
        <w:t>terceras</w:t>
      </w:r>
      <w:r w:rsidR="00126597">
        <w:rPr>
          <w:rFonts w:ascii="Mulish" w:eastAsia="Mulish" w:hAnsi="Mulish" w:cs="Mulish"/>
          <w:color w:val="0C0C0C" w:themeColor="text1"/>
          <w:lang w:eastAsia="es-ES" w:bidi="es-ES"/>
        </w:rPr>
        <w:t xml:space="preserve"> </w:t>
      </w:r>
      <w:r w:rsidR="00126597" w:rsidRPr="0074602A">
        <w:rPr>
          <w:rFonts w:ascii="Mulish" w:eastAsia="Mulish" w:hAnsi="Mulish" w:cs="Mulish"/>
          <w:lang w:eastAsia="es-ES" w:bidi="es-ES"/>
        </w:rPr>
        <w:t xml:space="preserve">evaluaciones </w:t>
      </w:r>
      <w:r w:rsidR="0074602A" w:rsidRPr="0074602A">
        <w:rPr>
          <w:rFonts w:ascii="Mulish" w:eastAsia="Mulish" w:hAnsi="Mulish" w:cs="Mulish"/>
          <w:lang w:eastAsia="es-ES" w:bidi="es-ES"/>
        </w:rPr>
        <w:t xml:space="preserve">realizadas </w:t>
      </w:r>
      <w:r w:rsidR="00126597" w:rsidRPr="000A4974">
        <w:rPr>
          <w:rFonts w:ascii="Mulish" w:eastAsia="Mulish" w:hAnsi="Mulish" w:cs="Mulish"/>
          <w:lang w:eastAsia="es-ES" w:bidi="es-ES"/>
        </w:rPr>
        <w:t xml:space="preserve">a </w:t>
      </w:r>
      <w:r w:rsidR="00E50B8F" w:rsidRPr="000A4974">
        <w:rPr>
          <w:rFonts w:ascii="Mulish" w:eastAsia="Mulish" w:hAnsi="Mulish" w:cs="Mulish"/>
          <w:lang w:eastAsia="es-ES" w:bidi="es-ES"/>
        </w:rPr>
        <w:t>7</w:t>
      </w:r>
      <w:r w:rsidR="00A24C05">
        <w:rPr>
          <w:rFonts w:ascii="Mulish" w:eastAsia="Mulish" w:hAnsi="Mulish" w:cs="Mulish"/>
          <w:lang w:eastAsia="es-ES" w:bidi="es-ES"/>
        </w:rPr>
        <w:t xml:space="preserve">7 </w:t>
      </w:r>
      <w:r w:rsidR="00126597" w:rsidRPr="000A4974">
        <w:rPr>
          <w:rFonts w:ascii="Mulish" w:eastAsia="Mulish" w:hAnsi="Mulish" w:cs="Mulish"/>
          <w:lang w:eastAsia="es-ES" w:bidi="es-ES"/>
        </w:rPr>
        <w:t>entidades</w:t>
      </w:r>
      <w:r w:rsidR="00126597" w:rsidRPr="002C228E">
        <w:rPr>
          <w:rFonts w:ascii="Mulish" w:eastAsia="Mulish" w:hAnsi="Mulish" w:cs="Mulish"/>
          <w:lang w:eastAsia="es-ES" w:bidi="es-ES"/>
        </w:rPr>
        <w:t xml:space="preserve"> que, tras </w:t>
      </w:r>
      <w:r w:rsidR="00A24C05">
        <w:rPr>
          <w:rFonts w:ascii="Mulish" w:eastAsia="Mulish" w:hAnsi="Mulish" w:cs="Mulish"/>
          <w:lang w:eastAsia="es-ES" w:bidi="es-ES"/>
        </w:rPr>
        <w:t>dos</w:t>
      </w:r>
      <w:r w:rsidR="00126597" w:rsidRPr="002C228E">
        <w:rPr>
          <w:rFonts w:ascii="Mulish" w:eastAsia="Mulish" w:hAnsi="Mulish" w:cs="Mulish"/>
          <w:lang w:eastAsia="es-ES" w:bidi="es-ES"/>
        </w:rPr>
        <w:t xml:space="preserve"> evaluaciones</w:t>
      </w:r>
      <w:r w:rsidR="008777BA">
        <w:rPr>
          <w:rFonts w:ascii="Mulish" w:eastAsia="Mulish" w:hAnsi="Mulish" w:cs="Mulish"/>
          <w:lang w:eastAsia="es-ES" w:bidi="es-ES"/>
        </w:rPr>
        <w:t xml:space="preserve"> anteriores</w:t>
      </w:r>
      <w:r w:rsidR="00126597" w:rsidRPr="002C228E">
        <w:rPr>
          <w:rFonts w:ascii="Mulish" w:eastAsia="Mulish" w:hAnsi="Mulish" w:cs="Mulish"/>
          <w:lang w:eastAsia="es-ES" w:bidi="es-ES"/>
        </w:rPr>
        <w:t xml:space="preserve"> </w:t>
      </w:r>
      <w:r w:rsidR="0055220F">
        <w:rPr>
          <w:rFonts w:ascii="Mulish" w:eastAsia="Mulish" w:hAnsi="Mulish" w:cs="Mulish"/>
          <w:lang w:eastAsia="es-ES" w:bidi="es-ES"/>
        </w:rPr>
        <w:t>(en 2023 y 2024)</w:t>
      </w:r>
      <w:r w:rsidR="00675A3E">
        <w:rPr>
          <w:rFonts w:ascii="Mulish" w:eastAsia="Mulish" w:hAnsi="Mulish" w:cs="Mulish"/>
          <w:lang w:eastAsia="es-ES" w:bidi="es-ES"/>
        </w:rPr>
        <w:t xml:space="preserve">, </w:t>
      </w:r>
      <w:r w:rsidR="004D3E59" w:rsidRPr="00CE6A08">
        <w:rPr>
          <w:rFonts w:ascii="Mulish" w:eastAsia="Mulish" w:hAnsi="Mulish" w:cs="Mulish"/>
          <w:lang w:eastAsia="es-ES" w:bidi="es-ES"/>
        </w:rPr>
        <w:t>no habían</w:t>
      </w:r>
      <w:r w:rsidR="00126597" w:rsidRPr="00CE6A08">
        <w:rPr>
          <w:rFonts w:ascii="Mulish" w:eastAsia="Mulish" w:hAnsi="Mulish" w:cs="Mulish"/>
          <w:lang w:eastAsia="es-ES" w:bidi="es-ES"/>
        </w:rPr>
        <w:t xml:space="preserve"> alcanzado un nivel de cumplimiento </w:t>
      </w:r>
      <w:r w:rsidR="00675A3E">
        <w:rPr>
          <w:rFonts w:ascii="Mulish" w:eastAsia="Mulish" w:hAnsi="Mulish" w:cs="Mulish"/>
          <w:lang w:eastAsia="es-ES" w:bidi="es-ES"/>
        </w:rPr>
        <w:t>de al menos e</w:t>
      </w:r>
      <w:r w:rsidR="00A24C05">
        <w:rPr>
          <w:rFonts w:ascii="Mulish" w:eastAsia="Mulish" w:hAnsi="Mulish" w:cs="Mulish"/>
          <w:lang w:eastAsia="es-ES" w:bidi="es-ES"/>
        </w:rPr>
        <w:t xml:space="preserve">l 75% </w:t>
      </w:r>
      <w:r w:rsidR="00126597" w:rsidRPr="00CE6A08">
        <w:rPr>
          <w:rFonts w:ascii="Mulish" w:eastAsia="Mulish" w:hAnsi="Mulish" w:cs="Mulish"/>
          <w:lang w:eastAsia="es-ES" w:bidi="es-ES"/>
        </w:rPr>
        <w:t xml:space="preserve">en </w:t>
      </w:r>
      <w:r w:rsidR="005B1FF0">
        <w:rPr>
          <w:rFonts w:ascii="Mulish" w:eastAsia="Mulish" w:hAnsi="Mulish" w:cs="Mulish"/>
          <w:lang w:eastAsia="es-ES" w:bidi="es-ES"/>
        </w:rPr>
        <w:t xml:space="preserve">cuanto a </w:t>
      </w:r>
      <w:r w:rsidR="00126597" w:rsidRPr="00CE6A08">
        <w:rPr>
          <w:rFonts w:ascii="Mulish" w:eastAsia="Mulish" w:hAnsi="Mulish" w:cs="Mulish"/>
          <w:lang w:eastAsia="es-ES" w:bidi="es-ES"/>
        </w:rPr>
        <w:t xml:space="preserve">la publicación de </w:t>
      </w:r>
      <w:r w:rsidR="00675A3E">
        <w:rPr>
          <w:rFonts w:ascii="Mulish" w:eastAsia="Mulish" w:hAnsi="Mulish" w:cs="Mulish"/>
          <w:lang w:eastAsia="es-ES" w:bidi="es-ES"/>
        </w:rPr>
        <w:t xml:space="preserve">la información a la que están obligados por </w:t>
      </w:r>
      <w:r w:rsidR="005B1FF0">
        <w:rPr>
          <w:rFonts w:ascii="Mulish" w:eastAsia="Mulish" w:hAnsi="Mulish" w:cs="Mulish"/>
          <w:lang w:eastAsia="es-ES" w:bidi="es-ES"/>
        </w:rPr>
        <w:t>la Ley de Transparencia</w:t>
      </w:r>
      <w:r w:rsidR="00126597" w:rsidRPr="00CE6A08">
        <w:rPr>
          <w:rFonts w:ascii="Mulish" w:eastAsia="Mulish" w:hAnsi="Mulish" w:cs="Mulish"/>
          <w:lang w:eastAsia="es-ES" w:bidi="es-ES"/>
        </w:rPr>
        <w:t xml:space="preserve">.    </w:t>
      </w:r>
    </w:p>
    <w:p w14:paraId="5C2CE655" w14:textId="77777777" w:rsidR="005B1FF0" w:rsidRDefault="005B1FF0" w:rsidP="00126597">
      <w:pPr>
        <w:spacing w:after="0"/>
        <w:jc w:val="both"/>
        <w:rPr>
          <w:rFonts w:ascii="Mulish" w:eastAsia="Mulish" w:hAnsi="Mulish" w:cs="Mulish"/>
          <w:lang w:eastAsia="es-ES" w:bidi="es-ES"/>
        </w:rPr>
      </w:pPr>
    </w:p>
    <w:p w14:paraId="724FB4BE" w14:textId="2C962A38" w:rsidR="0055220F" w:rsidRDefault="00675A3E" w:rsidP="0055220F">
      <w:pPr>
        <w:spacing w:after="0"/>
        <w:jc w:val="both"/>
        <w:rPr>
          <w:rFonts w:ascii="Mulish" w:eastAsia="Mulish" w:hAnsi="Mulish" w:cs="Mulish"/>
          <w:lang w:eastAsia="es-ES" w:bidi="es-ES"/>
        </w:rPr>
      </w:pPr>
      <w:r>
        <w:rPr>
          <w:rFonts w:ascii="Mulish" w:eastAsia="Mulish" w:hAnsi="Mulish" w:cs="Mulish"/>
          <w:lang w:eastAsia="es-ES" w:bidi="es-ES"/>
        </w:rPr>
        <w:t>Dentro de esas 77 entidades se incluyen</w:t>
      </w:r>
      <w:r w:rsidR="0055220F">
        <w:rPr>
          <w:rFonts w:ascii="Mulish" w:eastAsia="Mulish" w:hAnsi="Mulish" w:cs="Mulish"/>
          <w:lang w:eastAsia="es-ES" w:bidi="es-ES"/>
        </w:rPr>
        <w:t xml:space="preserve">:  </w:t>
      </w:r>
    </w:p>
    <w:p w14:paraId="76D5C04D" w14:textId="77777777" w:rsidR="0055220F" w:rsidRDefault="0055220F" w:rsidP="0055220F">
      <w:pPr>
        <w:spacing w:after="0"/>
        <w:jc w:val="both"/>
        <w:rPr>
          <w:rFonts w:ascii="Mulish" w:eastAsia="Mulish" w:hAnsi="Mulish" w:cs="Mulish"/>
          <w:lang w:eastAsia="es-ES" w:bidi="es-ES"/>
        </w:rPr>
      </w:pPr>
    </w:p>
    <w:p w14:paraId="013F3DBE" w14:textId="4E77E0F3" w:rsidR="0055220F" w:rsidRPr="000A496D" w:rsidRDefault="0055220F" w:rsidP="00704FB2">
      <w:pPr>
        <w:pStyle w:val="Prrafodelista"/>
        <w:numPr>
          <w:ilvl w:val="0"/>
          <w:numId w:val="8"/>
        </w:numPr>
        <w:spacing w:after="0"/>
        <w:jc w:val="both"/>
        <w:rPr>
          <w:rFonts w:ascii="Mulish" w:eastAsia="Mulish" w:hAnsi="Mulish" w:cs="Mulish"/>
          <w:lang w:eastAsia="es-ES" w:bidi="es-ES"/>
        </w:rPr>
      </w:pPr>
      <w:r w:rsidRPr="000A496D">
        <w:rPr>
          <w:rFonts w:ascii="Mulish" w:eastAsia="Mulish" w:hAnsi="Mulish" w:cs="Mulish"/>
          <w:lang w:eastAsia="es-ES" w:bidi="es-ES"/>
        </w:rPr>
        <w:t>53 entidades del sector público institucional estatal</w:t>
      </w:r>
      <w:r w:rsidR="000A496D" w:rsidRPr="000A496D">
        <w:rPr>
          <w:rFonts w:ascii="Mulish" w:eastAsia="Mulish" w:hAnsi="Mulish" w:cs="Mulish"/>
          <w:lang w:eastAsia="es-ES" w:bidi="es-ES"/>
        </w:rPr>
        <w:t xml:space="preserve"> (</w:t>
      </w:r>
      <w:r w:rsidR="00704FB2" w:rsidRPr="000A496D">
        <w:rPr>
          <w:rFonts w:ascii="Mulish" w:eastAsia="Mulish" w:hAnsi="Mulish" w:cs="Mulish"/>
          <w:lang w:eastAsia="es-ES" w:bidi="es-ES"/>
        </w:rPr>
        <w:t>organismos autónomos, entidades públicas empresariales, sociedades mercantiles</w:t>
      </w:r>
      <w:r w:rsidR="000A496D" w:rsidRPr="000A496D">
        <w:rPr>
          <w:rFonts w:ascii="Mulish" w:eastAsia="Mulish" w:hAnsi="Mulish" w:cs="Mulish"/>
          <w:lang w:eastAsia="es-ES" w:bidi="es-ES"/>
        </w:rPr>
        <w:t xml:space="preserve">, </w:t>
      </w:r>
      <w:r w:rsidR="00704FB2" w:rsidRPr="000A496D">
        <w:rPr>
          <w:rFonts w:ascii="Mulish" w:eastAsia="Mulish" w:hAnsi="Mulish" w:cs="Mulish"/>
          <w:lang w:eastAsia="es-ES" w:bidi="es-ES"/>
        </w:rPr>
        <w:t xml:space="preserve">estatales, fundaciones públicas y </w:t>
      </w:r>
      <w:r w:rsidR="000A496D">
        <w:rPr>
          <w:rFonts w:ascii="Mulish" w:eastAsia="Mulish" w:hAnsi="Mulish" w:cs="Mulish"/>
          <w:lang w:eastAsia="es-ES" w:bidi="es-ES"/>
        </w:rPr>
        <w:t>m</w:t>
      </w:r>
      <w:r w:rsidR="00704FB2" w:rsidRPr="000A496D">
        <w:rPr>
          <w:rFonts w:ascii="Mulish" w:eastAsia="Mulish" w:hAnsi="Mulish" w:cs="Mulish"/>
          <w:lang w:eastAsia="es-ES" w:bidi="es-ES"/>
        </w:rPr>
        <w:t>utuas</w:t>
      </w:r>
      <w:r w:rsidR="000A496D">
        <w:rPr>
          <w:rFonts w:ascii="Mulish" w:eastAsia="Mulish" w:hAnsi="Mulish" w:cs="Mulish"/>
          <w:lang w:eastAsia="es-ES" w:bidi="es-ES"/>
        </w:rPr>
        <w:t xml:space="preserve"> colaboradoras con la Seguridad Social). </w:t>
      </w:r>
    </w:p>
    <w:p w14:paraId="7230478F" w14:textId="790FD6B8" w:rsidR="0055220F" w:rsidRPr="00A24C05" w:rsidRDefault="0055220F" w:rsidP="0055220F">
      <w:pPr>
        <w:pStyle w:val="Prrafodelista"/>
        <w:numPr>
          <w:ilvl w:val="0"/>
          <w:numId w:val="8"/>
        </w:numPr>
        <w:spacing w:after="0"/>
        <w:jc w:val="both"/>
        <w:rPr>
          <w:rFonts w:ascii="Mulish" w:eastAsia="Mulish" w:hAnsi="Mulish" w:cs="Mulish"/>
          <w:lang w:eastAsia="es-ES" w:bidi="es-ES"/>
        </w:rPr>
      </w:pPr>
      <w:r w:rsidRPr="00A24C05">
        <w:rPr>
          <w:rFonts w:ascii="Mulish" w:eastAsia="Mulish" w:hAnsi="Mulish" w:cs="Mulish"/>
          <w:lang w:eastAsia="es-ES" w:bidi="es-ES"/>
        </w:rPr>
        <w:t>24 entidades privadas</w:t>
      </w:r>
      <w:r w:rsidR="00675A3E">
        <w:rPr>
          <w:rFonts w:ascii="Mulish" w:eastAsia="Mulish" w:hAnsi="Mulish" w:cs="Mulish"/>
          <w:lang w:eastAsia="es-ES" w:bidi="es-ES"/>
        </w:rPr>
        <w:t xml:space="preserve"> (</w:t>
      </w:r>
      <w:r w:rsidRPr="00A24C05">
        <w:rPr>
          <w:rFonts w:ascii="Mulish" w:eastAsia="Mulish" w:hAnsi="Mulish" w:cs="Mulish"/>
          <w:lang w:eastAsia="es-ES" w:bidi="es-ES"/>
        </w:rPr>
        <w:t xml:space="preserve">la </w:t>
      </w:r>
      <w:r w:rsidR="005B1FF0">
        <w:rPr>
          <w:rFonts w:ascii="Mulish" w:eastAsia="Mulish" w:hAnsi="Mulish" w:cs="Mulish"/>
          <w:lang w:eastAsia="es-ES" w:bidi="es-ES"/>
        </w:rPr>
        <w:t>L</w:t>
      </w:r>
      <w:r w:rsidRPr="00A24C05">
        <w:rPr>
          <w:rFonts w:ascii="Mulish" w:eastAsia="Mulish" w:hAnsi="Mulish" w:cs="Mulish"/>
          <w:lang w:eastAsia="es-ES" w:bidi="es-ES"/>
        </w:rPr>
        <w:t xml:space="preserve">ey de </w:t>
      </w:r>
      <w:r w:rsidR="005B1FF0">
        <w:rPr>
          <w:rFonts w:ascii="Mulish" w:eastAsia="Mulish" w:hAnsi="Mulish" w:cs="Mulish"/>
          <w:lang w:eastAsia="es-ES" w:bidi="es-ES"/>
        </w:rPr>
        <w:t>T</w:t>
      </w:r>
      <w:r w:rsidRPr="00A24C05">
        <w:rPr>
          <w:rFonts w:ascii="Mulish" w:eastAsia="Mulish" w:hAnsi="Mulish" w:cs="Mulish"/>
          <w:lang w:eastAsia="es-ES" w:bidi="es-ES"/>
        </w:rPr>
        <w:t xml:space="preserve">ransparencia impone obligaciones de publicidad activa a aquellas que perciben </w:t>
      </w:r>
      <w:r w:rsidR="00675A3E">
        <w:rPr>
          <w:rFonts w:ascii="Mulish" w:eastAsia="Mulish" w:hAnsi="Mulish" w:cs="Mulish"/>
          <w:lang w:eastAsia="es-ES" w:bidi="es-ES"/>
        </w:rPr>
        <w:t xml:space="preserve">determinado volumen de </w:t>
      </w:r>
      <w:r w:rsidRPr="00A24C05">
        <w:rPr>
          <w:rFonts w:ascii="Mulish" w:eastAsia="Mulish" w:hAnsi="Mulish" w:cs="Mulish"/>
          <w:lang w:eastAsia="es-ES" w:bidi="es-ES"/>
        </w:rPr>
        <w:t>subvenciones o ayudas</w:t>
      </w:r>
      <w:r w:rsidR="00675A3E">
        <w:rPr>
          <w:rFonts w:ascii="Mulish" w:eastAsia="Mulish" w:hAnsi="Mulish" w:cs="Mulish"/>
          <w:lang w:eastAsia="es-ES" w:bidi="es-ES"/>
        </w:rPr>
        <w:t>)</w:t>
      </w:r>
      <w:r w:rsidRPr="00A24C05">
        <w:rPr>
          <w:rFonts w:ascii="Mulish" w:eastAsia="Mulish" w:hAnsi="Mulish" w:cs="Mulish"/>
          <w:lang w:eastAsia="es-ES" w:bidi="es-ES"/>
        </w:rPr>
        <w:t xml:space="preserve">. </w:t>
      </w:r>
    </w:p>
    <w:p w14:paraId="4B7C1573" w14:textId="77777777" w:rsidR="0055220F" w:rsidRDefault="0055220F" w:rsidP="00126597">
      <w:pPr>
        <w:spacing w:after="0"/>
        <w:jc w:val="both"/>
        <w:rPr>
          <w:rFonts w:ascii="Mulish" w:eastAsia="Mulish" w:hAnsi="Mulish" w:cs="Mulish"/>
          <w:lang w:eastAsia="es-ES" w:bidi="es-ES"/>
        </w:rPr>
      </w:pPr>
    </w:p>
    <w:p w14:paraId="766EE045" w14:textId="3D051022" w:rsidR="0055220F" w:rsidRPr="00CE6A08" w:rsidRDefault="006150E9" w:rsidP="00126597">
      <w:pPr>
        <w:spacing w:after="0"/>
        <w:jc w:val="both"/>
        <w:rPr>
          <w:rFonts w:ascii="Mulish" w:eastAsia="Mulish" w:hAnsi="Mulish" w:cs="Mulish"/>
          <w:lang w:eastAsia="es-ES" w:bidi="es-ES"/>
        </w:rPr>
      </w:pPr>
      <w:r>
        <w:rPr>
          <w:rFonts w:ascii="Mulish" w:eastAsia="Mulish" w:hAnsi="Mulish" w:cs="Mulish"/>
          <w:lang w:eastAsia="es-ES" w:bidi="es-ES"/>
        </w:rPr>
        <w:lastRenderedPageBreak/>
        <w:t xml:space="preserve">Pese a haber sido ya evaluadas con anterioridad en dos ocasiones, con las correspondientes indicaciones ofrecidas por el Consejo </w:t>
      </w:r>
      <w:r w:rsidR="00222419">
        <w:rPr>
          <w:rFonts w:ascii="Mulish" w:eastAsia="Mulish" w:hAnsi="Mulish" w:cs="Mulish"/>
          <w:lang w:eastAsia="es-ES" w:bidi="es-ES"/>
        </w:rPr>
        <w:t xml:space="preserve">sobre sus incumplimientos y la forma de subsanarlos, </w:t>
      </w:r>
      <w:r w:rsidRPr="00A968FD">
        <w:rPr>
          <w:rFonts w:ascii="Mulish" w:eastAsia="Mulish" w:hAnsi="Mulish" w:cs="Mulish"/>
          <w:b/>
          <w:bCs/>
          <w:lang w:eastAsia="es-ES" w:bidi="es-ES"/>
        </w:rPr>
        <w:t>e</w:t>
      </w:r>
      <w:r w:rsidR="0055220F" w:rsidRPr="00A968FD">
        <w:rPr>
          <w:rFonts w:ascii="Mulish" w:eastAsia="Mulish" w:hAnsi="Mulish" w:cs="Mulish"/>
          <w:b/>
          <w:bCs/>
          <w:lang w:eastAsia="es-ES" w:bidi="es-ES"/>
        </w:rPr>
        <w:t xml:space="preserve">l Índice medio de Cumplimiento </w:t>
      </w:r>
      <w:r w:rsidR="0055220F" w:rsidRPr="0055220F">
        <w:rPr>
          <w:rFonts w:ascii="Mulish" w:eastAsia="Mulish" w:hAnsi="Mulish" w:cs="Mulish"/>
          <w:lang w:eastAsia="es-ES" w:bidi="es-ES"/>
        </w:rPr>
        <w:t xml:space="preserve">de la Información Obligatoria (ICIO) </w:t>
      </w:r>
      <w:r w:rsidR="005B1FF0">
        <w:rPr>
          <w:rFonts w:ascii="Mulish" w:eastAsia="Mulish" w:hAnsi="Mulish" w:cs="Mulish"/>
          <w:lang w:eastAsia="es-ES" w:bidi="es-ES"/>
        </w:rPr>
        <w:t xml:space="preserve">alcanzado por </w:t>
      </w:r>
      <w:r w:rsidR="0055220F" w:rsidRPr="0055220F">
        <w:rPr>
          <w:rFonts w:ascii="Mulish" w:eastAsia="Mulish" w:hAnsi="Mulish" w:cs="Mulish"/>
          <w:lang w:eastAsia="es-ES" w:bidi="es-ES"/>
        </w:rPr>
        <w:t xml:space="preserve">el conjunto de </w:t>
      </w:r>
      <w:r w:rsidR="0055220F">
        <w:rPr>
          <w:rFonts w:ascii="Mulish" w:eastAsia="Mulish" w:hAnsi="Mulish" w:cs="Mulish"/>
          <w:lang w:eastAsia="es-ES" w:bidi="es-ES"/>
        </w:rPr>
        <w:t>estas entidades en esta tercera evaluación</w:t>
      </w:r>
      <w:r w:rsidR="0055220F" w:rsidRPr="0055220F">
        <w:rPr>
          <w:rFonts w:ascii="Mulish" w:eastAsia="Mulish" w:hAnsi="Mulish" w:cs="Mulish"/>
          <w:lang w:eastAsia="es-ES" w:bidi="es-ES"/>
        </w:rPr>
        <w:t xml:space="preserve"> </w:t>
      </w:r>
      <w:r w:rsidR="0055220F" w:rsidRPr="00A968FD">
        <w:rPr>
          <w:rFonts w:ascii="Mulish" w:eastAsia="Mulish" w:hAnsi="Mulish" w:cs="Mulish"/>
          <w:b/>
          <w:bCs/>
          <w:lang w:eastAsia="es-ES" w:bidi="es-ES"/>
        </w:rPr>
        <w:t>ha sido de solo el 50%</w:t>
      </w:r>
      <w:r w:rsidR="0055220F" w:rsidRPr="0055220F">
        <w:rPr>
          <w:rFonts w:ascii="Mulish" w:eastAsia="Mulish" w:hAnsi="Mulish" w:cs="Mulish"/>
          <w:lang w:eastAsia="es-ES" w:bidi="es-ES"/>
        </w:rPr>
        <w:t xml:space="preserve">, si bien existe una gran disparidad </w:t>
      </w:r>
      <w:r>
        <w:rPr>
          <w:rFonts w:ascii="Mulish" w:eastAsia="Mulish" w:hAnsi="Mulish" w:cs="Mulish"/>
          <w:lang w:eastAsia="es-ES" w:bidi="es-ES"/>
        </w:rPr>
        <w:t>entre entidades</w:t>
      </w:r>
      <w:r w:rsidR="0055220F" w:rsidRPr="0055220F">
        <w:rPr>
          <w:rFonts w:ascii="Mulish" w:eastAsia="Mulish" w:hAnsi="Mulish" w:cs="Mulish"/>
          <w:lang w:eastAsia="es-ES" w:bidi="es-ES"/>
        </w:rPr>
        <w:t>, con algunas que logran niveles muy altos o notables de cumplimiento y otras que presentan aún enormes carencias.</w:t>
      </w:r>
      <w:r w:rsidR="00675A3E">
        <w:rPr>
          <w:rFonts w:ascii="Mulish" w:eastAsia="Mulish" w:hAnsi="Mulish" w:cs="Mulish"/>
          <w:lang w:eastAsia="es-ES" w:bidi="es-ES"/>
        </w:rPr>
        <w:t xml:space="preserve"> </w:t>
      </w:r>
    </w:p>
    <w:p w14:paraId="1359C50A" w14:textId="75E8DACF" w:rsidR="004735F3" w:rsidRPr="00CE6A08" w:rsidRDefault="004735F3" w:rsidP="00126597">
      <w:pPr>
        <w:spacing w:after="0"/>
        <w:jc w:val="both"/>
        <w:rPr>
          <w:rFonts w:ascii="Mulish" w:eastAsia="Mulish" w:hAnsi="Mulish" w:cs="Mulish"/>
          <w:lang w:eastAsia="es-ES" w:bidi="es-ES"/>
        </w:rPr>
      </w:pPr>
    </w:p>
    <w:p w14:paraId="2CC68016" w14:textId="3BF88986" w:rsidR="00001A8D" w:rsidRDefault="00A24C05" w:rsidP="00B109CF">
      <w:pPr>
        <w:spacing w:after="0"/>
        <w:jc w:val="both"/>
        <w:rPr>
          <w:rFonts w:ascii="Mulish" w:eastAsia="Mulish" w:hAnsi="Mulish" w:cs="Mulish"/>
          <w:lang w:eastAsia="es-ES" w:bidi="es-ES"/>
        </w:rPr>
      </w:pPr>
      <w:r>
        <w:rPr>
          <w:rFonts w:ascii="Mulish" w:eastAsia="Mulish" w:hAnsi="Mulish" w:cs="Mulish"/>
          <w:lang w:eastAsia="es-ES" w:bidi="es-ES"/>
        </w:rPr>
        <w:t>En</w:t>
      </w:r>
      <w:r w:rsidR="00675A3E">
        <w:rPr>
          <w:rFonts w:ascii="Mulish" w:eastAsia="Mulish" w:hAnsi="Mulish" w:cs="Mulish"/>
          <w:lang w:eastAsia="es-ES" w:bidi="es-ES"/>
        </w:rPr>
        <w:t xml:space="preserve"> </w:t>
      </w:r>
      <w:r w:rsidR="00457DE8">
        <w:rPr>
          <w:rFonts w:ascii="Mulish" w:eastAsia="Mulish" w:hAnsi="Mulish" w:cs="Mulish"/>
          <w:lang w:eastAsia="es-ES" w:bidi="es-ES"/>
        </w:rPr>
        <w:t>l</w:t>
      </w:r>
      <w:r w:rsidR="00C00B2F">
        <w:rPr>
          <w:rFonts w:ascii="Mulish" w:eastAsia="Mulish" w:hAnsi="Mulish" w:cs="Mulish"/>
          <w:lang w:eastAsia="es-ES" w:bidi="es-ES"/>
        </w:rPr>
        <w:t xml:space="preserve">a </w:t>
      </w:r>
      <w:r>
        <w:rPr>
          <w:rFonts w:ascii="Mulish" w:eastAsia="Mulish" w:hAnsi="Mulish" w:cs="Mulish"/>
          <w:lang w:eastAsia="es-ES" w:bidi="es-ES"/>
        </w:rPr>
        <w:t xml:space="preserve">revisión practicada en 2025 se ha constatado que </w:t>
      </w:r>
      <w:r w:rsidRPr="00A968FD">
        <w:rPr>
          <w:rFonts w:ascii="Mulish" w:eastAsia="Mulish" w:hAnsi="Mulish" w:cs="Mulish"/>
          <w:b/>
          <w:bCs/>
          <w:lang w:eastAsia="es-ES" w:bidi="es-ES"/>
        </w:rPr>
        <w:t xml:space="preserve">solo </w:t>
      </w:r>
      <w:r w:rsidR="007008DF">
        <w:rPr>
          <w:rFonts w:ascii="Mulish" w:eastAsia="Mulish" w:hAnsi="Mulish" w:cs="Mulish"/>
          <w:b/>
          <w:bCs/>
          <w:lang w:eastAsia="es-ES" w:bidi="es-ES"/>
        </w:rPr>
        <w:t xml:space="preserve">tres de las </w:t>
      </w:r>
      <w:r w:rsidR="00C00B2F" w:rsidRPr="00A968FD">
        <w:rPr>
          <w:rFonts w:ascii="Mulish" w:eastAsia="Mulish" w:hAnsi="Mulish" w:cs="Mulish"/>
          <w:b/>
          <w:bCs/>
          <w:lang w:eastAsia="es-ES" w:bidi="es-ES"/>
        </w:rPr>
        <w:t>77</w:t>
      </w:r>
      <w:r w:rsidRPr="00A968FD">
        <w:rPr>
          <w:rFonts w:ascii="Mulish" w:eastAsia="Mulish" w:hAnsi="Mulish" w:cs="Mulish"/>
          <w:b/>
          <w:bCs/>
          <w:lang w:eastAsia="es-ES" w:bidi="es-ES"/>
        </w:rPr>
        <w:t xml:space="preserve"> entidades han</w:t>
      </w:r>
      <w:r w:rsidR="007008DF">
        <w:rPr>
          <w:rFonts w:ascii="Mulish" w:eastAsia="Mulish" w:hAnsi="Mulish" w:cs="Mulish"/>
          <w:b/>
          <w:bCs/>
          <w:lang w:eastAsia="es-ES" w:bidi="es-ES"/>
        </w:rPr>
        <w:t xml:space="preserve"> alcanzado un 100% de cumplimiento, tras haber</w:t>
      </w:r>
      <w:r w:rsidRPr="00A968FD">
        <w:rPr>
          <w:rFonts w:ascii="Mulish" w:eastAsia="Mulish" w:hAnsi="Mulish" w:cs="Mulish"/>
          <w:b/>
          <w:bCs/>
          <w:lang w:eastAsia="es-ES" w:bidi="es-ES"/>
        </w:rPr>
        <w:t xml:space="preserve"> aplicado las recomendaciones efectuadas</w:t>
      </w:r>
      <w:r w:rsidR="0055220F" w:rsidRPr="00A968FD">
        <w:rPr>
          <w:rFonts w:ascii="Mulish" w:eastAsia="Mulish" w:hAnsi="Mulish" w:cs="Mulish"/>
          <w:b/>
          <w:bCs/>
          <w:lang w:eastAsia="es-ES" w:bidi="es-ES"/>
        </w:rPr>
        <w:t xml:space="preserve"> por el Consejo</w:t>
      </w:r>
      <w:r w:rsidR="0055220F">
        <w:rPr>
          <w:rFonts w:ascii="Mulish" w:eastAsia="Mulish" w:hAnsi="Mulish" w:cs="Mulish"/>
          <w:lang w:eastAsia="es-ES" w:bidi="es-ES"/>
        </w:rPr>
        <w:t xml:space="preserve">: la </w:t>
      </w:r>
      <w:r w:rsidR="0055220F" w:rsidRPr="0055220F">
        <w:rPr>
          <w:rFonts w:ascii="Mulish" w:eastAsia="Mulish" w:hAnsi="Mulish" w:cs="Mulish"/>
          <w:b/>
          <w:bCs/>
          <w:lang w:eastAsia="es-ES" w:bidi="es-ES"/>
        </w:rPr>
        <w:t>Autoridad Portuaria de Barcelona</w:t>
      </w:r>
      <w:r w:rsidR="007008DF">
        <w:rPr>
          <w:rFonts w:ascii="Mulish" w:eastAsia="Mulish" w:hAnsi="Mulish" w:cs="Mulish"/>
          <w:lang w:eastAsia="es-ES" w:bidi="es-ES"/>
        </w:rPr>
        <w:t>,</w:t>
      </w:r>
      <w:r w:rsidR="0055220F">
        <w:rPr>
          <w:rFonts w:ascii="Mulish" w:eastAsia="Mulish" w:hAnsi="Mulish" w:cs="Mulish"/>
          <w:lang w:eastAsia="es-ES" w:bidi="es-ES"/>
        </w:rPr>
        <w:t xml:space="preserve"> la </w:t>
      </w:r>
      <w:r w:rsidR="0055220F" w:rsidRPr="0055220F">
        <w:rPr>
          <w:rFonts w:ascii="Mulish" w:eastAsia="Mulish" w:hAnsi="Mulish" w:cs="Mulish"/>
          <w:b/>
          <w:bCs/>
          <w:lang w:eastAsia="es-ES" w:bidi="es-ES"/>
        </w:rPr>
        <w:t>Confederación Hidrográfica del Tajo</w:t>
      </w:r>
      <w:r w:rsidR="007008DF">
        <w:rPr>
          <w:rFonts w:ascii="Mulish" w:eastAsia="Mulish" w:hAnsi="Mulish" w:cs="Mulish"/>
          <w:lang w:eastAsia="es-ES" w:bidi="es-ES"/>
        </w:rPr>
        <w:t xml:space="preserve"> y </w:t>
      </w:r>
      <w:r w:rsidR="0055220F">
        <w:rPr>
          <w:rFonts w:ascii="Mulish" w:eastAsia="Mulish" w:hAnsi="Mulish" w:cs="Mulish"/>
          <w:lang w:eastAsia="es-ES" w:bidi="es-ES"/>
        </w:rPr>
        <w:t xml:space="preserve">el </w:t>
      </w:r>
      <w:r w:rsidR="0055220F" w:rsidRPr="0055220F">
        <w:rPr>
          <w:rFonts w:ascii="Mulish" w:eastAsia="Mulish" w:hAnsi="Mulish" w:cs="Mulish"/>
          <w:b/>
          <w:bCs/>
          <w:lang w:eastAsia="es-ES" w:bidi="es-ES"/>
        </w:rPr>
        <w:t>Consejo Superior de Investigaciones Científicas</w:t>
      </w:r>
      <w:r w:rsidR="0055220F">
        <w:rPr>
          <w:rFonts w:ascii="Mulish" w:eastAsia="Mulish" w:hAnsi="Mulish" w:cs="Mulish"/>
          <w:lang w:eastAsia="es-ES" w:bidi="es-ES"/>
        </w:rPr>
        <w:t xml:space="preserve"> (CSIC). </w:t>
      </w:r>
    </w:p>
    <w:p w14:paraId="073C4C93" w14:textId="77777777" w:rsidR="00001A8D" w:rsidRDefault="00001A8D" w:rsidP="00B109CF">
      <w:pPr>
        <w:spacing w:after="0"/>
        <w:jc w:val="both"/>
        <w:rPr>
          <w:rFonts w:ascii="Mulish" w:eastAsia="Mulish" w:hAnsi="Mulish" w:cs="Mulish"/>
          <w:lang w:eastAsia="es-ES" w:bidi="es-ES"/>
        </w:rPr>
      </w:pPr>
    </w:p>
    <w:p w14:paraId="38DF4793" w14:textId="072725F5" w:rsidR="004F6BC7" w:rsidRDefault="0055220F" w:rsidP="00B109CF">
      <w:pPr>
        <w:spacing w:after="0"/>
        <w:jc w:val="both"/>
        <w:rPr>
          <w:rFonts w:ascii="Mulish" w:eastAsia="Georgia" w:hAnsi="Mulish" w:cs="Times New Roman"/>
          <w:szCs w:val="20"/>
          <w:lang w:eastAsia="es-ES"/>
        </w:rPr>
      </w:pPr>
      <w:r w:rsidRPr="00713DA2">
        <w:rPr>
          <w:rFonts w:ascii="Mulish" w:eastAsia="Mulish" w:hAnsi="Mulish" w:cs="Mulish"/>
          <w:b/>
          <w:bCs/>
          <w:lang w:eastAsia="es-ES" w:bidi="es-ES"/>
        </w:rPr>
        <w:t xml:space="preserve">En total, el conjunto de las entidades ha atendido </w:t>
      </w:r>
      <w:r w:rsidR="005B1FF0" w:rsidRPr="00713DA2">
        <w:rPr>
          <w:rFonts w:ascii="Mulish" w:eastAsia="Mulish" w:hAnsi="Mulish" w:cs="Mulish"/>
          <w:b/>
          <w:bCs/>
          <w:lang w:eastAsia="es-ES" w:bidi="es-ES"/>
        </w:rPr>
        <w:t xml:space="preserve">solamente </w:t>
      </w:r>
      <w:r w:rsidRPr="00713DA2">
        <w:rPr>
          <w:rFonts w:ascii="Mulish" w:eastAsia="Mulish" w:hAnsi="Mulish" w:cs="Mulish"/>
          <w:b/>
          <w:bCs/>
          <w:lang w:eastAsia="es-ES" w:bidi="es-ES"/>
        </w:rPr>
        <w:t>238 de las 992 indicaciones</w:t>
      </w:r>
      <w:r w:rsidR="00704FB2" w:rsidRPr="00713DA2">
        <w:rPr>
          <w:rFonts w:ascii="Mulish" w:eastAsia="Mulish" w:hAnsi="Mulish" w:cs="Mulish"/>
          <w:b/>
          <w:bCs/>
          <w:lang w:eastAsia="es-ES" w:bidi="es-ES"/>
        </w:rPr>
        <w:t xml:space="preserve"> </w:t>
      </w:r>
      <w:r w:rsidR="005B1FF0" w:rsidRPr="00713DA2">
        <w:rPr>
          <w:rFonts w:ascii="Mulish" w:eastAsia="Mulish" w:hAnsi="Mulish" w:cs="Mulish"/>
          <w:b/>
          <w:bCs/>
          <w:lang w:eastAsia="es-ES" w:bidi="es-ES"/>
        </w:rPr>
        <w:t xml:space="preserve">que les formuló </w:t>
      </w:r>
      <w:r w:rsidR="00704FB2" w:rsidRPr="00713DA2">
        <w:rPr>
          <w:rFonts w:ascii="Mulish" w:eastAsia="Mulish" w:hAnsi="Mulish" w:cs="Mulish"/>
          <w:b/>
          <w:bCs/>
          <w:lang w:eastAsia="es-ES" w:bidi="es-ES"/>
        </w:rPr>
        <w:t>el Consejo</w:t>
      </w:r>
      <w:r w:rsidR="00704FB2">
        <w:rPr>
          <w:rFonts w:ascii="Mulish" w:eastAsia="Mulish" w:hAnsi="Mulish" w:cs="Mulish"/>
          <w:lang w:eastAsia="es-ES" w:bidi="es-ES"/>
        </w:rPr>
        <w:t xml:space="preserve">. Hay que </w:t>
      </w:r>
      <w:r w:rsidR="00704FB2" w:rsidRPr="005B1FF0">
        <w:rPr>
          <w:rFonts w:ascii="Mulish" w:eastAsia="Mulish" w:hAnsi="Mulish" w:cs="Mulish"/>
          <w:lang w:eastAsia="es-ES" w:bidi="es-ES"/>
        </w:rPr>
        <w:t xml:space="preserve">lamentar que </w:t>
      </w:r>
      <w:r w:rsidRPr="005B1FF0">
        <w:rPr>
          <w:rFonts w:ascii="Mulish" w:eastAsia="Mulish" w:hAnsi="Mulish" w:cs="Mulish"/>
          <w:lang w:eastAsia="es-ES" w:bidi="es-ES"/>
        </w:rPr>
        <w:t xml:space="preserve">el 39% de las entidades no </w:t>
      </w:r>
      <w:r w:rsidR="00C00B2F">
        <w:rPr>
          <w:rFonts w:ascii="Mulish" w:eastAsia="Mulish" w:hAnsi="Mulish" w:cs="Mulish"/>
          <w:lang w:eastAsia="es-ES" w:bidi="es-ES"/>
        </w:rPr>
        <w:t>ha aplicado</w:t>
      </w:r>
      <w:r w:rsidRPr="005B1FF0">
        <w:rPr>
          <w:rFonts w:ascii="Mulish" w:eastAsia="Mulish" w:hAnsi="Mulish" w:cs="Mulish"/>
          <w:lang w:eastAsia="es-ES" w:bidi="es-ES"/>
        </w:rPr>
        <w:t xml:space="preserve"> ningun</w:t>
      </w:r>
      <w:r w:rsidR="00C00B2F">
        <w:rPr>
          <w:rFonts w:ascii="Mulish" w:eastAsia="Mulish" w:hAnsi="Mulish" w:cs="Mulish"/>
          <w:lang w:eastAsia="es-ES" w:bidi="es-ES"/>
        </w:rPr>
        <w:t>a de las recomendaciones,</w:t>
      </w:r>
      <w:r w:rsidR="00704FB2" w:rsidRPr="005B1FF0">
        <w:rPr>
          <w:rFonts w:ascii="Mulish" w:eastAsia="Mulish" w:hAnsi="Mulish" w:cs="Mulish"/>
          <w:lang w:eastAsia="es-ES" w:bidi="es-ES"/>
        </w:rPr>
        <w:t xml:space="preserve"> y </w:t>
      </w:r>
      <w:r w:rsidR="00474811" w:rsidRPr="00F01E2C">
        <w:rPr>
          <w:rFonts w:ascii="Mulish" w:eastAsia="Mulish" w:hAnsi="Mulish" w:cs="Mulish"/>
          <w:b/>
          <w:bCs/>
          <w:lang w:eastAsia="es-ES" w:bidi="es-ES"/>
        </w:rPr>
        <w:t xml:space="preserve">19 </w:t>
      </w:r>
      <w:r w:rsidR="00704FB2" w:rsidRPr="00F01E2C">
        <w:rPr>
          <w:rFonts w:ascii="Mulish" w:eastAsia="Mulish" w:hAnsi="Mulish" w:cs="Mulish"/>
          <w:b/>
          <w:bCs/>
          <w:lang w:eastAsia="es-ES" w:bidi="es-ES"/>
        </w:rPr>
        <w:t>entidades incluso han empeorado sus niveles de cumplimiento respecto a la última revisión practicada</w:t>
      </w:r>
      <w:r w:rsidRPr="005B1FF0">
        <w:rPr>
          <w:rFonts w:ascii="Mulish" w:eastAsia="Mulish" w:hAnsi="Mulish" w:cs="Mulish"/>
          <w:lang w:eastAsia="es-ES" w:bidi="es-ES"/>
        </w:rPr>
        <w:t>.</w:t>
      </w:r>
      <w:r w:rsidR="009E02B2">
        <w:rPr>
          <w:rFonts w:ascii="Mulish" w:eastAsia="Mulish" w:hAnsi="Mulish" w:cs="Mulish"/>
          <w:lang w:eastAsia="es-ES" w:bidi="es-ES"/>
        </w:rPr>
        <w:t xml:space="preserve"> </w:t>
      </w:r>
      <w:r w:rsidR="00001A8D">
        <w:rPr>
          <w:rFonts w:ascii="Mulish" w:eastAsia="Mulish" w:hAnsi="Mulish" w:cs="Mulish"/>
          <w:lang w:eastAsia="es-ES" w:bidi="es-ES"/>
        </w:rPr>
        <w:t>T</w:t>
      </w:r>
      <w:r w:rsidR="0020357A" w:rsidRPr="00CE6A08">
        <w:rPr>
          <w:rFonts w:ascii="Mulish" w:eastAsia="Georgia" w:hAnsi="Mulish" w:cs="Times New Roman"/>
          <w:szCs w:val="20"/>
          <w:lang w:eastAsia="es-ES"/>
        </w:rPr>
        <w:t xml:space="preserve">odavía </w:t>
      </w:r>
      <w:r w:rsidR="00001A8D">
        <w:rPr>
          <w:rFonts w:ascii="Mulish" w:eastAsia="Georgia" w:hAnsi="Mulish" w:cs="Times New Roman"/>
          <w:szCs w:val="20"/>
          <w:lang w:eastAsia="es-ES"/>
        </w:rPr>
        <w:t>hay</w:t>
      </w:r>
      <w:r w:rsidR="0020357A" w:rsidRPr="00B9237A">
        <w:rPr>
          <w:rFonts w:ascii="Mulish" w:eastAsia="Georgia" w:hAnsi="Mulish" w:cs="Times New Roman"/>
          <w:szCs w:val="20"/>
          <w:lang w:eastAsia="es-ES"/>
        </w:rPr>
        <w:t xml:space="preserve"> </w:t>
      </w:r>
      <w:r w:rsidR="00474811">
        <w:rPr>
          <w:rFonts w:ascii="Mulish" w:eastAsia="Georgia" w:hAnsi="Mulish" w:cs="Times New Roman"/>
          <w:szCs w:val="20"/>
          <w:lang w:eastAsia="es-ES"/>
        </w:rPr>
        <w:t>42</w:t>
      </w:r>
      <w:r w:rsidR="001456C9" w:rsidRPr="00CE6A08">
        <w:rPr>
          <w:rFonts w:ascii="Mulish" w:eastAsia="Georgia" w:hAnsi="Mulish" w:cs="Times New Roman"/>
          <w:szCs w:val="20"/>
          <w:lang w:eastAsia="es-ES"/>
        </w:rPr>
        <w:t xml:space="preserve"> entidades </w:t>
      </w:r>
      <w:r w:rsidR="007901C0">
        <w:rPr>
          <w:rFonts w:ascii="Mulish" w:eastAsia="Georgia" w:hAnsi="Mulish" w:cs="Times New Roman"/>
          <w:szCs w:val="20"/>
          <w:lang w:eastAsia="es-ES"/>
        </w:rPr>
        <w:t xml:space="preserve">públicas </w:t>
      </w:r>
      <w:r w:rsidR="00704FB2">
        <w:rPr>
          <w:rFonts w:ascii="Mulish" w:eastAsia="Georgia" w:hAnsi="Mulish" w:cs="Times New Roman"/>
          <w:szCs w:val="20"/>
          <w:lang w:eastAsia="es-ES"/>
        </w:rPr>
        <w:t>y 2</w:t>
      </w:r>
      <w:r w:rsidR="00474811">
        <w:rPr>
          <w:rFonts w:ascii="Mulish" w:eastAsia="Georgia" w:hAnsi="Mulish" w:cs="Times New Roman"/>
          <w:szCs w:val="20"/>
          <w:lang w:eastAsia="es-ES"/>
        </w:rPr>
        <w:t>2</w:t>
      </w:r>
      <w:r w:rsidR="00704FB2">
        <w:rPr>
          <w:rFonts w:ascii="Mulish" w:eastAsia="Georgia" w:hAnsi="Mulish" w:cs="Times New Roman"/>
          <w:szCs w:val="20"/>
          <w:lang w:eastAsia="es-ES"/>
        </w:rPr>
        <w:t xml:space="preserve"> privadas </w:t>
      </w:r>
      <w:r w:rsidR="00252220">
        <w:rPr>
          <w:rFonts w:ascii="Mulish" w:eastAsia="Georgia" w:hAnsi="Mulish" w:cs="Times New Roman"/>
          <w:szCs w:val="20"/>
          <w:lang w:eastAsia="es-ES"/>
        </w:rPr>
        <w:t xml:space="preserve">de las evaluadas </w:t>
      </w:r>
      <w:r w:rsidR="009B42F0" w:rsidRPr="00CE6A08">
        <w:rPr>
          <w:rFonts w:ascii="Mulish" w:eastAsia="Georgia" w:hAnsi="Mulish" w:cs="Times New Roman"/>
          <w:szCs w:val="20"/>
          <w:lang w:eastAsia="es-ES"/>
        </w:rPr>
        <w:t xml:space="preserve">que </w:t>
      </w:r>
      <w:r w:rsidR="0040037A" w:rsidRPr="00CE6A08">
        <w:rPr>
          <w:rFonts w:ascii="Mulish" w:eastAsia="Georgia" w:hAnsi="Mulish" w:cs="Times New Roman"/>
          <w:szCs w:val="20"/>
          <w:lang w:eastAsia="es-ES"/>
        </w:rPr>
        <w:t xml:space="preserve">no llegan al </w:t>
      </w:r>
      <w:r w:rsidR="001456C9" w:rsidRPr="00CE6A08">
        <w:rPr>
          <w:rFonts w:ascii="Mulish" w:eastAsia="Georgia" w:hAnsi="Mulish" w:cs="Times New Roman"/>
          <w:szCs w:val="20"/>
          <w:lang w:eastAsia="es-ES"/>
        </w:rPr>
        <w:t>75% de cumplimiento</w:t>
      </w:r>
      <w:r w:rsidR="0040037A" w:rsidRPr="00CE6A08">
        <w:rPr>
          <w:rFonts w:ascii="Mulish" w:eastAsia="Georgia" w:hAnsi="Mulish" w:cs="Times New Roman"/>
          <w:szCs w:val="20"/>
          <w:lang w:eastAsia="es-ES"/>
        </w:rPr>
        <w:t xml:space="preserve"> de sus obligaciones</w:t>
      </w:r>
      <w:r w:rsidR="007901C0">
        <w:rPr>
          <w:rFonts w:ascii="Mulish" w:eastAsia="Georgia" w:hAnsi="Mulish" w:cs="Times New Roman"/>
          <w:szCs w:val="20"/>
          <w:lang w:eastAsia="es-ES"/>
        </w:rPr>
        <w:t xml:space="preserve"> de transparencia</w:t>
      </w:r>
      <w:r w:rsidR="001456C9" w:rsidRPr="00CE6A08">
        <w:rPr>
          <w:rFonts w:ascii="Mulish" w:eastAsia="Georgia" w:hAnsi="Mulish" w:cs="Times New Roman"/>
          <w:szCs w:val="20"/>
          <w:lang w:eastAsia="es-ES"/>
        </w:rPr>
        <w:t>.</w:t>
      </w:r>
    </w:p>
    <w:p w14:paraId="1B2F6037" w14:textId="77777777" w:rsidR="004F6BC7" w:rsidRDefault="004F6BC7" w:rsidP="00B109CF">
      <w:pPr>
        <w:spacing w:after="0"/>
        <w:jc w:val="both"/>
        <w:rPr>
          <w:rFonts w:ascii="Mulish" w:eastAsia="Georgia" w:hAnsi="Mulish" w:cs="Times New Roman"/>
          <w:szCs w:val="20"/>
          <w:lang w:eastAsia="es-ES"/>
        </w:rPr>
      </w:pPr>
    </w:p>
    <w:p w14:paraId="144D092A" w14:textId="20C0D194" w:rsidR="004B465F" w:rsidRPr="00CE6A08" w:rsidRDefault="00EE1958" w:rsidP="00B109CF">
      <w:pPr>
        <w:spacing w:after="0"/>
        <w:jc w:val="both"/>
        <w:rPr>
          <w:rFonts w:ascii="Mulish" w:eastAsia="Mulish" w:hAnsi="Mulish" w:cs="Mulish"/>
          <w:lang w:eastAsia="es-ES" w:bidi="es-ES"/>
        </w:rPr>
      </w:pPr>
      <w:r w:rsidRPr="00CE6A08">
        <w:rPr>
          <w:rFonts w:ascii="Mulish" w:eastAsia="Mulish" w:hAnsi="Mulish" w:cs="Mulish"/>
          <w:lang w:eastAsia="es-ES" w:bidi="es-ES"/>
        </w:rPr>
        <w:t xml:space="preserve">Ante esta situación de incumplimiento persistente e injustificable, </w:t>
      </w:r>
      <w:r w:rsidR="004B465F" w:rsidRPr="00CE6A08">
        <w:rPr>
          <w:rFonts w:ascii="Mulish" w:eastAsia="Mulish" w:hAnsi="Mulish" w:cs="Mulish"/>
          <w:lang w:eastAsia="es-ES" w:bidi="es-ES"/>
        </w:rPr>
        <w:t xml:space="preserve">después de </w:t>
      </w:r>
      <w:r w:rsidR="009B42F0" w:rsidRPr="00CE6A08">
        <w:rPr>
          <w:rFonts w:ascii="Mulish" w:eastAsia="Mulish" w:hAnsi="Mulish" w:cs="Mulish"/>
          <w:lang w:eastAsia="es-ES" w:bidi="es-ES"/>
        </w:rPr>
        <w:t xml:space="preserve">más </w:t>
      </w:r>
      <w:r w:rsidR="00C4437B">
        <w:rPr>
          <w:rFonts w:ascii="Mulish" w:eastAsia="Mulish" w:hAnsi="Mulish" w:cs="Mulish"/>
          <w:lang w:eastAsia="es-ES" w:bidi="es-ES"/>
        </w:rPr>
        <w:t>de una década</w:t>
      </w:r>
      <w:r w:rsidR="004B465F" w:rsidRPr="00CE6A08">
        <w:rPr>
          <w:rFonts w:ascii="Mulish" w:eastAsia="Mulish" w:hAnsi="Mulish" w:cs="Mulish"/>
          <w:lang w:eastAsia="es-ES" w:bidi="es-ES"/>
        </w:rPr>
        <w:t xml:space="preserve"> de vigencia </w:t>
      </w:r>
      <w:r w:rsidR="0039299B" w:rsidRPr="00CE6A08">
        <w:rPr>
          <w:rFonts w:ascii="Mulish" w:eastAsia="Mulish" w:hAnsi="Mulish" w:cs="Mulish"/>
          <w:lang w:eastAsia="es-ES" w:bidi="es-ES"/>
        </w:rPr>
        <w:t xml:space="preserve">de la </w:t>
      </w:r>
      <w:r w:rsidR="004F6BC7">
        <w:rPr>
          <w:rFonts w:ascii="Mulish" w:eastAsia="Mulish" w:hAnsi="Mulish" w:cs="Mulish"/>
          <w:lang w:eastAsia="es-ES" w:bidi="es-ES"/>
        </w:rPr>
        <w:t>L</w:t>
      </w:r>
      <w:r w:rsidR="0039299B" w:rsidRPr="00CE6A08">
        <w:rPr>
          <w:rFonts w:ascii="Mulish" w:eastAsia="Mulish" w:hAnsi="Mulish" w:cs="Mulish"/>
          <w:lang w:eastAsia="es-ES" w:bidi="es-ES"/>
        </w:rPr>
        <w:t xml:space="preserve">ey </w:t>
      </w:r>
      <w:r w:rsidR="004F6BC7">
        <w:rPr>
          <w:rFonts w:ascii="Mulish" w:eastAsia="Mulish" w:hAnsi="Mulish" w:cs="Mulish"/>
          <w:lang w:eastAsia="es-ES" w:bidi="es-ES"/>
        </w:rPr>
        <w:t xml:space="preserve">19/2013, de 9 de diciembre, </w:t>
      </w:r>
      <w:r w:rsidR="0039299B" w:rsidRPr="00CE6A08">
        <w:rPr>
          <w:rFonts w:ascii="Mulish" w:eastAsia="Mulish" w:hAnsi="Mulish" w:cs="Mulish"/>
          <w:lang w:eastAsia="es-ES" w:bidi="es-ES"/>
        </w:rPr>
        <w:t xml:space="preserve">de </w:t>
      </w:r>
      <w:r w:rsidR="004F6BC7">
        <w:rPr>
          <w:rFonts w:ascii="Mulish" w:eastAsia="Mulish" w:hAnsi="Mulish" w:cs="Mulish"/>
          <w:lang w:eastAsia="es-ES" w:bidi="es-ES"/>
        </w:rPr>
        <w:t>t</w:t>
      </w:r>
      <w:r w:rsidR="0039299B" w:rsidRPr="00CE6A08">
        <w:rPr>
          <w:rFonts w:ascii="Mulish" w:eastAsia="Mulish" w:hAnsi="Mulish" w:cs="Mulish"/>
          <w:lang w:eastAsia="es-ES" w:bidi="es-ES"/>
        </w:rPr>
        <w:t>ransparencia</w:t>
      </w:r>
      <w:r w:rsidR="004F6BC7">
        <w:rPr>
          <w:rFonts w:ascii="Mulish" w:eastAsia="Mulish" w:hAnsi="Mulish" w:cs="Mulish"/>
          <w:lang w:eastAsia="es-ES" w:bidi="es-ES"/>
        </w:rPr>
        <w:t>, acceso a la información y buen gobierno</w:t>
      </w:r>
      <w:r w:rsidR="00CE711A">
        <w:rPr>
          <w:rFonts w:ascii="Mulish" w:eastAsia="Mulish" w:hAnsi="Mulish" w:cs="Mulish"/>
          <w:lang w:eastAsia="es-ES" w:bidi="es-ES"/>
        </w:rPr>
        <w:t xml:space="preserve"> (LTAIBG)</w:t>
      </w:r>
      <w:r w:rsidR="004F6BC7">
        <w:rPr>
          <w:rFonts w:ascii="Mulish" w:eastAsia="Mulish" w:hAnsi="Mulish" w:cs="Mulish"/>
          <w:lang w:eastAsia="es-ES" w:bidi="es-ES"/>
        </w:rPr>
        <w:t>,</w:t>
      </w:r>
      <w:r w:rsidR="0039299B" w:rsidRPr="00CE6A08">
        <w:rPr>
          <w:rFonts w:ascii="Mulish" w:eastAsia="Mulish" w:hAnsi="Mulish" w:cs="Mulish"/>
          <w:lang w:eastAsia="es-ES" w:bidi="es-ES"/>
        </w:rPr>
        <w:t xml:space="preserve"> </w:t>
      </w:r>
      <w:r w:rsidR="00C00B2F" w:rsidRPr="005B08E3">
        <w:rPr>
          <w:rFonts w:ascii="Mulish" w:eastAsia="Mulish" w:hAnsi="Mulish" w:cs="Mulish"/>
          <w:b/>
          <w:bCs/>
          <w:lang w:eastAsia="es-ES" w:bidi="es-ES"/>
        </w:rPr>
        <w:t xml:space="preserve">el </w:t>
      </w:r>
      <w:r w:rsidR="007901C0" w:rsidRPr="005B08E3">
        <w:rPr>
          <w:rFonts w:ascii="Mulish" w:eastAsia="Mulish" w:hAnsi="Mulish" w:cs="Mulish"/>
          <w:b/>
          <w:bCs/>
          <w:lang w:eastAsia="es-ES" w:bidi="es-ES"/>
        </w:rPr>
        <w:t>Consejo les insta a</w:t>
      </w:r>
      <w:r w:rsidR="00F8360E" w:rsidRPr="005B08E3">
        <w:rPr>
          <w:rFonts w:ascii="Mulish" w:eastAsia="Mulish" w:hAnsi="Mulish" w:cs="Mulish"/>
          <w:b/>
          <w:bCs/>
          <w:lang w:eastAsia="es-ES" w:bidi="es-ES"/>
        </w:rPr>
        <w:t xml:space="preserve"> </w:t>
      </w:r>
      <w:r w:rsidR="004B465F" w:rsidRPr="005B08E3">
        <w:rPr>
          <w:rFonts w:ascii="Mulish" w:eastAsia="Mulish" w:hAnsi="Mulish" w:cs="Mulish"/>
          <w:b/>
          <w:bCs/>
          <w:lang w:eastAsia="es-ES" w:bidi="es-ES"/>
        </w:rPr>
        <w:t xml:space="preserve">cumplir sin dilación con las obligaciones que </w:t>
      </w:r>
      <w:r w:rsidR="00CE711A">
        <w:rPr>
          <w:rFonts w:ascii="Mulish" w:eastAsia="Mulish" w:hAnsi="Mulish" w:cs="Mulish"/>
          <w:b/>
          <w:bCs/>
          <w:lang w:eastAsia="es-ES" w:bidi="es-ES"/>
        </w:rPr>
        <w:t xml:space="preserve">esta ley </w:t>
      </w:r>
      <w:r w:rsidR="004B465F" w:rsidRPr="005B08E3">
        <w:rPr>
          <w:rFonts w:ascii="Mulish" w:eastAsia="Mulish" w:hAnsi="Mulish" w:cs="Mulish"/>
          <w:b/>
          <w:bCs/>
          <w:lang w:eastAsia="es-ES" w:bidi="es-ES"/>
        </w:rPr>
        <w:t>les impone</w:t>
      </w:r>
      <w:r w:rsidR="004B465F" w:rsidRPr="00CE6A08">
        <w:rPr>
          <w:rFonts w:ascii="Mulish" w:eastAsia="Mulish" w:hAnsi="Mulish" w:cs="Mulish"/>
          <w:lang w:eastAsia="es-ES" w:bidi="es-ES"/>
        </w:rPr>
        <w:t xml:space="preserve">. En particular, </w:t>
      </w:r>
      <w:r w:rsidR="007901C0">
        <w:rPr>
          <w:rFonts w:ascii="Mulish" w:eastAsia="Mulish" w:hAnsi="Mulish" w:cs="Mulish"/>
          <w:lang w:eastAsia="es-ES" w:bidi="es-ES"/>
        </w:rPr>
        <w:t>recuerda</w:t>
      </w:r>
      <w:r w:rsidR="00E719AE" w:rsidRPr="00CE6A08">
        <w:rPr>
          <w:rFonts w:ascii="Mulish" w:eastAsia="Mulish" w:hAnsi="Mulish" w:cs="Mulish"/>
          <w:lang w:eastAsia="es-ES" w:bidi="es-ES"/>
        </w:rPr>
        <w:t xml:space="preserve"> </w:t>
      </w:r>
      <w:r w:rsidR="004B465F" w:rsidRPr="00CE6A08">
        <w:rPr>
          <w:rFonts w:ascii="Mulish" w:eastAsia="Mulish" w:hAnsi="Mulish" w:cs="Mulish"/>
          <w:lang w:eastAsia="es-ES" w:bidi="es-ES"/>
        </w:rPr>
        <w:t xml:space="preserve">a </w:t>
      </w:r>
      <w:r w:rsidR="00E719AE" w:rsidRPr="00CE6A08">
        <w:rPr>
          <w:rFonts w:ascii="Mulish" w:eastAsia="Mulish" w:hAnsi="Mulish" w:cs="Mulish"/>
          <w:lang w:eastAsia="es-ES" w:bidi="es-ES"/>
        </w:rPr>
        <w:t xml:space="preserve">los responsables de </w:t>
      </w:r>
      <w:r w:rsidR="004B465F" w:rsidRPr="00CE6A08">
        <w:rPr>
          <w:rFonts w:ascii="Mulish" w:eastAsia="Mulish" w:hAnsi="Mulish" w:cs="Mulish"/>
          <w:lang w:eastAsia="es-ES" w:bidi="es-ES"/>
        </w:rPr>
        <w:t>la</w:t>
      </w:r>
      <w:r w:rsidR="004B465F" w:rsidRPr="00B9237A">
        <w:rPr>
          <w:rFonts w:ascii="Mulish" w:eastAsia="Mulish" w:hAnsi="Mulish" w:cs="Mulish"/>
          <w:lang w:eastAsia="es-ES" w:bidi="es-ES"/>
        </w:rPr>
        <w:t xml:space="preserve">s entidades </w:t>
      </w:r>
      <w:r w:rsidR="004B465F" w:rsidRPr="00CE6A08">
        <w:rPr>
          <w:rFonts w:ascii="Mulish" w:eastAsia="Mulish" w:hAnsi="Mulish" w:cs="Mulish"/>
          <w:lang w:eastAsia="es-ES" w:bidi="es-ES"/>
        </w:rPr>
        <w:t>públicas</w:t>
      </w:r>
      <w:r w:rsidR="007901C0">
        <w:rPr>
          <w:rFonts w:ascii="Mulish" w:eastAsia="Mulish" w:hAnsi="Mulish" w:cs="Mulish"/>
          <w:lang w:eastAsia="es-ES" w:bidi="es-ES"/>
        </w:rPr>
        <w:t xml:space="preserve"> </w:t>
      </w:r>
      <w:r w:rsidR="004B465F" w:rsidRPr="00CE6A08">
        <w:rPr>
          <w:rFonts w:ascii="Mulish" w:eastAsia="Mulish" w:hAnsi="Mulish" w:cs="Mulish"/>
          <w:lang w:eastAsia="es-ES" w:bidi="es-ES"/>
        </w:rPr>
        <w:t>que el artículo 9.3 de la L</w:t>
      </w:r>
      <w:r w:rsidR="007901C0" w:rsidRPr="004F6BC7">
        <w:rPr>
          <w:rFonts w:ascii="Mulish" w:eastAsia="Mulish" w:hAnsi="Mulish" w:cs="Mulish"/>
          <w:lang w:eastAsia="es-ES" w:bidi="es-ES"/>
        </w:rPr>
        <w:t>TAIBG</w:t>
      </w:r>
      <w:r w:rsidR="004B465F" w:rsidRPr="004F6BC7">
        <w:rPr>
          <w:rFonts w:ascii="Mulish" w:eastAsia="Mulish" w:hAnsi="Mulish" w:cs="Mulish"/>
          <w:lang w:eastAsia="es-ES" w:bidi="es-ES"/>
        </w:rPr>
        <w:t xml:space="preserve"> establece que </w:t>
      </w:r>
      <w:r w:rsidR="004F6BC7" w:rsidRPr="004F6BC7">
        <w:rPr>
          <w:rFonts w:ascii="Mulish" w:eastAsia="Mulish" w:hAnsi="Mulish" w:cs="Mulish"/>
          <w:lang w:eastAsia="es-ES" w:bidi="es-ES"/>
        </w:rPr>
        <w:t>e</w:t>
      </w:r>
      <w:r w:rsidR="004B465F" w:rsidRPr="004F6BC7">
        <w:rPr>
          <w:rFonts w:ascii="Mulish" w:eastAsia="Mulish" w:hAnsi="Mulish" w:cs="Mulish"/>
          <w:lang w:eastAsia="es-ES" w:bidi="es-ES"/>
        </w:rPr>
        <w:t>l incumplimiento reiterado de las obligaciones de publicidad activa</w:t>
      </w:r>
      <w:r w:rsidR="004F6BC7" w:rsidRPr="004F6BC7">
        <w:rPr>
          <w:rFonts w:ascii="Mulish" w:eastAsia="Mulish" w:hAnsi="Mulish" w:cs="Mulish"/>
          <w:lang w:eastAsia="es-ES" w:bidi="es-ES"/>
        </w:rPr>
        <w:t xml:space="preserve"> </w:t>
      </w:r>
      <w:r w:rsidR="004F6BC7">
        <w:rPr>
          <w:rFonts w:ascii="Mulish" w:eastAsia="Mulish" w:hAnsi="Mulish" w:cs="Mulish"/>
          <w:i/>
          <w:iCs/>
          <w:lang w:eastAsia="es-ES" w:bidi="es-ES"/>
        </w:rPr>
        <w:t>“</w:t>
      </w:r>
      <w:r w:rsidR="004B465F" w:rsidRPr="00CE6A08">
        <w:rPr>
          <w:rFonts w:ascii="Mulish" w:eastAsia="Mulish" w:hAnsi="Mulish" w:cs="Mulish"/>
          <w:i/>
          <w:iCs/>
          <w:lang w:eastAsia="es-ES" w:bidi="es-ES"/>
        </w:rPr>
        <w:t>tendrá la consideración de infracción grave a los efectos de aplicación a sus responsables del régimen disciplinario previsto en la correspondiente normativa reguladora</w:t>
      </w:r>
      <w:r w:rsidR="004B465F" w:rsidRPr="00CE6A08">
        <w:rPr>
          <w:rFonts w:ascii="Mulish" w:eastAsia="Mulish" w:hAnsi="Mulish" w:cs="Mulish"/>
          <w:lang w:eastAsia="es-ES" w:bidi="es-ES"/>
        </w:rPr>
        <w:t>».</w:t>
      </w:r>
    </w:p>
    <w:p w14:paraId="52A08DCC" w14:textId="746CB282" w:rsidR="0039299B" w:rsidRPr="00CE6A08" w:rsidRDefault="0039299B" w:rsidP="00B109CF">
      <w:pPr>
        <w:spacing w:after="0"/>
        <w:jc w:val="both"/>
        <w:rPr>
          <w:rFonts w:ascii="Mulish" w:eastAsia="Mulish" w:hAnsi="Mulish" w:cs="Mulish"/>
          <w:lang w:eastAsia="es-ES" w:bidi="es-ES"/>
        </w:rPr>
      </w:pPr>
    </w:p>
    <w:p w14:paraId="6F343763" w14:textId="020BB999" w:rsidR="00716250" w:rsidRDefault="0039299B" w:rsidP="00CB4953">
      <w:pPr>
        <w:spacing w:after="0"/>
        <w:jc w:val="both"/>
        <w:rPr>
          <w:rFonts w:ascii="Mulish" w:eastAsia="Mulish" w:hAnsi="Mulish" w:cs="Mulish"/>
          <w:lang w:eastAsia="es-ES" w:bidi="es-ES"/>
        </w:rPr>
      </w:pPr>
      <w:r w:rsidRPr="00CE6A08">
        <w:rPr>
          <w:rFonts w:ascii="Mulish" w:eastAsia="Mulish" w:hAnsi="Mulish" w:cs="Mulish"/>
          <w:lang w:eastAsia="es-ES" w:bidi="es-ES"/>
        </w:rPr>
        <w:t xml:space="preserve">La experiencia derivada de los procesos de evaluación realizados en los últimos cuatro años lleva al Consejo a reafirmarse en la necesidad de que </w:t>
      </w:r>
      <w:r w:rsidR="00916D71" w:rsidRPr="00CE6A08">
        <w:rPr>
          <w:rFonts w:ascii="Mulish" w:eastAsia="Mulish" w:hAnsi="Mulish" w:cs="Mulish"/>
          <w:lang w:eastAsia="es-ES" w:bidi="es-ES"/>
        </w:rPr>
        <w:t>se</w:t>
      </w:r>
      <w:r w:rsidRPr="00CE6A08">
        <w:rPr>
          <w:rFonts w:ascii="Mulish" w:eastAsia="Mulish" w:hAnsi="Mulish" w:cs="Mulish"/>
          <w:lang w:eastAsia="es-ES" w:bidi="es-ES"/>
        </w:rPr>
        <w:t xml:space="preserve"> dote a</w:t>
      </w:r>
      <w:r w:rsidR="00916D71" w:rsidRPr="00CE6A08">
        <w:rPr>
          <w:rFonts w:ascii="Mulish" w:eastAsia="Mulish" w:hAnsi="Mulish" w:cs="Mulish"/>
          <w:lang w:eastAsia="es-ES" w:bidi="es-ES"/>
        </w:rPr>
        <w:t xml:space="preserve"> </w:t>
      </w:r>
      <w:r w:rsidR="0079005D" w:rsidRPr="00CE6A08">
        <w:rPr>
          <w:rFonts w:ascii="Mulish" w:eastAsia="Mulish" w:hAnsi="Mulish" w:cs="Mulish"/>
          <w:lang w:eastAsia="es-ES" w:bidi="es-ES"/>
        </w:rPr>
        <w:t>esta</w:t>
      </w:r>
      <w:r w:rsidR="00916D71" w:rsidRPr="00CE6A08">
        <w:rPr>
          <w:rFonts w:ascii="Mulish" w:eastAsia="Mulish" w:hAnsi="Mulish" w:cs="Mulish"/>
          <w:lang w:eastAsia="es-ES" w:bidi="es-ES"/>
        </w:rPr>
        <w:t xml:space="preserve"> autorida</w:t>
      </w:r>
      <w:r w:rsidR="00716250" w:rsidRPr="00CE6A08">
        <w:rPr>
          <w:rFonts w:ascii="Mulish" w:eastAsia="Mulish" w:hAnsi="Mulish" w:cs="Mulish"/>
          <w:lang w:eastAsia="es-ES" w:bidi="es-ES"/>
        </w:rPr>
        <w:t xml:space="preserve">d </w:t>
      </w:r>
      <w:r w:rsidR="00916D71" w:rsidRPr="00CE6A08">
        <w:rPr>
          <w:rFonts w:ascii="Mulish" w:eastAsia="Mulish" w:hAnsi="Mulish" w:cs="Mulish"/>
          <w:lang w:eastAsia="es-ES" w:bidi="es-ES"/>
        </w:rPr>
        <w:t>independiente</w:t>
      </w:r>
      <w:r w:rsidR="0079005D" w:rsidRPr="00CE6A08">
        <w:rPr>
          <w:rFonts w:ascii="Mulish" w:eastAsia="Mulish" w:hAnsi="Mulish" w:cs="Mulish"/>
          <w:lang w:eastAsia="es-ES" w:bidi="es-ES"/>
        </w:rPr>
        <w:t xml:space="preserve"> </w:t>
      </w:r>
      <w:r w:rsidRPr="00CE6A08">
        <w:rPr>
          <w:rFonts w:ascii="Mulish" w:eastAsia="Mulish" w:hAnsi="Mulish" w:cs="Mulish"/>
          <w:lang w:eastAsia="es-ES" w:bidi="es-ES"/>
        </w:rPr>
        <w:t>de potestades coercitivas para garantizar el pleno cumplimiento de la LTAIBG</w:t>
      </w:r>
      <w:r w:rsidR="002C7076" w:rsidRPr="00CE6A08">
        <w:rPr>
          <w:rFonts w:ascii="Mulish" w:eastAsia="Mulish" w:hAnsi="Mulish" w:cs="Mulish"/>
          <w:i/>
          <w:iCs/>
          <w:lang w:eastAsia="es-ES" w:bidi="es-ES"/>
        </w:rPr>
        <w:t xml:space="preserve">. “Es fundamental que </w:t>
      </w:r>
      <w:r w:rsidR="00533506">
        <w:rPr>
          <w:rFonts w:ascii="Mulish" w:eastAsia="Mulish" w:hAnsi="Mulish" w:cs="Mulish"/>
          <w:i/>
          <w:iCs/>
          <w:lang w:eastAsia="es-ES" w:bidi="es-ES"/>
        </w:rPr>
        <w:t>la autoridad</w:t>
      </w:r>
      <w:r w:rsidR="002C7076" w:rsidRPr="00CE6A08">
        <w:rPr>
          <w:rFonts w:ascii="Mulish" w:eastAsia="Mulish" w:hAnsi="Mulish" w:cs="Mulish"/>
          <w:i/>
          <w:iCs/>
          <w:lang w:eastAsia="es-ES" w:bidi="es-ES"/>
        </w:rPr>
        <w:t xml:space="preserve"> independiente de </w:t>
      </w:r>
      <w:r w:rsidR="00CB4953">
        <w:rPr>
          <w:rFonts w:ascii="Mulish" w:eastAsia="Mulish" w:hAnsi="Mulish" w:cs="Mulish"/>
          <w:i/>
          <w:iCs/>
          <w:lang w:eastAsia="es-ES" w:bidi="es-ES"/>
        </w:rPr>
        <w:t>supervisión</w:t>
      </w:r>
      <w:r w:rsidR="00CB4953" w:rsidRPr="00CE6A08">
        <w:rPr>
          <w:rFonts w:ascii="Mulish" w:eastAsia="Mulish" w:hAnsi="Mulish" w:cs="Mulish"/>
          <w:i/>
          <w:iCs/>
          <w:lang w:eastAsia="es-ES" w:bidi="es-ES"/>
        </w:rPr>
        <w:t xml:space="preserve"> </w:t>
      </w:r>
      <w:r w:rsidR="002C7076" w:rsidRPr="00CE6A08">
        <w:rPr>
          <w:rFonts w:ascii="Mulish" w:eastAsia="Mulish" w:hAnsi="Mulish" w:cs="Mulish"/>
          <w:i/>
          <w:iCs/>
          <w:lang w:eastAsia="es-ES" w:bidi="es-ES"/>
        </w:rPr>
        <w:t>pueda contar con instrumentos de ejecución forzos</w:t>
      </w:r>
      <w:r w:rsidR="00533506">
        <w:rPr>
          <w:rFonts w:ascii="Mulish" w:eastAsia="Mulish" w:hAnsi="Mulish" w:cs="Mulish"/>
          <w:i/>
          <w:iCs/>
          <w:lang w:eastAsia="es-ES" w:bidi="es-ES"/>
        </w:rPr>
        <w:t>a</w:t>
      </w:r>
      <w:r w:rsidR="002C7076" w:rsidRPr="00CE6A08">
        <w:rPr>
          <w:rFonts w:ascii="Mulish" w:eastAsia="Mulish" w:hAnsi="Mulish" w:cs="Mulish"/>
          <w:i/>
          <w:iCs/>
          <w:lang w:eastAsia="es-ES" w:bidi="es-ES"/>
        </w:rPr>
        <w:t xml:space="preserve"> como</w:t>
      </w:r>
      <w:r w:rsidR="00533506">
        <w:rPr>
          <w:rFonts w:ascii="Mulish" w:eastAsia="Mulish" w:hAnsi="Mulish" w:cs="Mulish"/>
          <w:i/>
          <w:iCs/>
          <w:lang w:eastAsia="es-ES" w:bidi="es-ES"/>
        </w:rPr>
        <w:t>,</w:t>
      </w:r>
      <w:r w:rsidR="002C7076" w:rsidRPr="00CE6A08">
        <w:rPr>
          <w:rFonts w:ascii="Mulish" w:eastAsia="Mulish" w:hAnsi="Mulish" w:cs="Mulish"/>
          <w:i/>
          <w:iCs/>
          <w:lang w:eastAsia="es-ES" w:bidi="es-ES"/>
        </w:rPr>
        <w:t xml:space="preserve"> </w:t>
      </w:r>
      <w:r w:rsidR="00916D71" w:rsidRPr="00CE6A08">
        <w:rPr>
          <w:rFonts w:ascii="Mulish" w:eastAsia="Mulish" w:hAnsi="Mulish" w:cs="Mulish"/>
          <w:i/>
          <w:iCs/>
          <w:lang w:eastAsia="es-ES" w:bidi="es-ES"/>
        </w:rPr>
        <w:t>por ejemplo</w:t>
      </w:r>
      <w:r w:rsidR="00533506">
        <w:rPr>
          <w:rFonts w:ascii="Mulish" w:eastAsia="Mulish" w:hAnsi="Mulish" w:cs="Mulish"/>
          <w:i/>
          <w:iCs/>
          <w:lang w:eastAsia="es-ES" w:bidi="es-ES"/>
        </w:rPr>
        <w:t>,</w:t>
      </w:r>
      <w:r w:rsidR="00916D71" w:rsidRPr="00CE6A08">
        <w:rPr>
          <w:rFonts w:ascii="Mulish" w:eastAsia="Mulish" w:hAnsi="Mulish" w:cs="Mulish"/>
          <w:i/>
          <w:iCs/>
          <w:lang w:eastAsia="es-ES" w:bidi="es-ES"/>
        </w:rPr>
        <w:t xml:space="preserve"> la imposición de multas coercitivas</w:t>
      </w:r>
      <w:r w:rsidR="002C7076" w:rsidRPr="00CE6A08">
        <w:rPr>
          <w:rFonts w:ascii="Mulish" w:eastAsia="Mulish" w:hAnsi="Mulish" w:cs="Mulish"/>
          <w:i/>
          <w:iCs/>
          <w:lang w:eastAsia="es-ES" w:bidi="es-ES"/>
        </w:rPr>
        <w:t xml:space="preserve"> </w:t>
      </w:r>
      <w:r w:rsidR="00533506">
        <w:rPr>
          <w:rFonts w:ascii="Mulish" w:eastAsia="Mulish" w:hAnsi="Mulish" w:cs="Mulish"/>
          <w:i/>
          <w:iCs/>
          <w:lang w:eastAsia="es-ES" w:bidi="es-ES"/>
        </w:rPr>
        <w:t xml:space="preserve">para garantizar el cumplimiento de las obligaciones de </w:t>
      </w:r>
      <w:r w:rsidR="00CB4953">
        <w:rPr>
          <w:rFonts w:ascii="Mulish" w:eastAsia="Mulish" w:hAnsi="Mulish" w:cs="Mulish"/>
          <w:i/>
          <w:iCs/>
          <w:lang w:eastAsia="es-ES" w:bidi="es-ES"/>
        </w:rPr>
        <w:t xml:space="preserve">transparencia que las leyes imponen a las entidades públicas y a las privadas que reciben fondos públicos”, </w:t>
      </w:r>
      <w:r w:rsidR="00A70569">
        <w:rPr>
          <w:rFonts w:ascii="Mulish" w:eastAsia="Mulish" w:hAnsi="Mulish" w:cs="Mulish"/>
          <w:lang w:eastAsia="es-ES" w:bidi="es-ES"/>
        </w:rPr>
        <w:t>como ha manifestado públicamente</w:t>
      </w:r>
      <w:r w:rsidR="00C37FF6">
        <w:rPr>
          <w:rFonts w:ascii="Mulish" w:eastAsia="Mulish" w:hAnsi="Mulish" w:cs="Mulish"/>
          <w:lang w:eastAsia="es-ES" w:bidi="es-ES"/>
        </w:rPr>
        <w:t xml:space="preserve"> </w:t>
      </w:r>
      <w:r w:rsidR="004F6BC7">
        <w:rPr>
          <w:rFonts w:ascii="Mulish" w:eastAsia="Mulish" w:hAnsi="Mulish" w:cs="Mulish"/>
          <w:lang w:eastAsia="es-ES" w:bidi="es-ES"/>
        </w:rPr>
        <w:t>en numerosas ocasiones</w:t>
      </w:r>
      <w:r w:rsidR="00001A8D">
        <w:rPr>
          <w:rFonts w:ascii="Mulish" w:eastAsia="Mulish" w:hAnsi="Mulish" w:cs="Mulish"/>
          <w:lang w:eastAsia="es-ES" w:bidi="es-ES"/>
        </w:rPr>
        <w:t xml:space="preserve"> </w:t>
      </w:r>
      <w:r w:rsidR="00916D71" w:rsidRPr="00CE6A08">
        <w:rPr>
          <w:rFonts w:ascii="Mulish" w:eastAsia="Mulish" w:hAnsi="Mulish" w:cs="Mulish"/>
          <w:lang w:eastAsia="es-ES" w:bidi="es-ES"/>
        </w:rPr>
        <w:t>el presidente del Consejo, José Luis Rodríguez Álvarez</w:t>
      </w:r>
      <w:r w:rsidR="005F1275">
        <w:rPr>
          <w:rFonts w:ascii="Mulish" w:eastAsia="Mulish" w:hAnsi="Mulish" w:cs="Mulish"/>
          <w:lang w:eastAsia="es-ES" w:bidi="es-ES"/>
        </w:rPr>
        <w:t xml:space="preserve">. </w:t>
      </w:r>
    </w:p>
    <w:p w14:paraId="3B46FA9B" w14:textId="77777777" w:rsidR="005F1275" w:rsidRPr="00CE6A08" w:rsidRDefault="005F1275" w:rsidP="00B109CF">
      <w:pPr>
        <w:spacing w:after="0"/>
        <w:jc w:val="both"/>
        <w:rPr>
          <w:rFonts w:ascii="Mulish" w:eastAsia="Mulish" w:hAnsi="Mulish" w:cs="Mulish"/>
          <w:lang w:eastAsia="es-ES" w:bidi="es-ES"/>
        </w:rPr>
      </w:pPr>
    </w:p>
    <w:p w14:paraId="4DD4E458" w14:textId="767751E9" w:rsidR="00521EA5" w:rsidRDefault="004D3E59" w:rsidP="00B109CF">
      <w:pPr>
        <w:spacing w:after="0"/>
        <w:jc w:val="both"/>
        <w:rPr>
          <w:rFonts w:ascii="Mulish" w:eastAsia="Mulish" w:hAnsi="Mulish" w:cs="Mulish"/>
          <w:lang w:eastAsia="es-ES" w:bidi="es-ES"/>
        </w:rPr>
      </w:pPr>
      <w:r w:rsidRPr="00B9237A">
        <w:rPr>
          <w:rFonts w:ascii="Mulish" w:eastAsia="Mulish" w:hAnsi="Mulish" w:cs="Mulish"/>
          <w:lang w:eastAsia="es-ES" w:bidi="es-ES"/>
        </w:rPr>
        <w:t xml:space="preserve">Los informes </w:t>
      </w:r>
      <w:r w:rsidR="0040037A" w:rsidRPr="0012487F">
        <w:rPr>
          <w:rFonts w:ascii="Mulish" w:eastAsia="Mulish" w:hAnsi="Mulish" w:cs="Mulish"/>
          <w:lang w:eastAsia="es-ES" w:bidi="es-ES"/>
        </w:rPr>
        <w:t xml:space="preserve">individuales </w:t>
      </w:r>
      <w:r w:rsidRPr="0012487F">
        <w:rPr>
          <w:rFonts w:ascii="Mulish" w:eastAsia="Mulish" w:hAnsi="Mulish" w:cs="Mulish"/>
          <w:lang w:eastAsia="es-ES" w:bidi="es-ES"/>
        </w:rPr>
        <w:t>de evaluación</w:t>
      </w:r>
      <w:r w:rsidR="0079363A" w:rsidRPr="0012487F">
        <w:rPr>
          <w:rFonts w:ascii="Mulish" w:eastAsia="Mulish" w:hAnsi="Mulish" w:cs="Mulish"/>
          <w:lang w:eastAsia="es-ES" w:bidi="es-ES"/>
        </w:rPr>
        <w:t xml:space="preserve"> </w:t>
      </w:r>
      <w:r w:rsidRPr="0012487F">
        <w:rPr>
          <w:rFonts w:ascii="Mulish" w:eastAsia="Mulish" w:hAnsi="Mulish" w:cs="Mulish"/>
          <w:lang w:eastAsia="es-ES" w:bidi="es-ES"/>
        </w:rPr>
        <w:t xml:space="preserve">de las </w:t>
      </w:r>
      <w:r w:rsidR="00916D71" w:rsidRPr="0012487F">
        <w:rPr>
          <w:rFonts w:ascii="Mulish" w:eastAsia="Mulish" w:hAnsi="Mulish" w:cs="Mulish"/>
          <w:lang w:eastAsia="es-ES" w:bidi="es-ES"/>
        </w:rPr>
        <w:t>7</w:t>
      </w:r>
      <w:r w:rsidR="00704FB2">
        <w:rPr>
          <w:rFonts w:ascii="Mulish" w:eastAsia="Mulish" w:hAnsi="Mulish" w:cs="Mulish"/>
          <w:lang w:eastAsia="es-ES" w:bidi="es-ES"/>
        </w:rPr>
        <w:t>7</w:t>
      </w:r>
      <w:r w:rsidRPr="0012487F">
        <w:rPr>
          <w:rFonts w:ascii="Mulish" w:eastAsia="Mulish" w:hAnsi="Mulish" w:cs="Mulish"/>
          <w:lang w:eastAsia="es-ES" w:bidi="es-ES"/>
        </w:rPr>
        <w:t xml:space="preserve"> entidades</w:t>
      </w:r>
      <w:r w:rsidR="005F1275">
        <w:rPr>
          <w:rFonts w:ascii="Mulish" w:eastAsia="Mulish" w:hAnsi="Mulish" w:cs="Mulish"/>
          <w:lang w:eastAsia="es-ES" w:bidi="es-ES"/>
        </w:rPr>
        <w:t>, así como las alegaciones que hayan podido formular,</w:t>
      </w:r>
      <w:r w:rsidR="00314159" w:rsidRPr="0012487F">
        <w:rPr>
          <w:rFonts w:ascii="Mulish" w:eastAsia="Mulish" w:hAnsi="Mulish" w:cs="Mulish"/>
          <w:lang w:eastAsia="es-ES" w:bidi="es-ES"/>
        </w:rPr>
        <w:t xml:space="preserve"> </w:t>
      </w:r>
      <w:r w:rsidRPr="0012487F">
        <w:rPr>
          <w:rFonts w:ascii="Mulish" w:eastAsia="Mulish" w:hAnsi="Mulish" w:cs="Mulish"/>
          <w:lang w:eastAsia="es-ES" w:bidi="es-ES"/>
        </w:rPr>
        <w:t xml:space="preserve">están disponibles en la </w:t>
      </w:r>
      <w:hyperlink r:id="rId8" w:history="1">
        <w:r w:rsidRPr="00DF4FF2">
          <w:rPr>
            <w:rStyle w:val="Hipervnculo"/>
            <w:rFonts w:ascii="Mulish" w:eastAsia="Mulish" w:hAnsi="Mulish" w:cs="Mulish"/>
            <w:lang w:eastAsia="es-ES" w:bidi="es-ES"/>
          </w:rPr>
          <w:t>página web del Consejo</w:t>
        </w:r>
      </w:hyperlink>
      <w:r w:rsidRPr="00DF4FF2">
        <w:rPr>
          <w:rFonts w:ascii="Mulish" w:eastAsia="Mulish" w:hAnsi="Mulish" w:cs="Mulish"/>
          <w:lang w:eastAsia="es-ES" w:bidi="es-ES"/>
        </w:rPr>
        <w:t>.</w:t>
      </w:r>
      <w:r w:rsidRPr="0012487F">
        <w:rPr>
          <w:rFonts w:ascii="Mulish" w:eastAsia="Mulish" w:hAnsi="Mulish" w:cs="Mulish"/>
          <w:lang w:eastAsia="es-ES" w:bidi="es-ES"/>
        </w:rPr>
        <w:t xml:space="preserve"> </w:t>
      </w:r>
      <w:r w:rsidR="0079363A" w:rsidRPr="0012487F">
        <w:rPr>
          <w:rFonts w:ascii="Mulish" w:eastAsia="Mulish" w:hAnsi="Mulish" w:cs="Mulish"/>
          <w:lang w:eastAsia="es-ES" w:bidi="es-ES"/>
        </w:rPr>
        <w:t>También</w:t>
      </w:r>
      <w:r w:rsidR="0079363A" w:rsidRPr="00B9237A">
        <w:rPr>
          <w:rFonts w:ascii="Mulish" w:eastAsia="Mulish" w:hAnsi="Mulish" w:cs="Mulish"/>
          <w:lang w:eastAsia="es-ES" w:bidi="es-ES"/>
        </w:rPr>
        <w:t xml:space="preserve"> el informe agregado </w:t>
      </w:r>
      <w:r w:rsidR="0040037A" w:rsidRPr="00B9237A">
        <w:rPr>
          <w:rFonts w:ascii="Mulish" w:eastAsia="Mulish" w:hAnsi="Mulish" w:cs="Mulish"/>
          <w:lang w:eastAsia="es-ES" w:bidi="es-ES"/>
        </w:rPr>
        <w:t>sobre</w:t>
      </w:r>
      <w:r w:rsidR="0079363A" w:rsidRPr="00B9237A">
        <w:rPr>
          <w:rFonts w:ascii="Mulish" w:eastAsia="Mulish" w:hAnsi="Mulish" w:cs="Mulish"/>
          <w:lang w:eastAsia="es-ES" w:bidi="es-ES"/>
        </w:rPr>
        <w:t xml:space="preserve"> el </w:t>
      </w:r>
      <w:r w:rsidR="0040037A" w:rsidRPr="00B9237A">
        <w:rPr>
          <w:rFonts w:ascii="Mulish" w:eastAsia="Mulish" w:hAnsi="Mulish" w:cs="Mulish"/>
          <w:lang w:eastAsia="es-ES" w:bidi="es-ES"/>
        </w:rPr>
        <w:t xml:space="preserve">grado </w:t>
      </w:r>
      <w:r w:rsidR="0079363A" w:rsidRPr="00B9237A">
        <w:rPr>
          <w:rFonts w:ascii="Mulish" w:eastAsia="Mulish" w:hAnsi="Mulish" w:cs="Mulish"/>
          <w:lang w:eastAsia="es-ES" w:bidi="es-ES"/>
        </w:rPr>
        <w:t xml:space="preserve">de cumplimiento alcanzado </w:t>
      </w:r>
      <w:r w:rsidR="00704FB2">
        <w:rPr>
          <w:rFonts w:ascii="Mulish" w:eastAsia="Mulish" w:hAnsi="Mulish" w:cs="Mulish"/>
          <w:lang w:eastAsia="es-ES" w:bidi="es-ES"/>
        </w:rPr>
        <w:t xml:space="preserve">por el conjunto de entidades. </w:t>
      </w:r>
      <w:r w:rsidR="00521EA5" w:rsidRPr="00CE6A08">
        <w:rPr>
          <w:rFonts w:ascii="Mulish" w:eastAsia="Mulish" w:hAnsi="Mulish" w:cs="Mulish"/>
          <w:lang w:eastAsia="es-ES" w:bidi="es-ES"/>
        </w:rPr>
        <w:t xml:space="preserve"> </w:t>
      </w:r>
    </w:p>
    <w:p w14:paraId="47ABE5E9" w14:textId="289FF3FD" w:rsidR="005F1275" w:rsidRDefault="005F1275" w:rsidP="008533E7">
      <w:pPr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</w:p>
    <w:p w14:paraId="7DDFB8BE" w14:textId="5D372BFB" w:rsidR="000603FA" w:rsidRDefault="005F1275" w:rsidP="00B109CF">
      <w:pPr>
        <w:spacing w:after="0"/>
        <w:jc w:val="both"/>
        <w:rPr>
          <w:rFonts w:ascii="Mulish" w:eastAsia="Mulish" w:hAnsi="Mulish" w:cs="Mulish"/>
          <w:b/>
          <w:bCs/>
          <w:color w:val="0C0C0C" w:themeColor="text1"/>
          <w:lang w:eastAsia="es-ES" w:bidi="es-ES"/>
        </w:rPr>
      </w:pP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El Consejo realiza su evaluación con recursos propios y utilizando la metodología propia MESTA, desarrollada con la extinta Agencia </w:t>
      </w:r>
      <w:r w:rsidRPr="005F1275">
        <w:rPr>
          <w:rFonts w:ascii="Mulish" w:eastAsia="Mulish" w:hAnsi="Mulish" w:cs="Mulish"/>
          <w:color w:val="0C0C0C" w:themeColor="text1"/>
          <w:lang w:eastAsia="es-ES" w:bidi="es-ES"/>
        </w:rPr>
        <w:t>Estatal de Evaluación de Políticas Públicas y de la Calidad de los Servicios Públicos</w:t>
      </w:r>
      <w:r>
        <w:rPr>
          <w:rFonts w:ascii="Mulish" w:eastAsia="Mulish" w:hAnsi="Mulish" w:cs="Mulish"/>
          <w:color w:val="0C0C0C" w:themeColor="text1"/>
          <w:lang w:eastAsia="es-ES" w:bidi="es-ES"/>
        </w:rPr>
        <w:t xml:space="preserve">. </w:t>
      </w:r>
    </w:p>
    <w:p w14:paraId="072FDA70" w14:textId="77777777" w:rsidR="005F1275" w:rsidRDefault="005F1275" w:rsidP="005F1275">
      <w:pPr>
        <w:spacing w:after="0"/>
        <w:jc w:val="both"/>
        <w:rPr>
          <w:rFonts w:ascii="Mulish" w:eastAsia="Mulish" w:hAnsi="Mulish" w:cs="Mulish"/>
          <w:lang w:eastAsia="es-ES" w:bidi="es-ES"/>
        </w:rPr>
      </w:pPr>
    </w:p>
    <w:p w14:paraId="51DBAA7E" w14:textId="2034E7A5" w:rsidR="005F1275" w:rsidRDefault="00B1326E" w:rsidP="005F1275">
      <w:pPr>
        <w:spacing w:after="0"/>
        <w:jc w:val="both"/>
        <w:rPr>
          <w:rFonts w:ascii="Mulish" w:eastAsia="Mulish" w:hAnsi="Mulish" w:cs="Mulish"/>
          <w:lang w:eastAsia="es-ES" w:bidi="es-ES"/>
        </w:rPr>
      </w:pPr>
      <w:r>
        <w:rPr>
          <w:rFonts w:ascii="Mulish" w:eastAsia="Mulish" w:hAnsi="Mulish" w:cs="Mulish"/>
          <w:color w:val="0C0C0C" w:themeColor="text1"/>
          <w:lang w:eastAsia="es-ES" w:bidi="es-ES"/>
        </w:rPr>
        <w:t>A continuación</w:t>
      </w:r>
      <w:r w:rsidR="00CE711A">
        <w:rPr>
          <w:rFonts w:ascii="Mulish" w:eastAsia="Mulish" w:hAnsi="Mulish" w:cs="Mulish"/>
          <w:color w:val="0C0C0C" w:themeColor="text1"/>
          <w:lang w:eastAsia="es-ES" w:bidi="es-ES"/>
        </w:rPr>
        <w:t>,</w:t>
      </w:r>
      <w:r w:rsidR="00394546">
        <w:rPr>
          <w:rFonts w:ascii="Mulish" w:eastAsia="Mulish" w:hAnsi="Mulish" w:cs="Mulish"/>
          <w:color w:val="0C0C0C" w:themeColor="text1"/>
          <w:lang w:eastAsia="es-ES" w:bidi="es-ES"/>
        </w:rPr>
        <w:t xml:space="preserve"> figuran</w:t>
      </w:r>
      <w:r w:rsidR="005F1275" w:rsidRPr="004F6BC7">
        <w:rPr>
          <w:rFonts w:ascii="Mulish" w:eastAsia="Mulish" w:hAnsi="Mulish" w:cs="Mulish"/>
          <w:color w:val="0C0C0C" w:themeColor="text1"/>
          <w:lang w:eastAsia="es-ES" w:bidi="es-ES"/>
        </w:rPr>
        <w:t xml:space="preserve"> los </w:t>
      </w:r>
      <w:r w:rsidR="005F1275" w:rsidRPr="00201F19">
        <w:rPr>
          <w:rFonts w:ascii="Mulish" w:eastAsia="Mulish" w:hAnsi="Mulish" w:cs="Mulish"/>
          <w:b/>
          <w:bCs/>
          <w:color w:val="0C0C0C" w:themeColor="text1"/>
          <w:lang w:eastAsia="es-ES" w:bidi="es-ES"/>
        </w:rPr>
        <w:t>listados de las entidades públicas y privadas evaluadas con el índice de cumplimiento alcanzado en 202</w:t>
      </w:r>
      <w:r w:rsidR="00B84BDC">
        <w:rPr>
          <w:rFonts w:ascii="Mulish" w:eastAsia="Mulish" w:hAnsi="Mulish" w:cs="Mulish"/>
          <w:b/>
          <w:bCs/>
          <w:color w:val="0C0C0C" w:themeColor="text1"/>
          <w:lang w:eastAsia="es-ES" w:bidi="es-ES"/>
        </w:rPr>
        <w:t>5</w:t>
      </w:r>
      <w:r w:rsidR="005F1275" w:rsidRPr="004F6BC7">
        <w:rPr>
          <w:rFonts w:ascii="Mulish" w:eastAsia="Mulish" w:hAnsi="Mulish" w:cs="Mulish"/>
          <w:color w:val="0C0C0C" w:themeColor="text1"/>
          <w:lang w:eastAsia="es-ES" w:bidi="es-ES"/>
        </w:rPr>
        <w:t xml:space="preserve">, su evolución </w:t>
      </w:r>
      <w:r w:rsidR="00FB1946">
        <w:rPr>
          <w:rFonts w:ascii="Mulish" w:eastAsia="Mulish" w:hAnsi="Mulish" w:cs="Mulish"/>
          <w:color w:val="0C0C0C" w:themeColor="text1"/>
          <w:lang w:eastAsia="es-ES" w:bidi="es-ES"/>
        </w:rPr>
        <w:t xml:space="preserve">respecto al </w:t>
      </w:r>
      <w:r w:rsidR="00B84BDC">
        <w:rPr>
          <w:rFonts w:ascii="Mulish" w:eastAsia="Mulish" w:hAnsi="Mulish" w:cs="Mulish"/>
          <w:color w:val="0C0C0C" w:themeColor="text1"/>
          <w:lang w:eastAsia="es-ES" w:bidi="es-ES"/>
        </w:rPr>
        <w:t xml:space="preserve">logrado en </w:t>
      </w:r>
      <w:r w:rsidR="00FB1946">
        <w:rPr>
          <w:rFonts w:ascii="Mulish" w:eastAsia="Mulish" w:hAnsi="Mulish" w:cs="Mulish"/>
          <w:color w:val="0C0C0C" w:themeColor="text1"/>
          <w:lang w:eastAsia="es-ES" w:bidi="es-ES"/>
        </w:rPr>
        <w:t xml:space="preserve">2024 </w:t>
      </w:r>
      <w:r w:rsidR="005F1275" w:rsidRPr="004F6BC7">
        <w:rPr>
          <w:rFonts w:ascii="Mulish" w:eastAsia="Mulish" w:hAnsi="Mulish" w:cs="Mulish"/>
          <w:color w:val="0C0C0C" w:themeColor="text1"/>
          <w:lang w:eastAsia="es-ES" w:bidi="es-ES"/>
        </w:rPr>
        <w:t xml:space="preserve">y </w:t>
      </w:r>
      <w:r w:rsidR="00FB1946">
        <w:rPr>
          <w:rFonts w:ascii="Mulish" w:eastAsia="Mulish" w:hAnsi="Mulish" w:cs="Mulish"/>
          <w:color w:val="0C0C0C" w:themeColor="text1"/>
          <w:lang w:eastAsia="es-ES" w:bidi="es-ES"/>
        </w:rPr>
        <w:t xml:space="preserve">el </w:t>
      </w:r>
      <w:r w:rsidR="005F1275" w:rsidRPr="004F6BC7">
        <w:rPr>
          <w:rFonts w:ascii="Mulish" w:eastAsia="Mulish" w:hAnsi="Mulish" w:cs="Mulish"/>
          <w:color w:val="0C0C0C" w:themeColor="text1"/>
          <w:lang w:eastAsia="es-ES" w:bidi="es-ES"/>
        </w:rPr>
        <w:t xml:space="preserve">grado de aplicación de las recomendaciones </w:t>
      </w:r>
      <w:r w:rsidR="00D03D1A">
        <w:rPr>
          <w:rFonts w:ascii="Mulish" w:eastAsia="Mulish" w:hAnsi="Mulish" w:cs="Mulish"/>
          <w:color w:val="0C0C0C" w:themeColor="text1"/>
          <w:lang w:eastAsia="es-ES" w:bidi="es-ES"/>
        </w:rPr>
        <w:t>formula</w:t>
      </w:r>
      <w:r w:rsidR="00D03D1A" w:rsidRPr="00C10C5F">
        <w:rPr>
          <w:rFonts w:ascii="Mulish" w:eastAsia="Mulish" w:hAnsi="Mulish" w:cs="Mulish"/>
          <w:lang w:eastAsia="es-ES" w:bidi="es-ES"/>
        </w:rPr>
        <w:t>das por el Consejo en aquella evaluación</w:t>
      </w:r>
      <w:r w:rsidR="005F1275" w:rsidRPr="00C10C5F">
        <w:rPr>
          <w:rFonts w:ascii="Mulish" w:eastAsia="Mulish" w:hAnsi="Mulish" w:cs="Mulish"/>
          <w:lang w:eastAsia="es-ES" w:bidi="es-ES"/>
        </w:rPr>
        <w:t xml:space="preserve">, así como el número de incumplimientos que subsisten. </w:t>
      </w:r>
      <w:r w:rsidR="000759E0" w:rsidRPr="00C10C5F">
        <w:rPr>
          <w:rFonts w:ascii="Mulish" w:eastAsia="Mulish" w:hAnsi="Mulish" w:cs="Mulish"/>
          <w:lang w:eastAsia="es-ES" w:bidi="es-ES"/>
        </w:rPr>
        <w:t xml:space="preserve">Las entidades </w:t>
      </w:r>
      <w:r w:rsidR="00CA1C61" w:rsidRPr="00C10C5F">
        <w:rPr>
          <w:rFonts w:ascii="Mulish" w:eastAsia="Mulish" w:hAnsi="Mulish" w:cs="Mulish"/>
          <w:lang w:eastAsia="es-ES" w:bidi="es-ES"/>
        </w:rPr>
        <w:t xml:space="preserve">están ordenadas según la </w:t>
      </w:r>
      <w:r w:rsidR="000759E0" w:rsidRPr="00C10C5F">
        <w:rPr>
          <w:rFonts w:ascii="Mulish" w:eastAsia="Mulish" w:hAnsi="Mulish" w:cs="Mulish"/>
          <w:lang w:eastAsia="es-ES" w:bidi="es-ES"/>
        </w:rPr>
        <w:t>puntuación alcanzad</w:t>
      </w:r>
      <w:r w:rsidR="00CA1C61" w:rsidRPr="00C10C5F">
        <w:rPr>
          <w:rFonts w:ascii="Mulish" w:eastAsia="Mulish" w:hAnsi="Mulish" w:cs="Mulish"/>
          <w:lang w:eastAsia="es-ES" w:bidi="es-ES"/>
        </w:rPr>
        <w:t>a</w:t>
      </w:r>
      <w:r w:rsidR="000759E0" w:rsidRPr="00C10C5F">
        <w:rPr>
          <w:rFonts w:ascii="Mulish" w:eastAsia="Mulish" w:hAnsi="Mulish" w:cs="Mulish"/>
          <w:lang w:eastAsia="es-ES" w:bidi="es-ES"/>
        </w:rPr>
        <w:t xml:space="preserve"> en 2025. </w:t>
      </w:r>
      <w:r w:rsidR="00AC04DC" w:rsidRPr="005B08E3">
        <w:rPr>
          <w:rFonts w:ascii="Mulish" w:eastAsia="Mulish" w:hAnsi="Mulish" w:cs="Mulish"/>
          <w:lang w:eastAsia="es-ES" w:bidi="es-ES"/>
        </w:rPr>
        <w:t>Las sombreadas</w:t>
      </w:r>
      <w:r w:rsidR="00DD088C" w:rsidRPr="005B08E3">
        <w:rPr>
          <w:rFonts w:ascii="Mulish" w:eastAsia="Mulish" w:hAnsi="Mulish" w:cs="Mulish"/>
          <w:lang w:eastAsia="es-ES" w:bidi="es-ES"/>
        </w:rPr>
        <w:t xml:space="preserve"> en color</w:t>
      </w:r>
      <w:r w:rsidR="00AC04DC" w:rsidRPr="005B08E3">
        <w:rPr>
          <w:rFonts w:ascii="Mulish" w:eastAsia="Mulish" w:hAnsi="Mulish" w:cs="Mulish"/>
          <w:lang w:eastAsia="es-ES" w:bidi="es-ES"/>
        </w:rPr>
        <w:t xml:space="preserve"> son las que han empeorado su índice de cumplimiento respecto de la evaluación anterior.  </w:t>
      </w:r>
    </w:p>
    <w:p w14:paraId="76E7BC6B" w14:textId="77777777" w:rsidR="006A0839" w:rsidRDefault="006A0839" w:rsidP="005F1275">
      <w:pPr>
        <w:spacing w:after="0"/>
        <w:jc w:val="both"/>
        <w:rPr>
          <w:rFonts w:ascii="Mulish" w:eastAsia="Mulish" w:hAnsi="Mulish" w:cs="Mulish"/>
          <w:lang w:eastAsia="es-ES" w:bidi="es-ES"/>
        </w:rPr>
      </w:pPr>
    </w:p>
    <w:p w14:paraId="03F32C78" w14:textId="77777777" w:rsidR="00314159" w:rsidRDefault="00314159" w:rsidP="00B109CF">
      <w:pPr>
        <w:spacing w:after="0"/>
        <w:jc w:val="both"/>
        <w:rPr>
          <w:rFonts w:ascii="Mulish" w:eastAsia="Mulish" w:hAnsi="Mulish" w:cs="Mulish"/>
          <w:color w:val="0C0C0C" w:themeColor="text1"/>
          <w:lang w:eastAsia="es-ES" w:bidi="es-ES"/>
        </w:rPr>
      </w:pPr>
    </w:p>
    <w:tbl>
      <w:tblPr>
        <w:tblStyle w:val="Tablaconcuadrcula4-nfasis3"/>
        <w:tblW w:w="10060" w:type="dxa"/>
        <w:tblLayout w:type="fixed"/>
        <w:tblLook w:val="04A0" w:firstRow="1" w:lastRow="0" w:firstColumn="1" w:lastColumn="0" w:noHBand="0" w:noVBand="1"/>
      </w:tblPr>
      <w:tblGrid>
        <w:gridCol w:w="1676"/>
        <w:gridCol w:w="1676"/>
        <w:gridCol w:w="1677"/>
        <w:gridCol w:w="1677"/>
        <w:gridCol w:w="1677"/>
        <w:gridCol w:w="1677"/>
      </w:tblGrid>
      <w:tr w:rsidR="004F6BC7" w:rsidRPr="00564D9C" w14:paraId="1AA63386" w14:textId="77777777" w:rsidTr="005B0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4" w:space="0" w:color="auto"/>
            </w:tcBorders>
            <w:shd w:val="clear" w:color="auto" w:fill="00806F" w:themeFill="text2"/>
            <w:noWrap/>
            <w:hideMark/>
          </w:tcPr>
          <w:p w14:paraId="1A3743DC" w14:textId="77777777" w:rsidR="003A7609" w:rsidRDefault="003A7609" w:rsidP="00E26186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bookmarkStart w:id="4" w:name="_Hlk214966716"/>
            <w:bookmarkEnd w:id="3"/>
          </w:p>
          <w:p w14:paraId="2148F0B8" w14:textId="77777777" w:rsidR="003A7609" w:rsidRDefault="003A7609" w:rsidP="00E26186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</w:p>
          <w:p w14:paraId="025BADE2" w14:textId="77777777" w:rsidR="003A7609" w:rsidRDefault="003A7609" w:rsidP="00E26186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</w:p>
          <w:p w14:paraId="47397E4D" w14:textId="06478F93" w:rsidR="004F6BC7" w:rsidRPr="004F6BC7" w:rsidRDefault="003A7609" w:rsidP="00E26186">
            <w:pPr>
              <w:rPr>
                <w:rFonts w:ascii="Mulish" w:eastAsia="Times New Roman" w:hAnsi="Mulish" w:cs="Calibri"/>
                <w:b w:val="0"/>
                <w:sz w:val="16"/>
                <w:szCs w:val="16"/>
              </w:rPr>
            </w:pPr>
            <w:r>
              <w:rPr>
                <w:rFonts w:ascii="Mulish" w:eastAsia="Times New Roman" w:hAnsi="Mulish" w:cs="Calibri"/>
                <w:b w:val="0"/>
                <w:sz w:val="16"/>
                <w:szCs w:val="16"/>
              </w:rPr>
              <w:t xml:space="preserve">ENTIDADES PÚBLICAS 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shd w:val="clear" w:color="auto" w:fill="00806F" w:themeFill="text2"/>
            <w:noWrap/>
            <w:hideMark/>
          </w:tcPr>
          <w:p w14:paraId="203ABE5E" w14:textId="77777777" w:rsidR="004F6BC7" w:rsidRDefault="004F6BC7" w:rsidP="00E26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 w:val="0"/>
                <w:bCs w:val="0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ICIO 2ª evaluación</w:t>
            </w:r>
          </w:p>
          <w:p w14:paraId="03AF2372" w14:textId="25949D2D" w:rsidR="00B606D6" w:rsidRPr="004F6BC7" w:rsidRDefault="00B606D6" w:rsidP="00E26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</w:rPr>
              <w:t>(2024)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shd w:val="clear" w:color="auto" w:fill="00806F" w:themeFill="text2"/>
            <w:noWrap/>
            <w:hideMark/>
          </w:tcPr>
          <w:p w14:paraId="70EF8D39" w14:textId="77777777" w:rsidR="004F6BC7" w:rsidRPr="004F6BC7" w:rsidRDefault="004F6BC7" w:rsidP="00E26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Proporción de recomendaciones aplicadas derivadas de la segunda evaluación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shd w:val="clear" w:color="auto" w:fill="00806F" w:themeFill="text2"/>
            <w:noWrap/>
            <w:hideMark/>
          </w:tcPr>
          <w:p w14:paraId="32ABAA88" w14:textId="77777777" w:rsidR="004F6BC7" w:rsidRDefault="004F6BC7" w:rsidP="00E26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 w:val="0"/>
                <w:bCs w:val="0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ICIO 3ª evaluación</w:t>
            </w:r>
          </w:p>
          <w:p w14:paraId="3109C87B" w14:textId="44117B47" w:rsidR="00B606D6" w:rsidRPr="004F6BC7" w:rsidRDefault="00B606D6" w:rsidP="00E26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</w:rPr>
              <w:t>(2025)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shd w:val="clear" w:color="auto" w:fill="00806F" w:themeFill="text2"/>
            <w:noWrap/>
            <w:hideMark/>
          </w:tcPr>
          <w:p w14:paraId="5F5CEB6D" w14:textId="77777777" w:rsidR="004F6BC7" w:rsidRPr="004F6BC7" w:rsidRDefault="004F6BC7" w:rsidP="00E261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Diferencia ICIO entre la tercera y la segunda evaluación (%)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shd w:val="clear" w:color="auto" w:fill="00806F" w:themeFill="text2"/>
            <w:noWrap/>
            <w:hideMark/>
          </w:tcPr>
          <w:p w14:paraId="0AC09F26" w14:textId="77777777" w:rsidR="004F6BC7" w:rsidRPr="004F6BC7" w:rsidRDefault="004F6BC7" w:rsidP="00E26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Incumplimientos subsistentes tras 3 evaluaciones de cumplimiento</w:t>
            </w:r>
          </w:p>
        </w:tc>
      </w:tr>
      <w:tr w:rsidR="001179ED" w:rsidRPr="00564D9C" w14:paraId="143BFD22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10C0AF" w14:textId="77777777" w:rsidR="004F6BC7" w:rsidRPr="005B08E3" w:rsidRDefault="004F6BC7" w:rsidP="00E26186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Autoridad Portuaria Barcelona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BCE0D3" w14:textId="77777777" w:rsidR="004F6BC7" w:rsidRPr="004F6BC7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70,1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09E42E" w14:textId="77777777" w:rsidR="004F6BC7" w:rsidRPr="004F6BC7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100,0%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839745" w14:textId="77777777" w:rsidR="004F6BC7" w:rsidRPr="00EA75EE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</w:rPr>
            </w:pPr>
            <w:r w:rsidRPr="00EA75EE">
              <w:rPr>
                <w:rFonts w:ascii="Mulish" w:eastAsia="Times New Roman" w:hAnsi="Mulish" w:cs="Calibri"/>
                <w:b/>
                <w:bCs/>
              </w:rPr>
              <w:t>100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4F14BF" w14:textId="77777777" w:rsidR="004F6BC7" w:rsidRPr="004F6BC7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42,7%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DBC5B2" w14:textId="77777777" w:rsidR="004F6BC7" w:rsidRPr="004F6BC7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0</w:t>
            </w:r>
          </w:p>
        </w:tc>
      </w:tr>
      <w:tr w:rsidR="00D217DF" w:rsidRPr="00564D9C" w14:paraId="2BD7BF85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F069F7" w14:textId="74E39540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Confederación Hidrográfica Tajo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1E057F" w14:textId="59E1BB73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43,3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C587AA" w14:textId="43E106B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100,0%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F27D3E" w14:textId="2ACB6F73" w:rsidR="00D217DF" w:rsidRPr="00EA75E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</w:rPr>
            </w:pPr>
            <w:r w:rsidRPr="00EA75EE">
              <w:rPr>
                <w:rFonts w:ascii="Mulish" w:eastAsia="Times New Roman" w:hAnsi="Mulish" w:cs="Calibri"/>
                <w:b/>
                <w:bCs/>
              </w:rPr>
              <w:t>100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BB905D" w14:textId="597F67DE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130,9%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9DF549" w14:textId="07C0885E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0</w:t>
            </w:r>
          </w:p>
        </w:tc>
      </w:tr>
      <w:tr w:rsidR="00D217DF" w:rsidRPr="00564D9C" w14:paraId="7C373168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B8861B" w14:textId="0B6C6254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Consejo Superior de Investigaciones Científicas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FD753A" w14:textId="5804F2FA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44,4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870D7B" w14:textId="50EA3F14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94,4%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1D1899" w14:textId="4582CF70" w:rsidR="00D217DF" w:rsidRPr="00EA75E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</w:rPr>
            </w:pPr>
            <w:r w:rsidRPr="00EA75EE">
              <w:rPr>
                <w:rFonts w:ascii="Mulish" w:eastAsia="Times New Roman" w:hAnsi="Mulish" w:cs="Calibri"/>
                <w:b/>
                <w:bCs/>
              </w:rPr>
              <w:t>100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459B86" w14:textId="465CC81D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125,2%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6C138E" w14:textId="7075E4DD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</w:t>
            </w:r>
          </w:p>
        </w:tc>
      </w:tr>
      <w:tr w:rsidR="00D217DF" w:rsidRPr="00564D9C" w14:paraId="4216E4CC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6AAF0E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Mutualidad General Judicial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CAA4A6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57,5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1B31C0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72,7%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504420" w14:textId="77777777" w:rsidR="00D217DF" w:rsidRPr="00EA75E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</w:rPr>
            </w:pPr>
            <w:r w:rsidRPr="00EA75EE">
              <w:rPr>
                <w:rFonts w:ascii="Mulish" w:eastAsia="Times New Roman" w:hAnsi="Mulish" w:cs="Calibri"/>
                <w:b/>
                <w:bCs/>
              </w:rPr>
              <w:t>95,1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52745C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65,4%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46EDA0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3</w:t>
            </w:r>
          </w:p>
        </w:tc>
      </w:tr>
      <w:tr w:rsidR="00D217DF" w:rsidRPr="00564D9C" w14:paraId="6249644C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543F81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Autoridad Portuaria Sevilla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14DFB9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69,7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D7AE54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83,3%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478922" w14:textId="77777777" w:rsidR="00D217DF" w:rsidRPr="00EA75E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</w:rPr>
            </w:pPr>
            <w:r w:rsidRPr="00EA75EE">
              <w:rPr>
                <w:rFonts w:ascii="Mulish" w:eastAsia="Times New Roman" w:hAnsi="Mulish" w:cs="Calibri"/>
                <w:b/>
                <w:bCs/>
              </w:rPr>
              <w:t>93,6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64B52B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34,3%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8707F8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</w:t>
            </w:r>
          </w:p>
        </w:tc>
      </w:tr>
      <w:tr w:rsidR="00D217DF" w:rsidRPr="00564D9C" w14:paraId="05C02EA4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99A215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Agencia Estatal de Seguridad Aérea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EBDDBE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49,7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A67AE4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93,8%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C577DB" w14:textId="77777777" w:rsidR="00D217DF" w:rsidRPr="00EA75E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</w:rPr>
            </w:pPr>
            <w:r w:rsidRPr="00EA75EE">
              <w:rPr>
                <w:rFonts w:ascii="Mulish" w:eastAsia="Times New Roman" w:hAnsi="Mulish" w:cs="Calibri"/>
                <w:b/>
                <w:bCs/>
              </w:rPr>
              <w:t>91,2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941680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83,5%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3015C7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</w:t>
            </w:r>
          </w:p>
        </w:tc>
      </w:tr>
      <w:tr w:rsidR="00D217DF" w:rsidRPr="00564D9C" w14:paraId="5798137E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C9F7A9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Casa Mediterráneo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2EDD12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74,6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E3CABE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60,0%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E58E47" w14:textId="77777777" w:rsidR="00D217DF" w:rsidRPr="00EA75E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</w:rPr>
            </w:pPr>
            <w:r w:rsidRPr="00EA75EE">
              <w:rPr>
                <w:rFonts w:ascii="Mulish" w:eastAsia="Times New Roman" w:hAnsi="Mulish" w:cs="Calibri"/>
                <w:b/>
                <w:bCs/>
              </w:rPr>
              <w:t>88,0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8FF68F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18,0%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F2B1B3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2</w:t>
            </w:r>
          </w:p>
        </w:tc>
      </w:tr>
      <w:tr w:rsidR="00D217DF" w:rsidRPr="00564D9C" w14:paraId="0451ED30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309F2C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Consorcio Zona Franca Barcelona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56F8A7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73,3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8E1C2C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42,9%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DBB5BA" w14:textId="77777777" w:rsidR="00D217DF" w:rsidRPr="00EA75E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</w:rPr>
            </w:pPr>
            <w:r w:rsidRPr="00EA75EE">
              <w:rPr>
                <w:rFonts w:ascii="Mulish" w:eastAsia="Times New Roman" w:hAnsi="Mulish" w:cs="Calibri"/>
                <w:b/>
                <w:bCs/>
              </w:rPr>
              <w:t>86,0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D77039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17,3%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F8F167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4</w:t>
            </w:r>
          </w:p>
        </w:tc>
      </w:tr>
      <w:tr w:rsidR="00D217DF" w:rsidRPr="00564D9C" w14:paraId="4FC83B2E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050C13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Desarrollos Empresariales de la Zona Franca de Cádiz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AD133D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61,9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C7D8EF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71,4%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DA377F" w14:textId="77777777" w:rsidR="00D217DF" w:rsidRPr="00EA75E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</w:rPr>
            </w:pPr>
            <w:r w:rsidRPr="00EA75EE">
              <w:rPr>
                <w:rFonts w:ascii="Mulish" w:eastAsia="Times New Roman" w:hAnsi="Mulish" w:cs="Calibri"/>
                <w:b/>
                <w:bCs/>
              </w:rPr>
              <w:t>82,8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8FC18D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33,8%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0123D4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2</w:t>
            </w:r>
          </w:p>
        </w:tc>
      </w:tr>
      <w:tr w:rsidR="00D217DF" w:rsidRPr="00564D9C" w14:paraId="569154BF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933245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Mutua de Andalucía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FC63BF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46,7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8B78B1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53,8%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A20421" w14:textId="77777777" w:rsidR="00D217DF" w:rsidRPr="00EA75E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</w:rPr>
            </w:pPr>
            <w:r w:rsidRPr="00EA75EE">
              <w:rPr>
                <w:rFonts w:ascii="Mulish" w:eastAsia="Times New Roman" w:hAnsi="Mulish" w:cs="Calibri"/>
                <w:b/>
                <w:bCs/>
              </w:rPr>
              <w:t>78,4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853A0F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67,9%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1123A6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6</w:t>
            </w:r>
          </w:p>
        </w:tc>
      </w:tr>
      <w:tr w:rsidR="00D217DF" w:rsidRPr="00564D9C" w14:paraId="3513DEBC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6CFB21" w14:textId="5F373178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Gerencia de Infraestru</w:t>
            </w:r>
            <w:r w:rsidR="00CE711A">
              <w:rPr>
                <w:rFonts w:ascii="Mulish" w:eastAsia="Times New Roman" w:hAnsi="Mulish" w:cs="Calibri"/>
                <w:sz w:val="16"/>
                <w:szCs w:val="16"/>
              </w:rPr>
              <w:t>c</w:t>
            </w: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turas y Equipamientos de la Seguridad del Estado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EAEF5E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71,9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ED9C79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33,3%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98B80F" w14:textId="77777777" w:rsidR="00D217DF" w:rsidRPr="00EA75E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</w:rPr>
            </w:pPr>
            <w:r w:rsidRPr="00EA75EE">
              <w:rPr>
                <w:rFonts w:ascii="Mulish" w:eastAsia="Times New Roman" w:hAnsi="Mulish" w:cs="Calibri"/>
                <w:b/>
                <w:bCs/>
              </w:rPr>
              <w:t>76,7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D9D2B7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6,7%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75AA52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4</w:t>
            </w:r>
          </w:p>
        </w:tc>
      </w:tr>
      <w:tr w:rsidR="00D217DF" w:rsidRPr="00564D9C" w14:paraId="784C8DAF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54AF0F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Fundación Lázaro Galdiano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CCA759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53,6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3CAD18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33,3%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C92831" w14:textId="77777777" w:rsidR="00D217DF" w:rsidRPr="00EA75E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</w:rPr>
            </w:pPr>
            <w:r w:rsidRPr="00EA75EE">
              <w:rPr>
                <w:rFonts w:ascii="Mulish" w:eastAsia="Times New Roman" w:hAnsi="Mulish" w:cs="Calibri"/>
                <w:b/>
                <w:bCs/>
              </w:rPr>
              <w:t>72,4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17BBAB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35,1%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8736C2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4</w:t>
            </w:r>
          </w:p>
        </w:tc>
      </w:tr>
      <w:tr w:rsidR="00D217DF" w:rsidRPr="00564D9C" w14:paraId="7926CDE6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E47148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Instituto Nacional de Administración Pública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DA90A0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58,8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EB302D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27,3%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A41779" w14:textId="77777777" w:rsidR="00D217DF" w:rsidRPr="00EA75E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</w:rPr>
            </w:pPr>
            <w:r w:rsidRPr="00EA75EE">
              <w:rPr>
                <w:rFonts w:ascii="Mulish" w:eastAsia="Times New Roman" w:hAnsi="Mulish" w:cs="Calibri"/>
                <w:b/>
                <w:bCs/>
              </w:rPr>
              <w:t>71,8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2550BA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22,1%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96CC43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8</w:t>
            </w:r>
          </w:p>
        </w:tc>
      </w:tr>
      <w:tr w:rsidR="00D217DF" w:rsidRPr="00564D9C" w14:paraId="528166AF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B5ED29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Autoridad Portuaria Baleares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581A6E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70,1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FAD450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50,0%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AFDF8C" w14:textId="77777777" w:rsidR="00D217DF" w:rsidRPr="00EA75E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</w:rPr>
            </w:pPr>
            <w:r w:rsidRPr="00EA75EE">
              <w:rPr>
                <w:rFonts w:ascii="Mulish" w:eastAsia="Times New Roman" w:hAnsi="Mulish" w:cs="Calibri"/>
                <w:b/>
                <w:bCs/>
              </w:rPr>
              <w:t>71,7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1FD993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2,3%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EA9C77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4</w:t>
            </w:r>
          </w:p>
        </w:tc>
      </w:tr>
      <w:tr w:rsidR="00AC04DC" w:rsidRPr="00564D9C" w14:paraId="6724E6F6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494D1F2A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Consorcio Zona Franca Vigo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2EB17510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70,2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68E4A261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12,5%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26364C97" w14:textId="77777777" w:rsidR="00D217DF" w:rsidRPr="004D143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69,0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0C24FF2C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-1,7%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025DE4F3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7</w:t>
            </w:r>
          </w:p>
        </w:tc>
      </w:tr>
      <w:tr w:rsidR="00D217DF" w:rsidRPr="00564D9C" w14:paraId="19E38897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BD5D6A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MERCASA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B56128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61,1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5D1778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28,6%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5A2B8F" w14:textId="77777777" w:rsidR="00D217DF" w:rsidRPr="004D143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67,8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460C68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11,0%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56A422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5</w:t>
            </w:r>
          </w:p>
        </w:tc>
      </w:tr>
      <w:tr w:rsidR="00D217DF" w:rsidRPr="00564D9C" w14:paraId="0378EBF8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FBD355" w14:textId="70A51876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lastRenderedPageBreak/>
              <w:t>Centro de Investigación Bioméd</w:t>
            </w:r>
            <w:r w:rsidR="00B1194B">
              <w:rPr>
                <w:rFonts w:ascii="Mulish" w:eastAsia="Times New Roman" w:hAnsi="Mulish" w:cs="Calibri"/>
                <w:sz w:val="16"/>
                <w:szCs w:val="16"/>
              </w:rPr>
              <w:t>i</w:t>
            </w: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ca en Red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E752D8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53,4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62290B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60,0%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CD7F83" w14:textId="77777777" w:rsidR="00D217DF" w:rsidRPr="004D143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67,0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A18960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25,5%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1FF7F9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6</w:t>
            </w:r>
          </w:p>
        </w:tc>
      </w:tr>
      <w:tr w:rsidR="00D217DF" w:rsidRPr="00564D9C" w14:paraId="5C108ECC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013AC5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Logroño Integración del Ferrocarril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3881D1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33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D8F822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75,0%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B3F596" w14:textId="77777777" w:rsidR="00D217DF" w:rsidRPr="004D143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65,2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E14F0A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97,6%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A1FA6A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4</w:t>
            </w:r>
          </w:p>
        </w:tc>
      </w:tr>
      <w:tr w:rsidR="00D217DF" w:rsidRPr="00564D9C" w14:paraId="279B8D7F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42FD3B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A.I. ABRA Industrial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F98118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15,3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DA6C8F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78,9%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837793" w14:textId="77777777" w:rsidR="00D217DF" w:rsidRPr="004D143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64,7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8F2322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322,9%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43BC4D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4</w:t>
            </w:r>
          </w:p>
        </w:tc>
      </w:tr>
      <w:tr w:rsidR="00D217DF" w:rsidRPr="00564D9C" w14:paraId="0131D495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900B78" w14:textId="414305D6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Organización Nacional de Trasplantes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14B543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57,4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7AADCB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16,7%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6A3883" w14:textId="77777777" w:rsidR="00D217DF" w:rsidRPr="004D143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64,4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06C57E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12,2%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D34CAF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10</w:t>
            </w:r>
          </w:p>
        </w:tc>
      </w:tr>
      <w:tr w:rsidR="00D217DF" w:rsidRPr="00564D9C" w14:paraId="5D5A9FF0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B5071B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Fundación UIMP Campo de Gibraltar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DE92BF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20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B052AD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66,7%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606D8D" w14:textId="77777777" w:rsidR="00D217DF" w:rsidRPr="004D143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63,3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575E44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216,5%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C81856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6</w:t>
            </w:r>
          </w:p>
        </w:tc>
      </w:tr>
      <w:tr w:rsidR="00D217DF" w:rsidRPr="00564D9C" w14:paraId="135A120A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78B6AE66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Comisionado para el Mercado de Tabacos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134D74B2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67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1D828B09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12,5%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341C9EDA" w14:textId="77777777" w:rsidR="00D217DF" w:rsidRPr="004D143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62,6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4906EF15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-6,6%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2A0EC2F6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7</w:t>
            </w:r>
          </w:p>
        </w:tc>
      </w:tr>
      <w:tr w:rsidR="00AC04DC" w:rsidRPr="00564D9C" w14:paraId="54F1DDD0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0172C5BB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SECEGSA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2B183DF9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73,5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5C0E4549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2A84DFF8" w14:textId="77777777" w:rsidR="00D217DF" w:rsidRPr="004D143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60,8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4690F22D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-17,3%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41A79452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3</w:t>
            </w:r>
          </w:p>
        </w:tc>
      </w:tr>
      <w:tr w:rsidR="00D217DF" w:rsidRPr="00564D9C" w14:paraId="28BD5FD7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D74E1A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Confederación Hidrográfica Ebro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DC179C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51,8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827F2F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18,8%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55FACD" w14:textId="77777777" w:rsidR="00D217DF" w:rsidRPr="004D143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59,5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83644F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14,9%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AC22BC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13</w:t>
            </w:r>
          </w:p>
        </w:tc>
      </w:tr>
      <w:tr w:rsidR="00D217DF" w:rsidRPr="00564D9C" w14:paraId="22652996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1270E8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proofErr w:type="spellStart"/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Vipar</w:t>
            </w:r>
            <w:proofErr w:type="spellEnd"/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 xml:space="preserve"> Parque Empresarial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8237CA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16,1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A33378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66,7%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FA82CB" w14:textId="77777777" w:rsidR="00D217DF" w:rsidRPr="004D143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53,4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789DC8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231,7%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49DB0B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6</w:t>
            </w:r>
          </w:p>
        </w:tc>
      </w:tr>
      <w:tr w:rsidR="00D217DF" w:rsidRPr="00564D9C" w14:paraId="3CF6E4B6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F92B3F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Casa América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FCDBDC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50,4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8B8E2B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6,7%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D9DC36" w14:textId="77777777" w:rsidR="00D217DF" w:rsidRPr="004D143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52,0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E20697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3,2%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23BC2C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14</w:t>
            </w:r>
          </w:p>
        </w:tc>
      </w:tr>
      <w:tr w:rsidR="00D217DF" w:rsidRPr="00564D9C" w14:paraId="5632F043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B0F65A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INNVIERTE Economía Sostenible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E7CB8A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34,2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7835BD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27,3%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B26DE1" w14:textId="77777777" w:rsidR="00D217DF" w:rsidRPr="004D143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2DF886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46,2%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A417D3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8</w:t>
            </w:r>
          </w:p>
        </w:tc>
      </w:tr>
      <w:tr w:rsidR="00D217DF" w:rsidRPr="00564D9C" w14:paraId="28393A1C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7B3828DB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Agencia Española de Cooperación Internacional para el Desarrollo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348456B1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60,7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53FE84F7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25,0%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663FC834" w14:textId="77777777" w:rsidR="00D217DF" w:rsidRPr="004D143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48,5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37F04FE1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-20,1%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19352E2D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9</w:t>
            </w:r>
          </w:p>
        </w:tc>
      </w:tr>
      <w:tr w:rsidR="00D217DF" w:rsidRPr="00564D9C" w14:paraId="09611FB2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6FBC5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Autoridad Portuaria Ferrol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585DE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47,9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D4C33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13,3%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0FCFE" w14:textId="77777777" w:rsidR="00D217DF" w:rsidRPr="004D143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47,8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68C84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-0,2%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981B1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13</w:t>
            </w:r>
          </w:p>
        </w:tc>
      </w:tr>
      <w:tr w:rsidR="00D217DF" w:rsidRPr="00564D9C" w14:paraId="3D6FA2CC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09B293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Centro Nacional del Hidrógeno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14931D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43,4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5C6D9F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44,4%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E61513" w14:textId="77777777" w:rsidR="00D217DF" w:rsidRPr="004D143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47,6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C3491B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9,7%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D84F87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10</w:t>
            </w:r>
          </w:p>
        </w:tc>
      </w:tr>
      <w:tr w:rsidR="00D217DF" w:rsidRPr="00564D9C" w14:paraId="064AA201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C531CA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Fundación Centro Nacional del Vidrio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140FBC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31,3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AC9B28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28,6%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C90AC0" w14:textId="77777777" w:rsidR="00D217DF" w:rsidRPr="004D143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47,0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AE2A95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50,2%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A4973C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10</w:t>
            </w:r>
          </w:p>
        </w:tc>
      </w:tr>
      <w:tr w:rsidR="00D217DF" w:rsidRPr="00564D9C" w14:paraId="46BCE42A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35C598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Confederación Hidrográfica Segura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EA5221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44,7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5D83D8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97D6B9" w14:textId="77777777" w:rsidR="00D217DF" w:rsidRPr="004D143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45,2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156E90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1,1%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3F9826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17</w:t>
            </w:r>
          </w:p>
        </w:tc>
      </w:tr>
      <w:tr w:rsidR="00D217DF" w:rsidRPr="00564D9C" w14:paraId="62F40DB8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89EA8F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Patrimonio Nacional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F85ED7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41,8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5B57B7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23,5%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40D9C0" w14:textId="77777777" w:rsidR="00D217DF" w:rsidRPr="004D143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44,8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EE8586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7,2%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85394E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13</w:t>
            </w:r>
          </w:p>
        </w:tc>
      </w:tr>
      <w:tr w:rsidR="00D217DF" w:rsidRPr="00564D9C" w14:paraId="1E8E6DDA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47BF4860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EMGRISA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1048605F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69,9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43A5D9A7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4C9BBDE6" w14:textId="77777777" w:rsidR="00D217DF" w:rsidRPr="004D143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43,6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0DD0FF6B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-37,6%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25E35DB3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6</w:t>
            </w:r>
          </w:p>
        </w:tc>
      </w:tr>
      <w:tr w:rsidR="00D217DF" w:rsidRPr="00564D9C" w14:paraId="6F7213FE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190528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Autoridad Portuaria Almería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E7BBE1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37,8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1F733D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11,1%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94D676" w14:textId="77777777" w:rsidR="00D217DF" w:rsidRPr="004D143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42,1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F42489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11,4%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2A9A67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16</w:t>
            </w:r>
          </w:p>
        </w:tc>
      </w:tr>
      <w:tr w:rsidR="00D217DF" w:rsidRPr="00564D9C" w14:paraId="532E0439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75E86B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Biblioteca Nacional de España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620F22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35,5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EB8961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15,8%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023C29" w14:textId="77777777" w:rsidR="00D217DF" w:rsidRPr="004D143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41,4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CAB65A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16,6%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C28325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16</w:t>
            </w:r>
          </w:p>
        </w:tc>
      </w:tr>
      <w:tr w:rsidR="00D217DF" w:rsidRPr="00564D9C" w14:paraId="1E0DB12A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64DA1F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Museo Nacional Centro de Arte Reina Sofía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10A1D0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38,8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1C9E81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5,3%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F96A98" w14:textId="77777777" w:rsidR="00D217DF" w:rsidRPr="004D143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40,8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7B17BE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5,2%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4ABBA7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18</w:t>
            </w:r>
          </w:p>
        </w:tc>
      </w:tr>
      <w:tr w:rsidR="00D217DF" w:rsidRPr="00564D9C" w14:paraId="674EBF36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525447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UNED Vitoria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77EE3B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34,4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FAF705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30,0%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E34D64" w14:textId="77777777" w:rsidR="00D217DF" w:rsidRPr="004D143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40,2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1CAF3F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16,9%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7BED64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14</w:t>
            </w:r>
          </w:p>
        </w:tc>
      </w:tr>
      <w:tr w:rsidR="00D217DF" w:rsidRPr="00564D9C" w14:paraId="2FB6D235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530A6910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REDALSA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516D719D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44,4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6EAC75F7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69366E14" w14:textId="77777777" w:rsidR="00D217DF" w:rsidRPr="004D143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38,9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6829DE17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-12,4%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2939F69E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12</w:t>
            </w:r>
          </w:p>
        </w:tc>
      </w:tr>
      <w:tr w:rsidR="00D217DF" w:rsidRPr="00564D9C" w14:paraId="1EA13BF2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13AB07AF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Sistema de Observación Costero de las Illes Balears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2352828B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40,4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2F66CA4A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5,6%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156B50C7" w14:textId="77777777" w:rsidR="00D217DF" w:rsidRPr="004D143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37,0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5106983E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-8,4%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050B53F9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17</w:t>
            </w:r>
          </w:p>
        </w:tc>
      </w:tr>
      <w:tr w:rsidR="00D217DF" w:rsidRPr="00564D9C" w14:paraId="66CEC98E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2A856724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lastRenderedPageBreak/>
              <w:t>Real Patronato para la Discapacidad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5AD29AB5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47,8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5C85E84B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182D7D95" w14:textId="77777777" w:rsidR="00D217DF" w:rsidRPr="004D143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36,5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24378C08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-23,6%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0203CCA7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16</w:t>
            </w:r>
          </w:p>
        </w:tc>
      </w:tr>
      <w:tr w:rsidR="00D217DF" w:rsidRPr="00564D9C" w14:paraId="2CD8CA82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1730D8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Autoridad Portuaria Santander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B99A4B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29,3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61288F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9,5%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5DAC58" w14:textId="77777777" w:rsidR="00D217DF" w:rsidRPr="004D143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36,0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A9A73A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22,9%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812E45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19</w:t>
            </w:r>
          </w:p>
        </w:tc>
      </w:tr>
      <w:tr w:rsidR="00D217DF" w:rsidRPr="00564D9C" w14:paraId="72C7B494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13DDB4F8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Museo Nacional del Prado Difusión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3B745C78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43,6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7A0C4148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43315141" w14:textId="77777777" w:rsidR="00D217DF" w:rsidRPr="004D143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35,4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56070C3E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-18,8%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676D9A5C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14</w:t>
            </w:r>
          </w:p>
        </w:tc>
      </w:tr>
      <w:tr w:rsidR="00D217DF" w:rsidRPr="00564D9C" w14:paraId="4E184A21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6786F3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Autoridad Portuaria Marín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B11BC8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31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8372BE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4,3%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D5A783" w14:textId="77777777" w:rsidR="00D217DF" w:rsidRPr="004D143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33,8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8800D0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9,0%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941C8D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22</w:t>
            </w:r>
          </w:p>
        </w:tc>
      </w:tr>
      <w:tr w:rsidR="00D217DF" w:rsidRPr="00564D9C" w14:paraId="01B631E4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14E0A60A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Hipódromo de la Zarzuela SA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094E7D24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53,8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232387B3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2519ABA8" w14:textId="77777777" w:rsidR="00D217DF" w:rsidRPr="004D143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32,5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64DB0666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-39,6%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41916400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10</w:t>
            </w:r>
          </w:p>
        </w:tc>
      </w:tr>
      <w:tr w:rsidR="00D217DF" w:rsidRPr="00564D9C" w14:paraId="58B80952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45A49BCB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Renfe operadora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56F99BC8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36,2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40DA1AC1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5,6%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0A412274" w14:textId="77777777" w:rsidR="00D217DF" w:rsidRPr="004D143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32,4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7FD3626D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-10,5%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6B73E8D4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17</w:t>
            </w:r>
          </w:p>
        </w:tc>
      </w:tr>
      <w:tr w:rsidR="00D217DF" w:rsidRPr="00564D9C" w14:paraId="404F7B5B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4A75D1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Consorcio Zona Franca Gran Canaria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96A365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22,4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075D0B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11,1%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893282" w14:textId="77777777" w:rsidR="00D217DF" w:rsidRPr="004D143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28,8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6371F4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28,6%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17777C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24</w:t>
            </w:r>
          </w:p>
        </w:tc>
      </w:tr>
      <w:tr w:rsidR="00D217DF" w:rsidRPr="00564D9C" w14:paraId="49EC8490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443C2B73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Fundación Teatro Real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535BA900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35,7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7E6F571D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106DE5E1" w14:textId="77777777" w:rsidR="00D217DF" w:rsidRPr="004D143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27,9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6318A368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-21,8%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4341AF3D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18</w:t>
            </w:r>
          </w:p>
        </w:tc>
      </w:tr>
      <w:tr w:rsidR="00D217DF" w:rsidRPr="00564D9C" w14:paraId="2D363AEF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11A65425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Trabajo Penitenciario y Formación para el Empleo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34F6BC06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28,4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78980EF0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7C820871" w14:textId="77777777" w:rsidR="00D217DF" w:rsidRPr="004D143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23,8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238ACF9D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-16,2%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1F4B778E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23</w:t>
            </w:r>
          </w:p>
        </w:tc>
      </w:tr>
      <w:tr w:rsidR="00D217DF" w:rsidRPr="00564D9C" w14:paraId="5921BDFE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147FAD15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Centro de Estudios Jurídicos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011FB255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33,7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38092718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522D90BF" w14:textId="77777777" w:rsidR="00D217DF" w:rsidRPr="004D143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23,1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3916CA33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-31,5%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DF4" w:themeFill="accent4" w:themeFillTint="1A"/>
            <w:noWrap/>
            <w:hideMark/>
          </w:tcPr>
          <w:p w14:paraId="3A57E610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19</w:t>
            </w:r>
          </w:p>
        </w:tc>
      </w:tr>
      <w:tr w:rsidR="00D217DF" w:rsidRPr="00564D9C" w14:paraId="662CB861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828C5E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Agencia de Información y Control Alimentarios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4FDCD8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15,5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D83D7C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3,8%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BB90FE" w14:textId="77777777" w:rsidR="00D217DF" w:rsidRPr="004D143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B63D09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16,1%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50572A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25</w:t>
            </w:r>
          </w:p>
        </w:tc>
      </w:tr>
      <w:tr w:rsidR="00D217DF" w:rsidRPr="00564D9C" w14:paraId="65151360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AA3E13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SERVIPORT Andalucía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1C3AC5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15,1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073F33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108B1A" w14:textId="77777777" w:rsidR="00D217DF" w:rsidRPr="004D143E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15,7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B53CCA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4,0%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E9CAC7" w14:textId="77777777" w:rsidR="00D217DF" w:rsidRPr="004F6BC7" w:rsidRDefault="00D217DF" w:rsidP="00D217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18</w:t>
            </w:r>
          </w:p>
        </w:tc>
      </w:tr>
      <w:tr w:rsidR="00D217DF" w:rsidRPr="00564D9C" w14:paraId="33F3D40E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9536F8" w14:textId="77777777" w:rsidR="00D217DF" w:rsidRPr="005B08E3" w:rsidRDefault="00D217DF" w:rsidP="00D217DF">
            <w:pPr>
              <w:rPr>
                <w:rFonts w:ascii="Mulish" w:eastAsia="Times New Roman" w:hAnsi="Mulish" w:cs="Calibri"/>
                <w:bCs w:val="0"/>
                <w:sz w:val="16"/>
                <w:szCs w:val="16"/>
              </w:rPr>
            </w:pPr>
            <w:r w:rsidRPr="007E7EF7">
              <w:rPr>
                <w:rFonts w:ascii="Mulish" w:eastAsia="Times New Roman" w:hAnsi="Mulish" w:cs="Calibri"/>
                <w:sz w:val="16"/>
                <w:szCs w:val="16"/>
              </w:rPr>
              <w:t>Instituto Nacional de Investigaciones Agrarias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6AB3EB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11,7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850088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3,6%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724A27" w14:textId="77777777" w:rsidR="00D217DF" w:rsidRPr="004D143E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13,3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93B7D2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13,7%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FFE4A8" w14:textId="77777777" w:rsidR="00D217DF" w:rsidRPr="004F6BC7" w:rsidRDefault="00D217DF" w:rsidP="00D217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4F6BC7">
              <w:rPr>
                <w:rFonts w:ascii="Mulish" w:eastAsia="Times New Roman" w:hAnsi="Mulish" w:cs="Calibri"/>
                <w:sz w:val="16"/>
                <w:szCs w:val="16"/>
              </w:rPr>
              <w:t>27</w:t>
            </w:r>
          </w:p>
        </w:tc>
      </w:tr>
      <w:bookmarkEnd w:id="4"/>
    </w:tbl>
    <w:p w14:paraId="51EFEAEB" w14:textId="5345AC15" w:rsidR="00D10A0B" w:rsidRDefault="00D10A0B" w:rsidP="006674A1">
      <w:pPr>
        <w:spacing w:after="0"/>
        <w:jc w:val="both"/>
        <w:rPr>
          <w:rFonts w:ascii="Mulish" w:eastAsia="Mulish" w:hAnsi="Mulish" w:cs="Mulish"/>
          <w:color w:val="0C0C0C" w:themeColor="text1"/>
          <w:sz w:val="20"/>
          <w:szCs w:val="20"/>
          <w:lang w:eastAsia="es-ES" w:bidi="es-ES"/>
        </w:rPr>
      </w:pPr>
    </w:p>
    <w:tbl>
      <w:tblPr>
        <w:tblStyle w:val="Tablaconcuadrcula4-nfasis2"/>
        <w:tblW w:w="10060" w:type="dxa"/>
        <w:tblLook w:val="04A0" w:firstRow="1" w:lastRow="0" w:firstColumn="1" w:lastColumn="0" w:noHBand="0" w:noVBand="1"/>
      </w:tblPr>
      <w:tblGrid>
        <w:gridCol w:w="2143"/>
        <w:gridCol w:w="1342"/>
        <w:gridCol w:w="2000"/>
        <w:gridCol w:w="1342"/>
        <w:gridCol w:w="1342"/>
        <w:gridCol w:w="1891"/>
      </w:tblGrid>
      <w:tr w:rsidR="003A7609" w:rsidRPr="00F930C3" w14:paraId="5BCA0BA3" w14:textId="77777777" w:rsidTr="005B0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4" w:space="0" w:color="auto"/>
            </w:tcBorders>
            <w:noWrap/>
            <w:hideMark/>
          </w:tcPr>
          <w:p w14:paraId="6122C9DA" w14:textId="545C9130" w:rsidR="004F6BC7" w:rsidRPr="003A7609" w:rsidRDefault="003A7609" w:rsidP="00E26186">
            <w:pPr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 xml:space="preserve">ENTIDADES PRIVADAS 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noWrap/>
            <w:hideMark/>
          </w:tcPr>
          <w:p w14:paraId="0C59E4D2" w14:textId="77777777" w:rsidR="004F6BC7" w:rsidRDefault="004F6BC7" w:rsidP="00E26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 w:val="0"/>
                <w:bCs w:val="0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ICIO 2ª evaluación</w:t>
            </w:r>
          </w:p>
          <w:p w14:paraId="0EA6AAA2" w14:textId="7C4A58C9" w:rsidR="00B606D6" w:rsidRPr="003A7609" w:rsidRDefault="00B606D6" w:rsidP="00E26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</w:rPr>
              <w:t>(2024)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noWrap/>
            <w:hideMark/>
          </w:tcPr>
          <w:p w14:paraId="2AECB4B0" w14:textId="77777777" w:rsidR="004F6BC7" w:rsidRPr="003A7609" w:rsidRDefault="004F6BC7" w:rsidP="00E26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Proporción de recomendaciones aplicadas derivadas de la segunda evaluación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noWrap/>
            <w:hideMark/>
          </w:tcPr>
          <w:p w14:paraId="022F31C4" w14:textId="77777777" w:rsidR="004F6BC7" w:rsidRDefault="004F6BC7" w:rsidP="00E26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 w:val="0"/>
                <w:bCs w:val="0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ICIO 3ª evaluación</w:t>
            </w:r>
          </w:p>
          <w:p w14:paraId="55DC8161" w14:textId="73E85319" w:rsidR="00B606D6" w:rsidRPr="003A7609" w:rsidRDefault="00B606D6" w:rsidP="00E26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</w:rPr>
              <w:t>(2025)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noWrap/>
            <w:hideMark/>
          </w:tcPr>
          <w:p w14:paraId="075C3DFC" w14:textId="77777777" w:rsidR="004F6BC7" w:rsidRPr="003A7609" w:rsidRDefault="004F6BC7" w:rsidP="00E261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Diferencia ICIO entre la tercera y la segunda evaluación (%)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noWrap/>
            <w:hideMark/>
          </w:tcPr>
          <w:p w14:paraId="78C2948E" w14:textId="77777777" w:rsidR="004F6BC7" w:rsidRPr="003A7609" w:rsidRDefault="004F6BC7" w:rsidP="00E26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Incumplimientos subsistentes tras 3 evaluaciones de cumplimiento</w:t>
            </w:r>
          </w:p>
        </w:tc>
      </w:tr>
      <w:tr w:rsidR="003A7609" w:rsidRPr="00F930C3" w14:paraId="6268318F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5663" w14:textId="77777777" w:rsidR="004F6BC7" w:rsidRPr="003A7609" w:rsidRDefault="004F6BC7" w:rsidP="00E26186">
            <w:pPr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Fundación Márgenes y Vínculos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7FC90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69,2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1009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80,0%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0D627" w14:textId="77777777" w:rsidR="004F6BC7" w:rsidRPr="004D143E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79,4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6870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14,7%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77B76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1</w:t>
            </w:r>
          </w:p>
        </w:tc>
      </w:tr>
      <w:tr w:rsidR="004F6BC7" w:rsidRPr="00F930C3" w14:paraId="6228368F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23708" w14:textId="77777777" w:rsidR="004F6BC7" w:rsidRPr="003A7609" w:rsidRDefault="004F6BC7" w:rsidP="00E26186">
            <w:pPr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Fundación Ayuda en Acción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FFF4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69,6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90983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EA037" w14:textId="77777777" w:rsidR="004F6BC7" w:rsidRPr="004D143E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76,1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5053F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9,3%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6FC42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3</w:t>
            </w:r>
          </w:p>
        </w:tc>
      </w:tr>
      <w:tr w:rsidR="003A7609" w:rsidRPr="00F930C3" w14:paraId="5CC92150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1E9D6" w14:textId="77777777" w:rsidR="004F6BC7" w:rsidRPr="003A7609" w:rsidRDefault="004F6BC7" w:rsidP="00E26186">
            <w:pPr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Federación Española de Taekwondo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48113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25,3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87093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40,0%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37380" w14:textId="77777777" w:rsidR="004F6BC7" w:rsidRPr="004D143E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74,6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29C89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194,9%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C25F6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3</w:t>
            </w:r>
          </w:p>
        </w:tc>
      </w:tr>
      <w:tr w:rsidR="004F6BC7" w:rsidRPr="00F930C3" w14:paraId="27B6AFD4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FD6D3" w14:textId="77777777" w:rsidR="004F6BC7" w:rsidRPr="003A7609" w:rsidRDefault="004F6BC7" w:rsidP="00E26186">
            <w:pPr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Confederación Española de Organizaciones Empresariales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1318C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71,9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699FB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E0F06" w14:textId="77777777" w:rsidR="004F6BC7" w:rsidRPr="004D143E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71,9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0EAE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6F737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6</w:t>
            </w:r>
          </w:p>
        </w:tc>
      </w:tr>
      <w:tr w:rsidR="003A7609" w:rsidRPr="00F930C3" w14:paraId="2468B37E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4305C" w14:textId="77777777" w:rsidR="004F6BC7" w:rsidRPr="003A7609" w:rsidRDefault="004F6BC7" w:rsidP="00E26186">
            <w:pPr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ACERINOX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FF2D1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52,7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31B03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008D2" w14:textId="77777777" w:rsidR="004F6BC7" w:rsidRPr="004D143E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63,7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F4C1C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20,9%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7B6B2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6</w:t>
            </w:r>
          </w:p>
        </w:tc>
      </w:tr>
      <w:tr w:rsidR="004F6BC7" w:rsidRPr="00F930C3" w14:paraId="2A1D53C4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AA0BE" w14:textId="77777777" w:rsidR="004F6BC7" w:rsidRPr="003A7609" w:rsidRDefault="004F6BC7" w:rsidP="00E26186">
            <w:pPr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Telefónica de España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58D2A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55,5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54C90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71505" w14:textId="77777777" w:rsidR="004F6BC7" w:rsidRPr="004D143E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E1917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13,5%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54AA3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7</w:t>
            </w:r>
          </w:p>
        </w:tc>
      </w:tr>
      <w:tr w:rsidR="003A7609" w:rsidRPr="00F930C3" w14:paraId="2EFE83D3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3461E" w14:textId="77777777" w:rsidR="004F6BC7" w:rsidRPr="003A7609" w:rsidRDefault="004F6BC7" w:rsidP="00E26186">
            <w:pPr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Federación de Entidades Religiosas Evangélicas de España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5C46A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71,7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CF658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34DA8" w14:textId="77777777" w:rsidR="004F6BC7" w:rsidRPr="004D143E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61,3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70F01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-14,5%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785A2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3</w:t>
            </w:r>
          </w:p>
        </w:tc>
      </w:tr>
      <w:tr w:rsidR="004F6BC7" w:rsidRPr="00F930C3" w14:paraId="66D76EAF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405AC" w14:textId="77777777" w:rsidR="004F6BC7" w:rsidRPr="003A7609" w:rsidRDefault="004F6BC7" w:rsidP="00E26186">
            <w:pPr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TÉCNICAS REUNIDAS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9764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56,6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E8D34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BCE5F" w14:textId="77777777" w:rsidR="004F6BC7" w:rsidRPr="004D143E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56,6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8DB1E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AE81C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6</w:t>
            </w:r>
          </w:p>
        </w:tc>
      </w:tr>
      <w:tr w:rsidR="003A7609" w:rsidRPr="00F930C3" w14:paraId="7FB6B9F2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E1ACB" w14:textId="77777777" w:rsidR="004F6BC7" w:rsidRPr="003A7609" w:rsidRDefault="004F6BC7" w:rsidP="00E26186">
            <w:pPr>
              <w:rPr>
                <w:rFonts w:ascii="Mulish" w:eastAsia="Times New Roman" w:hAnsi="Mulish" w:cs="Calibri"/>
                <w:sz w:val="16"/>
                <w:szCs w:val="16"/>
              </w:rPr>
            </w:pPr>
            <w:proofErr w:type="spellStart"/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Ferroglobe</w:t>
            </w:r>
            <w:proofErr w:type="spellEnd"/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6DB2E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34,1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329E2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30,0%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AA974" w14:textId="77777777" w:rsidR="004F6BC7" w:rsidRPr="004D143E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52,5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A5C7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54,0%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8695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7</w:t>
            </w:r>
          </w:p>
        </w:tc>
      </w:tr>
      <w:tr w:rsidR="004F6BC7" w:rsidRPr="00F930C3" w14:paraId="1678F20B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8857B" w14:textId="77777777" w:rsidR="004F6BC7" w:rsidRPr="003A7609" w:rsidRDefault="004F6BC7" w:rsidP="00E26186">
            <w:pPr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lastRenderedPageBreak/>
              <w:t>Asociación Empresarial de Acuicultura de España (APROMAR)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5903C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24,5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B0B63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54,5%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BAA4" w14:textId="77777777" w:rsidR="004F6BC7" w:rsidRPr="004D143E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47,2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52913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92,7%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5B5B6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5</w:t>
            </w:r>
          </w:p>
        </w:tc>
      </w:tr>
      <w:tr w:rsidR="003A7609" w:rsidRPr="00F930C3" w14:paraId="10BC3EF9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A4B31" w14:textId="77777777" w:rsidR="004F6BC7" w:rsidRPr="003A7609" w:rsidRDefault="004F6BC7" w:rsidP="00E26186">
            <w:pPr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AIR EUROPA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35D50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73,4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F769F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659DA" w14:textId="77777777" w:rsidR="004F6BC7" w:rsidRPr="004D143E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41,7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1BA7E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-43,2%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C3363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4</w:t>
            </w:r>
          </w:p>
        </w:tc>
      </w:tr>
      <w:tr w:rsidR="004F6BC7" w:rsidRPr="00F930C3" w14:paraId="28F6DF13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8A06A" w14:textId="77777777" w:rsidR="004F6BC7" w:rsidRPr="003A7609" w:rsidRDefault="004F6BC7" w:rsidP="00E26186">
            <w:pPr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MEGASA Siderúrgica, S.L.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EC0B3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6,6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363B9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46,2%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5A219" w14:textId="77777777" w:rsidR="004F6BC7" w:rsidRPr="004D143E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39,7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87684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501,5%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79333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7</w:t>
            </w:r>
          </w:p>
        </w:tc>
      </w:tr>
      <w:tr w:rsidR="003A7609" w:rsidRPr="00F930C3" w14:paraId="02D44295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A3B0" w14:textId="77777777" w:rsidR="004F6BC7" w:rsidRPr="003A7609" w:rsidRDefault="004F6BC7" w:rsidP="00E26186">
            <w:pPr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Fundación Naturaleza y Hombre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C4ADE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27,6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0D567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B771" w14:textId="77777777" w:rsidR="004F6BC7" w:rsidRPr="004D143E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27,6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560E4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2C173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11</w:t>
            </w:r>
          </w:p>
        </w:tc>
      </w:tr>
      <w:tr w:rsidR="004F6BC7" w:rsidRPr="00F930C3" w14:paraId="14E43D46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1" w:themeFill="accent2" w:themeFillTint="33"/>
            <w:noWrap/>
            <w:hideMark/>
          </w:tcPr>
          <w:p w14:paraId="240AED87" w14:textId="77777777" w:rsidR="004F6BC7" w:rsidRPr="003A7609" w:rsidRDefault="004F6BC7" w:rsidP="00E26186">
            <w:pPr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Universidad Camilo José Cela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1" w:themeFill="accent2" w:themeFillTint="33"/>
            <w:noWrap/>
            <w:hideMark/>
          </w:tcPr>
          <w:p w14:paraId="52470BA4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42,9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1" w:themeFill="accent2" w:themeFillTint="33"/>
            <w:noWrap/>
            <w:hideMark/>
          </w:tcPr>
          <w:p w14:paraId="0A967AE2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1" w:themeFill="accent2" w:themeFillTint="33"/>
            <w:noWrap/>
            <w:hideMark/>
          </w:tcPr>
          <w:p w14:paraId="49F4DD95" w14:textId="77777777" w:rsidR="004F6BC7" w:rsidRPr="004D143E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26,5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1" w:themeFill="accent2" w:themeFillTint="33"/>
            <w:noWrap/>
            <w:hideMark/>
          </w:tcPr>
          <w:p w14:paraId="51E580C8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-38,2%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1" w:themeFill="accent2" w:themeFillTint="33"/>
            <w:noWrap/>
            <w:hideMark/>
          </w:tcPr>
          <w:p w14:paraId="6C8A68D2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7</w:t>
            </w:r>
          </w:p>
        </w:tc>
      </w:tr>
      <w:tr w:rsidR="003A7609" w:rsidRPr="00F930C3" w14:paraId="51EE4E33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F5902" w14:textId="77777777" w:rsidR="004F6BC7" w:rsidRPr="003A7609" w:rsidRDefault="004F6BC7" w:rsidP="00E26186">
            <w:pPr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 xml:space="preserve">UBE </w:t>
            </w:r>
            <w:proofErr w:type="spellStart"/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Corporation</w:t>
            </w:r>
            <w:proofErr w:type="spellEnd"/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 xml:space="preserve"> </w:t>
            </w:r>
            <w:proofErr w:type="spellStart"/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Europe</w:t>
            </w:r>
            <w:proofErr w:type="spellEnd"/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66C81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24,5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D7558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B7AB4" w14:textId="77777777" w:rsidR="004F6BC7" w:rsidRPr="004D143E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24,5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EF4AC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D6DE8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10</w:t>
            </w:r>
          </w:p>
        </w:tc>
      </w:tr>
      <w:tr w:rsidR="004F6BC7" w:rsidRPr="00F930C3" w14:paraId="6AD95043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ACA1A" w14:textId="77777777" w:rsidR="004F6BC7" w:rsidRPr="003A7609" w:rsidRDefault="004F6BC7" w:rsidP="00E26186">
            <w:pPr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 xml:space="preserve">Sidenor </w:t>
            </w:r>
            <w:proofErr w:type="spellStart"/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Forgings&amp;Castings</w:t>
            </w:r>
            <w:proofErr w:type="spellEnd"/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 xml:space="preserve"> 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81D89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20,9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205A8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FE5A9" w14:textId="77777777" w:rsidR="004F6BC7" w:rsidRPr="004D143E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21,4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A3FE4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2,4%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1C9D9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11</w:t>
            </w:r>
          </w:p>
        </w:tc>
      </w:tr>
      <w:tr w:rsidR="003A7609" w:rsidRPr="00F930C3" w14:paraId="6D11BE56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910A7" w14:textId="77777777" w:rsidR="004F6BC7" w:rsidRPr="003A7609" w:rsidRDefault="004F6BC7" w:rsidP="00E26186">
            <w:pPr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 xml:space="preserve">SOFIDEL </w:t>
            </w:r>
            <w:proofErr w:type="spellStart"/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0A950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18,4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C4951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56770" w14:textId="77777777" w:rsidR="004F6BC7" w:rsidRPr="004D143E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18,4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E2AAD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7F369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11</w:t>
            </w:r>
          </w:p>
        </w:tc>
      </w:tr>
      <w:tr w:rsidR="004F6BC7" w:rsidRPr="00F930C3" w14:paraId="05F9CF41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FD61D" w14:textId="77777777" w:rsidR="004F6BC7" w:rsidRPr="003A7609" w:rsidRDefault="004F6BC7" w:rsidP="00E26186">
            <w:pPr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Barna Steel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5ED87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14,3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62977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17067" w14:textId="77777777" w:rsidR="004F6BC7" w:rsidRPr="004D143E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14,3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205C4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3533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14</w:t>
            </w:r>
          </w:p>
        </w:tc>
      </w:tr>
      <w:tr w:rsidR="003A7609" w:rsidRPr="00F930C3" w14:paraId="3DBC7FB5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AF67" w14:textId="77777777" w:rsidR="004F6BC7" w:rsidRPr="003A7609" w:rsidRDefault="004F6BC7" w:rsidP="00E26186">
            <w:pPr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Federación Católica Española de Servicios a la Juventud Femenina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E47F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12,2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BD36C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AB6AA" w14:textId="77777777" w:rsidR="004F6BC7" w:rsidRPr="004D143E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12,2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E8F45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B190A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14</w:t>
            </w:r>
          </w:p>
        </w:tc>
      </w:tr>
      <w:tr w:rsidR="004F6BC7" w:rsidRPr="00F930C3" w14:paraId="1926B0CD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C0BF6" w14:textId="77777777" w:rsidR="004F6BC7" w:rsidRPr="003A7609" w:rsidRDefault="004F6BC7" w:rsidP="00E26186">
            <w:pPr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ADAMO Telecom Iberia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A19A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6,6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B647D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AFD8E" w14:textId="77777777" w:rsidR="004F6BC7" w:rsidRPr="004D143E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6,6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E0AE0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4087E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13</w:t>
            </w:r>
          </w:p>
        </w:tc>
      </w:tr>
      <w:tr w:rsidR="003A7609" w:rsidRPr="00F930C3" w14:paraId="49C3316D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97904" w14:textId="77777777" w:rsidR="004F6BC7" w:rsidRPr="003A7609" w:rsidRDefault="004F6BC7" w:rsidP="00E26186">
            <w:pPr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SAMPOL Ingeniería y obras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498C6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6,6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5A364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2DC3" w14:textId="77777777" w:rsidR="004F6BC7" w:rsidRPr="004D143E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6,6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A6430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50D2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13</w:t>
            </w:r>
          </w:p>
        </w:tc>
      </w:tr>
      <w:tr w:rsidR="004F6BC7" w:rsidRPr="00F930C3" w14:paraId="6438C2FC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1" w:themeFill="accent2" w:themeFillTint="33"/>
            <w:noWrap/>
            <w:hideMark/>
          </w:tcPr>
          <w:p w14:paraId="604BF1B8" w14:textId="77777777" w:rsidR="004F6BC7" w:rsidRPr="003A7609" w:rsidRDefault="004F6BC7" w:rsidP="00E26186">
            <w:pPr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Industrias de Tecnologías Aplicadas de Refrigeración y Conservación, SL (INTARCON)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1" w:themeFill="accent2" w:themeFillTint="33"/>
            <w:noWrap/>
            <w:hideMark/>
          </w:tcPr>
          <w:p w14:paraId="5C8518DA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14,3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1" w:themeFill="accent2" w:themeFillTint="33"/>
            <w:noWrap/>
            <w:hideMark/>
          </w:tcPr>
          <w:p w14:paraId="79174A71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1" w:themeFill="accent2" w:themeFillTint="33"/>
            <w:noWrap/>
            <w:hideMark/>
          </w:tcPr>
          <w:p w14:paraId="0D8FDCCC" w14:textId="77777777" w:rsidR="004F6BC7" w:rsidRPr="004D143E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6,6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1" w:themeFill="accent2" w:themeFillTint="33"/>
            <w:noWrap/>
            <w:hideMark/>
          </w:tcPr>
          <w:p w14:paraId="63162871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-53,8%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1" w:themeFill="accent2" w:themeFillTint="33"/>
            <w:noWrap/>
            <w:hideMark/>
          </w:tcPr>
          <w:p w14:paraId="641A68F1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12</w:t>
            </w:r>
          </w:p>
        </w:tc>
      </w:tr>
      <w:tr w:rsidR="003A7609" w:rsidRPr="00F930C3" w14:paraId="65390049" w14:textId="77777777" w:rsidTr="005B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D2ACA" w14:textId="77777777" w:rsidR="004F6BC7" w:rsidRPr="003A7609" w:rsidRDefault="004F6BC7" w:rsidP="00E26186">
            <w:pPr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Asociación Productores Mejillón de Galicia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F8124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6,6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A225D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50CED" w14:textId="77777777" w:rsidR="004F6BC7" w:rsidRPr="004D143E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6,6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D89FB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350A1" w14:textId="77777777" w:rsidR="004F6BC7" w:rsidRPr="003A7609" w:rsidRDefault="004F6BC7" w:rsidP="00E261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14</w:t>
            </w:r>
          </w:p>
        </w:tc>
      </w:tr>
      <w:tr w:rsidR="004F6BC7" w:rsidRPr="00F930C3" w14:paraId="15996E9B" w14:textId="77777777" w:rsidTr="005B0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1" w:themeFill="accent2" w:themeFillTint="33"/>
            <w:noWrap/>
            <w:hideMark/>
          </w:tcPr>
          <w:p w14:paraId="56CCDB84" w14:textId="77777777" w:rsidR="004F6BC7" w:rsidRPr="003A7609" w:rsidRDefault="004F6BC7" w:rsidP="00E26186">
            <w:pPr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Smurfit Kappa Nervión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1" w:themeFill="accent2" w:themeFillTint="33"/>
            <w:noWrap/>
            <w:hideMark/>
          </w:tcPr>
          <w:p w14:paraId="0C0E3F7B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27,5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1" w:themeFill="accent2" w:themeFillTint="33"/>
            <w:noWrap/>
            <w:hideMark/>
          </w:tcPr>
          <w:p w14:paraId="19A61413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0,0%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1" w:themeFill="accent2" w:themeFillTint="33"/>
            <w:noWrap/>
            <w:hideMark/>
          </w:tcPr>
          <w:p w14:paraId="135CCDD5" w14:textId="77777777" w:rsidR="004F6BC7" w:rsidRPr="004D143E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</w:pPr>
            <w:r w:rsidRPr="004D143E">
              <w:rPr>
                <w:rFonts w:ascii="Mulish" w:eastAsia="Times New Roman" w:hAnsi="Mulish" w:cs="Calibri"/>
                <w:b/>
                <w:bCs/>
                <w:sz w:val="20"/>
                <w:szCs w:val="20"/>
              </w:rPr>
              <w:t>6,6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1" w:themeFill="accent2" w:themeFillTint="33"/>
            <w:noWrap/>
            <w:hideMark/>
          </w:tcPr>
          <w:p w14:paraId="6A512F4E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-76,0%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1" w:themeFill="accent2" w:themeFillTint="33"/>
            <w:noWrap/>
            <w:hideMark/>
          </w:tcPr>
          <w:p w14:paraId="4790B5C0" w14:textId="77777777" w:rsidR="004F6BC7" w:rsidRPr="003A7609" w:rsidRDefault="004F6BC7" w:rsidP="00E261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sh" w:eastAsia="Times New Roman" w:hAnsi="Mulish" w:cs="Calibri"/>
                <w:sz w:val="16"/>
                <w:szCs w:val="16"/>
              </w:rPr>
            </w:pPr>
            <w:r w:rsidRPr="003A7609">
              <w:rPr>
                <w:rFonts w:ascii="Mulish" w:eastAsia="Times New Roman" w:hAnsi="Mulish" w:cs="Calibri"/>
                <w:sz w:val="16"/>
                <w:szCs w:val="16"/>
              </w:rPr>
              <w:t>10</w:t>
            </w:r>
          </w:p>
        </w:tc>
      </w:tr>
    </w:tbl>
    <w:p w14:paraId="27F445B4" w14:textId="77777777" w:rsidR="004F6BC7" w:rsidRPr="004E0CEC" w:rsidRDefault="004F6BC7" w:rsidP="006674A1">
      <w:pPr>
        <w:spacing w:after="0"/>
        <w:jc w:val="both"/>
        <w:rPr>
          <w:rFonts w:ascii="Mulish" w:eastAsia="Mulish" w:hAnsi="Mulish" w:cs="Mulish"/>
          <w:color w:val="0C0C0C" w:themeColor="text1"/>
          <w:sz w:val="20"/>
          <w:szCs w:val="20"/>
          <w:lang w:eastAsia="es-ES" w:bidi="es-ES"/>
        </w:rPr>
      </w:pPr>
    </w:p>
    <w:sectPr w:rsidR="004F6BC7" w:rsidRPr="004E0CEC" w:rsidSect="00C34F6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EF177" w14:textId="77777777" w:rsidR="006E02BF" w:rsidRDefault="006E02BF" w:rsidP="00E033DF">
      <w:pPr>
        <w:spacing w:after="0" w:line="240" w:lineRule="auto"/>
      </w:pPr>
      <w:r>
        <w:separator/>
      </w:r>
    </w:p>
  </w:endnote>
  <w:endnote w:type="continuationSeparator" w:id="0">
    <w:p w14:paraId="5EC0D3C6" w14:textId="77777777" w:rsidR="006E02BF" w:rsidRDefault="006E02BF" w:rsidP="00E0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09197"/>
      <w:docPartObj>
        <w:docPartGallery w:val="Page Numbers (Bottom of Page)"/>
        <w:docPartUnique/>
      </w:docPartObj>
    </w:sdtPr>
    <w:sdtEndPr/>
    <w:sdtContent>
      <w:p w14:paraId="6C40E5E8" w14:textId="388E40E1" w:rsidR="009B3A1E" w:rsidRPr="00A40308" w:rsidRDefault="00A667E2" w:rsidP="00F436DD">
        <w:pPr>
          <w:pStyle w:val="Piedepgina"/>
          <w:tabs>
            <w:tab w:val="clear" w:pos="8504"/>
          </w:tabs>
          <w:ind w:right="-568"/>
          <w:jc w:val="center"/>
          <w:rPr>
            <w:rFonts w:ascii="Mulish" w:hAnsi="Mulish"/>
            <w:sz w:val="16"/>
            <w:szCs w:val="16"/>
          </w:rPr>
        </w:pPr>
        <w:r w:rsidRPr="00F436DD">
          <w:rPr>
            <w:rFonts w:ascii="Mulish" w:hAnsi="Mulish"/>
            <w:noProof/>
            <w:sz w:val="16"/>
            <w:szCs w:val="16"/>
            <w:lang w:eastAsia="es-ES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6C40E5F9" wp14:editId="572EC6D2">
                  <wp:simplePos x="0" y="0"/>
                  <wp:positionH relativeFrom="column">
                    <wp:posOffset>7855585</wp:posOffset>
                  </wp:positionH>
                  <wp:positionV relativeFrom="paragraph">
                    <wp:posOffset>164465</wp:posOffset>
                  </wp:positionV>
                  <wp:extent cx="0" cy="358140"/>
                  <wp:effectExtent l="6985" t="12065" r="12065" b="10795"/>
                  <wp:wrapNone/>
                  <wp:docPr id="980581345" name="AutoShap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3581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shapetype w14:anchorId="335C4C4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26" type="#_x0000_t32" style="position:absolute;margin-left:618.55pt;margin-top:12.95pt;width:0;height:2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"/>
              </w:pict>
            </mc:Fallback>
          </mc:AlternateContent>
        </w:r>
        <w:r w:rsidR="00E94641">
          <w:tab/>
        </w:r>
        <w:r w:rsidRPr="00F436DD">
          <w:rPr>
            <w:rFonts w:ascii="Mulish" w:hAnsi="Mulish"/>
            <w:sz w:val="16"/>
            <w:szCs w:val="16"/>
          </w:rPr>
          <w:fldChar w:fldCharType="begin"/>
        </w:r>
        <w:r w:rsidRPr="00F436DD">
          <w:rPr>
            <w:rFonts w:ascii="Mulish" w:hAnsi="Mulish"/>
            <w:sz w:val="16"/>
            <w:szCs w:val="16"/>
          </w:rPr>
          <w:instrText xml:space="preserve"> PAGE   \* MERGEFORMAT </w:instrText>
        </w:r>
        <w:r w:rsidRPr="00F436DD">
          <w:rPr>
            <w:rFonts w:ascii="Mulish" w:hAnsi="Mulish"/>
            <w:sz w:val="16"/>
            <w:szCs w:val="16"/>
          </w:rPr>
          <w:fldChar w:fldCharType="separate"/>
        </w:r>
        <w:r w:rsidR="000A35BB">
          <w:rPr>
            <w:rFonts w:ascii="Mulish" w:hAnsi="Mulish"/>
            <w:noProof/>
            <w:sz w:val="16"/>
            <w:szCs w:val="16"/>
          </w:rPr>
          <w:t>1</w:t>
        </w:r>
        <w:r w:rsidRPr="00F436DD">
          <w:rPr>
            <w:rFonts w:ascii="Mulish" w:hAnsi="Mulish"/>
            <w:noProof/>
            <w:sz w:val="16"/>
            <w:szCs w:val="16"/>
          </w:rPr>
          <w:fldChar w:fldCharType="end"/>
        </w:r>
        <w:r w:rsidR="009B3A1E" w:rsidRPr="00F436DD">
          <w:rPr>
            <w:rFonts w:ascii="Mulish" w:hAnsi="Mulish"/>
            <w:sz w:val="16"/>
            <w:szCs w:val="16"/>
          </w:rPr>
          <w:t xml:space="preserve">  </w:t>
        </w:r>
        <w:r w:rsidR="009B3A1E" w:rsidRPr="00A40308">
          <w:rPr>
            <w:rFonts w:ascii="Mulish" w:hAnsi="Mulish"/>
          </w:rPr>
          <w:t xml:space="preserve">                                                                                                            </w:t>
        </w:r>
        <w:r w:rsidR="009B3A1E" w:rsidRPr="00A40308">
          <w:rPr>
            <w:rFonts w:ascii="Mulish" w:hAnsi="Mulish"/>
            <w:sz w:val="16"/>
            <w:szCs w:val="16"/>
          </w:rPr>
          <w:t>CONSEJO DE TRANSPARENCIA</w:t>
        </w:r>
        <w:r w:rsidR="00F51DB5" w:rsidRPr="00A40308">
          <w:rPr>
            <w:rFonts w:ascii="Mulish" w:hAnsi="Mulish"/>
            <w:sz w:val="16"/>
            <w:szCs w:val="16"/>
          </w:rPr>
          <w:t xml:space="preserve"> </w:t>
        </w:r>
        <w:r w:rsidR="00DD76CF" w:rsidRPr="00A40308">
          <w:rPr>
            <w:rFonts w:ascii="Mulish" w:hAnsi="Mulish"/>
            <w:sz w:val="16"/>
            <w:szCs w:val="16"/>
          </w:rPr>
          <w:t>AAI</w:t>
        </w:r>
        <w:r w:rsidR="009B3A1E" w:rsidRPr="00A40308">
          <w:rPr>
            <w:rFonts w:ascii="Mulish" w:hAnsi="Mulish"/>
            <w:noProof/>
            <w:sz w:val="24"/>
            <w:szCs w:val="24"/>
            <w:lang w:eastAsia="es-ES"/>
          </w:rPr>
          <w:t xml:space="preserve"> </w:t>
        </w:r>
      </w:p>
      <w:p w14:paraId="6C40E5E9" w14:textId="77777777" w:rsidR="004E6B2E" w:rsidRDefault="00DF4FF2" w:rsidP="005B3D95">
        <w:pPr>
          <w:pStyle w:val="Piedepgina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E5F5" w14:textId="413E2187" w:rsidR="009B3A1E" w:rsidRPr="000974DF" w:rsidRDefault="00A667E2" w:rsidP="001021B2">
    <w:pPr>
      <w:pStyle w:val="Piedepgina"/>
      <w:jc w:val="center"/>
      <w:rPr>
        <w:rFonts w:ascii="Mulish" w:hAnsi="Mulish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56DAD95" wp14:editId="4E703215">
              <wp:simplePos x="0" y="0"/>
              <wp:positionH relativeFrom="page">
                <wp:posOffset>876935</wp:posOffset>
              </wp:positionH>
              <wp:positionV relativeFrom="page">
                <wp:posOffset>10072370</wp:posOffset>
              </wp:positionV>
              <wp:extent cx="1299845" cy="365760"/>
              <wp:effectExtent l="0" t="0" r="0" b="0"/>
              <wp:wrapNone/>
              <wp:docPr id="35995341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984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F72EF" w14:textId="77777777" w:rsidR="00362D91" w:rsidRPr="00A655A2" w:rsidRDefault="00362D91" w:rsidP="00362D91">
                          <w:pPr>
                            <w:spacing w:before="20" w:line="225" w:lineRule="auto"/>
                            <w:ind w:left="20" w:right="-18"/>
                            <w:rPr>
                              <w:rFonts w:ascii="Mulish" w:hAnsi="Mulish"/>
                              <w:sz w:val="14"/>
                            </w:rPr>
                          </w:pPr>
                          <w:r w:rsidRPr="00A655A2">
                            <w:rPr>
                              <w:rFonts w:ascii="Mulish" w:hAnsi="Mulish"/>
                              <w:b/>
                              <w:sz w:val="14"/>
                            </w:rPr>
                            <w:t xml:space="preserve">Consejo de Transparencia AAI </w:t>
                          </w:r>
                          <w:r w:rsidRPr="00A655A2">
                            <w:rPr>
                              <w:rFonts w:ascii="Mulish" w:hAnsi="Mulish"/>
                              <w:sz w:val="14"/>
                            </w:rPr>
                            <w:t>C/ José Abascal, nº 2, 5º-C 28003 MADRID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DAD9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69.05pt;margin-top:793.1pt;width:102.35pt;height:28.8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" filled="f" stroked="f">
              <v:textbox inset="0,0,0,0">
                <w:txbxContent>
                  <w:p w14:paraId="5DFF72EF" w14:textId="77777777" w:rsidR="00362D91" w:rsidRPr="00A655A2" w:rsidRDefault="00362D91" w:rsidP="00362D91">
                    <w:pPr>
                      <w:spacing w:before="20" w:line="225" w:lineRule="auto"/>
                      <w:ind w:left="20" w:right="-18"/>
                      <w:rPr>
                        <w:rFonts w:ascii="Mulish" w:hAnsi="Mulish"/>
                        <w:sz w:val="14"/>
                      </w:rPr>
                    </w:pPr>
                    <w:r w:rsidRPr="00A655A2">
                      <w:rPr>
                        <w:rFonts w:ascii="Mulish" w:hAnsi="Mulish"/>
                        <w:b/>
                        <w:sz w:val="14"/>
                      </w:rPr>
                      <w:t xml:space="preserve">Consejo de Transparencia AAI </w:t>
                    </w:r>
                    <w:r w:rsidRPr="00A655A2">
                      <w:rPr>
                        <w:rFonts w:ascii="Mulish" w:hAnsi="Mulish"/>
                        <w:sz w:val="14"/>
                      </w:rPr>
                      <w:t>C/ José Abascal, nº 2, 5º-C 28003 MADRID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69F40DE2" wp14:editId="52CD6E8A">
              <wp:simplePos x="0" y="0"/>
              <wp:positionH relativeFrom="page">
                <wp:posOffset>4848860</wp:posOffset>
              </wp:positionH>
              <wp:positionV relativeFrom="page">
                <wp:posOffset>10081260</wp:posOffset>
              </wp:positionV>
              <wp:extent cx="2000250" cy="419100"/>
              <wp:effectExtent l="0" t="0" r="0" b="0"/>
              <wp:wrapNone/>
              <wp:docPr id="443887118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F72C9" w14:textId="77777777" w:rsidR="001C2B35" w:rsidRPr="00054646" w:rsidRDefault="00DF4FF2" w:rsidP="001C2B35">
                          <w:pPr>
                            <w:tabs>
                              <w:tab w:val="left" w:pos="2798"/>
                            </w:tabs>
                            <w:spacing w:before="20" w:line="225" w:lineRule="auto"/>
                            <w:ind w:left="101" w:right="342" w:hanging="82"/>
                            <w:jc w:val="right"/>
                            <w:rPr>
                              <w:rFonts w:ascii="Mulish" w:hAnsi="Mulish"/>
                              <w:sz w:val="14"/>
                              <w:lang w:val="en-GB"/>
                            </w:rPr>
                          </w:pPr>
                          <w:hyperlink r:id="rId1">
                            <w:r w:rsidR="001C2B35" w:rsidRPr="00054646">
                              <w:rPr>
                                <w:rFonts w:ascii="Mulish" w:hAnsi="Mulish"/>
                                <w:sz w:val="14"/>
                                <w:lang w:val="en-GB"/>
                              </w:rPr>
                              <w:t>email: ctbg@consejodetransparencia.es</w:t>
                            </w:r>
                          </w:hyperlink>
                          <w:r w:rsidR="001C2B35" w:rsidRPr="00054646">
                            <w:rPr>
                              <w:rFonts w:ascii="Mulish" w:hAnsi="Mulish"/>
                              <w:sz w:val="14"/>
                              <w:lang w:val="en-GB"/>
                            </w:rPr>
                            <w:t xml:space="preserve"> Teléfono: 91 273 33 20 - 91 273 33 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F40DE2" id="Cuadro de texto 1" o:spid="_x0000_s1027" type="#_x0000_t202" style="position:absolute;left:0;text-align:left;margin-left:381.8pt;margin-top:793.8pt;width:157.5pt;height:33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" filled="f" stroked="f">
              <v:textbox inset="0,0,0,0">
                <w:txbxContent>
                  <w:p w14:paraId="59EF72C9" w14:textId="77777777" w:rsidR="001C2B35" w:rsidRPr="00054646" w:rsidRDefault="001F7540" w:rsidP="001C2B35">
                    <w:pPr>
                      <w:tabs>
                        <w:tab w:val="left" w:pos="2798"/>
                      </w:tabs>
                      <w:spacing w:before="20" w:line="225" w:lineRule="auto"/>
                      <w:ind w:left="101" w:right="342" w:hanging="82"/>
                      <w:jc w:val="right"/>
                      <w:rPr>
                        <w:rFonts w:ascii="Mulish" w:hAnsi="Mulish"/>
                        <w:sz w:val="14"/>
                        <w:lang w:val="en-GB"/>
                      </w:rPr>
                    </w:pPr>
                    <w:hyperlink r:id="rId2">
                      <w:r w:rsidR="001C2B35" w:rsidRPr="00054646">
                        <w:rPr>
                          <w:rFonts w:ascii="Mulish" w:hAnsi="Mulish"/>
                          <w:sz w:val="14"/>
                          <w:lang w:val="en-GB"/>
                        </w:rPr>
                        <w:t>email: ctbg@consejodetransparencia.es</w:t>
                      </w:r>
                    </w:hyperlink>
                    <w:r w:rsidR="001C2B35" w:rsidRPr="00054646">
                      <w:rPr>
                        <w:rFonts w:ascii="Mulish" w:hAnsi="Mulish"/>
                        <w:sz w:val="14"/>
                        <w:lang w:val="en-GB"/>
                      </w:rPr>
                      <w:t xml:space="preserve"> Teléfono: 91 273 33 20 - 91 273 33 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1A91">
      <w:tab/>
    </w:r>
    <w:r w:rsidR="00F31A91">
      <w:tab/>
    </w:r>
    <w:r w:rsidR="00F31A91">
      <w:tab/>
    </w:r>
    <w:r w:rsidR="00F31A91">
      <w:tab/>
    </w:r>
    <w:r w:rsidR="001C2B3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BA7A8" w14:textId="77777777" w:rsidR="006E02BF" w:rsidRDefault="006E02BF" w:rsidP="00E033DF">
      <w:pPr>
        <w:spacing w:after="0" w:line="240" w:lineRule="auto"/>
      </w:pPr>
      <w:r>
        <w:separator/>
      </w:r>
    </w:p>
  </w:footnote>
  <w:footnote w:type="continuationSeparator" w:id="0">
    <w:p w14:paraId="30006FF3" w14:textId="77777777" w:rsidR="006E02BF" w:rsidRDefault="006E02BF" w:rsidP="00E03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1301" w14:textId="33FA1942" w:rsidR="00A666AD" w:rsidRDefault="00D10A0B" w:rsidP="008D3392">
    <w:pPr>
      <w:pStyle w:val="Encabezado"/>
      <w:ind w:left="-284"/>
      <w:rPr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83840" behindDoc="0" locked="0" layoutInCell="1" allowOverlap="1" wp14:anchorId="009FC8A4" wp14:editId="7D987A54">
          <wp:simplePos x="0" y="0"/>
          <wp:positionH relativeFrom="margin">
            <wp:posOffset>2018665</wp:posOffset>
          </wp:positionH>
          <wp:positionV relativeFrom="margin">
            <wp:posOffset>-721911</wp:posOffset>
          </wp:positionV>
          <wp:extent cx="1798320" cy="419100"/>
          <wp:effectExtent l="0" t="0" r="0" b="0"/>
          <wp:wrapSquare wrapText="bothSides"/>
          <wp:docPr id="1704970856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835127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353F07" w14:textId="0551F394" w:rsidR="00A666AD" w:rsidRDefault="00A666AD" w:rsidP="008D3392">
    <w:pPr>
      <w:pStyle w:val="Encabezado"/>
      <w:ind w:left="-284"/>
      <w:rPr>
        <w:sz w:val="16"/>
        <w:szCs w:val="16"/>
      </w:rPr>
    </w:pPr>
  </w:p>
  <w:p w14:paraId="4F080CFF" w14:textId="77777777" w:rsidR="00A666AD" w:rsidRDefault="00A666AD" w:rsidP="008D3392">
    <w:pPr>
      <w:pStyle w:val="Encabezado"/>
      <w:ind w:left="-284"/>
      <w:rPr>
        <w:sz w:val="16"/>
        <w:szCs w:val="16"/>
      </w:rPr>
    </w:pPr>
  </w:p>
  <w:p w14:paraId="06866FF9" w14:textId="77777777" w:rsidR="00A666AD" w:rsidRDefault="00A666AD" w:rsidP="008D3392">
    <w:pPr>
      <w:pStyle w:val="Encabezado"/>
      <w:ind w:left="-284"/>
      <w:rPr>
        <w:sz w:val="16"/>
        <w:szCs w:val="16"/>
      </w:rPr>
    </w:pPr>
  </w:p>
  <w:p w14:paraId="1BA3DC98" w14:textId="77777777" w:rsidR="00A666AD" w:rsidRDefault="00A666AD" w:rsidP="008D3392">
    <w:pPr>
      <w:pStyle w:val="Encabezado"/>
      <w:ind w:left="-284"/>
      <w:rPr>
        <w:sz w:val="16"/>
        <w:szCs w:val="16"/>
      </w:rPr>
    </w:pPr>
  </w:p>
  <w:p w14:paraId="6C40E5E5" w14:textId="081D95D3" w:rsidR="004E6B2E" w:rsidRPr="005951F3" w:rsidRDefault="004E6B2E" w:rsidP="008D3392">
    <w:pPr>
      <w:pStyle w:val="Encabezado"/>
      <w:ind w:left="-284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E5EB" w14:textId="31BCD447" w:rsidR="005D4FB7" w:rsidRDefault="00F3528C" w:rsidP="00407A64">
    <w:pPr>
      <w:pStyle w:val="Sinespaciado"/>
      <w:tabs>
        <w:tab w:val="left" w:pos="6705"/>
      </w:tabs>
      <w:ind w:left="-284"/>
    </w:pPr>
    <w:r>
      <w:tab/>
    </w:r>
  </w:p>
  <w:p w14:paraId="6C40E5EC" w14:textId="568A3200" w:rsidR="004E6B2E" w:rsidRDefault="004E6B2E" w:rsidP="00E873AB">
    <w:pPr>
      <w:pStyle w:val="Encabezado"/>
    </w:pPr>
  </w:p>
  <w:p w14:paraId="6C40E5F1" w14:textId="77777777" w:rsidR="00F31A91" w:rsidRDefault="00F31A91" w:rsidP="00E873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555A2"/>
    <w:multiLevelType w:val="hybridMultilevel"/>
    <w:tmpl w:val="FAA2A5D4"/>
    <w:lvl w:ilvl="0" w:tplc="0C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757A02"/>
    <w:multiLevelType w:val="hybridMultilevel"/>
    <w:tmpl w:val="DAB62E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4FE"/>
    <w:multiLevelType w:val="hybridMultilevel"/>
    <w:tmpl w:val="A8DEBFC0"/>
    <w:lvl w:ilvl="0" w:tplc="07A46A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D5189"/>
    <w:multiLevelType w:val="hybridMultilevel"/>
    <w:tmpl w:val="93604176"/>
    <w:lvl w:ilvl="0" w:tplc="0C0A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4" w15:restartNumberingAfterBreak="0">
    <w:nsid w:val="3BB305A0"/>
    <w:multiLevelType w:val="hybridMultilevel"/>
    <w:tmpl w:val="FF68F5BC"/>
    <w:lvl w:ilvl="0" w:tplc="CA582274">
      <w:start w:val="1"/>
      <w:numFmt w:val="bullet"/>
      <w:lvlText w:val="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0B32F8D"/>
    <w:multiLevelType w:val="hybridMultilevel"/>
    <w:tmpl w:val="BBBCCC2E"/>
    <w:lvl w:ilvl="0" w:tplc="3C24B53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0C0C0C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10947"/>
    <w:multiLevelType w:val="hybridMultilevel"/>
    <w:tmpl w:val="7AD0E230"/>
    <w:lvl w:ilvl="0" w:tplc="F22AECF0">
      <w:numFmt w:val="bullet"/>
      <w:lvlText w:val="•"/>
      <w:lvlJc w:val="left"/>
      <w:pPr>
        <w:ind w:left="786" w:hanging="360"/>
      </w:pPr>
      <w:rPr>
        <w:rFonts w:ascii="Mulish" w:eastAsia="Mulish" w:hAnsi="Mulish" w:cs="Mulish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7144683"/>
    <w:multiLevelType w:val="hybridMultilevel"/>
    <w:tmpl w:val="A782A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C0C0C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AA8"/>
    <w:rsid w:val="00001A8D"/>
    <w:rsid w:val="00020447"/>
    <w:rsid w:val="00020D07"/>
    <w:rsid w:val="00022A5E"/>
    <w:rsid w:val="000319A0"/>
    <w:rsid w:val="000507B3"/>
    <w:rsid w:val="00054646"/>
    <w:rsid w:val="000566D2"/>
    <w:rsid w:val="000603FA"/>
    <w:rsid w:val="0006541E"/>
    <w:rsid w:val="00067423"/>
    <w:rsid w:val="000759E0"/>
    <w:rsid w:val="00081028"/>
    <w:rsid w:val="0009002D"/>
    <w:rsid w:val="000967B9"/>
    <w:rsid w:val="000974DF"/>
    <w:rsid w:val="000A0B48"/>
    <w:rsid w:val="000A35BB"/>
    <w:rsid w:val="000A496D"/>
    <w:rsid w:val="000A4974"/>
    <w:rsid w:val="000A6070"/>
    <w:rsid w:val="000A633D"/>
    <w:rsid w:val="000B22B3"/>
    <w:rsid w:val="000B3967"/>
    <w:rsid w:val="000C4037"/>
    <w:rsid w:val="000D6A10"/>
    <w:rsid w:val="00101E4F"/>
    <w:rsid w:val="001021B2"/>
    <w:rsid w:val="00110D03"/>
    <w:rsid w:val="001179ED"/>
    <w:rsid w:val="001233F6"/>
    <w:rsid w:val="0012487F"/>
    <w:rsid w:val="00126597"/>
    <w:rsid w:val="00126747"/>
    <w:rsid w:val="001269A0"/>
    <w:rsid w:val="00137CC2"/>
    <w:rsid w:val="001456C9"/>
    <w:rsid w:val="0015363A"/>
    <w:rsid w:val="00153863"/>
    <w:rsid w:val="001543D9"/>
    <w:rsid w:val="00161CD5"/>
    <w:rsid w:val="00167568"/>
    <w:rsid w:val="00172B40"/>
    <w:rsid w:val="0018353B"/>
    <w:rsid w:val="00186792"/>
    <w:rsid w:val="00187879"/>
    <w:rsid w:val="00192AB8"/>
    <w:rsid w:val="001A133B"/>
    <w:rsid w:val="001B10FD"/>
    <w:rsid w:val="001C2B35"/>
    <w:rsid w:val="001C619B"/>
    <w:rsid w:val="001D1779"/>
    <w:rsid w:val="001F1141"/>
    <w:rsid w:val="001F7540"/>
    <w:rsid w:val="00201F19"/>
    <w:rsid w:val="0020357A"/>
    <w:rsid w:val="00212051"/>
    <w:rsid w:val="002134BE"/>
    <w:rsid w:val="00222419"/>
    <w:rsid w:val="00224350"/>
    <w:rsid w:val="00224C4F"/>
    <w:rsid w:val="002265EE"/>
    <w:rsid w:val="0023304E"/>
    <w:rsid w:val="0025152B"/>
    <w:rsid w:val="00252220"/>
    <w:rsid w:val="0028507C"/>
    <w:rsid w:val="00285BCA"/>
    <w:rsid w:val="00285D61"/>
    <w:rsid w:val="00292E9B"/>
    <w:rsid w:val="002A5660"/>
    <w:rsid w:val="002B20AF"/>
    <w:rsid w:val="002C228E"/>
    <w:rsid w:val="002C7076"/>
    <w:rsid w:val="002D6E52"/>
    <w:rsid w:val="002E3710"/>
    <w:rsid w:val="002E4E66"/>
    <w:rsid w:val="002E7112"/>
    <w:rsid w:val="0030149D"/>
    <w:rsid w:val="00314159"/>
    <w:rsid w:val="003148DA"/>
    <w:rsid w:val="003160FA"/>
    <w:rsid w:val="003212E5"/>
    <w:rsid w:val="00343319"/>
    <w:rsid w:val="00350E0B"/>
    <w:rsid w:val="00362227"/>
    <w:rsid w:val="00362D91"/>
    <w:rsid w:val="0037028A"/>
    <w:rsid w:val="0039299B"/>
    <w:rsid w:val="00394546"/>
    <w:rsid w:val="003A48C6"/>
    <w:rsid w:val="003A7609"/>
    <w:rsid w:val="003B4951"/>
    <w:rsid w:val="003C3727"/>
    <w:rsid w:val="003C665C"/>
    <w:rsid w:val="003C685A"/>
    <w:rsid w:val="003D41CC"/>
    <w:rsid w:val="003D5AFA"/>
    <w:rsid w:val="003F7BA2"/>
    <w:rsid w:val="0040037A"/>
    <w:rsid w:val="004053F7"/>
    <w:rsid w:val="00407A64"/>
    <w:rsid w:val="00445708"/>
    <w:rsid w:val="0045349D"/>
    <w:rsid w:val="00456863"/>
    <w:rsid w:val="00457DE8"/>
    <w:rsid w:val="004735F3"/>
    <w:rsid w:val="00474811"/>
    <w:rsid w:val="00492494"/>
    <w:rsid w:val="004A5EA5"/>
    <w:rsid w:val="004A6ABC"/>
    <w:rsid w:val="004B465F"/>
    <w:rsid w:val="004C1695"/>
    <w:rsid w:val="004D002C"/>
    <w:rsid w:val="004D143E"/>
    <w:rsid w:val="004D3C31"/>
    <w:rsid w:val="004D3E59"/>
    <w:rsid w:val="004E0CEC"/>
    <w:rsid w:val="004E3AC4"/>
    <w:rsid w:val="004E6B2E"/>
    <w:rsid w:val="004F19F9"/>
    <w:rsid w:val="004F6BC7"/>
    <w:rsid w:val="00505712"/>
    <w:rsid w:val="005148C2"/>
    <w:rsid w:val="00521EA5"/>
    <w:rsid w:val="00532CA0"/>
    <w:rsid w:val="00533506"/>
    <w:rsid w:val="00533D96"/>
    <w:rsid w:val="00534374"/>
    <w:rsid w:val="005353F4"/>
    <w:rsid w:val="005432EE"/>
    <w:rsid w:val="0055220F"/>
    <w:rsid w:val="00553F22"/>
    <w:rsid w:val="005557C9"/>
    <w:rsid w:val="005664C3"/>
    <w:rsid w:val="00577451"/>
    <w:rsid w:val="00592B0F"/>
    <w:rsid w:val="00594A30"/>
    <w:rsid w:val="005951F3"/>
    <w:rsid w:val="00596401"/>
    <w:rsid w:val="005A5A07"/>
    <w:rsid w:val="005B08E3"/>
    <w:rsid w:val="005B0C58"/>
    <w:rsid w:val="005B1E17"/>
    <w:rsid w:val="005B1FF0"/>
    <w:rsid w:val="005B3D95"/>
    <w:rsid w:val="005D4FB7"/>
    <w:rsid w:val="005F1275"/>
    <w:rsid w:val="0060170A"/>
    <w:rsid w:val="00607622"/>
    <w:rsid w:val="00610C63"/>
    <w:rsid w:val="00610D38"/>
    <w:rsid w:val="006150E9"/>
    <w:rsid w:val="006164A1"/>
    <w:rsid w:val="0064406A"/>
    <w:rsid w:val="00644241"/>
    <w:rsid w:val="0064511D"/>
    <w:rsid w:val="00653F04"/>
    <w:rsid w:val="00657AD7"/>
    <w:rsid w:val="00662D91"/>
    <w:rsid w:val="006634E1"/>
    <w:rsid w:val="00663757"/>
    <w:rsid w:val="006646A2"/>
    <w:rsid w:val="006674A1"/>
    <w:rsid w:val="00672F1F"/>
    <w:rsid w:val="00675A3E"/>
    <w:rsid w:val="00676056"/>
    <w:rsid w:val="00677D25"/>
    <w:rsid w:val="00683526"/>
    <w:rsid w:val="006850A8"/>
    <w:rsid w:val="00686DAC"/>
    <w:rsid w:val="0069451C"/>
    <w:rsid w:val="00697013"/>
    <w:rsid w:val="006A0075"/>
    <w:rsid w:val="006A0839"/>
    <w:rsid w:val="006A1854"/>
    <w:rsid w:val="006A7274"/>
    <w:rsid w:val="006B509B"/>
    <w:rsid w:val="006B61F4"/>
    <w:rsid w:val="006C01FD"/>
    <w:rsid w:val="006C7099"/>
    <w:rsid w:val="006D7AB5"/>
    <w:rsid w:val="006E02BF"/>
    <w:rsid w:val="006E2CA6"/>
    <w:rsid w:val="006E7217"/>
    <w:rsid w:val="007008DF"/>
    <w:rsid w:val="00704FB2"/>
    <w:rsid w:val="007101D5"/>
    <w:rsid w:val="00713DA2"/>
    <w:rsid w:val="00716250"/>
    <w:rsid w:val="0071792B"/>
    <w:rsid w:val="00721825"/>
    <w:rsid w:val="00731A6C"/>
    <w:rsid w:val="00735016"/>
    <w:rsid w:val="00745878"/>
    <w:rsid w:val="0074602A"/>
    <w:rsid w:val="0076750E"/>
    <w:rsid w:val="0077498A"/>
    <w:rsid w:val="0077727F"/>
    <w:rsid w:val="0079005D"/>
    <w:rsid w:val="007901C0"/>
    <w:rsid w:val="0079363A"/>
    <w:rsid w:val="00796AC5"/>
    <w:rsid w:val="007B233B"/>
    <w:rsid w:val="007B349E"/>
    <w:rsid w:val="007B410A"/>
    <w:rsid w:val="007B41EA"/>
    <w:rsid w:val="007D462E"/>
    <w:rsid w:val="007E7EF7"/>
    <w:rsid w:val="007F337C"/>
    <w:rsid w:val="007F57CD"/>
    <w:rsid w:val="00815269"/>
    <w:rsid w:val="00815C5C"/>
    <w:rsid w:val="008179B3"/>
    <w:rsid w:val="008217AF"/>
    <w:rsid w:val="00824451"/>
    <w:rsid w:val="00827C57"/>
    <w:rsid w:val="00837BBC"/>
    <w:rsid w:val="0084325D"/>
    <w:rsid w:val="008533E7"/>
    <w:rsid w:val="00876402"/>
    <w:rsid w:val="008777BA"/>
    <w:rsid w:val="00882413"/>
    <w:rsid w:val="008A205F"/>
    <w:rsid w:val="008B3AD8"/>
    <w:rsid w:val="008D3392"/>
    <w:rsid w:val="008E08C3"/>
    <w:rsid w:val="008E2617"/>
    <w:rsid w:val="009019FC"/>
    <w:rsid w:val="00902756"/>
    <w:rsid w:val="009067F6"/>
    <w:rsid w:val="00916A7F"/>
    <w:rsid w:val="00916D71"/>
    <w:rsid w:val="00920FC8"/>
    <w:rsid w:val="00922C73"/>
    <w:rsid w:val="0092651B"/>
    <w:rsid w:val="0093132C"/>
    <w:rsid w:val="00945360"/>
    <w:rsid w:val="00946059"/>
    <w:rsid w:val="00966AFC"/>
    <w:rsid w:val="0097230C"/>
    <w:rsid w:val="00975B64"/>
    <w:rsid w:val="00980FC7"/>
    <w:rsid w:val="0098696D"/>
    <w:rsid w:val="0099045A"/>
    <w:rsid w:val="00993416"/>
    <w:rsid w:val="00995EC5"/>
    <w:rsid w:val="009B1393"/>
    <w:rsid w:val="009B2AF5"/>
    <w:rsid w:val="009B33D2"/>
    <w:rsid w:val="009B3A1E"/>
    <w:rsid w:val="009B42F0"/>
    <w:rsid w:val="009B44BF"/>
    <w:rsid w:val="009C1C4B"/>
    <w:rsid w:val="009D6457"/>
    <w:rsid w:val="009E02B2"/>
    <w:rsid w:val="009F76E1"/>
    <w:rsid w:val="00A0030B"/>
    <w:rsid w:val="00A00DE3"/>
    <w:rsid w:val="00A035A9"/>
    <w:rsid w:val="00A0519D"/>
    <w:rsid w:val="00A24C05"/>
    <w:rsid w:val="00A253C0"/>
    <w:rsid w:val="00A274B8"/>
    <w:rsid w:val="00A34AB3"/>
    <w:rsid w:val="00A3547A"/>
    <w:rsid w:val="00A40308"/>
    <w:rsid w:val="00A666AD"/>
    <w:rsid w:val="00A667E2"/>
    <w:rsid w:val="00A70569"/>
    <w:rsid w:val="00A90913"/>
    <w:rsid w:val="00A968FD"/>
    <w:rsid w:val="00AA0900"/>
    <w:rsid w:val="00AB66BB"/>
    <w:rsid w:val="00AC04DC"/>
    <w:rsid w:val="00AC124E"/>
    <w:rsid w:val="00AD4EAB"/>
    <w:rsid w:val="00AE599B"/>
    <w:rsid w:val="00AE7311"/>
    <w:rsid w:val="00B109CF"/>
    <w:rsid w:val="00B1194B"/>
    <w:rsid w:val="00B1326E"/>
    <w:rsid w:val="00B25D70"/>
    <w:rsid w:val="00B27714"/>
    <w:rsid w:val="00B30318"/>
    <w:rsid w:val="00B33F7D"/>
    <w:rsid w:val="00B3521D"/>
    <w:rsid w:val="00B3619D"/>
    <w:rsid w:val="00B606D6"/>
    <w:rsid w:val="00B80115"/>
    <w:rsid w:val="00B807DE"/>
    <w:rsid w:val="00B84BDC"/>
    <w:rsid w:val="00B877B1"/>
    <w:rsid w:val="00B90546"/>
    <w:rsid w:val="00B92379"/>
    <w:rsid w:val="00B9237A"/>
    <w:rsid w:val="00B95903"/>
    <w:rsid w:val="00BA151E"/>
    <w:rsid w:val="00BA4068"/>
    <w:rsid w:val="00BA62A5"/>
    <w:rsid w:val="00BB14B1"/>
    <w:rsid w:val="00BB6595"/>
    <w:rsid w:val="00BC1926"/>
    <w:rsid w:val="00BD42E2"/>
    <w:rsid w:val="00BE5432"/>
    <w:rsid w:val="00BE7029"/>
    <w:rsid w:val="00C00902"/>
    <w:rsid w:val="00C00B2F"/>
    <w:rsid w:val="00C05613"/>
    <w:rsid w:val="00C10C5F"/>
    <w:rsid w:val="00C12962"/>
    <w:rsid w:val="00C15233"/>
    <w:rsid w:val="00C34F68"/>
    <w:rsid w:val="00C37FF6"/>
    <w:rsid w:val="00C40DD4"/>
    <w:rsid w:val="00C4437B"/>
    <w:rsid w:val="00C5192C"/>
    <w:rsid w:val="00C6302D"/>
    <w:rsid w:val="00C63F38"/>
    <w:rsid w:val="00C669B4"/>
    <w:rsid w:val="00C7791E"/>
    <w:rsid w:val="00C90F66"/>
    <w:rsid w:val="00C94749"/>
    <w:rsid w:val="00CA1C61"/>
    <w:rsid w:val="00CA1CA7"/>
    <w:rsid w:val="00CB4953"/>
    <w:rsid w:val="00CD21B6"/>
    <w:rsid w:val="00CD4664"/>
    <w:rsid w:val="00CD664D"/>
    <w:rsid w:val="00CE6A08"/>
    <w:rsid w:val="00CE711A"/>
    <w:rsid w:val="00CF04E9"/>
    <w:rsid w:val="00CF5E50"/>
    <w:rsid w:val="00CF7BBC"/>
    <w:rsid w:val="00D03D1A"/>
    <w:rsid w:val="00D04F1E"/>
    <w:rsid w:val="00D0710A"/>
    <w:rsid w:val="00D10A0B"/>
    <w:rsid w:val="00D13FB4"/>
    <w:rsid w:val="00D1442D"/>
    <w:rsid w:val="00D217DF"/>
    <w:rsid w:val="00D262CE"/>
    <w:rsid w:val="00D337F8"/>
    <w:rsid w:val="00D3478D"/>
    <w:rsid w:val="00D46526"/>
    <w:rsid w:val="00D50595"/>
    <w:rsid w:val="00D519BA"/>
    <w:rsid w:val="00D61DDC"/>
    <w:rsid w:val="00D71C8B"/>
    <w:rsid w:val="00D74DBF"/>
    <w:rsid w:val="00D83AD7"/>
    <w:rsid w:val="00D90BAA"/>
    <w:rsid w:val="00D9573F"/>
    <w:rsid w:val="00DA1AA8"/>
    <w:rsid w:val="00DA661C"/>
    <w:rsid w:val="00DC45C2"/>
    <w:rsid w:val="00DD088C"/>
    <w:rsid w:val="00DD76CF"/>
    <w:rsid w:val="00DF0AA4"/>
    <w:rsid w:val="00DF4FF2"/>
    <w:rsid w:val="00DF50CF"/>
    <w:rsid w:val="00DF52D8"/>
    <w:rsid w:val="00DF6170"/>
    <w:rsid w:val="00DF62C2"/>
    <w:rsid w:val="00E0067D"/>
    <w:rsid w:val="00E033DF"/>
    <w:rsid w:val="00E27A44"/>
    <w:rsid w:val="00E369D7"/>
    <w:rsid w:val="00E42F8B"/>
    <w:rsid w:val="00E50B8F"/>
    <w:rsid w:val="00E52301"/>
    <w:rsid w:val="00E537A9"/>
    <w:rsid w:val="00E719AE"/>
    <w:rsid w:val="00E805C3"/>
    <w:rsid w:val="00E873AB"/>
    <w:rsid w:val="00E94641"/>
    <w:rsid w:val="00EA75EE"/>
    <w:rsid w:val="00EB7AAC"/>
    <w:rsid w:val="00ED2187"/>
    <w:rsid w:val="00EE1958"/>
    <w:rsid w:val="00EE391E"/>
    <w:rsid w:val="00EF73FE"/>
    <w:rsid w:val="00EF7E7E"/>
    <w:rsid w:val="00EF7F60"/>
    <w:rsid w:val="00F01E2C"/>
    <w:rsid w:val="00F02499"/>
    <w:rsid w:val="00F04045"/>
    <w:rsid w:val="00F15560"/>
    <w:rsid w:val="00F253DF"/>
    <w:rsid w:val="00F304D4"/>
    <w:rsid w:val="00F30B12"/>
    <w:rsid w:val="00F31A91"/>
    <w:rsid w:val="00F31BF5"/>
    <w:rsid w:val="00F3528C"/>
    <w:rsid w:val="00F436DD"/>
    <w:rsid w:val="00F47A62"/>
    <w:rsid w:val="00F51DB5"/>
    <w:rsid w:val="00F55615"/>
    <w:rsid w:val="00F60E8E"/>
    <w:rsid w:val="00F67701"/>
    <w:rsid w:val="00F73ACD"/>
    <w:rsid w:val="00F8360E"/>
    <w:rsid w:val="00FB1946"/>
    <w:rsid w:val="00FB2DF2"/>
    <w:rsid w:val="00FC078A"/>
    <w:rsid w:val="00FC4F5D"/>
    <w:rsid w:val="00FC7309"/>
    <w:rsid w:val="00FD0A75"/>
    <w:rsid w:val="00FD375B"/>
    <w:rsid w:val="00FD5AAD"/>
    <w:rsid w:val="00FD7623"/>
    <w:rsid w:val="00FD76E2"/>
    <w:rsid w:val="00FE4074"/>
    <w:rsid w:val="00FE5C64"/>
    <w:rsid w:val="00FE6C2A"/>
    <w:rsid w:val="00FF18D4"/>
    <w:rsid w:val="00FF2B47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40E5B0"/>
  <w15:docId w15:val="{3A54E176-1594-43FE-802E-0F09132E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4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8E2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33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33DF"/>
  </w:style>
  <w:style w:type="paragraph" w:styleId="Piedepgina">
    <w:name w:val="footer"/>
    <w:basedOn w:val="Normal"/>
    <w:link w:val="PiedepginaCar"/>
    <w:uiPriority w:val="99"/>
    <w:unhideWhenUsed/>
    <w:rsid w:val="00E033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3DF"/>
  </w:style>
  <w:style w:type="paragraph" w:styleId="Sinespaciado">
    <w:name w:val="No Spacing"/>
    <w:uiPriority w:val="1"/>
    <w:qFormat/>
    <w:rsid w:val="0018353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835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35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353B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53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3A1E"/>
    <w:rPr>
      <w:color w:val="034638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407A64"/>
    <w:pPr>
      <w:widowControl w:val="0"/>
      <w:autoSpaceDE w:val="0"/>
      <w:autoSpaceDN w:val="0"/>
      <w:spacing w:after="0" w:line="240" w:lineRule="auto"/>
    </w:pPr>
    <w:rPr>
      <w:rFonts w:ascii="Mulish" w:eastAsia="Mulish" w:hAnsi="Mulish" w:cs="Mulish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07A64"/>
    <w:rPr>
      <w:rFonts w:ascii="Mulish" w:eastAsia="Mulish" w:hAnsi="Mulish" w:cs="Mulish"/>
      <w:sz w:val="20"/>
      <w:szCs w:val="20"/>
      <w:lang w:eastAsia="es-ES" w:bidi="es-ES"/>
    </w:rPr>
  </w:style>
  <w:style w:type="paragraph" w:styleId="Prrafodelista">
    <w:name w:val="List Paragraph"/>
    <w:basedOn w:val="Normal"/>
    <w:uiPriority w:val="34"/>
    <w:qFormat/>
    <w:rsid w:val="00BA4068"/>
    <w:pPr>
      <w:ind w:left="720"/>
      <w:contextualSpacing/>
    </w:pPr>
  </w:style>
  <w:style w:type="table" w:customStyle="1" w:styleId="Sombreadomedio2-nfasis32">
    <w:name w:val="Sombreado medio 2 - Énfasis 32"/>
    <w:basedOn w:val="Tablanormal"/>
    <w:next w:val="Sombreadomedio2-nfasis3"/>
    <w:uiPriority w:val="64"/>
    <w:rsid w:val="00BA4068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BA40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4C5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4C5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4C5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clara">
    <w:name w:val="Grid Table Light"/>
    <w:basedOn w:val="Tablanormal"/>
    <w:uiPriority w:val="40"/>
    <w:rsid w:val="00BA40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3-nfasis2">
    <w:name w:val="List Table 3 Accent 2"/>
    <w:basedOn w:val="Tablanormal"/>
    <w:uiPriority w:val="48"/>
    <w:rsid w:val="00EF73FE"/>
    <w:pPr>
      <w:spacing w:after="0" w:line="240" w:lineRule="auto"/>
    </w:pPr>
    <w:rPr>
      <w:lang w:eastAsia="es-ES"/>
    </w:rPr>
    <w:tblPr>
      <w:tblStyleRowBandSize w:val="1"/>
      <w:tblStyleColBandSize w:val="1"/>
      <w:tblBorders>
        <w:top w:val="single" w:sz="4" w:space="0" w:color="CB9700" w:themeColor="accent2"/>
        <w:left w:val="single" w:sz="4" w:space="0" w:color="CB9700" w:themeColor="accent2"/>
        <w:bottom w:val="single" w:sz="4" w:space="0" w:color="CB9700" w:themeColor="accent2"/>
        <w:right w:val="single" w:sz="4" w:space="0" w:color="CB97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B9700" w:themeFill="accent2"/>
      </w:tcPr>
    </w:tblStylePr>
    <w:tblStylePr w:type="lastRow">
      <w:rPr>
        <w:b/>
        <w:bCs/>
      </w:rPr>
      <w:tblPr/>
      <w:tcPr>
        <w:tcBorders>
          <w:top w:val="double" w:sz="4" w:space="0" w:color="CB97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B9700" w:themeColor="accent2"/>
          <w:right w:val="single" w:sz="4" w:space="0" w:color="CB9700" w:themeColor="accent2"/>
        </w:tcBorders>
      </w:tcPr>
    </w:tblStylePr>
    <w:tblStylePr w:type="band1Horz">
      <w:tblPr/>
      <w:tcPr>
        <w:tcBorders>
          <w:top w:val="single" w:sz="4" w:space="0" w:color="CB9700" w:themeColor="accent2"/>
          <w:bottom w:val="single" w:sz="4" w:space="0" w:color="CB97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B9700" w:themeColor="accent2"/>
          <w:left w:val="nil"/>
        </w:tcBorders>
      </w:tcPr>
    </w:tblStylePr>
    <w:tblStylePr w:type="swCell">
      <w:tblPr/>
      <w:tcPr>
        <w:tcBorders>
          <w:top w:val="double" w:sz="4" w:space="0" w:color="CB9700" w:themeColor="accent2"/>
          <w:right w:val="nil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3A48C6"/>
    <w:pPr>
      <w:spacing w:after="0" w:line="240" w:lineRule="auto"/>
      <w:jc w:val="both"/>
    </w:pPr>
    <w:rPr>
      <w:rFonts w:ascii="Mulish" w:hAnsi="Mulish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48C6"/>
    <w:rPr>
      <w:rFonts w:ascii="Mulish" w:hAnsi="Mulish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A48C6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69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69B4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77498A"/>
    <w:rPr>
      <w:color w:val="605E5C"/>
      <w:shd w:val="clear" w:color="auto" w:fill="E1DFDD"/>
    </w:rPr>
  </w:style>
  <w:style w:type="table" w:styleId="Tablaconcuadrcula4-nfasis2">
    <w:name w:val="Grid Table 4 Accent 2"/>
    <w:basedOn w:val="Tablanormal"/>
    <w:uiPriority w:val="49"/>
    <w:rsid w:val="00BA151E"/>
    <w:pPr>
      <w:spacing w:after="0" w:line="240" w:lineRule="auto"/>
    </w:pPr>
    <w:rPr>
      <w:lang w:eastAsia="es-ES"/>
    </w:rPr>
    <w:tblPr>
      <w:tblStyleRowBandSize w:val="1"/>
      <w:tblStyleColBandSize w:val="1"/>
      <w:tblBorders>
        <w:top w:val="single" w:sz="4" w:space="0" w:color="FFCF46" w:themeColor="accent2" w:themeTint="99"/>
        <w:left w:val="single" w:sz="4" w:space="0" w:color="FFCF46" w:themeColor="accent2" w:themeTint="99"/>
        <w:bottom w:val="single" w:sz="4" w:space="0" w:color="FFCF46" w:themeColor="accent2" w:themeTint="99"/>
        <w:right w:val="single" w:sz="4" w:space="0" w:color="FFCF46" w:themeColor="accent2" w:themeTint="99"/>
        <w:insideH w:val="single" w:sz="4" w:space="0" w:color="FFCF46" w:themeColor="accent2" w:themeTint="99"/>
        <w:insideV w:val="single" w:sz="4" w:space="0" w:color="FFCF4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9700" w:themeColor="accent2"/>
          <w:left w:val="single" w:sz="4" w:space="0" w:color="CB9700" w:themeColor="accent2"/>
          <w:bottom w:val="single" w:sz="4" w:space="0" w:color="CB9700" w:themeColor="accent2"/>
          <w:right w:val="single" w:sz="4" w:space="0" w:color="CB9700" w:themeColor="accent2"/>
          <w:insideH w:val="nil"/>
          <w:insideV w:val="nil"/>
        </w:tcBorders>
        <w:shd w:val="clear" w:color="auto" w:fill="CB9700" w:themeFill="accent2"/>
      </w:tcPr>
    </w:tblStylePr>
    <w:tblStylePr w:type="lastRow">
      <w:rPr>
        <w:b/>
        <w:bCs/>
      </w:rPr>
      <w:tblPr/>
      <w:tcPr>
        <w:tcBorders>
          <w:top w:val="double" w:sz="4" w:space="0" w:color="CB97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2" w:themeFillTint="33"/>
      </w:tcPr>
    </w:tblStylePr>
    <w:tblStylePr w:type="band1Horz">
      <w:tblPr/>
      <w:tcPr>
        <w:shd w:val="clear" w:color="auto" w:fill="FFEFC1" w:themeFill="accent2" w:themeFillTint="33"/>
      </w:tcPr>
    </w:tblStylePr>
  </w:style>
  <w:style w:type="table" w:styleId="Tablaconcuadrcula4-nfasis4">
    <w:name w:val="Grid Table 4 Accent 4"/>
    <w:basedOn w:val="Tablanormal"/>
    <w:uiPriority w:val="49"/>
    <w:rsid w:val="00BA151E"/>
    <w:pPr>
      <w:spacing w:after="0" w:line="240" w:lineRule="auto"/>
    </w:pPr>
    <w:tblPr>
      <w:tblStyleRowBandSize w:val="1"/>
      <w:tblStyleColBandSize w:val="1"/>
      <w:tblBorders>
        <w:top w:val="single" w:sz="4" w:space="0" w:color="0AEDBD" w:themeColor="accent4" w:themeTint="99"/>
        <w:left w:val="single" w:sz="4" w:space="0" w:color="0AEDBD" w:themeColor="accent4" w:themeTint="99"/>
        <w:bottom w:val="single" w:sz="4" w:space="0" w:color="0AEDBD" w:themeColor="accent4" w:themeTint="99"/>
        <w:right w:val="single" w:sz="4" w:space="0" w:color="0AEDBD" w:themeColor="accent4" w:themeTint="99"/>
        <w:insideH w:val="single" w:sz="4" w:space="0" w:color="0AEDBD" w:themeColor="accent4" w:themeTint="99"/>
        <w:insideV w:val="single" w:sz="4" w:space="0" w:color="0AEDB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4638" w:themeColor="accent4"/>
          <w:left w:val="single" w:sz="4" w:space="0" w:color="034638" w:themeColor="accent4"/>
          <w:bottom w:val="single" w:sz="4" w:space="0" w:color="034638" w:themeColor="accent4"/>
          <w:right w:val="single" w:sz="4" w:space="0" w:color="034638" w:themeColor="accent4"/>
          <w:insideH w:val="nil"/>
          <w:insideV w:val="nil"/>
        </w:tcBorders>
        <w:shd w:val="clear" w:color="auto" w:fill="034638" w:themeFill="accent4"/>
      </w:tcPr>
    </w:tblStylePr>
    <w:tblStylePr w:type="lastRow">
      <w:rPr>
        <w:b/>
        <w:bCs/>
      </w:rPr>
      <w:tblPr/>
      <w:tcPr>
        <w:tcBorders>
          <w:top w:val="double" w:sz="4" w:space="0" w:color="0346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BEA" w:themeFill="accent4" w:themeFillTint="33"/>
      </w:tcPr>
    </w:tblStylePr>
    <w:tblStylePr w:type="band1Horz">
      <w:tblPr/>
      <w:tcPr>
        <w:shd w:val="clear" w:color="auto" w:fill="AAFBEA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BA151E"/>
    <w:pPr>
      <w:spacing w:after="0" w:line="240" w:lineRule="auto"/>
    </w:pPr>
    <w:tblPr>
      <w:tblStyleRowBandSize w:val="1"/>
      <w:tblStyleColBandSize w:val="1"/>
      <w:tblBorders>
        <w:top w:val="single" w:sz="4" w:space="0" w:color="5AA3BD" w:themeColor="accent3" w:themeTint="99"/>
        <w:left w:val="single" w:sz="4" w:space="0" w:color="5AA3BD" w:themeColor="accent3" w:themeTint="99"/>
        <w:bottom w:val="single" w:sz="4" w:space="0" w:color="5AA3BD" w:themeColor="accent3" w:themeTint="99"/>
        <w:right w:val="single" w:sz="4" w:space="0" w:color="5AA3BD" w:themeColor="accent3" w:themeTint="99"/>
        <w:insideH w:val="single" w:sz="4" w:space="0" w:color="5AA3BD" w:themeColor="accent3" w:themeTint="99"/>
        <w:insideV w:val="single" w:sz="4" w:space="0" w:color="5AA3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4C5A" w:themeColor="accent3"/>
          <w:left w:val="single" w:sz="4" w:space="0" w:color="244C5A" w:themeColor="accent3"/>
          <w:bottom w:val="single" w:sz="4" w:space="0" w:color="244C5A" w:themeColor="accent3"/>
          <w:right w:val="single" w:sz="4" w:space="0" w:color="244C5A" w:themeColor="accent3"/>
          <w:insideH w:val="nil"/>
          <w:insideV w:val="nil"/>
        </w:tcBorders>
        <w:shd w:val="clear" w:color="auto" w:fill="244C5A" w:themeFill="accent3"/>
      </w:tcPr>
    </w:tblStylePr>
    <w:tblStylePr w:type="lastRow">
      <w:rPr>
        <w:b/>
        <w:bCs/>
      </w:rPr>
      <w:tblPr/>
      <w:tcPr>
        <w:tcBorders>
          <w:top w:val="double" w:sz="4" w:space="0" w:color="244C5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0E9" w:themeFill="accent3" w:themeFillTint="33"/>
      </w:tcPr>
    </w:tblStylePr>
    <w:tblStylePr w:type="band1Horz">
      <w:tblPr/>
      <w:tcPr>
        <w:shd w:val="clear" w:color="auto" w:fill="C8E0E9" w:themeFill="accent3" w:themeFillTint="33"/>
      </w:tcPr>
    </w:tblStylePr>
  </w:style>
  <w:style w:type="paragraph" w:styleId="Revisin">
    <w:name w:val="Revision"/>
    <w:hidden/>
    <w:uiPriority w:val="99"/>
    <w:semiHidden/>
    <w:rsid w:val="00E719AE"/>
    <w:pPr>
      <w:spacing w:after="0" w:line="240" w:lineRule="auto"/>
    </w:pPr>
  </w:style>
  <w:style w:type="table" w:customStyle="1" w:styleId="Tablaconcuadrcula4-nfasis21">
    <w:name w:val="Tabla con cuadrícula 4 - Énfasis 21"/>
    <w:basedOn w:val="Tablanormal"/>
    <w:next w:val="Tablaconcuadrcula4-nfasis2"/>
    <w:uiPriority w:val="49"/>
    <w:rsid w:val="00F8360E"/>
    <w:pPr>
      <w:spacing w:after="0" w:line="240" w:lineRule="auto"/>
    </w:pPr>
    <w:rPr>
      <w:rFonts w:ascii="Georgia" w:hAnsi="Georgia"/>
      <w:lang w:eastAsia="es-ES"/>
    </w:rPr>
    <w:tblPr>
      <w:tblStyleRowBandSize w:val="1"/>
      <w:tblStyleColBandSize w:val="1"/>
      <w:tblBorders>
        <w:top w:val="single" w:sz="4" w:space="0" w:color="83BBC1"/>
        <w:left w:val="single" w:sz="4" w:space="0" w:color="83BBC1"/>
        <w:bottom w:val="single" w:sz="4" w:space="0" w:color="83BBC1"/>
        <w:right w:val="single" w:sz="4" w:space="0" w:color="83BBC1"/>
        <w:insideH w:val="single" w:sz="4" w:space="0" w:color="83BBC1"/>
        <w:insideV w:val="single" w:sz="4" w:space="0" w:color="83BBC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38086"/>
          <w:left w:val="single" w:sz="4" w:space="0" w:color="438086"/>
          <w:bottom w:val="single" w:sz="4" w:space="0" w:color="438086"/>
          <w:right w:val="single" w:sz="4" w:space="0" w:color="438086"/>
          <w:insideH w:val="nil"/>
          <w:insideV w:val="nil"/>
        </w:tcBorders>
        <w:shd w:val="clear" w:color="auto" w:fill="438086"/>
      </w:tcPr>
    </w:tblStylePr>
    <w:tblStylePr w:type="lastRow">
      <w:rPr>
        <w:b/>
        <w:bCs/>
      </w:rPr>
      <w:tblPr/>
      <w:tcPr>
        <w:tcBorders>
          <w:top w:val="double" w:sz="4" w:space="0" w:color="43808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8EA"/>
      </w:tcPr>
    </w:tblStylePr>
    <w:tblStylePr w:type="band1Horz">
      <w:tblPr/>
      <w:tcPr>
        <w:shd w:val="clear" w:color="auto" w:fill="D5E8EA"/>
      </w:tcPr>
    </w:tblStylePr>
  </w:style>
  <w:style w:type="table" w:styleId="Listavistosa-nfasis2">
    <w:name w:val="Colorful List Accent 2"/>
    <w:basedOn w:val="Tablanormal"/>
    <w:uiPriority w:val="42"/>
    <w:rsid w:val="004F6BC7"/>
    <w:pPr>
      <w:spacing w:after="0" w:line="240" w:lineRule="auto"/>
    </w:pPr>
    <w:rPr>
      <w:color w:val="0C0C0C" w:themeColor="text1"/>
      <w:lang w:eastAsia="es-ES"/>
    </w:rPr>
    <w:tblPr>
      <w:tblStyleRowBandSize w:val="1"/>
      <w:tblStyleColBandSize w:val="1"/>
    </w:tblPr>
    <w:tcPr>
      <w:shd w:val="clear" w:color="auto" w:fill="FFF7E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7800" w:themeFill="accent2" w:themeFillShade="CC"/>
      </w:tcPr>
    </w:tblStylePr>
    <w:tblStylePr w:type="lastRow">
      <w:rPr>
        <w:b/>
        <w:bCs/>
        <w:color w:val="A27800" w:themeColor="accent2" w:themeShade="CC"/>
      </w:rPr>
      <w:tblPr/>
      <w:tcPr>
        <w:tcBorders>
          <w:top w:val="single" w:sz="12" w:space="0" w:color="0C0C0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B3" w:themeFill="accent2" w:themeFillTint="3F"/>
      </w:tcPr>
    </w:tblStylePr>
    <w:tblStylePr w:type="band1Horz">
      <w:tblPr/>
      <w:tcPr>
        <w:shd w:val="clear" w:color="auto" w:fill="FFEFC1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4F6BC7"/>
    <w:pPr>
      <w:spacing w:after="0" w:line="240" w:lineRule="auto"/>
    </w:pPr>
    <w:tblPr>
      <w:tblStyleRowBandSize w:val="1"/>
      <w:tblStyleColBandSize w:val="1"/>
      <w:tblBorders>
        <w:top w:val="single" w:sz="4" w:space="0" w:color="5AA3BD" w:themeColor="accent3" w:themeTint="99"/>
        <w:bottom w:val="single" w:sz="4" w:space="0" w:color="5AA3BD" w:themeColor="accent3" w:themeTint="99"/>
        <w:insideH w:val="single" w:sz="4" w:space="0" w:color="5AA3B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0E9" w:themeFill="accent3" w:themeFillTint="33"/>
      </w:tcPr>
    </w:tblStylePr>
    <w:tblStylePr w:type="band1Horz">
      <w:tblPr/>
      <w:tcPr>
        <w:shd w:val="clear" w:color="auto" w:fill="C8E0E9" w:themeFill="accent3" w:themeFillTint="33"/>
      </w:tcPr>
    </w:tblStylePr>
  </w:style>
  <w:style w:type="table" w:styleId="Tabladelista1clara-nfasis3">
    <w:name w:val="List Table 1 Light Accent 3"/>
    <w:basedOn w:val="Tablanormal"/>
    <w:uiPriority w:val="46"/>
    <w:rsid w:val="004F6B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AA3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AA3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0E9" w:themeFill="accent3" w:themeFillTint="33"/>
      </w:tcPr>
    </w:tblStylePr>
    <w:tblStylePr w:type="band1Horz">
      <w:tblPr/>
      <w:tcPr>
        <w:shd w:val="clear" w:color="auto" w:fill="C8E0E9" w:themeFill="accent3" w:themeFillTint="33"/>
      </w:tcPr>
    </w:tblStylePr>
  </w:style>
  <w:style w:type="table" w:styleId="Tablaconcuadrcula7concolores-nfasis6">
    <w:name w:val="Grid Table 7 Colorful Accent 6"/>
    <w:basedOn w:val="Tablanormal"/>
    <w:uiPriority w:val="52"/>
    <w:rsid w:val="004F6BC7"/>
    <w:pPr>
      <w:spacing w:after="0" w:line="240" w:lineRule="auto"/>
    </w:pPr>
    <w:rPr>
      <w:color w:val="023429" w:themeColor="accent6" w:themeShade="BF"/>
    </w:rPr>
    <w:tblPr>
      <w:tblStyleRowBandSize w:val="1"/>
      <w:tblStyleColBandSize w:val="1"/>
      <w:tblBorders>
        <w:top w:val="single" w:sz="4" w:space="0" w:color="0AEDBD" w:themeColor="accent6" w:themeTint="99"/>
        <w:left w:val="single" w:sz="4" w:space="0" w:color="0AEDBD" w:themeColor="accent6" w:themeTint="99"/>
        <w:bottom w:val="single" w:sz="4" w:space="0" w:color="0AEDBD" w:themeColor="accent6" w:themeTint="99"/>
        <w:right w:val="single" w:sz="4" w:space="0" w:color="0AEDBD" w:themeColor="accent6" w:themeTint="99"/>
        <w:insideH w:val="single" w:sz="4" w:space="0" w:color="0AEDBD" w:themeColor="accent6" w:themeTint="99"/>
        <w:insideV w:val="single" w:sz="4" w:space="0" w:color="0AED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BEA" w:themeFill="accent6" w:themeFillTint="33"/>
      </w:tcPr>
    </w:tblStylePr>
    <w:tblStylePr w:type="band1Horz">
      <w:tblPr/>
      <w:tcPr>
        <w:shd w:val="clear" w:color="auto" w:fill="AAFBEA" w:themeFill="accent6" w:themeFillTint="33"/>
      </w:tcPr>
    </w:tblStylePr>
    <w:tblStylePr w:type="neCell">
      <w:tblPr/>
      <w:tcPr>
        <w:tcBorders>
          <w:bottom w:val="single" w:sz="4" w:space="0" w:color="0AEDBD" w:themeColor="accent6" w:themeTint="99"/>
        </w:tcBorders>
      </w:tcPr>
    </w:tblStylePr>
    <w:tblStylePr w:type="nwCell">
      <w:tblPr/>
      <w:tcPr>
        <w:tcBorders>
          <w:bottom w:val="single" w:sz="4" w:space="0" w:color="0AEDBD" w:themeColor="accent6" w:themeTint="99"/>
        </w:tcBorders>
      </w:tcPr>
    </w:tblStylePr>
    <w:tblStylePr w:type="seCell">
      <w:tblPr/>
      <w:tcPr>
        <w:tcBorders>
          <w:top w:val="single" w:sz="4" w:space="0" w:color="0AEDBD" w:themeColor="accent6" w:themeTint="99"/>
        </w:tcBorders>
      </w:tcPr>
    </w:tblStylePr>
    <w:tblStylePr w:type="swCell">
      <w:tblPr/>
      <w:tcPr>
        <w:tcBorders>
          <w:top w:val="single" w:sz="4" w:space="0" w:color="0AEDB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ejodetransparencia.es/evaluacion/evaluacion2025/2025/tercera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tbg@consejodetransparencia.es" TargetMode="External"/><Relationship Id="rId1" Type="http://schemas.openxmlformats.org/officeDocument/2006/relationships/hyperlink" Target="mailto:ctbg@consejodetransparenci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rgbClr val="0C0C0C"/>
      </a:dk1>
      <a:lt1>
        <a:sysClr val="window" lastClr="FFFFFF"/>
      </a:lt1>
      <a:dk2>
        <a:srgbClr val="00806F"/>
      </a:dk2>
      <a:lt2>
        <a:srgbClr val="D6D2C4"/>
      </a:lt2>
      <a:accent1>
        <a:srgbClr val="00806F"/>
      </a:accent1>
      <a:accent2>
        <a:srgbClr val="CB9700"/>
      </a:accent2>
      <a:accent3>
        <a:srgbClr val="244C5A"/>
      </a:accent3>
      <a:accent4>
        <a:srgbClr val="034638"/>
      </a:accent4>
      <a:accent5>
        <a:srgbClr val="00806F"/>
      </a:accent5>
      <a:accent6>
        <a:srgbClr val="034638"/>
      </a:accent6>
      <a:hlink>
        <a:srgbClr val="034638"/>
      </a:hlink>
      <a:folHlink>
        <a:srgbClr val="CB97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5FD049-96EB-4473-A8A5-C7F6FF3C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1668</Words>
  <Characters>9180</Characters>
  <Application>Microsoft Office Word</Application>
  <DocSecurity>4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FJAD</dc:creator>
  <cp:lastModifiedBy>PILAR FERRANDEZ FACI</cp:lastModifiedBy>
  <cp:revision>2</cp:revision>
  <cp:lastPrinted>2025-11-25T16:11:00Z</cp:lastPrinted>
  <dcterms:created xsi:type="dcterms:W3CDTF">2025-12-04T10:10:00Z</dcterms:created>
  <dcterms:modified xsi:type="dcterms:W3CDTF">2025-12-04T10:10:00Z</dcterms:modified>
</cp:coreProperties>
</file>