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02FB" w14:textId="111EE413" w:rsidR="009C1C4B" w:rsidRDefault="009C1C4B" w:rsidP="007101D5">
      <w:pPr>
        <w:tabs>
          <w:tab w:val="left" w:pos="2535"/>
        </w:tabs>
        <w:spacing w:after="120"/>
        <w:rPr>
          <w:rFonts w:ascii="Mulish" w:eastAsia="Mulish" w:hAnsi="Mulish" w:cs="Mulish"/>
          <w:b/>
          <w:bCs/>
          <w:color w:val="0C0C0C" w:themeColor="text1"/>
          <w:lang w:eastAsia="es-ES" w:bidi="es-ES"/>
        </w:rPr>
      </w:pPr>
    </w:p>
    <w:p w14:paraId="4B2DF1EE" w14:textId="2D899ADE" w:rsidR="006B6EFF" w:rsidRDefault="006B6EFF" w:rsidP="00505230">
      <w:pPr>
        <w:jc w:val="center"/>
        <w:rPr>
          <w:b/>
          <w:bCs/>
          <w:sz w:val="28"/>
          <w:szCs w:val="28"/>
        </w:rPr>
      </w:pPr>
      <w:r w:rsidRPr="00F17B82">
        <w:rPr>
          <w:b/>
          <w:bCs/>
          <w:sz w:val="28"/>
          <w:szCs w:val="28"/>
        </w:rPr>
        <w:t xml:space="preserve">EL CONSEJO DE TRANSPARENCIA </w:t>
      </w:r>
      <w:r w:rsidR="00BF17A1">
        <w:rPr>
          <w:b/>
          <w:bCs/>
          <w:sz w:val="28"/>
          <w:szCs w:val="28"/>
        </w:rPr>
        <w:t xml:space="preserve">EVALUARÁ EN 2026 SI </w:t>
      </w:r>
      <w:r w:rsidR="00D153E5">
        <w:rPr>
          <w:b/>
          <w:bCs/>
          <w:sz w:val="28"/>
          <w:szCs w:val="28"/>
        </w:rPr>
        <w:t>MÁS DE 300 ENTIDADES</w:t>
      </w:r>
      <w:r w:rsidR="00BF17A1">
        <w:rPr>
          <w:b/>
          <w:bCs/>
          <w:sz w:val="28"/>
          <w:szCs w:val="28"/>
        </w:rPr>
        <w:t xml:space="preserve"> CUMPLEN CON SUS OBLIGACIONES DE TRANSPARENCIA </w:t>
      </w:r>
    </w:p>
    <w:p w14:paraId="0E385E19" w14:textId="77777777" w:rsidR="006B6EFF" w:rsidRDefault="006B6EFF" w:rsidP="007101D5">
      <w:pPr>
        <w:tabs>
          <w:tab w:val="left" w:pos="2535"/>
        </w:tabs>
        <w:spacing w:after="120"/>
        <w:rPr>
          <w:rFonts w:ascii="Mulish" w:eastAsia="Mulish" w:hAnsi="Mulish" w:cs="Mulish"/>
          <w:b/>
          <w:bCs/>
          <w:color w:val="0C0C0C" w:themeColor="text1"/>
          <w:lang w:eastAsia="es-ES" w:bidi="es-ES"/>
        </w:rPr>
      </w:pPr>
    </w:p>
    <w:p w14:paraId="612417B0" w14:textId="37A491FC" w:rsidR="006B6EFF" w:rsidRDefault="00BF17A1" w:rsidP="006B6EFF">
      <w:pPr>
        <w:pStyle w:val="Prrafodelista"/>
        <w:numPr>
          <w:ilvl w:val="0"/>
          <w:numId w:val="1"/>
        </w:numPr>
        <w:tabs>
          <w:tab w:val="left" w:pos="2535"/>
        </w:tabs>
        <w:ind w:left="714" w:hanging="357"/>
        <w:contextualSpacing w:val="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 xml:space="preserve">La autoridad independiente que vela por el cumplimiento de la Ley de Transparencia ha publicado su Plan de Evaluación 2026, donde establece las categorías de entidades cuyo portal de transparencia revisará en este ejercicio. </w:t>
      </w:r>
    </w:p>
    <w:p w14:paraId="645CE041" w14:textId="27D9DF2A" w:rsidR="00BF17A1" w:rsidRPr="00C42BCF" w:rsidRDefault="00BF17A1" w:rsidP="00505230">
      <w:pPr>
        <w:pStyle w:val="Prrafodelista"/>
        <w:numPr>
          <w:ilvl w:val="0"/>
          <w:numId w:val="1"/>
        </w:numPr>
        <w:tabs>
          <w:tab w:val="left" w:pos="2535"/>
        </w:tabs>
        <w:ind w:left="714" w:hanging="357"/>
        <w:contextualSpacing w:val="0"/>
        <w:jc w:val="both"/>
        <w:rPr>
          <w:rFonts w:ascii="Mulish" w:eastAsia="Mulish" w:hAnsi="Mulish" w:cs="Mulish"/>
          <w:color w:val="0C0C0C" w:themeColor="text1"/>
          <w:lang w:eastAsia="es-ES" w:bidi="es-ES"/>
        </w:rPr>
      </w:pPr>
      <w:r w:rsidRPr="00C42BCF">
        <w:rPr>
          <w:rFonts w:ascii="Mulish" w:eastAsia="Mulish" w:hAnsi="Mulish" w:cs="Mulish"/>
          <w:color w:val="0C0C0C" w:themeColor="text1"/>
          <w:lang w:eastAsia="es-ES" w:bidi="es-ES"/>
        </w:rPr>
        <w:t>Se volverá a evaluar</w:t>
      </w:r>
      <w:r w:rsidR="00E110C5">
        <w:rPr>
          <w:rFonts w:ascii="Mulish" w:eastAsia="Mulish" w:hAnsi="Mulish" w:cs="Mulish"/>
          <w:color w:val="0C0C0C" w:themeColor="text1"/>
          <w:lang w:eastAsia="es-ES" w:bidi="es-ES"/>
        </w:rPr>
        <w:t xml:space="preserve">, entre otros, </w:t>
      </w:r>
      <w:r w:rsidRPr="00C42BCF">
        <w:rPr>
          <w:rFonts w:ascii="Mulish" w:eastAsia="Mulish" w:hAnsi="Mulish" w:cs="Mulish"/>
          <w:color w:val="0C0C0C" w:themeColor="text1"/>
          <w:lang w:eastAsia="es-ES" w:bidi="es-ES"/>
        </w:rPr>
        <w:t xml:space="preserve">el cumplimiento de las </w:t>
      </w:r>
      <w:r w:rsidR="00C4079C">
        <w:rPr>
          <w:rFonts w:ascii="Mulish" w:eastAsia="Mulish" w:hAnsi="Mulish" w:cs="Mulish"/>
          <w:color w:val="0C0C0C" w:themeColor="text1"/>
          <w:lang w:eastAsia="es-ES" w:bidi="es-ES"/>
        </w:rPr>
        <w:t>obligaciones de</w:t>
      </w:r>
      <w:r>
        <w:rPr>
          <w:rFonts w:ascii="Mulish" w:eastAsia="Mulish" w:hAnsi="Mulish" w:cs="Mulish"/>
          <w:color w:val="0C0C0C" w:themeColor="text1"/>
          <w:lang w:eastAsia="es-ES" w:bidi="es-ES"/>
        </w:rPr>
        <w:t xml:space="preserve"> publicidad </w:t>
      </w:r>
      <w:r w:rsidR="00E110C5">
        <w:rPr>
          <w:rFonts w:ascii="Mulish" w:eastAsia="Mulish" w:hAnsi="Mulish" w:cs="Mulish"/>
          <w:color w:val="0C0C0C" w:themeColor="text1"/>
          <w:lang w:eastAsia="es-ES" w:bidi="es-ES"/>
        </w:rPr>
        <w:t>activ</w:t>
      </w:r>
      <w:r w:rsidR="00E7103E">
        <w:rPr>
          <w:rFonts w:ascii="Mulish" w:eastAsia="Mulish" w:hAnsi="Mulish" w:cs="Mulish"/>
          <w:color w:val="0C0C0C" w:themeColor="text1"/>
          <w:lang w:eastAsia="es-ES" w:bidi="es-ES"/>
        </w:rPr>
        <w:t xml:space="preserve">a </w:t>
      </w:r>
      <w:r w:rsidR="00E110C5">
        <w:rPr>
          <w:rFonts w:ascii="Mulish" w:eastAsia="Mulish" w:hAnsi="Mulish" w:cs="Mulish"/>
          <w:color w:val="0C0C0C" w:themeColor="text1"/>
          <w:lang w:eastAsia="es-ES" w:bidi="es-ES"/>
        </w:rPr>
        <w:t>del</w:t>
      </w:r>
      <w:r w:rsidRPr="00C42BCF">
        <w:rPr>
          <w:rFonts w:ascii="Mulish" w:eastAsia="Mulish" w:hAnsi="Mulish" w:cs="Mulish"/>
          <w:color w:val="0C0C0C" w:themeColor="text1"/>
          <w:lang w:eastAsia="es-ES" w:bidi="es-ES"/>
        </w:rPr>
        <w:t xml:space="preserve"> Portal de</w:t>
      </w:r>
      <w:r w:rsidR="00E7103E">
        <w:rPr>
          <w:rFonts w:ascii="Mulish" w:eastAsia="Mulish" w:hAnsi="Mulish" w:cs="Mulish"/>
          <w:color w:val="0C0C0C" w:themeColor="text1"/>
          <w:lang w:eastAsia="es-ES" w:bidi="es-ES"/>
        </w:rPr>
        <w:t xml:space="preserve"> </w:t>
      </w:r>
      <w:r w:rsidRPr="00C42BCF">
        <w:rPr>
          <w:rFonts w:ascii="Mulish" w:eastAsia="Mulish" w:hAnsi="Mulish" w:cs="Mulish"/>
          <w:color w:val="0C0C0C" w:themeColor="text1"/>
          <w:lang w:eastAsia="es-ES" w:bidi="es-ES"/>
        </w:rPr>
        <w:t>Transparencia de la AGE</w:t>
      </w:r>
      <w:r w:rsidR="00E110C5">
        <w:rPr>
          <w:rFonts w:ascii="Mulish" w:eastAsia="Mulish" w:hAnsi="Mulish" w:cs="Mulish"/>
          <w:color w:val="0C0C0C" w:themeColor="text1"/>
          <w:lang w:eastAsia="es-ES" w:bidi="es-ES"/>
        </w:rPr>
        <w:t>, de entidades privadas que reciben subvenciones,</w:t>
      </w:r>
      <w:r w:rsidRPr="00C42BCF">
        <w:rPr>
          <w:rFonts w:ascii="Mulish" w:eastAsia="Mulish" w:hAnsi="Mulish" w:cs="Mulish"/>
          <w:color w:val="0C0C0C" w:themeColor="text1"/>
          <w:lang w:eastAsia="es-ES" w:bidi="es-ES"/>
        </w:rPr>
        <w:t xml:space="preserve"> y </w:t>
      </w:r>
      <w:r w:rsidR="00E110C5">
        <w:rPr>
          <w:rFonts w:ascii="Mulish" w:eastAsia="Mulish" w:hAnsi="Mulish" w:cs="Mulish"/>
          <w:color w:val="0C0C0C" w:themeColor="text1"/>
          <w:lang w:eastAsia="es-ES" w:bidi="es-ES"/>
        </w:rPr>
        <w:t xml:space="preserve">de </w:t>
      </w:r>
      <w:r w:rsidRPr="00C42BCF">
        <w:rPr>
          <w:rFonts w:ascii="Mulish" w:eastAsia="Mulish" w:hAnsi="Mulish" w:cs="Mulish"/>
          <w:color w:val="0C0C0C" w:themeColor="text1"/>
          <w:lang w:eastAsia="es-ES" w:bidi="es-ES"/>
        </w:rPr>
        <w:t xml:space="preserve">los partidos políticos de ámbito estatal con representación en el Congreso. </w:t>
      </w:r>
    </w:p>
    <w:p w14:paraId="68DF94D0" w14:textId="1F1322E8" w:rsidR="00BF17A1" w:rsidRPr="006B6EFF" w:rsidRDefault="00BF17A1" w:rsidP="006B6EFF">
      <w:pPr>
        <w:pStyle w:val="Prrafodelista"/>
        <w:numPr>
          <w:ilvl w:val="0"/>
          <w:numId w:val="1"/>
        </w:numPr>
        <w:tabs>
          <w:tab w:val="left" w:pos="2535"/>
        </w:tabs>
        <w:ind w:left="714" w:hanging="357"/>
        <w:contextualSpacing w:val="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Como novedad, este año se incluye la posibilidad de que entidades que fueron evaluadas con anterioridad se sometan a una evaluación voluntaria</w:t>
      </w:r>
      <w:r w:rsidR="00E110C5">
        <w:rPr>
          <w:rFonts w:ascii="Mulish" w:eastAsia="Mulish" w:hAnsi="Mulish" w:cs="Mulish"/>
          <w:color w:val="0C0C0C" w:themeColor="text1"/>
          <w:lang w:eastAsia="es-ES" w:bidi="es-ES"/>
        </w:rPr>
        <w:t xml:space="preserve">. </w:t>
      </w:r>
    </w:p>
    <w:p w14:paraId="193074AC" w14:textId="77777777" w:rsidR="00BF17A1" w:rsidRDefault="00BF17A1" w:rsidP="00BF17A1">
      <w:pPr>
        <w:spacing w:after="0"/>
        <w:jc w:val="both"/>
        <w:rPr>
          <w:rFonts w:ascii="Mulish" w:eastAsia="Mulish" w:hAnsi="Mulish" w:cs="Mulish"/>
          <w:color w:val="0C0C0C" w:themeColor="text1"/>
          <w:u w:val="single"/>
          <w:lang w:eastAsia="es-ES" w:bidi="es-ES"/>
        </w:rPr>
      </w:pPr>
    </w:p>
    <w:p w14:paraId="0B053DF1" w14:textId="286918B7" w:rsidR="00BF17A1" w:rsidRDefault="00BF17A1" w:rsidP="00C4079C">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Madrid</w:t>
      </w:r>
      <w:r w:rsidRPr="008C0F8C">
        <w:rPr>
          <w:rFonts w:ascii="Mulish" w:eastAsia="Mulish" w:hAnsi="Mulish" w:cs="Mulish"/>
          <w:color w:val="0C0C0C" w:themeColor="text1"/>
          <w:lang w:eastAsia="es-ES" w:bidi="es-ES"/>
        </w:rPr>
        <w:t xml:space="preserve">, </w:t>
      </w:r>
      <w:r w:rsidR="00652D0B" w:rsidRPr="008C0F8C">
        <w:rPr>
          <w:rFonts w:ascii="Mulish" w:eastAsia="Mulish" w:hAnsi="Mulish" w:cs="Mulish"/>
          <w:color w:val="0C0C0C" w:themeColor="text1"/>
          <w:lang w:eastAsia="es-ES" w:bidi="es-ES"/>
        </w:rPr>
        <w:t>30</w:t>
      </w:r>
      <w:r w:rsidRPr="008C0F8C">
        <w:rPr>
          <w:rFonts w:ascii="Mulish" w:eastAsia="Mulish" w:hAnsi="Mulish" w:cs="Mulish"/>
          <w:color w:val="0C0C0C" w:themeColor="text1"/>
          <w:lang w:eastAsia="es-ES" w:bidi="es-ES"/>
        </w:rPr>
        <w:t xml:space="preserve"> de</w:t>
      </w:r>
      <w:r w:rsidRPr="00BF17A1">
        <w:rPr>
          <w:rFonts w:ascii="Mulish" w:eastAsia="Mulish" w:hAnsi="Mulish" w:cs="Mulish"/>
          <w:color w:val="0C0C0C" w:themeColor="text1"/>
          <w:lang w:eastAsia="es-ES" w:bidi="es-ES"/>
        </w:rPr>
        <w:t xml:space="preserve"> enero de 202</w:t>
      </w:r>
      <w:r w:rsidR="00D153E5">
        <w:rPr>
          <w:rFonts w:ascii="Mulish" w:eastAsia="Mulish" w:hAnsi="Mulish" w:cs="Mulish"/>
          <w:color w:val="0C0C0C" w:themeColor="text1"/>
          <w:lang w:eastAsia="es-ES" w:bidi="es-ES"/>
        </w:rPr>
        <w:t>6</w:t>
      </w:r>
      <w:r w:rsidRPr="00BF17A1">
        <w:rPr>
          <w:rFonts w:ascii="Mulish" w:eastAsia="Mulish" w:hAnsi="Mulish" w:cs="Mulish"/>
          <w:color w:val="0C0C0C" w:themeColor="text1"/>
          <w:lang w:eastAsia="es-ES" w:bidi="es-ES"/>
        </w:rPr>
        <w:t xml:space="preserve">.- El Consejo de Transparencia y Buen Gobierno, autoridad independiente </w:t>
      </w:r>
      <w:r w:rsidR="00C4079C">
        <w:rPr>
          <w:rFonts w:ascii="Mulish" w:eastAsia="Mulish" w:hAnsi="Mulish" w:cs="Mulish"/>
          <w:color w:val="0C0C0C" w:themeColor="text1"/>
          <w:lang w:eastAsia="es-ES" w:bidi="es-ES"/>
        </w:rPr>
        <w:t>que vela por</w:t>
      </w:r>
      <w:r w:rsidRPr="00BF17A1">
        <w:rPr>
          <w:rFonts w:ascii="Mulish" w:eastAsia="Mulish" w:hAnsi="Mulish" w:cs="Mulish"/>
          <w:color w:val="0C0C0C" w:themeColor="text1"/>
          <w:lang w:eastAsia="es-ES" w:bidi="es-ES"/>
        </w:rPr>
        <w:t xml:space="preserve"> del cumplimiento de la Ley 19/2013 de transparencia, acceso a la información pública y buen gobierno (LTAIBG)</w:t>
      </w:r>
      <w:r w:rsidR="00C4079C">
        <w:rPr>
          <w:rFonts w:ascii="Mulish" w:eastAsia="Mulish" w:hAnsi="Mulish" w:cs="Mulish"/>
          <w:color w:val="0C0C0C" w:themeColor="text1"/>
          <w:lang w:eastAsia="es-ES" w:bidi="es-ES"/>
        </w:rPr>
        <w:t xml:space="preserve"> en el nivel estatal</w:t>
      </w:r>
      <w:r w:rsidRPr="00BF17A1">
        <w:rPr>
          <w:rFonts w:ascii="Mulish" w:eastAsia="Mulish" w:hAnsi="Mulish" w:cs="Mulish"/>
          <w:color w:val="0C0C0C" w:themeColor="text1"/>
          <w:lang w:eastAsia="es-ES" w:bidi="es-ES"/>
        </w:rPr>
        <w:t xml:space="preserve">, ha publicado hoy su </w:t>
      </w:r>
      <w:hyperlink r:id="rId8" w:history="1">
        <w:r w:rsidRPr="005C0B56">
          <w:rPr>
            <w:rStyle w:val="Hipervnculo"/>
            <w:rFonts w:ascii="Mulish" w:eastAsia="Mulish" w:hAnsi="Mulish" w:cs="Mulish"/>
            <w:lang w:eastAsia="es-ES" w:bidi="es-ES"/>
          </w:rPr>
          <w:t>Plan de Evaluación anual</w:t>
        </w:r>
      </w:hyperlink>
      <w:r w:rsidRPr="00BF17A1">
        <w:rPr>
          <w:rFonts w:ascii="Mulish" w:eastAsia="Mulish" w:hAnsi="Mulish" w:cs="Mulish"/>
          <w:color w:val="0C0C0C" w:themeColor="text1"/>
          <w:lang w:eastAsia="es-ES" w:bidi="es-ES"/>
        </w:rPr>
        <w:t xml:space="preserve"> correspondiente a 202</w:t>
      </w:r>
      <w:r>
        <w:rPr>
          <w:rFonts w:ascii="Mulish" w:eastAsia="Mulish" w:hAnsi="Mulish" w:cs="Mulish"/>
          <w:color w:val="0C0C0C" w:themeColor="text1"/>
          <w:lang w:eastAsia="es-ES" w:bidi="es-ES"/>
        </w:rPr>
        <w:t>6</w:t>
      </w:r>
      <w:r w:rsidRPr="00BF17A1">
        <w:rPr>
          <w:rFonts w:ascii="Mulish" w:eastAsia="Mulish" w:hAnsi="Mulish" w:cs="Mulish"/>
          <w:color w:val="0C0C0C" w:themeColor="text1"/>
          <w:lang w:eastAsia="es-ES" w:bidi="es-ES"/>
        </w:rPr>
        <w:t xml:space="preserve">. El Consejo evaluará en este ejercicio si </w:t>
      </w:r>
      <w:r w:rsidR="008C0F8C">
        <w:rPr>
          <w:rFonts w:ascii="Mulish" w:eastAsia="Mulish" w:hAnsi="Mulish" w:cs="Mulish"/>
          <w:color w:val="0C0C0C" w:themeColor="text1"/>
          <w:lang w:eastAsia="es-ES" w:bidi="es-ES"/>
        </w:rPr>
        <w:t xml:space="preserve">más de 300 </w:t>
      </w:r>
      <w:r w:rsidRPr="00BF17A1">
        <w:rPr>
          <w:rFonts w:ascii="Mulish" w:eastAsia="Mulish" w:hAnsi="Mulish" w:cs="Mulish"/>
          <w:color w:val="0C0C0C" w:themeColor="text1"/>
          <w:lang w:eastAsia="es-ES" w:bidi="es-ES"/>
        </w:rPr>
        <w:t xml:space="preserve">instituciones, organismos y entidades públicas y privadas cumplen con las obligaciones </w:t>
      </w:r>
      <w:r w:rsidR="00C4079C">
        <w:rPr>
          <w:rFonts w:ascii="Mulish" w:eastAsia="Mulish" w:hAnsi="Mulish" w:cs="Mulish"/>
          <w:color w:val="0C0C0C" w:themeColor="text1"/>
          <w:lang w:eastAsia="es-ES" w:bidi="es-ES"/>
        </w:rPr>
        <w:t xml:space="preserve">de publicidad activa </w:t>
      </w:r>
      <w:r w:rsidRPr="00BF17A1">
        <w:rPr>
          <w:rFonts w:ascii="Mulish" w:eastAsia="Mulish" w:hAnsi="Mulish" w:cs="Mulish"/>
          <w:color w:val="0C0C0C" w:themeColor="text1"/>
          <w:lang w:eastAsia="es-ES" w:bidi="es-ES"/>
        </w:rPr>
        <w:t>que les impone la Ley de Transparencia</w:t>
      </w:r>
      <w:r w:rsidR="00C4079C">
        <w:rPr>
          <w:rFonts w:ascii="Mulish" w:eastAsia="Mulish" w:hAnsi="Mulish" w:cs="Mulish"/>
          <w:color w:val="0C0C0C" w:themeColor="text1"/>
          <w:lang w:eastAsia="es-ES" w:bidi="es-ES"/>
        </w:rPr>
        <w:t>,</w:t>
      </w:r>
      <w:r w:rsidRPr="00BF17A1">
        <w:rPr>
          <w:rFonts w:ascii="Mulish" w:eastAsia="Mulish" w:hAnsi="Mulish" w:cs="Mulish"/>
          <w:color w:val="0C0C0C" w:themeColor="text1"/>
          <w:lang w:eastAsia="es-ES" w:bidi="es-ES"/>
        </w:rPr>
        <w:t xml:space="preserve"> es decir, si publican en sus páginas web institucionales la información de interés público que determina la Ley. </w:t>
      </w:r>
    </w:p>
    <w:p w14:paraId="7ED509A8" w14:textId="340AE318" w:rsidR="007323A9" w:rsidRDefault="007323A9" w:rsidP="00C4079C">
      <w:pPr>
        <w:spacing w:after="0"/>
        <w:jc w:val="both"/>
        <w:rPr>
          <w:rFonts w:ascii="Mulish" w:eastAsia="Mulish" w:hAnsi="Mulish" w:cs="Mulish"/>
          <w:color w:val="0C0C0C" w:themeColor="text1"/>
          <w:lang w:eastAsia="es-ES" w:bidi="es-ES"/>
        </w:rPr>
      </w:pPr>
    </w:p>
    <w:p w14:paraId="34A28F88" w14:textId="0C377A1A" w:rsidR="007323A9" w:rsidRDefault="007323A9" w:rsidP="00C42BCF">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En su labor de evaluación, el Consejo calcula el Í</w:t>
      </w:r>
      <w:r w:rsidRPr="00505230">
        <w:rPr>
          <w:rFonts w:ascii="Mulish" w:eastAsia="Mulish" w:hAnsi="Mulish" w:cs="Mulish"/>
          <w:color w:val="0C0C0C" w:themeColor="text1"/>
          <w:lang w:eastAsia="es-ES" w:bidi="es-ES"/>
        </w:rPr>
        <w:t>ndice de Cumplimiento de la Información</w:t>
      </w:r>
      <w:r w:rsidR="00D153E5">
        <w:rPr>
          <w:rFonts w:ascii="Mulish" w:eastAsia="Mulish" w:hAnsi="Mulish" w:cs="Mulish"/>
          <w:color w:val="0C0C0C" w:themeColor="text1"/>
          <w:lang w:eastAsia="es-ES" w:bidi="es-ES"/>
        </w:rPr>
        <w:t xml:space="preserve"> </w:t>
      </w:r>
      <w:r w:rsidRPr="00505230">
        <w:rPr>
          <w:rFonts w:ascii="Mulish" w:eastAsia="Mulish" w:hAnsi="Mulish" w:cs="Mulish"/>
          <w:color w:val="0C0C0C" w:themeColor="text1"/>
          <w:lang w:eastAsia="es-ES" w:bidi="es-ES"/>
        </w:rPr>
        <w:t xml:space="preserve">Obligatoria (ICIO) de cada </w:t>
      </w:r>
      <w:r w:rsidR="00D153E5">
        <w:rPr>
          <w:rFonts w:ascii="Mulish" w:eastAsia="Mulish" w:hAnsi="Mulish" w:cs="Mulish"/>
          <w:color w:val="0C0C0C" w:themeColor="text1"/>
          <w:lang w:eastAsia="es-ES" w:bidi="es-ES"/>
        </w:rPr>
        <w:t xml:space="preserve">una de las </w:t>
      </w:r>
      <w:r w:rsidRPr="00505230">
        <w:rPr>
          <w:rFonts w:ascii="Mulish" w:eastAsia="Mulish" w:hAnsi="Mulish" w:cs="Mulish"/>
          <w:color w:val="0C0C0C" w:themeColor="text1"/>
          <w:lang w:eastAsia="es-ES" w:bidi="es-ES"/>
        </w:rPr>
        <w:t>entidad</w:t>
      </w:r>
      <w:r w:rsidR="00D153E5">
        <w:rPr>
          <w:rFonts w:ascii="Mulish" w:eastAsia="Mulish" w:hAnsi="Mulish" w:cs="Mulish"/>
          <w:color w:val="0C0C0C" w:themeColor="text1"/>
          <w:lang w:eastAsia="es-ES" w:bidi="es-ES"/>
        </w:rPr>
        <w:t>es</w:t>
      </w:r>
      <w:r w:rsidRPr="00505230">
        <w:rPr>
          <w:rFonts w:ascii="Mulish" w:eastAsia="Mulish" w:hAnsi="Mulish" w:cs="Mulish"/>
          <w:color w:val="0C0C0C" w:themeColor="text1"/>
          <w:lang w:eastAsia="es-ES" w:bidi="es-ES"/>
        </w:rPr>
        <w:t xml:space="preserve"> y</w:t>
      </w:r>
      <w:r w:rsidR="00D153E5">
        <w:rPr>
          <w:rFonts w:ascii="Mulish" w:eastAsia="Mulish" w:hAnsi="Mulish" w:cs="Mulish"/>
          <w:color w:val="0C0C0C" w:themeColor="text1"/>
          <w:lang w:eastAsia="es-ES" w:bidi="es-ES"/>
        </w:rPr>
        <w:t xml:space="preserve"> les </w:t>
      </w:r>
      <w:r w:rsidRPr="00505230">
        <w:rPr>
          <w:rFonts w:ascii="Mulish" w:eastAsia="Mulish" w:hAnsi="Mulish" w:cs="Mulish"/>
          <w:color w:val="0C0C0C" w:themeColor="text1"/>
          <w:lang w:eastAsia="es-ES" w:bidi="es-ES"/>
        </w:rPr>
        <w:t xml:space="preserve">formula indicaciones específicas </w:t>
      </w:r>
      <w:r w:rsidR="00E110C5">
        <w:rPr>
          <w:rFonts w:ascii="Mulish" w:eastAsia="Mulish" w:hAnsi="Mulish" w:cs="Mulish"/>
          <w:color w:val="0C0C0C" w:themeColor="text1"/>
          <w:lang w:eastAsia="es-ES" w:bidi="es-ES"/>
        </w:rPr>
        <w:t xml:space="preserve">para </w:t>
      </w:r>
      <w:r w:rsidR="00D153E5">
        <w:rPr>
          <w:rFonts w:ascii="Mulish" w:eastAsia="Mulish" w:hAnsi="Mulish" w:cs="Mulish"/>
          <w:color w:val="0C0C0C" w:themeColor="text1"/>
          <w:lang w:eastAsia="es-ES" w:bidi="es-ES"/>
        </w:rPr>
        <w:t>ayudarles a alcanzar pleno cumplimiento de</w:t>
      </w:r>
      <w:r w:rsidRPr="00505230">
        <w:rPr>
          <w:rFonts w:ascii="Mulish" w:eastAsia="Mulish" w:hAnsi="Mulish" w:cs="Mulish"/>
          <w:color w:val="0C0C0C" w:themeColor="text1"/>
          <w:lang w:eastAsia="es-ES" w:bidi="es-ES"/>
        </w:rPr>
        <w:t xml:space="preserve"> la Ley de Transparencia. </w:t>
      </w:r>
    </w:p>
    <w:p w14:paraId="369A80BB" w14:textId="77777777" w:rsidR="00BF17A1" w:rsidRPr="00BF17A1" w:rsidRDefault="00BF17A1" w:rsidP="00C42BCF">
      <w:pPr>
        <w:spacing w:after="0"/>
        <w:jc w:val="both"/>
        <w:rPr>
          <w:rFonts w:ascii="Mulish" w:eastAsia="Mulish" w:hAnsi="Mulish" w:cs="Mulish"/>
          <w:color w:val="0C0C0C" w:themeColor="text1"/>
          <w:lang w:eastAsia="es-ES" w:bidi="es-ES"/>
        </w:rPr>
      </w:pPr>
    </w:p>
    <w:p w14:paraId="43182EAA" w14:textId="5F6F8EB5" w:rsidR="00BF17A1" w:rsidRPr="00BF17A1" w:rsidRDefault="00BF17A1" w:rsidP="00C42BCF">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El Consejo realiza toda la evaluación con recursos propios, utilizando la metodología MESTA, desarrollada conjuntamente con la extinta Agencia de Evaluación de las Políticas </w:t>
      </w:r>
    </w:p>
    <w:p w14:paraId="5D2B3034" w14:textId="6AC6C745" w:rsidR="00BF17A1" w:rsidRDefault="00BF17A1" w:rsidP="00C42BCF">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Públicas (AEVAL). Tanto los informes provisionales de evaluación de cada una de las entidades como las alegaciones efectuadas, en su caso, por los sujetos evaluados, así como el informe definitivo, se publican en la </w:t>
      </w:r>
      <w:hyperlink r:id="rId9" w:history="1">
        <w:r w:rsidRPr="00C4079C">
          <w:rPr>
            <w:rStyle w:val="Hipervnculo"/>
            <w:rFonts w:ascii="Mulish" w:eastAsia="Mulish" w:hAnsi="Mulish" w:cs="Mulish"/>
            <w:lang w:eastAsia="es-ES" w:bidi="es-ES"/>
          </w:rPr>
          <w:t>web del Consejo</w:t>
        </w:r>
      </w:hyperlink>
      <w:r w:rsidRPr="00BF17A1">
        <w:rPr>
          <w:rFonts w:ascii="Mulish" w:eastAsia="Mulish" w:hAnsi="Mulish" w:cs="Mulish"/>
          <w:color w:val="0C0C0C" w:themeColor="text1"/>
          <w:lang w:eastAsia="es-ES" w:bidi="es-ES"/>
        </w:rPr>
        <w:t xml:space="preserve"> tan pronto finaliza la evaluación de cada grupo de sujetos evaluados. </w:t>
      </w:r>
    </w:p>
    <w:p w14:paraId="76A4A65D" w14:textId="77777777" w:rsidR="00BF17A1" w:rsidRPr="00BF17A1" w:rsidRDefault="00BF17A1" w:rsidP="00BF17A1">
      <w:pPr>
        <w:spacing w:after="0"/>
        <w:jc w:val="both"/>
        <w:rPr>
          <w:rFonts w:ascii="Mulish" w:eastAsia="Mulish" w:hAnsi="Mulish" w:cs="Mulish"/>
          <w:color w:val="0C0C0C" w:themeColor="text1"/>
          <w:lang w:eastAsia="es-ES" w:bidi="es-ES"/>
        </w:rPr>
      </w:pPr>
    </w:p>
    <w:p w14:paraId="5F3BAEDB" w14:textId="1E116179" w:rsidR="00BF17A1" w:rsidRPr="00505230" w:rsidRDefault="00BF17A1" w:rsidP="00BF17A1">
      <w:pPr>
        <w:spacing w:after="0"/>
        <w:jc w:val="both"/>
        <w:rPr>
          <w:rFonts w:ascii="Mulish" w:eastAsia="Mulish" w:hAnsi="Mulish" w:cs="Mulish"/>
          <w:b/>
          <w:bCs/>
          <w:color w:val="00806F" w:themeColor="text2"/>
          <w:lang w:eastAsia="es-ES" w:bidi="es-ES"/>
        </w:rPr>
      </w:pPr>
      <w:r w:rsidRPr="00505230">
        <w:rPr>
          <w:rFonts w:ascii="Mulish" w:eastAsia="Mulish" w:hAnsi="Mulish" w:cs="Mulish"/>
          <w:b/>
          <w:bCs/>
          <w:color w:val="00806F" w:themeColor="text2"/>
          <w:lang w:eastAsia="es-ES" w:bidi="es-ES"/>
        </w:rPr>
        <w:t xml:space="preserve">Categorías de entidades que serán evaluadas en 2026 </w:t>
      </w:r>
    </w:p>
    <w:p w14:paraId="1BD52086" w14:textId="77777777" w:rsidR="00BF17A1" w:rsidRPr="00505230" w:rsidRDefault="00BF17A1" w:rsidP="00BF17A1">
      <w:pPr>
        <w:spacing w:after="0"/>
        <w:jc w:val="both"/>
        <w:rPr>
          <w:rFonts w:ascii="Mulish" w:eastAsia="Mulish" w:hAnsi="Mulish" w:cs="Mulish"/>
          <w:b/>
          <w:bCs/>
          <w:color w:val="00806F" w:themeColor="text2"/>
          <w:lang w:eastAsia="es-ES" w:bidi="es-ES"/>
        </w:rPr>
      </w:pPr>
    </w:p>
    <w:p w14:paraId="023F93D3" w14:textId="02C3D446" w:rsidR="00BF17A1" w:rsidRDefault="00BF17A1" w:rsidP="00C42BCF">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Por una parte, al igual que en los años anteriores, en 202</w:t>
      </w:r>
      <w:r>
        <w:rPr>
          <w:rFonts w:ascii="Mulish" w:eastAsia="Mulish" w:hAnsi="Mulish" w:cs="Mulish"/>
          <w:color w:val="0C0C0C" w:themeColor="text1"/>
          <w:lang w:eastAsia="es-ES" w:bidi="es-ES"/>
        </w:rPr>
        <w:t xml:space="preserve">6 </w:t>
      </w:r>
      <w:r w:rsidRPr="00BF17A1">
        <w:rPr>
          <w:rFonts w:ascii="Mulish" w:eastAsia="Mulish" w:hAnsi="Mulish" w:cs="Mulish"/>
          <w:color w:val="0C0C0C" w:themeColor="text1"/>
          <w:lang w:eastAsia="es-ES" w:bidi="es-ES"/>
        </w:rPr>
        <w:t xml:space="preserve">se volverá a evaluar el </w:t>
      </w:r>
      <w:r w:rsidRPr="00505230">
        <w:rPr>
          <w:rFonts w:ascii="Mulish" w:eastAsia="Mulish" w:hAnsi="Mulish" w:cs="Mulish"/>
          <w:b/>
          <w:bCs/>
          <w:color w:val="0C0C0C" w:themeColor="text1"/>
          <w:lang w:eastAsia="es-ES" w:bidi="es-ES"/>
        </w:rPr>
        <w:t>Portal de la Transparencia de la Administración General del Estado</w:t>
      </w:r>
      <w:r w:rsidRPr="00BF17A1">
        <w:rPr>
          <w:rFonts w:ascii="Mulish" w:eastAsia="Mulish" w:hAnsi="Mulish" w:cs="Mulish"/>
          <w:color w:val="0C0C0C" w:themeColor="text1"/>
          <w:lang w:eastAsia="es-ES" w:bidi="es-ES"/>
        </w:rPr>
        <w:t xml:space="preserve"> (en el que se integra la </w:t>
      </w:r>
      <w:r w:rsidRPr="00BF17A1">
        <w:rPr>
          <w:rFonts w:ascii="Mulish" w:eastAsia="Mulish" w:hAnsi="Mulish" w:cs="Mulish"/>
          <w:color w:val="0C0C0C" w:themeColor="text1"/>
          <w:lang w:eastAsia="es-ES" w:bidi="es-ES"/>
        </w:rPr>
        <w:lastRenderedPageBreak/>
        <w:t>información que deben publicar los ministerios), al objeto de comprobar el grado de aplicación de las recomendaciones derivadas de la evaluación realizada en 202</w:t>
      </w:r>
      <w:r>
        <w:rPr>
          <w:rFonts w:ascii="Mulish" w:eastAsia="Mulish" w:hAnsi="Mulish" w:cs="Mulish"/>
          <w:color w:val="0C0C0C" w:themeColor="text1"/>
          <w:lang w:eastAsia="es-ES" w:bidi="es-ES"/>
        </w:rPr>
        <w:t xml:space="preserve">5. </w:t>
      </w:r>
    </w:p>
    <w:p w14:paraId="6D84221F" w14:textId="77777777" w:rsidR="00BF17A1" w:rsidRPr="00BF17A1" w:rsidRDefault="00BF17A1" w:rsidP="00BF17A1">
      <w:pPr>
        <w:spacing w:after="0"/>
        <w:jc w:val="both"/>
        <w:rPr>
          <w:rFonts w:ascii="Mulish" w:eastAsia="Mulish" w:hAnsi="Mulish" w:cs="Mulish"/>
          <w:color w:val="0C0C0C" w:themeColor="text1"/>
          <w:lang w:eastAsia="es-ES" w:bidi="es-ES"/>
        </w:rPr>
      </w:pPr>
    </w:p>
    <w:p w14:paraId="17382E6E" w14:textId="7B6D9A20" w:rsidR="00BF17A1" w:rsidRDefault="00BF17A1" w:rsidP="00BF17A1">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Además, en 202</w:t>
      </w:r>
      <w:r w:rsidR="00BE44E8">
        <w:rPr>
          <w:rFonts w:ascii="Mulish" w:eastAsia="Mulish" w:hAnsi="Mulish" w:cs="Mulish"/>
          <w:color w:val="0C0C0C" w:themeColor="text1"/>
          <w:lang w:eastAsia="es-ES" w:bidi="es-ES"/>
        </w:rPr>
        <w:t>6</w:t>
      </w:r>
      <w:r w:rsidRPr="00BF17A1">
        <w:rPr>
          <w:rFonts w:ascii="Mulish" w:eastAsia="Mulish" w:hAnsi="Mulish" w:cs="Mulish"/>
          <w:color w:val="0C0C0C" w:themeColor="text1"/>
          <w:lang w:eastAsia="es-ES" w:bidi="es-ES"/>
        </w:rPr>
        <w:t xml:space="preserve"> se </w:t>
      </w:r>
      <w:r w:rsidR="00BE44E8">
        <w:rPr>
          <w:rFonts w:ascii="Mulish" w:eastAsia="Mulish" w:hAnsi="Mulish" w:cs="Mulish"/>
          <w:color w:val="0C0C0C" w:themeColor="text1"/>
          <w:lang w:eastAsia="es-ES" w:bidi="es-ES"/>
        </w:rPr>
        <w:t>revisar</w:t>
      </w:r>
      <w:r w:rsidR="00E7103E">
        <w:rPr>
          <w:rFonts w:ascii="Mulish" w:eastAsia="Mulish" w:hAnsi="Mulish" w:cs="Mulish"/>
          <w:color w:val="0C0C0C" w:themeColor="text1"/>
          <w:lang w:eastAsia="es-ES" w:bidi="es-ES"/>
        </w:rPr>
        <w:t>á de nuevo</w:t>
      </w:r>
      <w:r w:rsidR="00BE44E8">
        <w:rPr>
          <w:rFonts w:ascii="Mulish" w:eastAsia="Mulish" w:hAnsi="Mulish" w:cs="Mulish"/>
          <w:color w:val="0C0C0C" w:themeColor="text1"/>
          <w:lang w:eastAsia="es-ES" w:bidi="es-ES"/>
        </w:rPr>
        <w:t xml:space="preserve"> el cumplimiento de</w:t>
      </w:r>
      <w:r w:rsidRPr="00BF17A1">
        <w:rPr>
          <w:rFonts w:ascii="Mulish" w:eastAsia="Mulish" w:hAnsi="Mulish" w:cs="Mulish"/>
          <w:color w:val="0C0C0C" w:themeColor="text1"/>
          <w:lang w:eastAsia="es-ES" w:bidi="es-ES"/>
        </w:rPr>
        <w:t xml:space="preserve"> </w:t>
      </w:r>
      <w:r w:rsidR="00BE44E8">
        <w:rPr>
          <w:rFonts w:ascii="Mulish" w:eastAsia="Mulish" w:hAnsi="Mulish" w:cs="Mulish"/>
          <w:color w:val="0C0C0C" w:themeColor="text1"/>
          <w:lang w:eastAsia="es-ES" w:bidi="es-ES"/>
        </w:rPr>
        <w:t>155</w:t>
      </w:r>
      <w:r w:rsidRPr="00BF17A1">
        <w:rPr>
          <w:rFonts w:ascii="Mulish" w:eastAsia="Mulish" w:hAnsi="Mulish" w:cs="Mulish"/>
          <w:color w:val="0C0C0C" w:themeColor="text1"/>
          <w:lang w:eastAsia="es-ES" w:bidi="es-ES"/>
        </w:rPr>
        <w:t xml:space="preserve"> entidades </w:t>
      </w:r>
      <w:r w:rsidR="00BE44E8">
        <w:rPr>
          <w:rFonts w:ascii="Mulish" w:eastAsia="Mulish" w:hAnsi="Mulish" w:cs="Mulish"/>
          <w:color w:val="0C0C0C" w:themeColor="text1"/>
          <w:lang w:eastAsia="es-ES" w:bidi="es-ES"/>
        </w:rPr>
        <w:t xml:space="preserve">que ya fueron evaluadas </w:t>
      </w:r>
      <w:r w:rsidR="007323A9">
        <w:rPr>
          <w:rFonts w:ascii="Mulish" w:eastAsia="Mulish" w:hAnsi="Mulish" w:cs="Mulish"/>
          <w:color w:val="0C0C0C" w:themeColor="text1"/>
          <w:lang w:eastAsia="es-ES" w:bidi="es-ES"/>
        </w:rPr>
        <w:t xml:space="preserve">por el Consejo </w:t>
      </w:r>
      <w:r w:rsidR="00BE44E8">
        <w:rPr>
          <w:rFonts w:ascii="Mulish" w:eastAsia="Mulish" w:hAnsi="Mulish" w:cs="Mulish"/>
          <w:color w:val="0C0C0C" w:themeColor="text1"/>
          <w:lang w:eastAsia="es-ES" w:bidi="es-ES"/>
        </w:rPr>
        <w:t xml:space="preserve">en 2025 y que forman parte </w:t>
      </w:r>
      <w:r w:rsidRPr="00BF17A1">
        <w:rPr>
          <w:rFonts w:ascii="Mulish" w:eastAsia="Mulish" w:hAnsi="Mulish" w:cs="Mulish"/>
          <w:color w:val="0C0C0C" w:themeColor="text1"/>
          <w:lang w:eastAsia="es-ES" w:bidi="es-ES"/>
        </w:rPr>
        <w:t xml:space="preserve">del </w:t>
      </w:r>
      <w:r w:rsidRPr="00505230">
        <w:rPr>
          <w:rFonts w:ascii="Mulish" w:eastAsia="Mulish" w:hAnsi="Mulish" w:cs="Mulish"/>
          <w:b/>
          <w:bCs/>
          <w:color w:val="0C0C0C" w:themeColor="text1"/>
          <w:lang w:eastAsia="es-ES" w:bidi="es-ES"/>
        </w:rPr>
        <w:t>sector público institucional estatal</w:t>
      </w:r>
      <w:r w:rsidRPr="00BF17A1">
        <w:rPr>
          <w:rFonts w:ascii="Mulish" w:eastAsia="Mulish" w:hAnsi="Mulish" w:cs="Mulish"/>
          <w:color w:val="0C0C0C" w:themeColor="text1"/>
          <w:lang w:eastAsia="es-ES" w:bidi="es-ES"/>
        </w:rPr>
        <w:t xml:space="preserve">, que incluye, entre otros, organismos autónomos, </w:t>
      </w:r>
      <w:r w:rsidR="00E7103E" w:rsidRPr="00BF17A1">
        <w:rPr>
          <w:rFonts w:ascii="Mulish" w:eastAsia="Mulish" w:hAnsi="Mulish" w:cs="Mulish"/>
          <w:color w:val="0C0C0C" w:themeColor="text1"/>
          <w:lang w:eastAsia="es-ES" w:bidi="es-ES"/>
        </w:rPr>
        <w:t xml:space="preserve">entidades públicas empresariales, </w:t>
      </w:r>
      <w:r w:rsidRPr="00BF17A1">
        <w:rPr>
          <w:rFonts w:ascii="Mulish" w:eastAsia="Mulish" w:hAnsi="Mulish" w:cs="Mulish"/>
          <w:color w:val="0C0C0C" w:themeColor="text1"/>
          <w:lang w:eastAsia="es-ES" w:bidi="es-ES"/>
        </w:rPr>
        <w:t xml:space="preserve">sociedades mercantiles y fundaciones públicas. </w:t>
      </w:r>
    </w:p>
    <w:p w14:paraId="72F66320" w14:textId="77777777" w:rsidR="00C4079C" w:rsidRPr="00BF17A1" w:rsidRDefault="00C4079C" w:rsidP="00BF17A1">
      <w:pPr>
        <w:spacing w:after="0"/>
        <w:jc w:val="both"/>
        <w:rPr>
          <w:rFonts w:ascii="Mulish" w:eastAsia="Mulish" w:hAnsi="Mulish" w:cs="Mulish"/>
          <w:color w:val="0C0C0C" w:themeColor="text1"/>
          <w:lang w:eastAsia="es-ES" w:bidi="es-ES"/>
        </w:rPr>
      </w:pPr>
    </w:p>
    <w:p w14:paraId="6159DE8B" w14:textId="77777777" w:rsidR="00BF17A1" w:rsidRPr="00BF17A1" w:rsidRDefault="00BF17A1" w:rsidP="00BF17A1">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La Ley de Transparencia impone obligaciones de publicidad activa no solo a las entidades </w:t>
      </w:r>
    </w:p>
    <w:p w14:paraId="13B7FA77" w14:textId="38FC032D" w:rsidR="00BF17A1" w:rsidRDefault="00BF17A1" w:rsidP="00BF17A1">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públicas, sino también a las </w:t>
      </w:r>
      <w:r w:rsidRPr="00505230">
        <w:rPr>
          <w:rFonts w:ascii="Mulish" w:eastAsia="Mulish" w:hAnsi="Mulish" w:cs="Mulish"/>
          <w:b/>
          <w:bCs/>
          <w:color w:val="0C0C0C" w:themeColor="text1"/>
          <w:lang w:eastAsia="es-ES" w:bidi="es-ES"/>
        </w:rPr>
        <w:t>entidades privadas que perciben un determinado volumen</w:t>
      </w:r>
      <w:r w:rsidR="00C4079C" w:rsidRPr="00505230">
        <w:rPr>
          <w:rFonts w:ascii="Mulish" w:eastAsia="Mulish" w:hAnsi="Mulish" w:cs="Mulish"/>
          <w:b/>
          <w:bCs/>
          <w:color w:val="0C0C0C" w:themeColor="text1"/>
          <w:lang w:eastAsia="es-ES" w:bidi="es-ES"/>
        </w:rPr>
        <w:t xml:space="preserve"> </w:t>
      </w:r>
      <w:r w:rsidRPr="00505230">
        <w:rPr>
          <w:rFonts w:ascii="Mulish" w:eastAsia="Mulish" w:hAnsi="Mulish" w:cs="Mulish"/>
          <w:b/>
          <w:bCs/>
          <w:color w:val="0C0C0C" w:themeColor="text1"/>
          <w:lang w:eastAsia="es-ES" w:bidi="es-ES"/>
        </w:rPr>
        <w:t>de ayudas o subvenciones públicas</w:t>
      </w:r>
      <w:r w:rsidRPr="00BF17A1">
        <w:rPr>
          <w:rFonts w:ascii="Mulish" w:eastAsia="Mulish" w:hAnsi="Mulish" w:cs="Mulish"/>
          <w:color w:val="0C0C0C" w:themeColor="text1"/>
          <w:lang w:eastAsia="es-ES" w:bidi="es-ES"/>
        </w:rPr>
        <w:t>. El Consejo evalúa el cumplimiento de este grupo de sujetos obligados desde 2020. En 202</w:t>
      </w:r>
      <w:r w:rsidR="007323A9">
        <w:rPr>
          <w:rFonts w:ascii="Mulish" w:eastAsia="Mulish" w:hAnsi="Mulish" w:cs="Mulish"/>
          <w:color w:val="0C0C0C" w:themeColor="text1"/>
          <w:lang w:eastAsia="es-ES" w:bidi="es-ES"/>
        </w:rPr>
        <w:t>6</w:t>
      </w:r>
      <w:r w:rsidRPr="00BF17A1">
        <w:rPr>
          <w:rFonts w:ascii="Mulish" w:eastAsia="Mulish" w:hAnsi="Mulish" w:cs="Mulish"/>
          <w:color w:val="0C0C0C" w:themeColor="text1"/>
          <w:lang w:eastAsia="es-ES" w:bidi="es-ES"/>
        </w:rPr>
        <w:t xml:space="preserve"> analizará </w:t>
      </w:r>
      <w:r w:rsidR="00E7103E">
        <w:rPr>
          <w:rFonts w:ascii="Mulish" w:eastAsia="Mulish" w:hAnsi="Mulish" w:cs="Mulish"/>
          <w:color w:val="0C0C0C" w:themeColor="text1"/>
          <w:lang w:eastAsia="es-ES" w:bidi="es-ES"/>
        </w:rPr>
        <w:t xml:space="preserve">a </w:t>
      </w:r>
      <w:r w:rsidR="007323A9">
        <w:rPr>
          <w:rFonts w:ascii="Mulish" w:eastAsia="Mulish" w:hAnsi="Mulish" w:cs="Mulish"/>
          <w:color w:val="0C0C0C" w:themeColor="text1"/>
          <w:lang w:eastAsia="es-ES" w:bidi="es-ES"/>
        </w:rPr>
        <w:t>122</w:t>
      </w:r>
      <w:r w:rsidRPr="00BF17A1">
        <w:rPr>
          <w:rFonts w:ascii="Mulish" w:eastAsia="Mulish" w:hAnsi="Mulish" w:cs="Mulish"/>
          <w:color w:val="0C0C0C" w:themeColor="text1"/>
          <w:lang w:eastAsia="es-ES" w:bidi="es-ES"/>
        </w:rPr>
        <w:t xml:space="preserve"> entidades privadas que recibieron al menos 100.000 euros de fondos públicos entre noviembre de 202</w:t>
      </w:r>
      <w:r w:rsidR="007323A9">
        <w:rPr>
          <w:rFonts w:ascii="Mulish" w:eastAsia="Mulish" w:hAnsi="Mulish" w:cs="Mulish"/>
          <w:color w:val="0C0C0C" w:themeColor="text1"/>
          <w:lang w:eastAsia="es-ES" w:bidi="es-ES"/>
        </w:rPr>
        <w:t>4</w:t>
      </w:r>
      <w:r w:rsidRPr="00BF17A1">
        <w:rPr>
          <w:rFonts w:ascii="Mulish" w:eastAsia="Mulish" w:hAnsi="Mulish" w:cs="Mulish"/>
          <w:color w:val="0C0C0C" w:themeColor="text1"/>
          <w:lang w:eastAsia="es-ES" w:bidi="es-ES"/>
        </w:rPr>
        <w:t xml:space="preserve"> y noviembre de 202</w:t>
      </w:r>
      <w:r w:rsidR="007323A9">
        <w:rPr>
          <w:rFonts w:ascii="Mulish" w:eastAsia="Mulish" w:hAnsi="Mulish" w:cs="Mulish"/>
          <w:color w:val="0C0C0C" w:themeColor="text1"/>
          <w:lang w:eastAsia="es-ES" w:bidi="es-ES"/>
        </w:rPr>
        <w:t>5</w:t>
      </w:r>
      <w:r w:rsidRPr="00BF17A1">
        <w:rPr>
          <w:rFonts w:ascii="Mulish" w:eastAsia="Mulish" w:hAnsi="Mulish" w:cs="Mulish"/>
          <w:color w:val="0C0C0C" w:themeColor="text1"/>
          <w:lang w:eastAsia="es-ES" w:bidi="es-ES"/>
        </w:rPr>
        <w:t>. De ellas, 6</w:t>
      </w:r>
      <w:r w:rsidR="007323A9">
        <w:rPr>
          <w:rFonts w:ascii="Mulish" w:eastAsia="Mulish" w:hAnsi="Mulish" w:cs="Mulish"/>
          <w:color w:val="0C0C0C" w:themeColor="text1"/>
          <w:lang w:eastAsia="es-ES" w:bidi="es-ES"/>
        </w:rPr>
        <w:t>0</w:t>
      </w:r>
      <w:r w:rsidRPr="00BF17A1">
        <w:rPr>
          <w:rFonts w:ascii="Mulish" w:eastAsia="Mulish" w:hAnsi="Mulish" w:cs="Mulish"/>
          <w:color w:val="0C0C0C" w:themeColor="text1"/>
          <w:lang w:eastAsia="es-ES" w:bidi="es-ES"/>
        </w:rPr>
        <w:t xml:space="preserve"> serán </w:t>
      </w:r>
      <w:r w:rsidR="00551359">
        <w:rPr>
          <w:rFonts w:ascii="Mulish" w:eastAsia="Mulish" w:hAnsi="Mulish" w:cs="Mulish"/>
          <w:color w:val="0C0C0C" w:themeColor="text1"/>
          <w:lang w:eastAsia="es-ES" w:bidi="es-ES"/>
        </w:rPr>
        <w:t xml:space="preserve">analizadas </w:t>
      </w:r>
      <w:r w:rsidRPr="00BF17A1">
        <w:rPr>
          <w:rFonts w:ascii="Mulish" w:eastAsia="Mulish" w:hAnsi="Mulish" w:cs="Mulish"/>
          <w:color w:val="0C0C0C" w:themeColor="text1"/>
          <w:lang w:eastAsia="es-ES" w:bidi="es-ES"/>
        </w:rPr>
        <w:t xml:space="preserve">por primera vez y el resto serán reevaluadas. Dado el elevado número de sujetos obligados por la LTAIGB en esta categoría, la selección de las entidades se realiza de manera aleatoria mediante muestreo estadístico. </w:t>
      </w:r>
    </w:p>
    <w:p w14:paraId="0D6ABAAF" w14:textId="77777777" w:rsidR="00C4079C" w:rsidRPr="00BF17A1" w:rsidRDefault="00C4079C" w:rsidP="00BF17A1">
      <w:pPr>
        <w:spacing w:after="0"/>
        <w:jc w:val="both"/>
        <w:rPr>
          <w:rFonts w:ascii="Mulish" w:eastAsia="Mulish" w:hAnsi="Mulish" w:cs="Mulish"/>
          <w:color w:val="0C0C0C" w:themeColor="text1"/>
          <w:lang w:eastAsia="es-ES" w:bidi="es-ES"/>
        </w:rPr>
      </w:pPr>
    </w:p>
    <w:p w14:paraId="10B05DD7" w14:textId="3A600A40" w:rsidR="007323A9" w:rsidRDefault="007323A9" w:rsidP="00C42BCF">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 xml:space="preserve">Por otra parte, </w:t>
      </w:r>
      <w:r w:rsidR="00BF17A1" w:rsidRPr="00BF17A1">
        <w:rPr>
          <w:rFonts w:ascii="Mulish" w:eastAsia="Mulish" w:hAnsi="Mulish" w:cs="Mulish"/>
          <w:color w:val="0C0C0C" w:themeColor="text1"/>
          <w:lang w:eastAsia="es-ES" w:bidi="es-ES"/>
        </w:rPr>
        <w:t xml:space="preserve">el Consejo </w:t>
      </w:r>
      <w:r>
        <w:rPr>
          <w:rFonts w:ascii="Mulish" w:eastAsia="Mulish" w:hAnsi="Mulish" w:cs="Mulish"/>
          <w:color w:val="0C0C0C" w:themeColor="text1"/>
          <w:lang w:eastAsia="es-ES" w:bidi="es-ES"/>
        </w:rPr>
        <w:t xml:space="preserve">volverá a </w:t>
      </w:r>
      <w:r w:rsidR="002B305F">
        <w:rPr>
          <w:rFonts w:ascii="Mulish" w:eastAsia="Mulish" w:hAnsi="Mulish" w:cs="Mulish"/>
          <w:color w:val="0C0C0C" w:themeColor="text1"/>
          <w:lang w:eastAsia="es-ES" w:bidi="es-ES"/>
        </w:rPr>
        <w:t>revisar</w:t>
      </w:r>
      <w:r>
        <w:rPr>
          <w:rFonts w:ascii="Mulish" w:eastAsia="Mulish" w:hAnsi="Mulish" w:cs="Mulish"/>
          <w:color w:val="0C0C0C" w:themeColor="text1"/>
          <w:lang w:eastAsia="es-ES" w:bidi="es-ES"/>
        </w:rPr>
        <w:t xml:space="preserve"> el cumplimiento</w:t>
      </w:r>
      <w:r w:rsidR="002B305F">
        <w:rPr>
          <w:rFonts w:ascii="Mulish" w:eastAsia="Mulish" w:hAnsi="Mulish" w:cs="Mulish"/>
          <w:color w:val="0C0C0C" w:themeColor="text1"/>
          <w:lang w:eastAsia="es-ES" w:bidi="es-ES"/>
        </w:rPr>
        <w:t>,</w:t>
      </w:r>
      <w:r>
        <w:rPr>
          <w:rFonts w:ascii="Mulish" w:eastAsia="Mulish" w:hAnsi="Mulish" w:cs="Mulish"/>
          <w:color w:val="0C0C0C" w:themeColor="text1"/>
          <w:lang w:eastAsia="es-ES" w:bidi="es-ES"/>
        </w:rPr>
        <w:t xml:space="preserve"> </w:t>
      </w:r>
      <w:r w:rsidR="00092012">
        <w:rPr>
          <w:rFonts w:ascii="Mulish" w:eastAsia="Mulish" w:hAnsi="Mulish" w:cs="Mulish"/>
          <w:color w:val="0C0C0C" w:themeColor="text1"/>
          <w:lang w:eastAsia="es-ES" w:bidi="es-ES"/>
        </w:rPr>
        <w:t>y el nivel de aplicación de las indicaciones formuladas</w:t>
      </w:r>
      <w:r w:rsidR="002B305F">
        <w:rPr>
          <w:rFonts w:ascii="Mulish" w:eastAsia="Mulish" w:hAnsi="Mulish" w:cs="Mulish"/>
          <w:color w:val="0C0C0C" w:themeColor="text1"/>
          <w:lang w:eastAsia="es-ES" w:bidi="es-ES"/>
        </w:rPr>
        <w:t xml:space="preserve"> en las evaluaciones de 2024 y 2025,</w:t>
      </w:r>
      <w:r w:rsidR="00092012">
        <w:rPr>
          <w:rFonts w:ascii="Mulish" w:eastAsia="Mulish" w:hAnsi="Mulish" w:cs="Mulish"/>
          <w:color w:val="0C0C0C" w:themeColor="text1"/>
          <w:lang w:eastAsia="es-ES" w:bidi="es-ES"/>
        </w:rPr>
        <w:t xml:space="preserve"> </w:t>
      </w:r>
      <w:r>
        <w:rPr>
          <w:rFonts w:ascii="Mulish" w:eastAsia="Mulish" w:hAnsi="Mulish" w:cs="Mulish"/>
          <w:color w:val="0C0C0C" w:themeColor="text1"/>
          <w:lang w:eastAsia="es-ES" w:bidi="es-ES"/>
        </w:rPr>
        <w:t xml:space="preserve">de los seis </w:t>
      </w:r>
      <w:r w:rsidRPr="00505230">
        <w:rPr>
          <w:rFonts w:ascii="Mulish" w:eastAsia="Mulish" w:hAnsi="Mulish" w:cs="Mulish"/>
          <w:b/>
          <w:bCs/>
          <w:color w:val="0C0C0C" w:themeColor="text1"/>
          <w:lang w:eastAsia="es-ES" w:bidi="es-ES"/>
        </w:rPr>
        <w:t>partidos políticos</w:t>
      </w:r>
      <w:r w:rsidRPr="00BF17A1">
        <w:rPr>
          <w:rFonts w:ascii="Mulish" w:eastAsia="Mulish" w:hAnsi="Mulish" w:cs="Mulish"/>
          <w:color w:val="0C0C0C" w:themeColor="text1"/>
          <w:lang w:eastAsia="es-ES" w:bidi="es-ES"/>
        </w:rPr>
        <w:t xml:space="preserve"> de ámbito nacional con representación en el Congreso</w:t>
      </w:r>
      <w:r w:rsidR="002B305F">
        <w:rPr>
          <w:rFonts w:ascii="Mulish" w:eastAsia="Mulish" w:hAnsi="Mulish" w:cs="Mulish"/>
          <w:color w:val="0C0C0C" w:themeColor="text1"/>
          <w:lang w:eastAsia="es-ES" w:bidi="es-ES"/>
        </w:rPr>
        <w:t>.</w:t>
      </w:r>
      <w:r w:rsidRPr="00BF17A1">
        <w:rPr>
          <w:rFonts w:ascii="Mulish" w:eastAsia="Mulish" w:hAnsi="Mulish" w:cs="Mulish"/>
          <w:color w:val="0C0C0C" w:themeColor="text1"/>
          <w:lang w:eastAsia="es-ES" w:bidi="es-ES"/>
        </w:rPr>
        <w:t xml:space="preserve"> </w:t>
      </w:r>
    </w:p>
    <w:p w14:paraId="70F8FC53" w14:textId="590CC417" w:rsidR="007323A9" w:rsidRDefault="007323A9" w:rsidP="00BF17A1">
      <w:pPr>
        <w:spacing w:after="0"/>
        <w:jc w:val="both"/>
        <w:rPr>
          <w:rFonts w:ascii="Mulish" w:eastAsia="Mulish" w:hAnsi="Mulish" w:cs="Mulish"/>
          <w:color w:val="0C0C0C" w:themeColor="text1"/>
          <w:lang w:eastAsia="es-ES" w:bidi="es-ES"/>
        </w:rPr>
      </w:pPr>
    </w:p>
    <w:p w14:paraId="6064BC85" w14:textId="18B0CDEF" w:rsidR="00C4079C" w:rsidRDefault="007323A9" w:rsidP="00BF17A1">
      <w:pPr>
        <w:spacing w:after="0"/>
        <w:jc w:val="both"/>
        <w:rPr>
          <w:rFonts w:ascii="Mulish" w:eastAsia="Mulish" w:hAnsi="Mulish" w:cs="Mulish"/>
          <w:color w:val="0C0C0C" w:themeColor="text1"/>
          <w:lang w:eastAsia="es-ES" w:bidi="es-ES"/>
        </w:rPr>
      </w:pPr>
      <w:r>
        <w:rPr>
          <w:rFonts w:ascii="Mulish" w:eastAsia="Mulish" w:hAnsi="Mulish" w:cs="Mulish"/>
          <w:color w:val="0C0C0C" w:themeColor="text1"/>
          <w:lang w:eastAsia="es-ES" w:bidi="es-ES"/>
        </w:rPr>
        <w:t xml:space="preserve">Como novedad, este año, el Consejo realizará </w:t>
      </w:r>
      <w:r w:rsidRPr="00505230">
        <w:rPr>
          <w:rFonts w:ascii="Mulish" w:eastAsia="Mulish" w:hAnsi="Mulish" w:cs="Mulish"/>
          <w:b/>
          <w:bCs/>
          <w:color w:val="0C0C0C" w:themeColor="text1"/>
          <w:lang w:eastAsia="es-ES" w:bidi="es-ES"/>
        </w:rPr>
        <w:t>evaluaciones voluntarias</w:t>
      </w:r>
      <w:r>
        <w:rPr>
          <w:rFonts w:ascii="Mulish" w:eastAsia="Mulish" w:hAnsi="Mulish" w:cs="Mulish"/>
          <w:color w:val="0C0C0C" w:themeColor="text1"/>
          <w:lang w:eastAsia="es-ES" w:bidi="es-ES"/>
        </w:rPr>
        <w:t xml:space="preserve"> a sujetos públicos y privados que hayan realizado modificaciones en sus portales de transparencia y que deseen que su ICIO sea nuevamente evaluado. </w:t>
      </w:r>
    </w:p>
    <w:p w14:paraId="601A49F8" w14:textId="6B949C90" w:rsidR="007323A9" w:rsidRDefault="007323A9" w:rsidP="00BF17A1">
      <w:pPr>
        <w:spacing w:after="0"/>
        <w:jc w:val="both"/>
        <w:rPr>
          <w:rFonts w:ascii="Mulish" w:eastAsia="Mulish" w:hAnsi="Mulish" w:cs="Mulish"/>
          <w:color w:val="0C0C0C" w:themeColor="text1"/>
          <w:lang w:eastAsia="es-ES" w:bidi="es-ES"/>
        </w:rPr>
      </w:pPr>
    </w:p>
    <w:p w14:paraId="51747249" w14:textId="77777777" w:rsidR="00BF17A1" w:rsidRPr="00BF17A1" w:rsidRDefault="00BF17A1" w:rsidP="00BF17A1">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Además de estas evaluaciones previstas, el Consejo puede realizar análisis de los portales </w:t>
      </w:r>
    </w:p>
    <w:p w14:paraId="7B51309C" w14:textId="77777777" w:rsidR="00BF17A1" w:rsidRPr="00BF17A1" w:rsidRDefault="00BF17A1" w:rsidP="00BF17A1">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de aquellas entidades sobre las que se presente una denuncia por incumplimiento de las </w:t>
      </w:r>
    </w:p>
    <w:p w14:paraId="74C2C58F" w14:textId="13A11B0D" w:rsidR="00BF17A1" w:rsidRDefault="00BF17A1" w:rsidP="00BF17A1">
      <w:pPr>
        <w:spacing w:after="0"/>
        <w:jc w:val="both"/>
        <w:rPr>
          <w:rFonts w:ascii="Mulish" w:eastAsia="Mulish" w:hAnsi="Mulish" w:cs="Mulish"/>
          <w:color w:val="0C0C0C" w:themeColor="text1"/>
          <w:lang w:eastAsia="es-ES" w:bidi="es-ES"/>
        </w:rPr>
      </w:pPr>
      <w:r w:rsidRPr="00BF17A1">
        <w:rPr>
          <w:rFonts w:ascii="Mulish" w:eastAsia="Mulish" w:hAnsi="Mulish" w:cs="Mulish"/>
          <w:color w:val="0C0C0C" w:themeColor="text1"/>
          <w:lang w:eastAsia="es-ES" w:bidi="es-ES"/>
        </w:rPr>
        <w:t xml:space="preserve">obligaciones de publicidad activa, una vez analizada la pertinencia de la denuncia. </w:t>
      </w:r>
    </w:p>
    <w:p w14:paraId="2697884F" w14:textId="77777777" w:rsidR="00C4079C" w:rsidRPr="00BF17A1" w:rsidRDefault="00C4079C" w:rsidP="00BF17A1">
      <w:pPr>
        <w:spacing w:after="0"/>
        <w:jc w:val="both"/>
        <w:rPr>
          <w:rFonts w:ascii="Mulish" w:eastAsia="Mulish" w:hAnsi="Mulish" w:cs="Mulish"/>
          <w:color w:val="0C0C0C" w:themeColor="text1"/>
          <w:lang w:eastAsia="es-ES" w:bidi="es-ES"/>
        </w:rPr>
      </w:pPr>
    </w:p>
    <w:p w14:paraId="2DFAEA50" w14:textId="6DBCEAD6" w:rsidR="006B6EFF" w:rsidRDefault="00BF17A1" w:rsidP="00C42BCF">
      <w:pPr>
        <w:spacing w:after="0"/>
        <w:jc w:val="both"/>
        <w:rPr>
          <w:rFonts w:ascii="Mulish" w:eastAsia="Mulish" w:hAnsi="Mulish" w:cs="Mulish"/>
          <w:color w:val="0C0C0C" w:themeColor="text1"/>
          <w:lang w:eastAsia="es-ES" w:bidi="es-ES"/>
        </w:rPr>
      </w:pPr>
      <w:r w:rsidRPr="00505230">
        <w:rPr>
          <w:rFonts w:ascii="Mulish" w:eastAsia="Mulish" w:hAnsi="Mulish" w:cs="Mulish"/>
          <w:b/>
          <w:bCs/>
          <w:color w:val="00806F" w:themeColor="text2"/>
          <w:lang w:eastAsia="es-ES" w:bidi="es-ES"/>
        </w:rPr>
        <w:t>Cuadro resumen de las entidades incluidas en el Plan de Evaluación 202</w:t>
      </w:r>
      <w:r w:rsidR="00C42BCF">
        <w:rPr>
          <w:rFonts w:ascii="Mulish" w:eastAsia="Mulish" w:hAnsi="Mulish" w:cs="Mulish"/>
          <w:b/>
          <w:bCs/>
          <w:color w:val="00806F" w:themeColor="text2"/>
          <w:lang w:eastAsia="es-ES" w:bidi="es-ES"/>
        </w:rPr>
        <w:t>6</w:t>
      </w:r>
      <w:r w:rsidRPr="00505230">
        <w:rPr>
          <w:rFonts w:ascii="Mulish" w:eastAsia="Mulish" w:hAnsi="Mulish" w:cs="Mulish"/>
          <w:b/>
          <w:bCs/>
          <w:color w:val="00806F" w:themeColor="text2"/>
          <w:lang w:eastAsia="es-ES" w:bidi="es-ES"/>
        </w:rPr>
        <w:t xml:space="preserve">: </w:t>
      </w:r>
    </w:p>
    <w:p w14:paraId="18D9B90C" w14:textId="77777777" w:rsidR="006B6EFF" w:rsidRPr="006B6EFF" w:rsidRDefault="006B6EFF" w:rsidP="006B6EFF">
      <w:pPr>
        <w:spacing w:after="0"/>
        <w:jc w:val="both"/>
        <w:rPr>
          <w:rFonts w:ascii="Mulish" w:eastAsia="Mulish" w:hAnsi="Mulish" w:cs="Mulish"/>
          <w:color w:val="0C0C0C" w:themeColor="text1"/>
          <w:lang w:eastAsia="es-ES" w:bidi="es-ES"/>
        </w:rPr>
      </w:pPr>
    </w:p>
    <w:tbl>
      <w:tblPr>
        <w:tblStyle w:val="Tablaconcuadrcula4-nfasis3"/>
        <w:tblW w:w="9525" w:type="dxa"/>
        <w:tblLayout w:type="fixed"/>
        <w:tblLook w:val="04A0" w:firstRow="1" w:lastRow="0" w:firstColumn="1" w:lastColumn="0" w:noHBand="0" w:noVBand="1"/>
      </w:tblPr>
      <w:tblGrid>
        <w:gridCol w:w="4850"/>
        <w:gridCol w:w="2449"/>
        <w:gridCol w:w="209"/>
        <w:gridCol w:w="2017"/>
      </w:tblGrid>
      <w:tr w:rsidR="00C42BCF" w:rsidRPr="00505230" w14:paraId="6C807DA8" w14:textId="77777777" w:rsidTr="00505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hideMark/>
          </w:tcPr>
          <w:p w14:paraId="2D9CD9EE" w14:textId="77777777" w:rsidR="00C42BCF" w:rsidRPr="00505230" w:rsidRDefault="00C42BCF">
            <w:pPr>
              <w:jc w:val="center"/>
              <w:rPr>
                <w:rFonts w:ascii="Mulish" w:hAnsi="Mulish"/>
                <w:sz w:val="20"/>
                <w:szCs w:val="20"/>
              </w:rPr>
            </w:pPr>
            <w:r w:rsidRPr="00505230">
              <w:rPr>
                <w:rFonts w:ascii="Mulish" w:hAnsi="Mulish"/>
                <w:sz w:val="20"/>
                <w:szCs w:val="20"/>
              </w:rPr>
              <w:t>Grupo de sujetos</w:t>
            </w:r>
          </w:p>
        </w:tc>
        <w:tc>
          <w:tcPr>
            <w:tcW w:w="2451" w:type="dxa"/>
            <w:hideMark/>
          </w:tcPr>
          <w:p w14:paraId="75614331" w14:textId="77777777" w:rsidR="00C42BCF" w:rsidRPr="00505230" w:rsidRDefault="00C42BCF">
            <w:pPr>
              <w:jc w:val="center"/>
              <w:cnfStyle w:val="100000000000" w:firstRow="1" w:lastRow="0" w:firstColumn="0" w:lastColumn="0" w:oddVBand="0" w:evenVBand="0" w:oddHBand="0" w:evenHBand="0" w:firstRowFirstColumn="0" w:firstRowLastColumn="0" w:lastRowFirstColumn="0" w:lastRowLastColumn="0"/>
              <w:rPr>
                <w:rFonts w:ascii="Mulish" w:hAnsi="Mulish"/>
                <w:sz w:val="20"/>
                <w:szCs w:val="20"/>
              </w:rPr>
            </w:pPr>
            <w:r w:rsidRPr="00505230">
              <w:rPr>
                <w:rFonts w:ascii="Mulish" w:hAnsi="Mulish"/>
                <w:sz w:val="20"/>
                <w:szCs w:val="20"/>
              </w:rPr>
              <w:t>Contenido</w:t>
            </w:r>
          </w:p>
        </w:tc>
        <w:tc>
          <w:tcPr>
            <w:tcW w:w="2227" w:type="dxa"/>
            <w:gridSpan w:val="2"/>
            <w:hideMark/>
          </w:tcPr>
          <w:p w14:paraId="2F5BB6CC" w14:textId="59264C0C" w:rsidR="00C42BCF" w:rsidRPr="00505230" w:rsidRDefault="00C42BCF">
            <w:pPr>
              <w:jc w:val="center"/>
              <w:cnfStyle w:val="100000000000" w:firstRow="1" w:lastRow="0" w:firstColumn="0" w:lastColumn="0" w:oddVBand="0" w:evenVBand="0" w:oddHBand="0" w:evenHBand="0" w:firstRowFirstColumn="0" w:firstRowLastColumn="0" w:lastRowFirstColumn="0" w:lastRowLastColumn="0"/>
              <w:rPr>
                <w:rFonts w:ascii="Mulish" w:hAnsi="Mulish"/>
                <w:sz w:val="20"/>
                <w:szCs w:val="20"/>
              </w:rPr>
            </w:pPr>
            <w:r w:rsidRPr="00505230">
              <w:rPr>
                <w:rFonts w:ascii="Mulish" w:hAnsi="Mulish"/>
                <w:sz w:val="20"/>
                <w:szCs w:val="20"/>
              </w:rPr>
              <w:t>N</w:t>
            </w:r>
            <w:r w:rsidR="00E110C5" w:rsidRPr="00505230">
              <w:rPr>
                <w:rFonts w:ascii="Mulish" w:hAnsi="Mulish"/>
                <w:sz w:val="20"/>
                <w:szCs w:val="20"/>
              </w:rPr>
              <w:t>.º</w:t>
            </w:r>
            <w:r w:rsidRPr="00505230">
              <w:rPr>
                <w:rFonts w:ascii="Mulish" w:hAnsi="Mulish"/>
                <w:sz w:val="20"/>
                <w:szCs w:val="20"/>
              </w:rPr>
              <w:t xml:space="preserve"> evaluaciones</w:t>
            </w:r>
          </w:p>
        </w:tc>
      </w:tr>
      <w:tr w:rsidR="00C42BCF" w:rsidRPr="00505230" w14:paraId="0A288E81" w14:textId="77777777" w:rsidTr="0050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hideMark/>
          </w:tcPr>
          <w:p w14:paraId="18619629" w14:textId="77777777" w:rsidR="00C42BCF" w:rsidRPr="00505230" w:rsidRDefault="00C42BCF">
            <w:pPr>
              <w:jc w:val="center"/>
              <w:rPr>
                <w:rFonts w:ascii="Mulish" w:hAnsi="Mulish"/>
                <w:sz w:val="20"/>
                <w:szCs w:val="20"/>
              </w:rPr>
            </w:pPr>
            <w:r w:rsidRPr="00505230">
              <w:rPr>
                <w:rFonts w:ascii="Mulish" w:hAnsi="Mulish"/>
                <w:sz w:val="20"/>
                <w:szCs w:val="20"/>
              </w:rPr>
              <w:t>AGE</w:t>
            </w:r>
          </w:p>
        </w:tc>
        <w:tc>
          <w:tcPr>
            <w:tcW w:w="2660" w:type="dxa"/>
            <w:gridSpan w:val="2"/>
            <w:hideMark/>
          </w:tcPr>
          <w:p w14:paraId="72CA6DBF" w14:textId="77777777" w:rsidR="00C42BCF" w:rsidRPr="00505230" w:rsidRDefault="00C42BCF">
            <w:pPr>
              <w:cnfStyle w:val="000000100000" w:firstRow="0" w:lastRow="0" w:firstColumn="0" w:lastColumn="0" w:oddVBand="0" w:evenVBand="0" w:oddHBand="1" w:evenHBand="0" w:firstRowFirstColumn="0" w:firstRowLastColumn="0" w:lastRowFirstColumn="0" w:lastRowLastColumn="0"/>
              <w:rPr>
                <w:rFonts w:ascii="Mulish" w:hAnsi="Mulish"/>
                <w:color w:val="987000" w:themeColor="accent2" w:themeShade="BF"/>
                <w:sz w:val="20"/>
                <w:szCs w:val="20"/>
              </w:rPr>
            </w:pPr>
            <w:r w:rsidRPr="00505230">
              <w:rPr>
                <w:rFonts w:ascii="Mulish" w:hAnsi="Mulish"/>
                <w:sz w:val="20"/>
                <w:szCs w:val="20"/>
              </w:rPr>
              <w:t>Evaluación del Portal de Transparencia de la AGE</w:t>
            </w:r>
          </w:p>
        </w:tc>
        <w:tc>
          <w:tcPr>
            <w:tcW w:w="2018" w:type="dxa"/>
            <w:hideMark/>
          </w:tcPr>
          <w:p w14:paraId="5AE123D5" w14:textId="77777777" w:rsidR="00C42BCF" w:rsidRPr="00505230" w:rsidRDefault="00C42BCF">
            <w:pPr>
              <w:jc w:val="cente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r w:rsidRPr="00505230">
              <w:rPr>
                <w:rFonts w:ascii="Mulish" w:hAnsi="Mulish"/>
                <w:sz w:val="20"/>
                <w:szCs w:val="20"/>
              </w:rPr>
              <w:t>1</w:t>
            </w:r>
          </w:p>
        </w:tc>
      </w:tr>
      <w:tr w:rsidR="00C42BCF" w:rsidRPr="00505230" w14:paraId="2797DA06" w14:textId="77777777" w:rsidTr="00505230">
        <w:tc>
          <w:tcPr>
            <w:cnfStyle w:val="001000000000" w:firstRow="0" w:lastRow="0" w:firstColumn="1" w:lastColumn="0" w:oddVBand="0" w:evenVBand="0" w:oddHBand="0" w:evenHBand="0" w:firstRowFirstColumn="0" w:firstRowLastColumn="0" w:lastRowFirstColumn="0" w:lastRowLastColumn="0"/>
            <w:tcW w:w="4854" w:type="dxa"/>
            <w:hideMark/>
          </w:tcPr>
          <w:p w14:paraId="50EFA276" w14:textId="77777777" w:rsidR="00C42BCF" w:rsidRPr="00505230" w:rsidRDefault="00C42BCF">
            <w:pPr>
              <w:jc w:val="center"/>
              <w:rPr>
                <w:rFonts w:ascii="Mulish" w:hAnsi="Mulish"/>
                <w:sz w:val="20"/>
                <w:szCs w:val="20"/>
              </w:rPr>
            </w:pPr>
            <w:r w:rsidRPr="00505230">
              <w:rPr>
                <w:rFonts w:ascii="Mulish" w:hAnsi="Mulish"/>
                <w:sz w:val="20"/>
                <w:szCs w:val="20"/>
              </w:rPr>
              <w:t>Sector Público Institucional del Estado</w:t>
            </w:r>
          </w:p>
        </w:tc>
        <w:tc>
          <w:tcPr>
            <w:tcW w:w="2660" w:type="dxa"/>
            <w:gridSpan w:val="2"/>
            <w:hideMark/>
          </w:tcPr>
          <w:p w14:paraId="14385A2B" w14:textId="77777777" w:rsidR="00C42BCF" w:rsidRPr="00505230" w:rsidRDefault="00C42BCF">
            <w:pPr>
              <w:cnfStyle w:val="000000000000" w:firstRow="0" w:lastRow="0" w:firstColumn="0" w:lastColumn="0" w:oddVBand="0" w:evenVBand="0" w:oddHBand="0" w:evenHBand="0" w:firstRowFirstColumn="0" w:firstRowLastColumn="0" w:lastRowFirstColumn="0" w:lastRowLastColumn="0"/>
              <w:rPr>
                <w:rFonts w:ascii="Mulish" w:hAnsi="Mulish"/>
                <w:color w:val="987000" w:themeColor="accent2" w:themeShade="BF"/>
                <w:sz w:val="20"/>
                <w:szCs w:val="20"/>
              </w:rPr>
            </w:pPr>
            <w:r w:rsidRPr="00505230">
              <w:rPr>
                <w:rFonts w:ascii="Mulish" w:hAnsi="Mulish"/>
                <w:sz w:val="20"/>
                <w:szCs w:val="20"/>
              </w:rPr>
              <w:t>Aplicación de recomendaciones y reevaluación</w:t>
            </w:r>
          </w:p>
        </w:tc>
        <w:tc>
          <w:tcPr>
            <w:tcW w:w="2018" w:type="dxa"/>
          </w:tcPr>
          <w:p w14:paraId="50E7DA2B" w14:textId="77777777" w:rsidR="00C42BCF" w:rsidRPr="00505230" w:rsidRDefault="00C42BCF">
            <w:pPr>
              <w:cnfStyle w:val="000000000000" w:firstRow="0" w:lastRow="0" w:firstColumn="0" w:lastColumn="0" w:oddVBand="0" w:evenVBand="0" w:oddHBand="0" w:evenHBand="0" w:firstRowFirstColumn="0" w:firstRowLastColumn="0" w:lastRowFirstColumn="0" w:lastRowLastColumn="0"/>
              <w:rPr>
                <w:rFonts w:ascii="Mulish" w:hAnsi="Mulish"/>
                <w:color w:val="987000" w:themeColor="accent2" w:themeShade="BF"/>
                <w:sz w:val="20"/>
                <w:szCs w:val="20"/>
              </w:rPr>
            </w:pPr>
          </w:p>
          <w:p w14:paraId="69A98673" w14:textId="77777777" w:rsidR="00C42BCF" w:rsidRPr="00505230" w:rsidRDefault="00C42BCF">
            <w:pPr>
              <w:jc w:val="center"/>
              <w:cnfStyle w:val="000000000000" w:firstRow="0" w:lastRow="0" w:firstColumn="0" w:lastColumn="0" w:oddVBand="0" w:evenVBand="0" w:oddHBand="0" w:evenHBand="0" w:firstRowFirstColumn="0" w:firstRowLastColumn="0" w:lastRowFirstColumn="0" w:lastRowLastColumn="0"/>
              <w:rPr>
                <w:rFonts w:ascii="Mulish" w:hAnsi="Mulish"/>
                <w:sz w:val="20"/>
                <w:szCs w:val="20"/>
              </w:rPr>
            </w:pPr>
            <w:r w:rsidRPr="00505230">
              <w:rPr>
                <w:rFonts w:ascii="Mulish" w:hAnsi="Mulish"/>
                <w:sz w:val="20"/>
                <w:szCs w:val="20"/>
              </w:rPr>
              <w:t>155</w:t>
            </w:r>
          </w:p>
        </w:tc>
      </w:tr>
      <w:tr w:rsidR="00C42BCF" w:rsidRPr="00505230" w14:paraId="22E7F0DC" w14:textId="77777777" w:rsidTr="0050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hideMark/>
          </w:tcPr>
          <w:p w14:paraId="0793CF68" w14:textId="77777777" w:rsidR="00C42BCF" w:rsidRPr="00505230" w:rsidRDefault="00C42BCF">
            <w:pPr>
              <w:jc w:val="center"/>
              <w:rPr>
                <w:rFonts w:ascii="Mulish" w:hAnsi="Mulish"/>
                <w:sz w:val="20"/>
                <w:szCs w:val="20"/>
              </w:rPr>
            </w:pPr>
            <w:r w:rsidRPr="00505230">
              <w:rPr>
                <w:rFonts w:ascii="Mulish" w:hAnsi="Mulish"/>
                <w:sz w:val="20"/>
                <w:szCs w:val="20"/>
              </w:rPr>
              <w:t>Sujetos privados</w:t>
            </w:r>
          </w:p>
        </w:tc>
        <w:tc>
          <w:tcPr>
            <w:tcW w:w="2660" w:type="dxa"/>
            <w:gridSpan w:val="2"/>
            <w:hideMark/>
          </w:tcPr>
          <w:p w14:paraId="5A392B62" w14:textId="77777777" w:rsidR="00C42BCF" w:rsidRPr="00505230" w:rsidRDefault="00C42BCF">
            <w:pP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r w:rsidRPr="00505230">
              <w:rPr>
                <w:rFonts w:ascii="Mulish" w:hAnsi="Mulish"/>
                <w:sz w:val="20"/>
                <w:szCs w:val="20"/>
              </w:rPr>
              <w:t>1ª Evaluación</w:t>
            </w:r>
          </w:p>
          <w:p w14:paraId="4C88773D" w14:textId="426FE88C" w:rsidR="00C42BCF" w:rsidRPr="00505230" w:rsidRDefault="00C42BCF">
            <w:pPr>
              <w:cnfStyle w:val="000000100000" w:firstRow="0" w:lastRow="0" w:firstColumn="0" w:lastColumn="0" w:oddVBand="0" w:evenVBand="0" w:oddHBand="1" w:evenHBand="0" w:firstRowFirstColumn="0" w:firstRowLastColumn="0" w:lastRowFirstColumn="0" w:lastRowLastColumn="0"/>
              <w:rPr>
                <w:rFonts w:ascii="Mulish" w:hAnsi="Mulish"/>
                <w:color w:val="987000" w:themeColor="accent2" w:themeShade="BF"/>
                <w:sz w:val="20"/>
                <w:szCs w:val="20"/>
              </w:rPr>
            </w:pPr>
            <w:r w:rsidRPr="00505230">
              <w:rPr>
                <w:rFonts w:ascii="Mulish" w:hAnsi="Mulish"/>
                <w:sz w:val="20"/>
                <w:szCs w:val="20"/>
              </w:rPr>
              <w:t xml:space="preserve"> </w:t>
            </w:r>
          </w:p>
          <w:p w14:paraId="2A532A51" w14:textId="77777777" w:rsidR="00C42BCF" w:rsidRPr="00505230" w:rsidRDefault="00C42BCF">
            <w:pP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r w:rsidRPr="00505230">
              <w:rPr>
                <w:rFonts w:ascii="Mulish" w:hAnsi="Mulish"/>
                <w:sz w:val="20"/>
                <w:szCs w:val="20"/>
              </w:rPr>
              <w:t>Aplicación de recomendaciones y reevaluación</w:t>
            </w:r>
          </w:p>
        </w:tc>
        <w:tc>
          <w:tcPr>
            <w:tcW w:w="2018" w:type="dxa"/>
            <w:hideMark/>
          </w:tcPr>
          <w:p w14:paraId="538B2005" w14:textId="5E42375A" w:rsidR="00C42BCF" w:rsidRPr="00505230" w:rsidRDefault="00C42BCF">
            <w:pPr>
              <w:jc w:val="cente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r w:rsidRPr="00505230">
              <w:rPr>
                <w:rFonts w:ascii="Mulish" w:hAnsi="Mulish"/>
                <w:sz w:val="20"/>
                <w:szCs w:val="20"/>
              </w:rPr>
              <w:t>60</w:t>
            </w:r>
          </w:p>
          <w:p w14:paraId="2D524EFD" w14:textId="77777777" w:rsidR="00C42BCF" w:rsidRPr="00505230" w:rsidRDefault="00C42BCF">
            <w:pPr>
              <w:jc w:val="cente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p>
          <w:p w14:paraId="1B583B4E" w14:textId="77777777" w:rsidR="00C42BCF" w:rsidRPr="00505230" w:rsidRDefault="00C42BCF">
            <w:pPr>
              <w:jc w:val="cente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r w:rsidRPr="00505230">
              <w:rPr>
                <w:rFonts w:ascii="Mulish" w:hAnsi="Mulish"/>
                <w:sz w:val="20"/>
                <w:szCs w:val="20"/>
              </w:rPr>
              <w:t>62</w:t>
            </w:r>
          </w:p>
        </w:tc>
      </w:tr>
      <w:tr w:rsidR="00C42BCF" w:rsidRPr="00505230" w14:paraId="095A758E" w14:textId="77777777" w:rsidTr="00505230">
        <w:tc>
          <w:tcPr>
            <w:cnfStyle w:val="001000000000" w:firstRow="0" w:lastRow="0" w:firstColumn="1" w:lastColumn="0" w:oddVBand="0" w:evenVBand="0" w:oddHBand="0" w:evenHBand="0" w:firstRowFirstColumn="0" w:firstRowLastColumn="0" w:lastRowFirstColumn="0" w:lastRowLastColumn="0"/>
            <w:tcW w:w="4854" w:type="dxa"/>
            <w:hideMark/>
          </w:tcPr>
          <w:p w14:paraId="370FF360" w14:textId="77777777" w:rsidR="00C42BCF" w:rsidRPr="00505230" w:rsidRDefault="00C42BCF">
            <w:pPr>
              <w:jc w:val="center"/>
              <w:rPr>
                <w:rFonts w:ascii="Mulish" w:hAnsi="Mulish"/>
                <w:sz w:val="20"/>
                <w:szCs w:val="20"/>
              </w:rPr>
            </w:pPr>
            <w:r w:rsidRPr="00505230">
              <w:rPr>
                <w:rFonts w:ascii="Mulish" w:hAnsi="Mulish"/>
                <w:sz w:val="20"/>
                <w:szCs w:val="20"/>
              </w:rPr>
              <w:t>Partidos políticos</w:t>
            </w:r>
          </w:p>
        </w:tc>
        <w:tc>
          <w:tcPr>
            <w:tcW w:w="2660" w:type="dxa"/>
            <w:gridSpan w:val="2"/>
            <w:hideMark/>
          </w:tcPr>
          <w:p w14:paraId="79F88057" w14:textId="77777777" w:rsidR="00C42BCF" w:rsidRPr="00505230" w:rsidRDefault="00C42BCF">
            <w:pPr>
              <w:cnfStyle w:val="000000000000" w:firstRow="0" w:lastRow="0" w:firstColumn="0" w:lastColumn="0" w:oddVBand="0" w:evenVBand="0" w:oddHBand="0" w:evenHBand="0" w:firstRowFirstColumn="0" w:firstRowLastColumn="0" w:lastRowFirstColumn="0" w:lastRowLastColumn="0"/>
              <w:rPr>
                <w:rFonts w:ascii="Mulish" w:hAnsi="Mulish"/>
                <w:color w:val="987000" w:themeColor="accent2" w:themeShade="BF"/>
                <w:sz w:val="20"/>
                <w:szCs w:val="20"/>
              </w:rPr>
            </w:pPr>
            <w:r w:rsidRPr="00505230">
              <w:rPr>
                <w:rFonts w:ascii="Mulish" w:hAnsi="Mulish"/>
                <w:sz w:val="20"/>
                <w:szCs w:val="20"/>
              </w:rPr>
              <w:t>Aplicación de recomendaciones y reevaluación</w:t>
            </w:r>
          </w:p>
        </w:tc>
        <w:tc>
          <w:tcPr>
            <w:tcW w:w="2018" w:type="dxa"/>
            <w:hideMark/>
          </w:tcPr>
          <w:p w14:paraId="4D607AF9" w14:textId="77777777" w:rsidR="00C42BCF" w:rsidRPr="00505230" w:rsidRDefault="00C42BCF">
            <w:pPr>
              <w:jc w:val="center"/>
              <w:cnfStyle w:val="000000000000" w:firstRow="0" w:lastRow="0" w:firstColumn="0" w:lastColumn="0" w:oddVBand="0" w:evenVBand="0" w:oddHBand="0" w:evenHBand="0" w:firstRowFirstColumn="0" w:firstRowLastColumn="0" w:lastRowFirstColumn="0" w:lastRowLastColumn="0"/>
              <w:rPr>
                <w:rFonts w:ascii="Mulish" w:hAnsi="Mulish"/>
                <w:sz w:val="20"/>
                <w:szCs w:val="20"/>
              </w:rPr>
            </w:pPr>
            <w:r w:rsidRPr="00505230">
              <w:rPr>
                <w:rFonts w:ascii="Mulish" w:hAnsi="Mulish"/>
                <w:sz w:val="20"/>
                <w:szCs w:val="20"/>
              </w:rPr>
              <w:t>6</w:t>
            </w:r>
          </w:p>
        </w:tc>
      </w:tr>
      <w:tr w:rsidR="00C42BCF" w:rsidRPr="00505230" w14:paraId="262D857C" w14:textId="77777777" w:rsidTr="0050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hideMark/>
          </w:tcPr>
          <w:p w14:paraId="6E5C8CEB" w14:textId="77777777" w:rsidR="00C42BCF" w:rsidRPr="00505230" w:rsidRDefault="00C42BCF">
            <w:pPr>
              <w:jc w:val="center"/>
              <w:rPr>
                <w:rFonts w:ascii="Mulish" w:hAnsi="Mulish"/>
                <w:sz w:val="20"/>
                <w:szCs w:val="20"/>
              </w:rPr>
            </w:pPr>
            <w:r w:rsidRPr="00505230">
              <w:rPr>
                <w:rFonts w:ascii="Mulish" w:hAnsi="Mulish"/>
                <w:sz w:val="20"/>
                <w:szCs w:val="20"/>
              </w:rPr>
              <w:lastRenderedPageBreak/>
              <w:t>Evaluaciones voluntarias</w:t>
            </w:r>
          </w:p>
        </w:tc>
        <w:tc>
          <w:tcPr>
            <w:tcW w:w="2660" w:type="dxa"/>
            <w:gridSpan w:val="2"/>
            <w:hideMark/>
          </w:tcPr>
          <w:p w14:paraId="6F970662" w14:textId="77777777" w:rsidR="00C42BCF" w:rsidRPr="00505230" w:rsidRDefault="00C42BCF">
            <w:pPr>
              <w:cnfStyle w:val="000000100000" w:firstRow="0" w:lastRow="0" w:firstColumn="0" w:lastColumn="0" w:oddVBand="0" w:evenVBand="0" w:oddHBand="1" w:evenHBand="0" w:firstRowFirstColumn="0" w:firstRowLastColumn="0" w:lastRowFirstColumn="0" w:lastRowLastColumn="0"/>
              <w:rPr>
                <w:rFonts w:ascii="Mulish" w:hAnsi="Mulish"/>
                <w:color w:val="987000" w:themeColor="accent2" w:themeShade="BF"/>
                <w:sz w:val="20"/>
                <w:szCs w:val="20"/>
              </w:rPr>
            </w:pPr>
            <w:r w:rsidRPr="00505230">
              <w:rPr>
                <w:rFonts w:ascii="Mulish" w:hAnsi="Mulish"/>
                <w:sz w:val="20"/>
                <w:szCs w:val="20"/>
              </w:rPr>
              <w:t xml:space="preserve">Evaluación de aquellas entidades públicas y privadas objeto de revisión en 2025 que voluntariamente se quieran cometer a una nueva evaluación </w:t>
            </w:r>
          </w:p>
        </w:tc>
        <w:tc>
          <w:tcPr>
            <w:tcW w:w="2018" w:type="dxa"/>
            <w:hideMark/>
          </w:tcPr>
          <w:p w14:paraId="0FDCD6EA" w14:textId="77777777" w:rsidR="00C42BCF" w:rsidRPr="00505230" w:rsidRDefault="00C42BCF">
            <w:pPr>
              <w:jc w:val="center"/>
              <w:cnfStyle w:val="000000100000" w:firstRow="0" w:lastRow="0" w:firstColumn="0" w:lastColumn="0" w:oddVBand="0" w:evenVBand="0" w:oddHBand="1" w:evenHBand="0" w:firstRowFirstColumn="0" w:firstRowLastColumn="0" w:lastRowFirstColumn="0" w:lastRowLastColumn="0"/>
              <w:rPr>
                <w:rFonts w:ascii="Mulish" w:hAnsi="Mulish"/>
                <w:sz w:val="20"/>
                <w:szCs w:val="20"/>
              </w:rPr>
            </w:pPr>
            <w:r w:rsidRPr="00505230">
              <w:rPr>
                <w:rFonts w:ascii="Mulish" w:hAnsi="Mulish"/>
                <w:sz w:val="20"/>
                <w:szCs w:val="20"/>
              </w:rPr>
              <w:t>50*</w:t>
            </w:r>
          </w:p>
        </w:tc>
      </w:tr>
      <w:tr w:rsidR="00C42BCF" w:rsidRPr="00505230" w14:paraId="1D934610" w14:textId="77777777" w:rsidTr="00505230">
        <w:tc>
          <w:tcPr>
            <w:cnfStyle w:val="001000000000" w:firstRow="0" w:lastRow="0" w:firstColumn="1" w:lastColumn="0" w:oddVBand="0" w:evenVBand="0" w:oddHBand="0" w:evenHBand="0" w:firstRowFirstColumn="0" w:firstRowLastColumn="0" w:lastRowFirstColumn="0" w:lastRowLastColumn="0"/>
            <w:tcW w:w="4854" w:type="dxa"/>
            <w:hideMark/>
          </w:tcPr>
          <w:p w14:paraId="3B669B8C" w14:textId="77777777" w:rsidR="00C42BCF" w:rsidRPr="00505230" w:rsidRDefault="00C42BCF">
            <w:pPr>
              <w:jc w:val="center"/>
              <w:rPr>
                <w:rFonts w:ascii="Mulish" w:hAnsi="Mulish"/>
                <w:sz w:val="20"/>
                <w:szCs w:val="20"/>
              </w:rPr>
            </w:pPr>
            <w:r w:rsidRPr="00505230">
              <w:rPr>
                <w:rFonts w:ascii="Mulish" w:hAnsi="Mulish"/>
                <w:sz w:val="20"/>
                <w:szCs w:val="20"/>
              </w:rPr>
              <w:t>Denuncias por incumplimiento de obligaciones de publicidad activa</w:t>
            </w:r>
          </w:p>
        </w:tc>
        <w:tc>
          <w:tcPr>
            <w:tcW w:w="2660" w:type="dxa"/>
            <w:gridSpan w:val="2"/>
            <w:hideMark/>
          </w:tcPr>
          <w:p w14:paraId="6A6A17DC" w14:textId="77777777" w:rsidR="00C42BCF" w:rsidRPr="00505230" w:rsidRDefault="00C42BCF">
            <w:pPr>
              <w:cnfStyle w:val="000000000000" w:firstRow="0" w:lastRow="0" w:firstColumn="0" w:lastColumn="0" w:oddVBand="0" w:evenVBand="0" w:oddHBand="0" w:evenHBand="0" w:firstRowFirstColumn="0" w:firstRowLastColumn="0" w:lastRowFirstColumn="0" w:lastRowLastColumn="0"/>
              <w:rPr>
                <w:rFonts w:ascii="Mulish" w:hAnsi="Mulish"/>
                <w:bCs/>
                <w:color w:val="987000" w:themeColor="accent2" w:themeShade="BF"/>
                <w:sz w:val="20"/>
                <w:szCs w:val="20"/>
              </w:rPr>
            </w:pPr>
            <w:r w:rsidRPr="00505230">
              <w:rPr>
                <w:rFonts w:ascii="Mulish" w:hAnsi="Mulish"/>
                <w:bCs/>
                <w:sz w:val="20"/>
                <w:szCs w:val="20"/>
              </w:rPr>
              <w:t>Evaluación de los Portales de Transparencia o páginas web</w:t>
            </w:r>
          </w:p>
        </w:tc>
        <w:tc>
          <w:tcPr>
            <w:tcW w:w="2018" w:type="dxa"/>
          </w:tcPr>
          <w:p w14:paraId="03223023" w14:textId="77777777" w:rsidR="00C42BCF" w:rsidRPr="00505230" w:rsidRDefault="00C42BCF">
            <w:pPr>
              <w:jc w:val="center"/>
              <w:cnfStyle w:val="000000000000" w:firstRow="0" w:lastRow="0" w:firstColumn="0" w:lastColumn="0" w:oddVBand="0" w:evenVBand="0" w:oddHBand="0" w:evenHBand="0" w:firstRowFirstColumn="0" w:firstRowLastColumn="0" w:lastRowFirstColumn="0" w:lastRowLastColumn="0"/>
              <w:rPr>
                <w:rFonts w:ascii="Mulish" w:hAnsi="Mulish"/>
                <w:bCs/>
                <w:sz w:val="20"/>
                <w:szCs w:val="20"/>
              </w:rPr>
            </w:pPr>
            <w:r w:rsidRPr="00505230">
              <w:rPr>
                <w:rFonts w:ascii="Mulish" w:hAnsi="Mulish"/>
                <w:bCs/>
                <w:sz w:val="20"/>
                <w:szCs w:val="20"/>
              </w:rPr>
              <w:t>No es posible su cuantificación</w:t>
            </w:r>
          </w:p>
          <w:p w14:paraId="519D60B1" w14:textId="77777777" w:rsidR="00C42BCF" w:rsidRPr="00505230" w:rsidRDefault="00C42BCF">
            <w:pPr>
              <w:jc w:val="center"/>
              <w:cnfStyle w:val="000000000000" w:firstRow="0" w:lastRow="0" w:firstColumn="0" w:lastColumn="0" w:oddVBand="0" w:evenVBand="0" w:oddHBand="0" w:evenHBand="0" w:firstRowFirstColumn="0" w:firstRowLastColumn="0" w:lastRowFirstColumn="0" w:lastRowLastColumn="0"/>
              <w:rPr>
                <w:rFonts w:ascii="Mulish" w:hAnsi="Mulish"/>
                <w:bCs/>
                <w:sz w:val="20"/>
                <w:szCs w:val="20"/>
              </w:rPr>
            </w:pPr>
          </w:p>
        </w:tc>
      </w:tr>
      <w:tr w:rsidR="00C42BCF" w:rsidRPr="00505230" w14:paraId="44D358C1" w14:textId="77777777" w:rsidTr="0050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4" w:type="dxa"/>
            <w:gridSpan w:val="3"/>
            <w:hideMark/>
          </w:tcPr>
          <w:p w14:paraId="35F3A38A" w14:textId="77777777" w:rsidR="00C42BCF" w:rsidRPr="00505230" w:rsidRDefault="00C42BCF">
            <w:pPr>
              <w:rPr>
                <w:rFonts w:ascii="Mulish" w:hAnsi="Mulish"/>
                <w:sz w:val="20"/>
                <w:szCs w:val="20"/>
              </w:rPr>
            </w:pPr>
            <w:r w:rsidRPr="00505230">
              <w:rPr>
                <w:rFonts w:ascii="Mulish" w:hAnsi="Mulish"/>
                <w:sz w:val="20"/>
                <w:szCs w:val="20"/>
              </w:rPr>
              <w:t>Total de organizaciones/entidades evaluadas</w:t>
            </w:r>
          </w:p>
        </w:tc>
        <w:tc>
          <w:tcPr>
            <w:tcW w:w="2018" w:type="dxa"/>
            <w:hideMark/>
          </w:tcPr>
          <w:p w14:paraId="5ED5A2CC" w14:textId="77777777" w:rsidR="00C42BCF" w:rsidRPr="00505230" w:rsidRDefault="00C42BCF">
            <w:pPr>
              <w:jc w:val="center"/>
              <w:cnfStyle w:val="000000100000" w:firstRow="0" w:lastRow="0" w:firstColumn="0" w:lastColumn="0" w:oddVBand="0" w:evenVBand="0" w:oddHBand="1" w:evenHBand="0" w:firstRowFirstColumn="0" w:firstRowLastColumn="0" w:lastRowFirstColumn="0" w:lastRowLastColumn="0"/>
              <w:rPr>
                <w:rFonts w:ascii="Mulish" w:hAnsi="Mulish"/>
                <w:b/>
                <w:color w:val="3C8378"/>
                <w:sz w:val="20"/>
                <w:szCs w:val="20"/>
              </w:rPr>
            </w:pPr>
            <w:r w:rsidRPr="00505230">
              <w:rPr>
                <w:rFonts w:ascii="Mulish" w:hAnsi="Mulish"/>
                <w:sz w:val="20"/>
                <w:szCs w:val="20"/>
              </w:rPr>
              <w:t>334</w:t>
            </w:r>
          </w:p>
        </w:tc>
      </w:tr>
    </w:tbl>
    <w:p w14:paraId="549500DA" w14:textId="77777777" w:rsidR="008C0F8C" w:rsidRDefault="008C0F8C" w:rsidP="006B6EFF">
      <w:pPr>
        <w:spacing w:after="0"/>
        <w:jc w:val="both"/>
        <w:rPr>
          <w:rFonts w:ascii="Mulish" w:eastAsia="Mulish" w:hAnsi="Mulish" w:cs="Mulish"/>
          <w:color w:val="0C0C0C" w:themeColor="text1"/>
          <w:sz w:val="18"/>
          <w:szCs w:val="18"/>
          <w:lang w:eastAsia="es-ES" w:bidi="es-ES"/>
        </w:rPr>
      </w:pPr>
    </w:p>
    <w:p w14:paraId="004EA9F0" w14:textId="5746DCE4" w:rsidR="00C4079C" w:rsidRPr="00505230" w:rsidRDefault="00C42BCF" w:rsidP="006B6EFF">
      <w:pPr>
        <w:spacing w:after="0"/>
        <w:jc w:val="both"/>
        <w:rPr>
          <w:rFonts w:ascii="Mulish" w:eastAsia="Mulish" w:hAnsi="Mulish" w:cs="Mulish"/>
          <w:color w:val="0C0C0C" w:themeColor="text1"/>
          <w:sz w:val="18"/>
          <w:szCs w:val="18"/>
          <w:lang w:eastAsia="es-ES" w:bidi="es-ES"/>
        </w:rPr>
      </w:pPr>
      <w:r w:rsidRPr="00505230">
        <w:rPr>
          <w:rFonts w:ascii="Mulish" w:eastAsia="Mulish" w:hAnsi="Mulish" w:cs="Mulish"/>
          <w:color w:val="0C0C0C" w:themeColor="text1"/>
          <w:sz w:val="18"/>
          <w:szCs w:val="18"/>
          <w:lang w:eastAsia="es-ES" w:bidi="es-ES"/>
        </w:rPr>
        <w:t xml:space="preserve">*cifra máxima </w:t>
      </w:r>
    </w:p>
    <w:p w14:paraId="1A057C0D" w14:textId="5F74B0C6" w:rsidR="00C4079C" w:rsidRDefault="00C4079C" w:rsidP="006B6EFF">
      <w:pPr>
        <w:spacing w:after="0"/>
        <w:jc w:val="both"/>
        <w:rPr>
          <w:rFonts w:ascii="Mulish" w:eastAsia="Mulish" w:hAnsi="Mulish" w:cs="Mulish"/>
          <w:color w:val="0C0C0C" w:themeColor="text1"/>
          <w:lang w:eastAsia="es-ES" w:bidi="es-ES"/>
        </w:rPr>
      </w:pPr>
    </w:p>
    <w:p w14:paraId="1AAE82A9" w14:textId="5861A999" w:rsidR="00C4079C" w:rsidRPr="002870E9" w:rsidRDefault="002870E9" w:rsidP="006B6EFF">
      <w:pPr>
        <w:spacing w:after="0"/>
        <w:jc w:val="both"/>
        <w:rPr>
          <w:rStyle w:val="Hipervnculo"/>
          <w:rFonts w:ascii="Mulish" w:eastAsia="Mulish" w:hAnsi="Mulish" w:cs="Mulish"/>
          <w:lang w:eastAsia="es-ES" w:bidi="es-ES"/>
        </w:rPr>
      </w:pPr>
      <w:r>
        <w:rPr>
          <w:rFonts w:ascii="Mulish" w:eastAsia="Mulish" w:hAnsi="Mulish" w:cs="Mulish"/>
          <w:lang w:eastAsia="es-ES" w:bidi="es-ES"/>
        </w:rPr>
        <w:fldChar w:fldCharType="begin"/>
      </w:r>
      <w:r w:rsidR="00977330">
        <w:rPr>
          <w:rFonts w:ascii="Mulish" w:eastAsia="Mulish" w:hAnsi="Mulish" w:cs="Mulish"/>
          <w:lang w:eastAsia="es-ES" w:bidi="es-ES"/>
        </w:rPr>
        <w:instrText>HYPERLINK "https://consejodetransparencia.es/content/dam/ctransparencia/portal-ctbg/evaluacion/evaluaci%C3%B3n-de-2026/Plan_Evaluacion_2026.pdf"</w:instrText>
      </w:r>
      <w:r w:rsidR="00977330">
        <w:rPr>
          <w:rFonts w:ascii="Mulish" w:eastAsia="Mulish" w:hAnsi="Mulish" w:cs="Mulish"/>
          <w:lang w:eastAsia="es-ES" w:bidi="es-ES"/>
        </w:rPr>
      </w:r>
      <w:r>
        <w:rPr>
          <w:rFonts w:ascii="Mulish" w:eastAsia="Mulish" w:hAnsi="Mulish" w:cs="Mulish"/>
          <w:lang w:eastAsia="es-ES" w:bidi="es-ES"/>
        </w:rPr>
        <w:fldChar w:fldCharType="separate"/>
      </w:r>
      <w:r w:rsidR="00441927" w:rsidRPr="002870E9">
        <w:rPr>
          <w:rStyle w:val="Hipervnculo"/>
          <w:rFonts w:ascii="Mulish" w:eastAsia="Mulish" w:hAnsi="Mulish" w:cs="Mulish"/>
          <w:lang w:eastAsia="es-ES" w:bidi="es-ES"/>
        </w:rPr>
        <w:t>Enlace al Plan de Evaluación 2026</w:t>
      </w:r>
    </w:p>
    <w:p w14:paraId="640B9ABE" w14:textId="395EA79C" w:rsidR="00C4079C" w:rsidRDefault="002870E9" w:rsidP="006B6EFF">
      <w:pPr>
        <w:spacing w:after="0"/>
        <w:jc w:val="both"/>
        <w:rPr>
          <w:rFonts w:ascii="Mulish" w:eastAsia="Mulish" w:hAnsi="Mulish" w:cs="Mulish"/>
          <w:color w:val="0C0C0C" w:themeColor="text1"/>
          <w:lang w:eastAsia="es-ES" w:bidi="es-ES"/>
        </w:rPr>
      </w:pPr>
      <w:r>
        <w:rPr>
          <w:rFonts w:ascii="Mulish" w:eastAsia="Mulish" w:hAnsi="Mulish" w:cs="Mulish"/>
          <w:lang w:eastAsia="es-ES" w:bidi="es-ES"/>
        </w:rPr>
        <w:fldChar w:fldCharType="end"/>
      </w:r>
    </w:p>
    <w:p w14:paraId="1BCBEE35" w14:textId="77777777" w:rsidR="006579F9" w:rsidRDefault="006579F9" w:rsidP="006B6EFF">
      <w:pPr>
        <w:spacing w:after="0"/>
        <w:jc w:val="both"/>
        <w:rPr>
          <w:rFonts w:ascii="Mulish" w:eastAsia="Mulish" w:hAnsi="Mulish" w:cs="Mulish"/>
          <w:color w:val="0C0C0C" w:themeColor="text1"/>
          <w:lang w:eastAsia="es-ES" w:bidi="es-ES"/>
        </w:rPr>
      </w:pPr>
    </w:p>
    <w:p w14:paraId="44DE4BF0" w14:textId="48236E37" w:rsidR="00B80115" w:rsidRPr="0076793C" w:rsidRDefault="00B80115" w:rsidP="00B80115">
      <w:pPr>
        <w:spacing w:after="0" w:line="240" w:lineRule="auto"/>
        <w:jc w:val="both"/>
        <w:rPr>
          <w:sz w:val="24"/>
          <w:szCs w:val="24"/>
          <w:u w:val="single"/>
        </w:rPr>
      </w:pPr>
      <w:r w:rsidRPr="0076793C">
        <w:rPr>
          <w:sz w:val="24"/>
          <w:szCs w:val="24"/>
          <w:u w:val="single"/>
        </w:rPr>
        <w:t>Más información:</w:t>
      </w:r>
      <w:r w:rsidR="00C27BA6">
        <w:rPr>
          <w:sz w:val="24"/>
          <w:szCs w:val="24"/>
          <w:u w:val="single"/>
        </w:rPr>
        <w:t xml:space="preserve"> </w:t>
      </w:r>
    </w:p>
    <w:p w14:paraId="6C40E5E0" w14:textId="6274EA26" w:rsidR="009B3A1E" w:rsidRDefault="00B80115" w:rsidP="00C05613">
      <w:pPr>
        <w:spacing w:after="0" w:line="240" w:lineRule="auto"/>
        <w:jc w:val="both"/>
        <w:rPr>
          <w:rStyle w:val="Hipervnculo"/>
          <w:sz w:val="24"/>
          <w:szCs w:val="24"/>
        </w:rPr>
      </w:pPr>
      <w:r w:rsidRPr="0076793C">
        <w:rPr>
          <w:rStyle w:val="Hipervnculo"/>
          <w:sz w:val="24"/>
          <w:szCs w:val="24"/>
        </w:rPr>
        <w:t>prensa</w:t>
      </w:r>
      <w:hyperlink r:id="rId10" w:history="1">
        <w:r w:rsidRPr="0076793C">
          <w:rPr>
            <w:rStyle w:val="Hipervnculo"/>
            <w:sz w:val="24"/>
            <w:szCs w:val="24"/>
          </w:rPr>
          <w:t>@consejodetransparencia.es</w:t>
        </w:r>
      </w:hyperlink>
      <w:r w:rsidR="00C27BA6">
        <w:rPr>
          <w:rStyle w:val="Hipervnculo"/>
          <w:sz w:val="24"/>
          <w:szCs w:val="24"/>
        </w:rPr>
        <w:t xml:space="preserve">  </w:t>
      </w:r>
    </w:p>
    <w:p w14:paraId="3A47980F" w14:textId="0549565F" w:rsidR="00D846D5" w:rsidRPr="00D846D5" w:rsidRDefault="00D846D5" w:rsidP="00D846D5">
      <w:pPr>
        <w:spacing w:after="0" w:line="240" w:lineRule="auto"/>
        <w:jc w:val="both"/>
        <w:rPr>
          <w:rFonts w:ascii="Mulish" w:eastAsia="Mulish" w:hAnsi="Mulish" w:cs="Mulish"/>
          <w:color w:val="0C0C0C" w:themeColor="text1"/>
          <w:lang w:eastAsia="es-ES" w:bidi="es-ES"/>
        </w:rPr>
      </w:pPr>
      <w:r w:rsidRPr="00D846D5">
        <w:rPr>
          <w:rFonts w:ascii="Mulish" w:eastAsia="Mulish" w:hAnsi="Mulish" w:cs="Mulish"/>
          <w:color w:val="0C0C0C" w:themeColor="text1"/>
          <w:lang w:eastAsia="es-ES" w:bidi="es-ES"/>
        </w:rPr>
        <w:t xml:space="preserve">91 273 33 45  </w:t>
      </w:r>
    </w:p>
    <w:sectPr w:rsidR="00D846D5" w:rsidRPr="00D846D5" w:rsidSect="00C34F68">
      <w:headerReference w:type="default" r:id="rId11"/>
      <w:footerReference w:type="default" r:id="rId12"/>
      <w:headerReference w:type="first" r:id="rId13"/>
      <w:footerReference w:type="first" r:id="rId14"/>
      <w:pgSz w:w="11906" w:h="16838" w:code="9"/>
      <w:pgMar w:top="1418" w:right="1418" w:bottom="1418" w:left="1418" w:header="709"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1350" w14:textId="77777777" w:rsidR="001F19FD" w:rsidRDefault="001F19FD" w:rsidP="00E033DF">
      <w:pPr>
        <w:spacing w:after="0" w:line="240" w:lineRule="auto"/>
      </w:pPr>
      <w:r>
        <w:separator/>
      </w:r>
    </w:p>
  </w:endnote>
  <w:endnote w:type="continuationSeparator" w:id="0">
    <w:p w14:paraId="71C52B61" w14:textId="77777777" w:rsidR="001F19FD" w:rsidRDefault="001F19FD" w:rsidP="00E0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9197"/>
      <w:docPartObj>
        <w:docPartGallery w:val="Page Numbers (Bottom of Page)"/>
        <w:docPartUnique/>
      </w:docPartObj>
    </w:sdtPr>
    <w:sdtEndPr/>
    <w:sdtContent>
      <w:p w14:paraId="6C40E5E8" w14:textId="388E40E1" w:rsidR="009B3A1E" w:rsidRPr="00A40308" w:rsidRDefault="00A667E2" w:rsidP="00F436DD">
        <w:pPr>
          <w:pStyle w:val="Piedepgina"/>
          <w:tabs>
            <w:tab w:val="clear" w:pos="8504"/>
          </w:tabs>
          <w:ind w:right="-568"/>
          <w:jc w:val="center"/>
          <w:rPr>
            <w:rFonts w:ascii="Mulish" w:hAnsi="Mulish"/>
            <w:sz w:val="16"/>
            <w:szCs w:val="16"/>
          </w:rPr>
        </w:pPr>
        <w:r w:rsidRPr="00F436DD">
          <w:rPr>
            <w:rFonts w:ascii="Mulish" w:hAnsi="Mulish"/>
            <w:noProof/>
            <w:sz w:val="16"/>
            <w:szCs w:val="16"/>
            <w:lang w:eastAsia="es-ES"/>
          </w:rPr>
          <mc:AlternateContent>
            <mc:Choice Requires="wps">
              <w:drawing>
                <wp:anchor distT="0" distB="0" distL="114300" distR="114300" simplePos="0" relativeHeight="251672576" behindDoc="0" locked="0" layoutInCell="1" allowOverlap="1" wp14:anchorId="6C40E5F9" wp14:editId="572EC6D2">
                  <wp:simplePos x="0" y="0"/>
                  <wp:positionH relativeFrom="column">
                    <wp:posOffset>7855585</wp:posOffset>
                  </wp:positionH>
                  <wp:positionV relativeFrom="paragraph">
                    <wp:posOffset>164465</wp:posOffset>
                  </wp:positionV>
                  <wp:extent cx="0" cy="358140"/>
                  <wp:effectExtent l="6985" t="12065" r="12065" b="10795"/>
                  <wp:wrapNone/>
                  <wp:docPr id="9805813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5C4C47" id="_x0000_t32" coordsize="21600,21600" o:spt="32" o:oned="t" path="m,l21600,21600e" filled="f">
                  <v:path arrowok="t" fillok="f" o:connecttype="none"/>
                  <o:lock v:ext="edit" shapetype="t"/>
                </v:shapetype>
                <v:shape id="AutoShape 11" o:spid="_x0000_s1026" type="#_x0000_t32" style="position:absolute;margin-left:618.55pt;margin-top:12.95pt;width:0;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"/>
              </w:pict>
            </mc:Fallback>
          </mc:AlternateContent>
        </w:r>
        <w:r w:rsidR="00E94641">
          <w:tab/>
        </w:r>
        <w:r w:rsidRPr="00F436DD">
          <w:rPr>
            <w:rFonts w:ascii="Mulish" w:hAnsi="Mulish"/>
            <w:sz w:val="16"/>
            <w:szCs w:val="16"/>
          </w:rPr>
          <w:fldChar w:fldCharType="begin"/>
        </w:r>
        <w:r w:rsidRPr="00F436DD">
          <w:rPr>
            <w:rFonts w:ascii="Mulish" w:hAnsi="Mulish"/>
            <w:sz w:val="16"/>
            <w:szCs w:val="16"/>
          </w:rPr>
          <w:instrText xml:space="preserve"> PAGE   \* MERGEFORMAT </w:instrText>
        </w:r>
        <w:r w:rsidRPr="00F436DD">
          <w:rPr>
            <w:rFonts w:ascii="Mulish" w:hAnsi="Mulish"/>
            <w:sz w:val="16"/>
            <w:szCs w:val="16"/>
          </w:rPr>
          <w:fldChar w:fldCharType="separate"/>
        </w:r>
        <w:r w:rsidR="000A35BB">
          <w:rPr>
            <w:rFonts w:ascii="Mulish" w:hAnsi="Mulish"/>
            <w:noProof/>
            <w:sz w:val="16"/>
            <w:szCs w:val="16"/>
          </w:rPr>
          <w:t>1</w:t>
        </w:r>
        <w:r w:rsidRPr="00F436DD">
          <w:rPr>
            <w:rFonts w:ascii="Mulish" w:hAnsi="Mulish"/>
            <w:noProof/>
            <w:sz w:val="16"/>
            <w:szCs w:val="16"/>
          </w:rPr>
          <w:fldChar w:fldCharType="end"/>
        </w:r>
        <w:r w:rsidR="009B3A1E" w:rsidRPr="00F436DD">
          <w:rPr>
            <w:rFonts w:ascii="Mulish" w:hAnsi="Mulish"/>
            <w:sz w:val="16"/>
            <w:szCs w:val="16"/>
          </w:rPr>
          <w:t xml:space="preserve">  </w:t>
        </w:r>
        <w:r w:rsidR="009B3A1E" w:rsidRPr="00A40308">
          <w:rPr>
            <w:rFonts w:ascii="Mulish" w:hAnsi="Mulish"/>
          </w:rPr>
          <w:t xml:space="preserve">                                                                                                            </w:t>
        </w:r>
        <w:r w:rsidR="009B3A1E" w:rsidRPr="00A40308">
          <w:rPr>
            <w:rFonts w:ascii="Mulish" w:hAnsi="Mulish"/>
            <w:sz w:val="16"/>
            <w:szCs w:val="16"/>
          </w:rPr>
          <w:t>CONSEJO DE TRANSPARENCIA</w:t>
        </w:r>
        <w:r w:rsidR="00F51DB5" w:rsidRPr="00A40308">
          <w:rPr>
            <w:rFonts w:ascii="Mulish" w:hAnsi="Mulish"/>
            <w:sz w:val="16"/>
            <w:szCs w:val="16"/>
          </w:rPr>
          <w:t xml:space="preserve"> </w:t>
        </w:r>
        <w:r w:rsidR="00DD76CF" w:rsidRPr="00A40308">
          <w:rPr>
            <w:rFonts w:ascii="Mulish" w:hAnsi="Mulish"/>
            <w:sz w:val="16"/>
            <w:szCs w:val="16"/>
          </w:rPr>
          <w:t>AAI</w:t>
        </w:r>
        <w:r w:rsidR="009B3A1E" w:rsidRPr="00A40308">
          <w:rPr>
            <w:rFonts w:ascii="Mulish" w:hAnsi="Mulish"/>
            <w:noProof/>
            <w:sz w:val="24"/>
            <w:szCs w:val="24"/>
            <w:lang w:eastAsia="es-ES"/>
          </w:rPr>
          <w:t xml:space="preserve"> </w:t>
        </w:r>
      </w:p>
      <w:p w14:paraId="6C40E5E9" w14:textId="77777777" w:rsidR="004E6B2E" w:rsidRDefault="00977330" w:rsidP="005B3D95">
        <w:pPr>
          <w:pStyle w:val="Piedepgina"/>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5F5" w14:textId="413E2187" w:rsidR="009B3A1E" w:rsidRPr="000974DF" w:rsidRDefault="00A667E2" w:rsidP="001021B2">
    <w:pPr>
      <w:pStyle w:val="Piedepgina"/>
      <w:jc w:val="center"/>
      <w:rPr>
        <w:rFonts w:ascii="Mulish" w:hAnsi="Mulish"/>
      </w:rPr>
    </w:pPr>
    <w:r>
      <w:rPr>
        <w:noProof/>
        <w:lang w:eastAsia="es-ES"/>
      </w:rPr>
      <mc:AlternateContent>
        <mc:Choice Requires="wps">
          <w:drawing>
            <wp:anchor distT="0" distB="0" distL="114300" distR="114300" simplePos="0" relativeHeight="251678720" behindDoc="1" locked="0" layoutInCell="1" allowOverlap="1" wp14:anchorId="556DAD95" wp14:editId="4E703215">
              <wp:simplePos x="0" y="0"/>
              <wp:positionH relativeFrom="page">
                <wp:posOffset>876935</wp:posOffset>
              </wp:positionH>
              <wp:positionV relativeFrom="page">
                <wp:posOffset>10072370</wp:posOffset>
              </wp:positionV>
              <wp:extent cx="1299845" cy="365760"/>
              <wp:effectExtent l="0" t="0" r="0" b="0"/>
              <wp:wrapNone/>
              <wp:docPr id="3599534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65760"/>
                      </a:xfrm>
                      <a:prstGeom prst="rect">
                        <a:avLst/>
                      </a:prstGeom>
                      <a:noFill/>
                      <a:ln>
                        <a:noFill/>
                      </a:ln>
                    </wps:spPr>
                    <wps:txbx>
                      <w:txbxContent>
                        <w:p w14:paraId="5DFF72EF" w14:textId="77777777" w:rsidR="00362D91" w:rsidRPr="00A655A2" w:rsidRDefault="00362D91" w:rsidP="00362D91">
                          <w:pPr>
                            <w:spacing w:before="20" w:line="225" w:lineRule="auto"/>
                            <w:ind w:left="20" w:right="-18"/>
                            <w:rPr>
                              <w:rFonts w:ascii="Mulish" w:hAnsi="Mulish"/>
                              <w:sz w:val="14"/>
                            </w:rPr>
                          </w:pPr>
                          <w:r w:rsidRPr="00A655A2">
                            <w:rPr>
                              <w:rFonts w:ascii="Mulish" w:hAnsi="Mulish"/>
                              <w:b/>
                              <w:sz w:val="14"/>
                            </w:rPr>
                            <w:t xml:space="preserve">Consejo de Transparencia AAI </w:t>
                          </w:r>
                          <w:r w:rsidRPr="00A655A2">
                            <w:rPr>
                              <w:rFonts w:ascii="Mulish" w:hAnsi="Mulish"/>
                              <w:sz w:val="14"/>
                            </w:rPr>
                            <w:t>C/ José Abascal, nº 2, 5º-C 28003 MADRID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DAD95" id="_x0000_t202" coordsize="21600,21600" o:spt="202" path="m,l,21600r21600,l21600,xe">
              <v:stroke joinstyle="miter"/>
              <v:path gradientshapeok="t" o:connecttype="rect"/>
            </v:shapetype>
            <v:shape id="Cuadro de texto 2" o:spid="_x0000_s1026" type="#_x0000_t202" style="position:absolute;left:0;text-align:left;margin-left:69.05pt;margin-top:793.1pt;width:102.35pt;height:28.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" filled="f" stroked="f">
              <v:textbox inset="0,0,0,0">
                <w:txbxContent>
                  <w:p w14:paraId="5DFF72EF" w14:textId="77777777" w:rsidR="00362D91" w:rsidRPr="00A655A2" w:rsidRDefault="00362D91" w:rsidP="00362D91">
                    <w:pPr>
                      <w:spacing w:before="20" w:line="225" w:lineRule="auto"/>
                      <w:ind w:left="20" w:right="-18"/>
                      <w:rPr>
                        <w:rFonts w:ascii="Mulish" w:hAnsi="Mulish"/>
                        <w:sz w:val="14"/>
                      </w:rPr>
                    </w:pPr>
                    <w:r w:rsidRPr="00A655A2">
                      <w:rPr>
                        <w:rFonts w:ascii="Mulish" w:hAnsi="Mulish"/>
                        <w:b/>
                        <w:sz w:val="14"/>
                      </w:rPr>
                      <w:t xml:space="preserve">Consejo de Transparencia AAI </w:t>
                    </w:r>
                    <w:r w:rsidRPr="00A655A2">
                      <w:rPr>
                        <w:rFonts w:ascii="Mulish" w:hAnsi="Mulish"/>
                        <w:sz w:val="14"/>
                      </w:rPr>
                      <w:t>C/ José Abascal, nº 2, 5º-C 28003 MADRID</w:t>
                    </w:r>
                  </w:p>
                </w:txbxContent>
              </v:textbox>
              <w10:wrap anchorx="page" anchory="page"/>
            </v:shape>
          </w:pict>
        </mc:Fallback>
      </mc:AlternateContent>
    </w:r>
    <w:r>
      <w:rPr>
        <w:noProof/>
        <w:lang w:eastAsia="es-ES"/>
      </w:rPr>
      <mc:AlternateContent>
        <mc:Choice Requires="wps">
          <w:drawing>
            <wp:anchor distT="0" distB="0" distL="114300" distR="114300" simplePos="0" relativeHeight="251680768" behindDoc="1" locked="0" layoutInCell="1" allowOverlap="1" wp14:anchorId="69F40DE2" wp14:editId="52CD6E8A">
              <wp:simplePos x="0" y="0"/>
              <wp:positionH relativeFrom="page">
                <wp:posOffset>4848860</wp:posOffset>
              </wp:positionH>
              <wp:positionV relativeFrom="page">
                <wp:posOffset>10081260</wp:posOffset>
              </wp:positionV>
              <wp:extent cx="2000250" cy="419100"/>
              <wp:effectExtent l="0" t="0" r="0" b="0"/>
              <wp:wrapNone/>
              <wp:docPr id="44388711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19100"/>
                      </a:xfrm>
                      <a:prstGeom prst="rect">
                        <a:avLst/>
                      </a:prstGeom>
                      <a:noFill/>
                      <a:ln>
                        <a:noFill/>
                      </a:ln>
                    </wps:spPr>
                    <wps:txbx>
                      <w:txbxContent>
                        <w:p w14:paraId="59EF72C9" w14:textId="77777777" w:rsidR="001C2B35" w:rsidRPr="002E7D20" w:rsidRDefault="00977330" w:rsidP="001C2B35">
                          <w:pPr>
                            <w:tabs>
                              <w:tab w:val="left" w:pos="2798"/>
                            </w:tabs>
                            <w:spacing w:before="20" w:line="225" w:lineRule="auto"/>
                            <w:ind w:left="101" w:right="342" w:hanging="82"/>
                            <w:jc w:val="right"/>
                            <w:rPr>
                              <w:rFonts w:ascii="Mulish" w:hAnsi="Mulish"/>
                              <w:sz w:val="14"/>
                              <w:lang w:val="en-GB"/>
                            </w:rPr>
                          </w:pPr>
                          <w:hyperlink r:id="rId1">
                            <w:r w:rsidR="001C2B35" w:rsidRPr="002E7D20">
                              <w:rPr>
                                <w:rFonts w:ascii="Mulish" w:hAnsi="Mulish"/>
                                <w:sz w:val="14"/>
                                <w:lang w:val="en-GB"/>
                              </w:rPr>
                              <w:t>email: ctbg@consejodetransparencia.es</w:t>
                            </w:r>
                          </w:hyperlink>
                          <w:r w:rsidR="001C2B35" w:rsidRPr="002E7D20">
                            <w:rPr>
                              <w:rFonts w:ascii="Mulish" w:hAnsi="Mulish"/>
                              <w:sz w:val="14"/>
                              <w:lang w:val="en-GB"/>
                            </w:rPr>
                            <w:t xml:space="preserve"> Teléfono: 91 273 33 20 - 91 273 33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40DE2" id="_x0000_t202" coordsize="21600,21600" o:spt="202" path="m,l,21600r21600,l21600,xe">
              <v:stroke joinstyle="miter"/>
              <v:path gradientshapeok="t" o:connecttype="rect"/>
            </v:shapetype>
            <v:shape id="Cuadro de texto 1" o:spid="_x0000_s1027" type="#_x0000_t202" style="position:absolute;left:0;text-align:left;margin-left:381.8pt;margin-top:793.8pt;width:157.5pt;height:3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" filled="f" stroked="f">
              <v:textbox inset="0,0,0,0">
                <w:txbxContent>
                  <w:p w14:paraId="59EF72C9" w14:textId="77777777" w:rsidR="001C2B35" w:rsidRPr="002E7D20" w:rsidRDefault="00FD4AE9" w:rsidP="001C2B35">
                    <w:pPr>
                      <w:tabs>
                        <w:tab w:val="left" w:pos="2798"/>
                      </w:tabs>
                      <w:spacing w:before="20" w:line="225" w:lineRule="auto"/>
                      <w:ind w:left="101" w:right="342" w:hanging="82"/>
                      <w:jc w:val="right"/>
                      <w:rPr>
                        <w:rFonts w:ascii="Mulish" w:hAnsi="Mulish"/>
                        <w:sz w:val="14"/>
                        <w:lang w:val="en-GB"/>
                      </w:rPr>
                    </w:pPr>
                    <w:hyperlink r:id="rId2">
                      <w:r w:rsidR="001C2B35" w:rsidRPr="002E7D20">
                        <w:rPr>
                          <w:rFonts w:ascii="Mulish" w:hAnsi="Mulish"/>
                          <w:sz w:val="14"/>
                          <w:lang w:val="en-GB"/>
                        </w:rPr>
                        <w:t>email: ctbg@consejodetransparencia.es</w:t>
                      </w:r>
                    </w:hyperlink>
                    <w:r w:rsidR="001C2B35" w:rsidRPr="002E7D20">
                      <w:rPr>
                        <w:rFonts w:ascii="Mulish" w:hAnsi="Mulish"/>
                        <w:sz w:val="14"/>
                        <w:lang w:val="en-GB"/>
                      </w:rPr>
                      <w:t xml:space="preserve"> Teléfono: 91 273 33 20 - 91 273 33 17</w:t>
                    </w:r>
                  </w:p>
                </w:txbxContent>
              </v:textbox>
              <w10:wrap anchorx="page" anchory="page"/>
            </v:shape>
          </w:pict>
        </mc:Fallback>
      </mc:AlternateContent>
    </w:r>
    <w:r w:rsidR="00F31A91">
      <w:tab/>
    </w:r>
    <w:r w:rsidR="00F31A91">
      <w:tab/>
    </w:r>
    <w:r w:rsidR="00F31A91">
      <w:tab/>
    </w:r>
    <w:r w:rsidR="00F31A91">
      <w:tab/>
    </w:r>
    <w:r w:rsidR="001C2B3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600F" w14:textId="77777777" w:rsidR="001F19FD" w:rsidRDefault="001F19FD" w:rsidP="00E033DF">
      <w:pPr>
        <w:spacing w:after="0" w:line="240" w:lineRule="auto"/>
      </w:pPr>
      <w:r>
        <w:separator/>
      </w:r>
    </w:p>
  </w:footnote>
  <w:footnote w:type="continuationSeparator" w:id="0">
    <w:p w14:paraId="09B35642" w14:textId="77777777" w:rsidR="001F19FD" w:rsidRDefault="001F19FD" w:rsidP="00E0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1301" w14:textId="77777777" w:rsidR="00A666AD" w:rsidRDefault="00A666AD" w:rsidP="008D3392">
    <w:pPr>
      <w:pStyle w:val="Encabezado"/>
      <w:ind w:left="-284"/>
      <w:rPr>
        <w:sz w:val="16"/>
        <w:szCs w:val="16"/>
      </w:rPr>
    </w:pPr>
  </w:p>
  <w:p w14:paraId="26353F07" w14:textId="7209693C" w:rsidR="00A666AD" w:rsidRDefault="00A666AD" w:rsidP="008D3392">
    <w:pPr>
      <w:pStyle w:val="Encabezado"/>
      <w:ind w:left="-284"/>
      <w:rPr>
        <w:sz w:val="16"/>
        <w:szCs w:val="16"/>
      </w:rPr>
    </w:pPr>
    <w:r>
      <w:rPr>
        <w:noProof/>
        <w:lang w:eastAsia="es-ES"/>
      </w:rPr>
      <w:drawing>
        <wp:anchor distT="0" distB="0" distL="114300" distR="114300" simplePos="0" relativeHeight="251683840" behindDoc="0" locked="0" layoutInCell="1" allowOverlap="1" wp14:anchorId="009FC8A4" wp14:editId="2A592D2B">
          <wp:simplePos x="0" y="0"/>
          <wp:positionH relativeFrom="margin">
            <wp:posOffset>2018665</wp:posOffset>
          </wp:positionH>
          <wp:positionV relativeFrom="margin">
            <wp:posOffset>-615950</wp:posOffset>
          </wp:positionV>
          <wp:extent cx="1798320" cy="419100"/>
          <wp:effectExtent l="0" t="0" r="0" b="0"/>
          <wp:wrapSquare wrapText="bothSides"/>
          <wp:docPr id="1704970856"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p>
  <w:p w14:paraId="4F080CFF" w14:textId="77777777" w:rsidR="00A666AD" w:rsidRDefault="00A666AD" w:rsidP="008D3392">
    <w:pPr>
      <w:pStyle w:val="Encabezado"/>
      <w:ind w:left="-284"/>
      <w:rPr>
        <w:sz w:val="16"/>
        <w:szCs w:val="16"/>
      </w:rPr>
    </w:pPr>
  </w:p>
  <w:p w14:paraId="06866FF9" w14:textId="77777777" w:rsidR="00A666AD" w:rsidRDefault="00A666AD" w:rsidP="008D3392">
    <w:pPr>
      <w:pStyle w:val="Encabezado"/>
      <w:ind w:left="-284"/>
      <w:rPr>
        <w:sz w:val="16"/>
        <w:szCs w:val="16"/>
      </w:rPr>
    </w:pPr>
  </w:p>
  <w:p w14:paraId="1BA3DC98" w14:textId="77777777" w:rsidR="00A666AD" w:rsidRDefault="00A666AD" w:rsidP="008D3392">
    <w:pPr>
      <w:pStyle w:val="Encabezado"/>
      <w:ind w:left="-284"/>
      <w:rPr>
        <w:sz w:val="16"/>
        <w:szCs w:val="16"/>
      </w:rPr>
    </w:pPr>
  </w:p>
  <w:p w14:paraId="6C40E5E5" w14:textId="081D95D3" w:rsidR="004E6B2E" w:rsidRPr="005951F3" w:rsidRDefault="004E6B2E" w:rsidP="008D3392">
    <w:pPr>
      <w:pStyle w:val="Encabezado"/>
      <w:ind w:left="-284"/>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5EB" w14:textId="31BCD447" w:rsidR="005D4FB7" w:rsidRDefault="00F3528C" w:rsidP="00407A64">
    <w:pPr>
      <w:pStyle w:val="Sinespaciado"/>
      <w:tabs>
        <w:tab w:val="left" w:pos="6705"/>
      </w:tabs>
      <w:ind w:left="-284"/>
    </w:pPr>
    <w:r>
      <w:tab/>
    </w:r>
  </w:p>
  <w:p w14:paraId="6C40E5EC" w14:textId="568A3200" w:rsidR="004E6B2E" w:rsidRDefault="004E6B2E" w:rsidP="00E873AB">
    <w:pPr>
      <w:pStyle w:val="Encabezado"/>
    </w:pPr>
  </w:p>
  <w:p w14:paraId="6C40E5F1" w14:textId="77777777" w:rsidR="00F31A91" w:rsidRDefault="00F31A91" w:rsidP="00E873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5189"/>
    <w:multiLevelType w:val="hybridMultilevel"/>
    <w:tmpl w:val="93604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B305A0"/>
    <w:multiLevelType w:val="hybridMultilevel"/>
    <w:tmpl w:val="FF68F5BC"/>
    <w:lvl w:ilvl="0" w:tplc="CA58227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53610947"/>
    <w:multiLevelType w:val="hybridMultilevel"/>
    <w:tmpl w:val="7AD0E230"/>
    <w:lvl w:ilvl="0" w:tplc="F22AECF0">
      <w:numFmt w:val="bullet"/>
      <w:lvlText w:val="•"/>
      <w:lvlJc w:val="left"/>
      <w:pPr>
        <w:ind w:left="786" w:hanging="360"/>
      </w:pPr>
      <w:rPr>
        <w:rFonts w:ascii="Mulish" w:eastAsia="Mulish" w:hAnsi="Mulish" w:cs="Mulish"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8"/>
    <w:rsid w:val="00011958"/>
    <w:rsid w:val="00020447"/>
    <w:rsid w:val="000319A0"/>
    <w:rsid w:val="00041DC6"/>
    <w:rsid w:val="000566D2"/>
    <w:rsid w:val="0006025B"/>
    <w:rsid w:val="00067423"/>
    <w:rsid w:val="000843E8"/>
    <w:rsid w:val="00092012"/>
    <w:rsid w:val="000974DF"/>
    <w:rsid w:val="000A35BB"/>
    <w:rsid w:val="000A6F2E"/>
    <w:rsid w:val="000B3967"/>
    <w:rsid w:val="00101E4F"/>
    <w:rsid w:val="001021B2"/>
    <w:rsid w:val="00110D03"/>
    <w:rsid w:val="00126747"/>
    <w:rsid w:val="001400FA"/>
    <w:rsid w:val="00153863"/>
    <w:rsid w:val="001543D9"/>
    <w:rsid w:val="00161CD5"/>
    <w:rsid w:val="00164398"/>
    <w:rsid w:val="00164B7D"/>
    <w:rsid w:val="00172B40"/>
    <w:rsid w:val="0018353B"/>
    <w:rsid w:val="001A1A07"/>
    <w:rsid w:val="001C1F14"/>
    <w:rsid w:val="001C28B1"/>
    <w:rsid w:val="001C2B35"/>
    <w:rsid w:val="001E7D0E"/>
    <w:rsid w:val="001F19FD"/>
    <w:rsid w:val="0021628E"/>
    <w:rsid w:val="00216F25"/>
    <w:rsid w:val="00224350"/>
    <w:rsid w:val="00224C4F"/>
    <w:rsid w:val="002438FA"/>
    <w:rsid w:val="0025152B"/>
    <w:rsid w:val="00254EA4"/>
    <w:rsid w:val="00263AD5"/>
    <w:rsid w:val="002774B2"/>
    <w:rsid w:val="00285BCA"/>
    <w:rsid w:val="002870E9"/>
    <w:rsid w:val="00292E9B"/>
    <w:rsid w:val="00293BE7"/>
    <w:rsid w:val="002B305F"/>
    <w:rsid w:val="002D68A9"/>
    <w:rsid w:val="002D6E52"/>
    <w:rsid w:val="002E3710"/>
    <w:rsid w:val="002E4E66"/>
    <w:rsid w:val="002E7D20"/>
    <w:rsid w:val="002F5C99"/>
    <w:rsid w:val="00343319"/>
    <w:rsid w:val="00343E92"/>
    <w:rsid w:val="00362D91"/>
    <w:rsid w:val="003712C7"/>
    <w:rsid w:val="00392658"/>
    <w:rsid w:val="003B4951"/>
    <w:rsid w:val="003B6659"/>
    <w:rsid w:val="003C3727"/>
    <w:rsid w:val="003C665C"/>
    <w:rsid w:val="003C685A"/>
    <w:rsid w:val="003D41CC"/>
    <w:rsid w:val="003D5AFA"/>
    <w:rsid w:val="003E58C6"/>
    <w:rsid w:val="00404851"/>
    <w:rsid w:val="00407A64"/>
    <w:rsid w:val="00441788"/>
    <w:rsid w:val="00441927"/>
    <w:rsid w:val="004478AA"/>
    <w:rsid w:val="0045349D"/>
    <w:rsid w:val="00492494"/>
    <w:rsid w:val="00492843"/>
    <w:rsid w:val="00493D61"/>
    <w:rsid w:val="004A5EA5"/>
    <w:rsid w:val="004B2D78"/>
    <w:rsid w:val="004B6393"/>
    <w:rsid w:val="004D002C"/>
    <w:rsid w:val="004D3C31"/>
    <w:rsid w:val="004D7E0A"/>
    <w:rsid w:val="004E3AC4"/>
    <w:rsid w:val="004E6B2E"/>
    <w:rsid w:val="004F7C85"/>
    <w:rsid w:val="00505230"/>
    <w:rsid w:val="00505712"/>
    <w:rsid w:val="00525C96"/>
    <w:rsid w:val="00532CA0"/>
    <w:rsid w:val="00533D96"/>
    <w:rsid w:val="005412C5"/>
    <w:rsid w:val="005432EE"/>
    <w:rsid w:val="00551359"/>
    <w:rsid w:val="00553F22"/>
    <w:rsid w:val="005549D2"/>
    <w:rsid w:val="00577451"/>
    <w:rsid w:val="005832D7"/>
    <w:rsid w:val="00585B4E"/>
    <w:rsid w:val="005951F3"/>
    <w:rsid w:val="00596401"/>
    <w:rsid w:val="00597D3E"/>
    <w:rsid w:val="005B0C58"/>
    <w:rsid w:val="005B1E17"/>
    <w:rsid w:val="005B3D95"/>
    <w:rsid w:val="005B7B5A"/>
    <w:rsid w:val="005C0B56"/>
    <w:rsid w:val="005D4FB7"/>
    <w:rsid w:val="005E34BF"/>
    <w:rsid w:val="00603B7E"/>
    <w:rsid w:val="006136F0"/>
    <w:rsid w:val="0061623C"/>
    <w:rsid w:val="0064406A"/>
    <w:rsid w:val="00644241"/>
    <w:rsid w:val="0064511D"/>
    <w:rsid w:val="00651D35"/>
    <w:rsid w:val="00652518"/>
    <w:rsid w:val="00652D0B"/>
    <w:rsid w:val="00654F1C"/>
    <w:rsid w:val="006579F9"/>
    <w:rsid w:val="0066097C"/>
    <w:rsid w:val="00686DAC"/>
    <w:rsid w:val="0069451C"/>
    <w:rsid w:val="006B6EFF"/>
    <w:rsid w:val="006C58A6"/>
    <w:rsid w:val="006D0E81"/>
    <w:rsid w:val="006E2CA6"/>
    <w:rsid w:val="006E6BAE"/>
    <w:rsid w:val="007101D5"/>
    <w:rsid w:val="0071598A"/>
    <w:rsid w:val="00721825"/>
    <w:rsid w:val="007323A9"/>
    <w:rsid w:val="0075157F"/>
    <w:rsid w:val="007526F7"/>
    <w:rsid w:val="0077727F"/>
    <w:rsid w:val="007B410A"/>
    <w:rsid w:val="007D462E"/>
    <w:rsid w:val="007F57CD"/>
    <w:rsid w:val="008130D4"/>
    <w:rsid w:val="008217AF"/>
    <w:rsid w:val="0082600E"/>
    <w:rsid w:val="00872485"/>
    <w:rsid w:val="00882413"/>
    <w:rsid w:val="008925B6"/>
    <w:rsid w:val="008C0F8C"/>
    <w:rsid w:val="008D3392"/>
    <w:rsid w:val="008E2617"/>
    <w:rsid w:val="008F0024"/>
    <w:rsid w:val="00902756"/>
    <w:rsid w:val="00916A7F"/>
    <w:rsid w:val="00920FC8"/>
    <w:rsid w:val="00922C73"/>
    <w:rsid w:val="0093132C"/>
    <w:rsid w:val="00945360"/>
    <w:rsid w:val="00946059"/>
    <w:rsid w:val="00960A8E"/>
    <w:rsid w:val="00964EB4"/>
    <w:rsid w:val="00966AFC"/>
    <w:rsid w:val="00967E04"/>
    <w:rsid w:val="00977330"/>
    <w:rsid w:val="00993416"/>
    <w:rsid w:val="00997504"/>
    <w:rsid w:val="009B2D68"/>
    <w:rsid w:val="009B3A1E"/>
    <w:rsid w:val="009C1C4B"/>
    <w:rsid w:val="009F5B85"/>
    <w:rsid w:val="00A0030B"/>
    <w:rsid w:val="00A035A9"/>
    <w:rsid w:val="00A20A6D"/>
    <w:rsid w:val="00A251FA"/>
    <w:rsid w:val="00A40308"/>
    <w:rsid w:val="00A47CD4"/>
    <w:rsid w:val="00A666AD"/>
    <w:rsid w:val="00A667E2"/>
    <w:rsid w:val="00A90913"/>
    <w:rsid w:val="00A91E2A"/>
    <w:rsid w:val="00AA0900"/>
    <w:rsid w:val="00AA262C"/>
    <w:rsid w:val="00AC0349"/>
    <w:rsid w:val="00AC124E"/>
    <w:rsid w:val="00AD4EAB"/>
    <w:rsid w:val="00AD5763"/>
    <w:rsid w:val="00B25D70"/>
    <w:rsid w:val="00B27714"/>
    <w:rsid w:val="00B33F7D"/>
    <w:rsid w:val="00B3521D"/>
    <w:rsid w:val="00B4328F"/>
    <w:rsid w:val="00B70F0A"/>
    <w:rsid w:val="00B80115"/>
    <w:rsid w:val="00B92379"/>
    <w:rsid w:val="00B965B4"/>
    <w:rsid w:val="00BA4068"/>
    <w:rsid w:val="00BA62A5"/>
    <w:rsid w:val="00BC1926"/>
    <w:rsid w:val="00BC6D36"/>
    <w:rsid w:val="00BD42E2"/>
    <w:rsid w:val="00BE44E8"/>
    <w:rsid w:val="00BF17A1"/>
    <w:rsid w:val="00C00902"/>
    <w:rsid w:val="00C0450F"/>
    <w:rsid w:val="00C05613"/>
    <w:rsid w:val="00C23867"/>
    <w:rsid w:val="00C27BA6"/>
    <w:rsid w:val="00C34F68"/>
    <w:rsid w:val="00C371FA"/>
    <w:rsid w:val="00C37434"/>
    <w:rsid w:val="00C4079C"/>
    <w:rsid w:val="00C40DD4"/>
    <w:rsid w:val="00C42BCF"/>
    <w:rsid w:val="00C47E9B"/>
    <w:rsid w:val="00C56A4B"/>
    <w:rsid w:val="00C6302D"/>
    <w:rsid w:val="00C63244"/>
    <w:rsid w:val="00C94749"/>
    <w:rsid w:val="00CA1CA7"/>
    <w:rsid w:val="00CA4A22"/>
    <w:rsid w:val="00CD3609"/>
    <w:rsid w:val="00CD3EBC"/>
    <w:rsid w:val="00CD436E"/>
    <w:rsid w:val="00CD4664"/>
    <w:rsid w:val="00CD7D42"/>
    <w:rsid w:val="00CF04E9"/>
    <w:rsid w:val="00CF7BBC"/>
    <w:rsid w:val="00D04F1E"/>
    <w:rsid w:val="00D12B25"/>
    <w:rsid w:val="00D13FB4"/>
    <w:rsid w:val="00D153E5"/>
    <w:rsid w:val="00D2326B"/>
    <w:rsid w:val="00D36D19"/>
    <w:rsid w:val="00D37795"/>
    <w:rsid w:val="00D519BA"/>
    <w:rsid w:val="00D70DAE"/>
    <w:rsid w:val="00D71C8B"/>
    <w:rsid w:val="00D74DBF"/>
    <w:rsid w:val="00D846D5"/>
    <w:rsid w:val="00D853F3"/>
    <w:rsid w:val="00DA1AA8"/>
    <w:rsid w:val="00DA2CF7"/>
    <w:rsid w:val="00DC45C2"/>
    <w:rsid w:val="00DC635A"/>
    <w:rsid w:val="00DD76CF"/>
    <w:rsid w:val="00DF0AA4"/>
    <w:rsid w:val="00DF50CF"/>
    <w:rsid w:val="00DF52D8"/>
    <w:rsid w:val="00DF62C2"/>
    <w:rsid w:val="00E033DF"/>
    <w:rsid w:val="00E110C5"/>
    <w:rsid w:val="00E1510B"/>
    <w:rsid w:val="00E369D7"/>
    <w:rsid w:val="00E42F8B"/>
    <w:rsid w:val="00E7103E"/>
    <w:rsid w:val="00E873AB"/>
    <w:rsid w:val="00E94641"/>
    <w:rsid w:val="00EB7AAC"/>
    <w:rsid w:val="00EC69C8"/>
    <w:rsid w:val="00EE3859"/>
    <w:rsid w:val="00EF73FE"/>
    <w:rsid w:val="00EF7F60"/>
    <w:rsid w:val="00F253DF"/>
    <w:rsid w:val="00F30B12"/>
    <w:rsid w:val="00F31A91"/>
    <w:rsid w:val="00F34666"/>
    <w:rsid w:val="00F3528C"/>
    <w:rsid w:val="00F436DD"/>
    <w:rsid w:val="00F51DB5"/>
    <w:rsid w:val="00F62F97"/>
    <w:rsid w:val="00F713CA"/>
    <w:rsid w:val="00F72894"/>
    <w:rsid w:val="00F73ACD"/>
    <w:rsid w:val="00F83F89"/>
    <w:rsid w:val="00FC7309"/>
    <w:rsid w:val="00FD0A75"/>
    <w:rsid w:val="00FD375B"/>
    <w:rsid w:val="00FD4AE9"/>
    <w:rsid w:val="00FD7623"/>
    <w:rsid w:val="00FE5C64"/>
    <w:rsid w:val="00FE6C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0E5B0"/>
  <w15:docId w15:val="{3A54E176-1594-43FE-802E-0F09132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4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8E2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033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33DF"/>
  </w:style>
  <w:style w:type="paragraph" w:styleId="Piedepgina">
    <w:name w:val="footer"/>
    <w:basedOn w:val="Normal"/>
    <w:link w:val="PiedepginaCar"/>
    <w:uiPriority w:val="99"/>
    <w:unhideWhenUsed/>
    <w:rsid w:val="00E033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33DF"/>
  </w:style>
  <w:style w:type="paragraph" w:styleId="Sinespaciado">
    <w:name w:val="No Spacing"/>
    <w:uiPriority w:val="1"/>
    <w:qFormat/>
    <w:rsid w:val="0018353B"/>
    <w:pPr>
      <w:spacing w:after="0" w:line="240" w:lineRule="auto"/>
    </w:pPr>
  </w:style>
  <w:style w:type="character" w:styleId="Refdecomentario">
    <w:name w:val="annotation reference"/>
    <w:basedOn w:val="Fuentedeprrafopredeter"/>
    <w:uiPriority w:val="99"/>
    <w:semiHidden/>
    <w:unhideWhenUsed/>
    <w:rsid w:val="0018353B"/>
    <w:rPr>
      <w:sz w:val="16"/>
      <w:szCs w:val="16"/>
    </w:rPr>
  </w:style>
  <w:style w:type="paragraph" w:styleId="Textocomentario">
    <w:name w:val="annotation text"/>
    <w:basedOn w:val="Normal"/>
    <w:link w:val="TextocomentarioCar"/>
    <w:uiPriority w:val="99"/>
    <w:semiHidden/>
    <w:unhideWhenUsed/>
    <w:rsid w:val="001835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353B"/>
    <w:rPr>
      <w:sz w:val="20"/>
      <w:szCs w:val="20"/>
    </w:rPr>
  </w:style>
  <w:style w:type="paragraph" w:styleId="Textodeglobo">
    <w:name w:val="Balloon Text"/>
    <w:basedOn w:val="Normal"/>
    <w:link w:val="TextodegloboCar"/>
    <w:uiPriority w:val="99"/>
    <w:semiHidden/>
    <w:unhideWhenUsed/>
    <w:rsid w:val="00183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53B"/>
    <w:rPr>
      <w:rFonts w:ascii="Tahoma" w:hAnsi="Tahoma" w:cs="Tahoma"/>
      <w:sz w:val="16"/>
      <w:szCs w:val="16"/>
    </w:rPr>
  </w:style>
  <w:style w:type="character" w:styleId="Hipervnculo">
    <w:name w:val="Hyperlink"/>
    <w:basedOn w:val="Fuentedeprrafopredeter"/>
    <w:uiPriority w:val="99"/>
    <w:unhideWhenUsed/>
    <w:rsid w:val="009B3A1E"/>
    <w:rPr>
      <w:color w:val="034638" w:themeColor="hyperlink"/>
      <w:u w:val="single"/>
    </w:rPr>
  </w:style>
  <w:style w:type="paragraph" w:styleId="Textoindependiente">
    <w:name w:val="Body Text"/>
    <w:basedOn w:val="Normal"/>
    <w:link w:val="TextoindependienteCar"/>
    <w:uiPriority w:val="1"/>
    <w:qFormat/>
    <w:rsid w:val="00407A64"/>
    <w:pPr>
      <w:widowControl w:val="0"/>
      <w:autoSpaceDE w:val="0"/>
      <w:autoSpaceDN w:val="0"/>
      <w:spacing w:after="0" w:line="240" w:lineRule="auto"/>
    </w:pPr>
    <w:rPr>
      <w:rFonts w:ascii="Mulish" w:eastAsia="Mulish" w:hAnsi="Mulish" w:cs="Mulish"/>
      <w:sz w:val="20"/>
      <w:szCs w:val="20"/>
      <w:lang w:eastAsia="es-ES" w:bidi="es-ES"/>
    </w:rPr>
  </w:style>
  <w:style w:type="character" w:customStyle="1" w:styleId="TextoindependienteCar">
    <w:name w:val="Texto independiente Car"/>
    <w:basedOn w:val="Fuentedeprrafopredeter"/>
    <w:link w:val="Textoindependiente"/>
    <w:uiPriority w:val="1"/>
    <w:rsid w:val="00407A64"/>
    <w:rPr>
      <w:rFonts w:ascii="Mulish" w:eastAsia="Mulish" w:hAnsi="Mulish" w:cs="Mulish"/>
      <w:sz w:val="20"/>
      <w:szCs w:val="20"/>
      <w:lang w:eastAsia="es-ES" w:bidi="es-ES"/>
    </w:rPr>
  </w:style>
  <w:style w:type="paragraph" w:styleId="Prrafodelista">
    <w:name w:val="List Paragraph"/>
    <w:basedOn w:val="Normal"/>
    <w:uiPriority w:val="34"/>
    <w:qFormat/>
    <w:rsid w:val="00BA4068"/>
    <w:pPr>
      <w:ind w:left="720"/>
      <w:contextualSpacing/>
    </w:pPr>
  </w:style>
  <w:style w:type="table" w:customStyle="1" w:styleId="Sombreadomedio2-nfasis32">
    <w:name w:val="Sombreado medio 2 - Énfasis 32"/>
    <w:basedOn w:val="Tablanormal"/>
    <w:next w:val="Sombreadomedio2-nfasis3"/>
    <w:uiPriority w:val="64"/>
    <w:rsid w:val="00BA4068"/>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BA40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C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4C5A" w:themeFill="accent3"/>
      </w:tcPr>
    </w:tblStylePr>
    <w:tblStylePr w:type="lastCol">
      <w:rPr>
        <w:b/>
        <w:bCs/>
        <w:color w:val="FFFFFF" w:themeColor="background1"/>
      </w:rPr>
      <w:tblPr/>
      <w:tcPr>
        <w:tcBorders>
          <w:left w:val="nil"/>
          <w:right w:val="nil"/>
          <w:insideH w:val="nil"/>
          <w:insideV w:val="nil"/>
        </w:tcBorders>
        <w:shd w:val="clear" w:color="auto" w:fill="244C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cuadrculaclara">
    <w:name w:val="Grid Table Light"/>
    <w:basedOn w:val="Tablanormal"/>
    <w:uiPriority w:val="40"/>
    <w:rsid w:val="00BA40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2">
    <w:name w:val="List Table 3 Accent 2"/>
    <w:basedOn w:val="Tablanormal"/>
    <w:uiPriority w:val="48"/>
    <w:rsid w:val="00EF73FE"/>
    <w:pPr>
      <w:spacing w:after="0" w:line="240" w:lineRule="auto"/>
    </w:pPr>
    <w:rPr>
      <w:lang w:eastAsia="es-ES"/>
    </w:rPr>
    <w:tblPr>
      <w:tblStyleRowBandSize w:val="1"/>
      <w:tblStyleColBandSize w:val="1"/>
      <w:tblBorders>
        <w:top w:val="single" w:sz="4" w:space="0" w:color="CB9700" w:themeColor="accent2"/>
        <w:left w:val="single" w:sz="4" w:space="0" w:color="CB9700" w:themeColor="accent2"/>
        <w:bottom w:val="single" w:sz="4" w:space="0" w:color="CB9700" w:themeColor="accent2"/>
        <w:right w:val="single" w:sz="4" w:space="0" w:color="CB9700" w:themeColor="accent2"/>
      </w:tblBorders>
    </w:tblPr>
    <w:tblStylePr w:type="firstRow">
      <w:rPr>
        <w:b/>
        <w:bCs/>
        <w:color w:val="FFFFFF" w:themeColor="background1"/>
      </w:rPr>
      <w:tblPr/>
      <w:tcPr>
        <w:shd w:val="clear" w:color="auto" w:fill="CB9700" w:themeFill="accent2"/>
      </w:tcPr>
    </w:tblStylePr>
    <w:tblStylePr w:type="lastRow">
      <w:rPr>
        <w:b/>
        <w:bCs/>
      </w:rPr>
      <w:tblPr/>
      <w:tcPr>
        <w:tcBorders>
          <w:top w:val="double" w:sz="4" w:space="0" w:color="CB97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9700" w:themeColor="accent2"/>
          <w:right w:val="single" w:sz="4" w:space="0" w:color="CB9700" w:themeColor="accent2"/>
        </w:tcBorders>
      </w:tcPr>
    </w:tblStylePr>
    <w:tblStylePr w:type="band1Horz">
      <w:tblPr/>
      <w:tcPr>
        <w:tcBorders>
          <w:top w:val="single" w:sz="4" w:space="0" w:color="CB9700" w:themeColor="accent2"/>
          <w:bottom w:val="single" w:sz="4" w:space="0" w:color="CB97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9700" w:themeColor="accent2"/>
          <w:left w:val="nil"/>
        </w:tcBorders>
      </w:tcPr>
    </w:tblStylePr>
    <w:tblStylePr w:type="swCell">
      <w:tblPr/>
      <w:tcPr>
        <w:tcBorders>
          <w:top w:val="double" w:sz="4" w:space="0" w:color="CB9700" w:themeColor="accent2"/>
          <w:right w:val="nil"/>
        </w:tcBorders>
      </w:tcPr>
    </w:tblStylePr>
  </w:style>
  <w:style w:type="character" w:styleId="Mencinsinresolver">
    <w:name w:val="Unresolved Mention"/>
    <w:basedOn w:val="Fuentedeprrafopredeter"/>
    <w:uiPriority w:val="99"/>
    <w:semiHidden/>
    <w:unhideWhenUsed/>
    <w:rsid w:val="00D70DAE"/>
    <w:rPr>
      <w:color w:val="605E5C"/>
      <w:shd w:val="clear" w:color="auto" w:fill="E1DFDD"/>
    </w:rPr>
  </w:style>
  <w:style w:type="table" w:styleId="Tablaconcuadrcula4-nfasis2">
    <w:name w:val="Grid Table 4 Accent 2"/>
    <w:basedOn w:val="Tablanormal"/>
    <w:uiPriority w:val="49"/>
    <w:rsid w:val="005E34BF"/>
    <w:pPr>
      <w:spacing w:after="0" w:line="240" w:lineRule="auto"/>
    </w:pPr>
    <w:rPr>
      <w:lang w:eastAsia="es-ES"/>
    </w:rPr>
    <w:tblPr>
      <w:tblStyleRowBandSize w:val="1"/>
      <w:tblStyleColBandSize w:val="1"/>
      <w:tblBorders>
        <w:top w:val="single" w:sz="4" w:space="0" w:color="FFCF46" w:themeColor="accent2" w:themeTint="99"/>
        <w:left w:val="single" w:sz="4" w:space="0" w:color="FFCF46" w:themeColor="accent2" w:themeTint="99"/>
        <w:bottom w:val="single" w:sz="4" w:space="0" w:color="FFCF46" w:themeColor="accent2" w:themeTint="99"/>
        <w:right w:val="single" w:sz="4" w:space="0" w:color="FFCF46" w:themeColor="accent2" w:themeTint="99"/>
        <w:insideH w:val="single" w:sz="4" w:space="0" w:color="FFCF46" w:themeColor="accent2" w:themeTint="99"/>
        <w:insideV w:val="single" w:sz="4" w:space="0" w:color="FFCF46" w:themeColor="accent2" w:themeTint="99"/>
      </w:tblBorders>
    </w:tblPr>
    <w:tblStylePr w:type="firstRow">
      <w:rPr>
        <w:b/>
        <w:bCs/>
        <w:color w:val="FFFFFF" w:themeColor="background1"/>
      </w:rPr>
      <w:tblPr/>
      <w:tcPr>
        <w:tcBorders>
          <w:top w:val="single" w:sz="4" w:space="0" w:color="CB9700" w:themeColor="accent2"/>
          <w:left w:val="single" w:sz="4" w:space="0" w:color="CB9700" w:themeColor="accent2"/>
          <w:bottom w:val="single" w:sz="4" w:space="0" w:color="CB9700" w:themeColor="accent2"/>
          <w:right w:val="single" w:sz="4" w:space="0" w:color="CB9700" w:themeColor="accent2"/>
          <w:insideH w:val="nil"/>
          <w:insideV w:val="nil"/>
        </w:tcBorders>
        <w:shd w:val="clear" w:color="auto" w:fill="CB9700" w:themeFill="accent2"/>
      </w:tcPr>
    </w:tblStylePr>
    <w:tblStylePr w:type="lastRow">
      <w:rPr>
        <w:b/>
        <w:bCs/>
      </w:rPr>
      <w:tblPr/>
      <w:tcPr>
        <w:tcBorders>
          <w:top w:val="double" w:sz="4" w:space="0" w:color="CB9700" w:themeColor="accent2"/>
        </w:tcBorders>
      </w:tcPr>
    </w:tblStylePr>
    <w:tblStylePr w:type="firstCol">
      <w:rPr>
        <w:b/>
        <w:bCs/>
      </w:rPr>
    </w:tblStylePr>
    <w:tblStylePr w:type="lastCol">
      <w:rPr>
        <w:b/>
        <w:bCs/>
      </w:rPr>
    </w:tblStylePr>
    <w:tblStylePr w:type="band1Vert">
      <w:tblPr/>
      <w:tcPr>
        <w:shd w:val="clear" w:color="auto" w:fill="FFEFC1" w:themeFill="accent2" w:themeFillTint="33"/>
      </w:tcPr>
    </w:tblStylePr>
    <w:tblStylePr w:type="band1Horz">
      <w:tblPr/>
      <w:tcPr>
        <w:shd w:val="clear" w:color="auto" w:fill="FFEFC1" w:themeFill="accent2" w:themeFillTint="33"/>
      </w:tcPr>
    </w:tblStylePr>
  </w:style>
  <w:style w:type="table" w:styleId="Tablaconcuadrcula4-nfasis3">
    <w:name w:val="Grid Table 4 Accent 3"/>
    <w:basedOn w:val="Tablanormal"/>
    <w:uiPriority w:val="49"/>
    <w:rsid w:val="005412C5"/>
    <w:pPr>
      <w:spacing w:after="0" w:line="240" w:lineRule="auto"/>
    </w:pPr>
    <w:tblPr>
      <w:tblStyleRowBandSize w:val="1"/>
      <w:tblStyleColBandSize w:val="1"/>
      <w:tblBorders>
        <w:top w:val="single" w:sz="4" w:space="0" w:color="5AA3BD" w:themeColor="accent3" w:themeTint="99"/>
        <w:left w:val="single" w:sz="4" w:space="0" w:color="5AA3BD" w:themeColor="accent3" w:themeTint="99"/>
        <w:bottom w:val="single" w:sz="4" w:space="0" w:color="5AA3BD" w:themeColor="accent3" w:themeTint="99"/>
        <w:right w:val="single" w:sz="4" w:space="0" w:color="5AA3BD" w:themeColor="accent3" w:themeTint="99"/>
        <w:insideH w:val="single" w:sz="4" w:space="0" w:color="5AA3BD" w:themeColor="accent3" w:themeTint="99"/>
        <w:insideV w:val="single" w:sz="4" w:space="0" w:color="5AA3BD" w:themeColor="accent3" w:themeTint="99"/>
      </w:tblBorders>
    </w:tblPr>
    <w:tblStylePr w:type="firstRow">
      <w:rPr>
        <w:b/>
        <w:bCs/>
        <w:color w:val="FFFFFF" w:themeColor="background1"/>
      </w:rPr>
      <w:tblPr/>
      <w:tcPr>
        <w:tcBorders>
          <w:top w:val="single" w:sz="4" w:space="0" w:color="244C5A" w:themeColor="accent3"/>
          <w:left w:val="single" w:sz="4" w:space="0" w:color="244C5A" w:themeColor="accent3"/>
          <w:bottom w:val="single" w:sz="4" w:space="0" w:color="244C5A" w:themeColor="accent3"/>
          <w:right w:val="single" w:sz="4" w:space="0" w:color="244C5A" w:themeColor="accent3"/>
          <w:insideH w:val="nil"/>
          <w:insideV w:val="nil"/>
        </w:tcBorders>
        <w:shd w:val="clear" w:color="auto" w:fill="244C5A" w:themeFill="accent3"/>
      </w:tcPr>
    </w:tblStylePr>
    <w:tblStylePr w:type="lastRow">
      <w:rPr>
        <w:b/>
        <w:bCs/>
      </w:rPr>
      <w:tblPr/>
      <w:tcPr>
        <w:tcBorders>
          <w:top w:val="double" w:sz="4" w:space="0" w:color="244C5A" w:themeColor="accent3"/>
        </w:tcBorders>
      </w:tcPr>
    </w:tblStylePr>
    <w:tblStylePr w:type="firstCol">
      <w:rPr>
        <w:b/>
        <w:bCs/>
      </w:rPr>
    </w:tblStylePr>
    <w:tblStylePr w:type="lastCol">
      <w:rPr>
        <w:b/>
        <w:bCs/>
      </w:rPr>
    </w:tblStylePr>
    <w:tblStylePr w:type="band1Vert">
      <w:tblPr/>
      <w:tcPr>
        <w:shd w:val="clear" w:color="auto" w:fill="C8E0E9" w:themeFill="accent3" w:themeFillTint="33"/>
      </w:tcPr>
    </w:tblStylePr>
    <w:tblStylePr w:type="band1Horz">
      <w:tblPr/>
      <w:tcPr>
        <w:shd w:val="clear" w:color="auto" w:fill="C8E0E9" w:themeFill="accent3" w:themeFillTint="33"/>
      </w:tcPr>
    </w:tblStylePr>
  </w:style>
  <w:style w:type="paragraph" w:styleId="Asuntodelcomentario">
    <w:name w:val="annotation subject"/>
    <w:basedOn w:val="Textocomentario"/>
    <w:next w:val="Textocomentario"/>
    <w:link w:val="AsuntodelcomentarioCar"/>
    <w:uiPriority w:val="99"/>
    <w:semiHidden/>
    <w:unhideWhenUsed/>
    <w:rsid w:val="00EE3859"/>
    <w:rPr>
      <w:b/>
      <w:bCs/>
    </w:rPr>
  </w:style>
  <w:style w:type="character" w:customStyle="1" w:styleId="AsuntodelcomentarioCar">
    <w:name w:val="Asunto del comentario Car"/>
    <w:basedOn w:val="TextocomentarioCar"/>
    <w:link w:val="Asuntodelcomentario"/>
    <w:uiPriority w:val="99"/>
    <w:semiHidden/>
    <w:rsid w:val="00EE3859"/>
    <w:rPr>
      <w:b/>
      <w:bCs/>
      <w:sz w:val="20"/>
      <w:szCs w:val="20"/>
    </w:rPr>
  </w:style>
  <w:style w:type="paragraph" w:styleId="Revisin">
    <w:name w:val="Revision"/>
    <w:hidden/>
    <w:uiPriority w:val="99"/>
    <w:semiHidden/>
    <w:rsid w:val="00D846D5"/>
    <w:pPr>
      <w:spacing w:after="0" w:line="240" w:lineRule="auto"/>
    </w:pPr>
  </w:style>
  <w:style w:type="table" w:styleId="Sombreadoclaro-nfasis2">
    <w:name w:val="Light Shading Accent 2"/>
    <w:basedOn w:val="Tablanormal"/>
    <w:uiPriority w:val="42"/>
    <w:semiHidden/>
    <w:unhideWhenUsed/>
    <w:rsid w:val="00C42BCF"/>
    <w:pPr>
      <w:spacing w:after="0" w:line="240" w:lineRule="auto"/>
    </w:pPr>
    <w:rPr>
      <w:color w:val="987000" w:themeColor="accent2" w:themeShade="BF"/>
      <w:lang w:eastAsia="es-ES"/>
    </w:rPr>
    <w:tblPr>
      <w:tblStyleRowBandSize w:val="1"/>
      <w:tblStyleColBandSize w:val="1"/>
      <w:tblInd w:w="0" w:type="nil"/>
      <w:tblBorders>
        <w:top w:val="single" w:sz="8" w:space="0" w:color="CB9700" w:themeColor="accent2"/>
        <w:bottom w:val="single" w:sz="8" w:space="0" w:color="CB9700" w:themeColor="accent2"/>
      </w:tblBorders>
    </w:tblPr>
    <w:tblStylePr w:type="firstRow">
      <w:pPr>
        <w:spacing w:beforeLines="0" w:before="0" w:beforeAutospacing="0" w:afterLines="0" w:after="0" w:afterAutospacing="0" w:line="240" w:lineRule="auto"/>
      </w:pPr>
      <w:rPr>
        <w:b/>
        <w:bCs/>
      </w:rPr>
      <w:tblPr/>
      <w:tcPr>
        <w:tcBorders>
          <w:top w:val="single" w:sz="8" w:space="0" w:color="CB9700" w:themeColor="accent2"/>
          <w:left w:val="nil"/>
          <w:bottom w:val="single" w:sz="8" w:space="0" w:color="CB9700"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B9700" w:themeColor="accent2"/>
          <w:left w:val="nil"/>
          <w:bottom w:val="single" w:sz="8" w:space="0" w:color="CB97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3" w:themeFill="accent2" w:themeFillTint="3F"/>
      </w:tcPr>
    </w:tblStylePr>
    <w:tblStylePr w:type="band1Horz">
      <w:tblPr/>
      <w:tcPr>
        <w:tcBorders>
          <w:left w:val="nil"/>
          <w:right w:val="nil"/>
          <w:insideH w:val="nil"/>
          <w:insideV w:val="nil"/>
        </w:tcBorders>
        <w:shd w:val="clear" w:color="auto" w:fill="FFEBB3"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jodetransparencia.es/evaluacion/evaluacion2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consejodetransparencia.es" TargetMode="External"/><Relationship Id="rId4" Type="http://schemas.openxmlformats.org/officeDocument/2006/relationships/settings" Target="settings.xml"/><Relationship Id="rId9" Type="http://schemas.openxmlformats.org/officeDocument/2006/relationships/hyperlink" Target="https://consejodetransparencia.es/evaluac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tbg@consejodetransparencia.es" TargetMode="External"/><Relationship Id="rId1" Type="http://schemas.openxmlformats.org/officeDocument/2006/relationships/hyperlink" Target="mailto:ctbg@consejodetransparenc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rgbClr val="0C0C0C"/>
      </a:dk1>
      <a:lt1>
        <a:sysClr val="window" lastClr="FFFFFF"/>
      </a:lt1>
      <a:dk2>
        <a:srgbClr val="00806F"/>
      </a:dk2>
      <a:lt2>
        <a:srgbClr val="D6D2C4"/>
      </a:lt2>
      <a:accent1>
        <a:srgbClr val="00806F"/>
      </a:accent1>
      <a:accent2>
        <a:srgbClr val="CB9700"/>
      </a:accent2>
      <a:accent3>
        <a:srgbClr val="244C5A"/>
      </a:accent3>
      <a:accent4>
        <a:srgbClr val="034638"/>
      </a:accent4>
      <a:accent5>
        <a:srgbClr val="00806F"/>
      </a:accent5>
      <a:accent6>
        <a:srgbClr val="034638"/>
      </a:accent6>
      <a:hlink>
        <a:srgbClr val="034638"/>
      </a:hlink>
      <a:folHlink>
        <a:srgbClr val="CB97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5FD049-96EB-4473-A8A5-C7F6FF3C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843</Words>
  <Characters>4639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FERRANDEZ FACI</dc:creator>
  <cp:lastModifiedBy>ROSA BLANCA DÍAZ HERNANDO</cp:lastModifiedBy>
  <cp:revision>5</cp:revision>
  <cp:lastPrinted>2026-01-28T12:54:00Z</cp:lastPrinted>
  <dcterms:created xsi:type="dcterms:W3CDTF">2026-01-29T13:51:00Z</dcterms:created>
  <dcterms:modified xsi:type="dcterms:W3CDTF">2026-01-30T10:09:00Z</dcterms:modified>
</cp:coreProperties>
</file>