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AB30" w14:textId="1CCC5F63" w:rsidR="00BA4068" w:rsidRPr="00B80115" w:rsidRDefault="00B3521D" w:rsidP="00510216">
      <w:pPr>
        <w:pStyle w:val="Textoindependiente"/>
        <w:spacing w:before="88" w:line="276" w:lineRule="auto"/>
        <w:ind w:right="21"/>
        <w:jc w:val="center"/>
        <w:rPr>
          <w:color w:val="0C0C0C" w:themeColor="text1"/>
          <w:sz w:val="22"/>
          <w:szCs w:val="22"/>
          <w:u w:val="single"/>
        </w:rPr>
      </w:pPr>
      <w:r>
        <w:rPr>
          <w:color w:val="0C0C0C" w:themeColor="text1"/>
          <w:sz w:val="22"/>
          <w:szCs w:val="22"/>
          <w:u w:val="single"/>
        </w:rPr>
        <w:t>Publicad</w:t>
      </w:r>
      <w:r w:rsidR="00510216">
        <w:rPr>
          <w:color w:val="0C0C0C" w:themeColor="text1"/>
          <w:sz w:val="22"/>
          <w:szCs w:val="22"/>
          <w:u w:val="single"/>
        </w:rPr>
        <w:t xml:space="preserve">a la memoria </w:t>
      </w:r>
      <w:r w:rsidR="00920332">
        <w:rPr>
          <w:color w:val="0C0C0C" w:themeColor="text1"/>
          <w:sz w:val="22"/>
          <w:szCs w:val="22"/>
          <w:u w:val="single"/>
        </w:rPr>
        <w:t xml:space="preserve">de actividades </w:t>
      </w:r>
      <w:r w:rsidR="00613BF1">
        <w:rPr>
          <w:color w:val="0C0C0C" w:themeColor="text1"/>
          <w:sz w:val="22"/>
          <w:szCs w:val="22"/>
          <w:u w:val="single"/>
        </w:rPr>
        <w:t xml:space="preserve">de </w:t>
      </w:r>
      <w:r w:rsidR="00510216">
        <w:rPr>
          <w:color w:val="0C0C0C" w:themeColor="text1"/>
          <w:sz w:val="22"/>
          <w:szCs w:val="22"/>
          <w:u w:val="single"/>
        </w:rPr>
        <w:t xml:space="preserve">2023 </w:t>
      </w:r>
      <w:r>
        <w:rPr>
          <w:color w:val="0C0C0C" w:themeColor="text1"/>
          <w:sz w:val="22"/>
          <w:szCs w:val="22"/>
          <w:u w:val="single"/>
        </w:rPr>
        <w:t>del C</w:t>
      </w:r>
      <w:r w:rsidR="00510216">
        <w:rPr>
          <w:color w:val="0C0C0C" w:themeColor="text1"/>
          <w:sz w:val="22"/>
          <w:szCs w:val="22"/>
          <w:u w:val="single"/>
        </w:rPr>
        <w:t xml:space="preserve">onsejo de Transparencia </w:t>
      </w:r>
    </w:p>
    <w:p w14:paraId="5B11E2F9" w14:textId="77777777" w:rsidR="00BA4068" w:rsidRPr="00B80115" w:rsidRDefault="00BA4068" w:rsidP="00A666AD">
      <w:pPr>
        <w:pStyle w:val="Textoindependiente"/>
        <w:spacing w:before="88" w:line="276" w:lineRule="auto"/>
        <w:ind w:right="21"/>
        <w:rPr>
          <w:color w:val="0C0C0C" w:themeColor="text1"/>
          <w:sz w:val="22"/>
          <w:szCs w:val="22"/>
        </w:rPr>
      </w:pPr>
    </w:p>
    <w:p w14:paraId="3A172074" w14:textId="39268271" w:rsidR="004C1C44" w:rsidRDefault="00AA0900" w:rsidP="006B065E">
      <w:pPr>
        <w:tabs>
          <w:tab w:val="left" w:pos="2535"/>
        </w:tabs>
        <w:jc w:val="center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  <w:r w:rsidRPr="00AA0900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EL </w:t>
      </w:r>
      <w:r w:rsidR="00510216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CONSEJO DE TRANSPARENCIA RESOLVIÓ</w:t>
      </w:r>
      <w:r w:rsidR="00F12E78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EN 2023</w:t>
      </w:r>
      <w:r w:rsidR="00510216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UN </w:t>
      </w:r>
      <w:r w:rsidR="00673B8A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36,7</w:t>
      </w:r>
      <w:r w:rsidR="00510216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% MÁS RECLAMACIONES </w:t>
      </w:r>
      <w:r w:rsidR="00C613D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DE ACCESO A LA INFORMACIÓN PÚBLICA </w:t>
      </w:r>
      <w:r w:rsidR="00F12E78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QUE EL AÑO ANTERIOR</w:t>
      </w:r>
      <w:r w:rsidR="0092033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</w:t>
      </w:r>
    </w:p>
    <w:p w14:paraId="1566F6E7" w14:textId="77777777" w:rsidR="006F454E" w:rsidRDefault="006F454E" w:rsidP="006B065E">
      <w:pPr>
        <w:tabs>
          <w:tab w:val="left" w:pos="2535"/>
        </w:tabs>
        <w:jc w:val="center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42BE471D" w14:textId="24AB2626" w:rsidR="00AA0900" w:rsidRDefault="004A3012" w:rsidP="006D76DE">
      <w:pPr>
        <w:pStyle w:val="Prrafodelista"/>
        <w:numPr>
          <w:ilvl w:val="0"/>
          <w:numId w:val="1"/>
        </w:numPr>
        <w:tabs>
          <w:tab w:val="left" w:pos="2535"/>
        </w:tabs>
        <w:spacing w:after="240"/>
        <w:ind w:left="426" w:hanging="284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4A3012">
        <w:rPr>
          <w:rFonts w:ascii="Mulish" w:eastAsia="Mulish" w:hAnsi="Mulish" w:cs="Mulish"/>
          <w:color w:val="0C0C0C" w:themeColor="text1"/>
          <w:lang w:eastAsia="es-ES" w:bidi="es-ES"/>
        </w:rPr>
        <w:t>El organismo</w:t>
      </w:r>
      <w:r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</w:t>
      </w:r>
      <w:r w:rsidR="00673B8A"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resolvió el ejercicio pasado 2</w:t>
      </w:r>
      <w:r w:rsidR="00EF73CF"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.</w:t>
      </w:r>
      <w:r w:rsidR="00673B8A"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259 </w:t>
      </w:r>
      <w:r w:rsidR="00F12E78"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reclamaciones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de 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 xml:space="preserve">solicitantes 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no conformes con la respuesta dada por 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>las entidades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y organismos públicos a sus solicitudes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 xml:space="preserve"> de información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pública</w:t>
      </w:r>
      <w:r w:rsidR="00F744E1">
        <w:rPr>
          <w:rFonts w:ascii="Mulish" w:eastAsia="Mulish" w:hAnsi="Mulish" w:cs="Mulish"/>
          <w:color w:val="0C0C0C" w:themeColor="text1"/>
          <w:lang w:eastAsia="es-ES" w:bidi="es-ES"/>
        </w:rPr>
        <w:t>, lo que supone un 36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>,7</w:t>
      </w:r>
      <w:r w:rsidR="00F744E1">
        <w:rPr>
          <w:rFonts w:ascii="Mulish" w:eastAsia="Mulish" w:hAnsi="Mulish" w:cs="Mulish"/>
          <w:color w:val="0C0C0C" w:themeColor="text1"/>
          <w:lang w:eastAsia="es-ES" w:bidi="es-ES"/>
        </w:rPr>
        <w:t xml:space="preserve">% más que en el ejercicio anterior. </w:t>
      </w:r>
    </w:p>
    <w:p w14:paraId="3576B86E" w14:textId="2CC590B9" w:rsidR="00582BFC" w:rsidRDefault="00582BFC" w:rsidP="00582BFC">
      <w:pPr>
        <w:pStyle w:val="Prrafodelista"/>
        <w:numPr>
          <w:ilvl w:val="0"/>
          <w:numId w:val="1"/>
        </w:numPr>
        <w:tabs>
          <w:tab w:val="left" w:pos="2535"/>
        </w:tabs>
        <w:spacing w:after="240"/>
        <w:ind w:left="426" w:hanging="284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El Consejo</w:t>
      </w:r>
      <w:r w:rsidR="004A301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, </w:t>
      </w:r>
      <w:r w:rsidR="004A3012" w:rsidRPr="004A3012">
        <w:rPr>
          <w:rFonts w:ascii="Mulish" w:eastAsia="Mulish" w:hAnsi="Mulish" w:cs="Mulish"/>
          <w:color w:val="0C0C0C" w:themeColor="text1"/>
          <w:lang w:eastAsia="es-ES" w:bidi="es-ES"/>
        </w:rPr>
        <w:t xml:space="preserve">autoridad independiente </w:t>
      </w:r>
      <w:r w:rsidR="004A3012">
        <w:rPr>
          <w:rFonts w:ascii="Mulish" w:eastAsia="Mulish" w:hAnsi="Mulish" w:cs="Mulish"/>
          <w:color w:val="0C0C0C" w:themeColor="text1"/>
          <w:lang w:eastAsia="es-ES" w:bidi="es-ES"/>
        </w:rPr>
        <w:t>que tutela e</w:t>
      </w:r>
      <w:r w:rsidR="004A3012" w:rsidRPr="004A3012">
        <w:rPr>
          <w:rFonts w:ascii="Mulish" w:eastAsia="Mulish" w:hAnsi="Mulish" w:cs="Mulish"/>
          <w:color w:val="0C0C0C" w:themeColor="text1"/>
          <w:lang w:eastAsia="es-ES" w:bidi="es-ES"/>
        </w:rPr>
        <w:t>l derecho de acceso a la información pública a nivel estatal,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estimó </w:t>
      </w:r>
      <w:r w:rsidR="007A5F48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total, parcialmente o por motivos formales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e</w:t>
      </w:r>
      <w:r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n torno a 7 de cada 10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reclamaciones</w:t>
      </w:r>
      <w:r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,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resolviendo que 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 xml:space="preserve">la administración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debía</w:t>
      </w:r>
      <w:r w:rsidRPr="00BE514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facilitar</w:t>
      </w:r>
      <w:r w:rsidRPr="00BE5145">
        <w:rPr>
          <w:rFonts w:ascii="Mulish" w:eastAsia="Mulish" w:hAnsi="Mulish" w:cs="Mulish"/>
          <w:color w:val="0C0C0C" w:themeColor="text1"/>
          <w:lang w:eastAsia="es-ES" w:bidi="es-ES"/>
        </w:rPr>
        <w:t xml:space="preserve"> información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BE5145">
        <w:rPr>
          <w:rFonts w:ascii="Mulish" w:eastAsia="Mulish" w:hAnsi="Mulish" w:cs="Mulish"/>
          <w:color w:val="0C0C0C" w:themeColor="text1"/>
          <w:lang w:eastAsia="es-ES" w:bidi="es-ES"/>
        </w:rPr>
        <w:t>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l </w:t>
      </w:r>
      <w:r w:rsidRPr="00BE5145">
        <w:rPr>
          <w:rFonts w:ascii="Mulish" w:eastAsia="Mulish" w:hAnsi="Mulish" w:cs="Mulish"/>
          <w:color w:val="0C0C0C" w:themeColor="text1"/>
          <w:lang w:eastAsia="es-ES" w:bidi="es-ES"/>
        </w:rPr>
        <w:t>reclamante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71DBBFF1" w14:textId="324DE119" w:rsidR="00F744E1" w:rsidRDefault="00F744E1" w:rsidP="006D76DE">
      <w:pPr>
        <w:pStyle w:val="Prrafodelista"/>
        <w:numPr>
          <w:ilvl w:val="0"/>
          <w:numId w:val="1"/>
        </w:numPr>
        <w:tabs>
          <w:tab w:val="left" w:pos="2535"/>
        </w:tabs>
        <w:spacing w:after="240"/>
        <w:ind w:left="426" w:hanging="284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Un tercio de las reclamaciones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frente a la Administración General del Estado y su sector público se presentaron por silencio administrativo</w:t>
      </w:r>
      <w:r w:rsidR="009A3451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,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596E55">
        <w:rPr>
          <w:rFonts w:ascii="Mulish" w:eastAsia="Mulish" w:hAnsi="Mulish" w:cs="Mulish"/>
          <w:color w:val="0C0C0C" w:themeColor="text1"/>
          <w:lang w:eastAsia="es-ES" w:bidi="es-ES"/>
        </w:rPr>
        <w:t xml:space="preserve">porcentaje que se eleva al 85% 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>en la</w:t>
      </w:r>
      <w:r w:rsidR="003C6393">
        <w:rPr>
          <w:rFonts w:ascii="Mulish" w:eastAsia="Mulish" w:hAnsi="Mulish" w:cs="Mulish"/>
          <w:color w:val="0C0C0C" w:themeColor="text1"/>
          <w:lang w:eastAsia="es-ES" w:bidi="es-ES"/>
        </w:rPr>
        <w:t xml:space="preserve">s reclamaciones </w:t>
      </w:r>
      <w:r w:rsidR="009A3451">
        <w:rPr>
          <w:rFonts w:ascii="Mulish" w:eastAsia="Mulish" w:hAnsi="Mulish" w:cs="Mulish"/>
          <w:color w:val="0C0C0C" w:themeColor="text1"/>
          <w:lang w:eastAsia="es-ES" w:bidi="es-ES"/>
        </w:rPr>
        <w:t>contra</w:t>
      </w:r>
      <w:r w:rsidR="003C6393">
        <w:rPr>
          <w:rFonts w:ascii="Mulish" w:eastAsia="Mulish" w:hAnsi="Mulish" w:cs="Mulish"/>
          <w:color w:val="0C0C0C" w:themeColor="text1"/>
          <w:lang w:eastAsia="es-ES" w:bidi="es-ES"/>
        </w:rPr>
        <w:t xml:space="preserve"> la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>s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 xml:space="preserve"> administraci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>ones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 xml:space="preserve"> autonómica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>s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 xml:space="preserve"> y local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>es</w:t>
      </w:r>
      <w:r w:rsidR="00582BFC">
        <w:rPr>
          <w:rFonts w:ascii="Mulish" w:eastAsia="Mulish" w:hAnsi="Mulish" w:cs="Mulish"/>
          <w:color w:val="0C0C0C" w:themeColor="text1"/>
          <w:lang w:eastAsia="es-ES" w:bidi="es-ES"/>
        </w:rPr>
        <w:t xml:space="preserve"> de </w:t>
      </w:r>
      <w:r w:rsidR="00E06776">
        <w:rPr>
          <w:rFonts w:ascii="Mulish" w:eastAsia="Mulish" w:hAnsi="Mulish" w:cs="Mulish"/>
          <w:color w:val="0C0C0C" w:themeColor="text1"/>
          <w:lang w:eastAsia="es-ES" w:bidi="es-ES"/>
        </w:rPr>
        <w:t>aquellas</w:t>
      </w:r>
      <w:r w:rsidR="00582BFC">
        <w:rPr>
          <w:rFonts w:ascii="Mulish" w:eastAsia="Mulish" w:hAnsi="Mulish" w:cs="Mulish"/>
          <w:color w:val="0C0C0C" w:themeColor="text1"/>
          <w:lang w:eastAsia="es-ES" w:bidi="es-ES"/>
        </w:rPr>
        <w:t xml:space="preserve"> CC.AA. que han atribuido al Consejo la competencia para resolver sus reclamaciones</w:t>
      </w:r>
      <w:r w:rsidR="00596E55"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021965C2" w14:textId="143F9571" w:rsidR="00463E2A" w:rsidRDefault="00613BF1" w:rsidP="00463E2A">
      <w:pPr>
        <w:pStyle w:val="Prrafodelista"/>
        <w:numPr>
          <w:ilvl w:val="0"/>
          <w:numId w:val="1"/>
        </w:numPr>
        <w:tabs>
          <w:tab w:val="left" w:pos="2535"/>
        </w:tabs>
        <w:spacing w:after="240"/>
        <w:ind w:left="426" w:hanging="284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E4342C">
        <w:rPr>
          <w:rFonts w:ascii="Mulish" w:eastAsia="Mulish" w:hAnsi="Mulish" w:cs="Mulish"/>
          <w:color w:val="0C0C0C" w:themeColor="text1"/>
          <w:lang w:eastAsia="es-ES" w:bidi="es-ES"/>
        </w:rPr>
        <w:t>Aunque las resoluciones del Consejo son jurídicamente vinculantes para sus destinatarios,</w:t>
      </w:r>
      <w:r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persiste un porcentaje relevante en las que no se acredita el cumplimiento: </w:t>
      </w:r>
      <w:r w:rsidR="007A5F48">
        <w:rPr>
          <w:rFonts w:ascii="Mulish" w:eastAsia="Mulish" w:hAnsi="Mulish" w:cs="Mulish"/>
          <w:color w:val="0C0C0C" w:themeColor="text1"/>
          <w:lang w:eastAsia="es-ES" w:bidi="es-ES"/>
        </w:rPr>
        <w:t xml:space="preserve">a 31 de diciembre 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>no constaba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el cumplimiento de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 xml:space="preserve"> un 11% de las resoluciones dictadas</w:t>
      </w:r>
      <w:r w:rsidR="00596E55">
        <w:rPr>
          <w:rFonts w:ascii="Mulish" w:eastAsia="Mulish" w:hAnsi="Mulish" w:cs="Mulish"/>
          <w:color w:val="0C0C0C" w:themeColor="text1"/>
          <w:lang w:eastAsia="es-ES" w:bidi="es-ES"/>
        </w:rPr>
        <w:t xml:space="preserve"> en 2023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 xml:space="preserve"> frente a la administración estatal y un 49% </w:t>
      </w:r>
      <w:r w:rsidR="00E35A1A">
        <w:rPr>
          <w:rFonts w:ascii="Mulish" w:eastAsia="Mulish" w:hAnsi="Mulish" w:cs="Mulish"/>
          <w:color w:val="0C0C0C" w:themeColor="text1"/>
          <w:lang w:eastAsia="es-ES" w:bidi="es-ES"/>
        </w:rPr>
        <w:t xml:space="preserve">de las emitidas 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 xml:space="preserve">frente a </w:t>
      </w:r>
      <w:r w:rsidR="00823D5E">
        <w:rPr>
          <w:rFonts w:ascii="Mulish" w:eastAsia="Mulish" w:hAnsi="Mulish" w:cs="Mulish"/>
          <w:color w:val="0C0C0C" w:themeColor="text1"/>
          <w:lang w:eastAsia="es-ES" w:bidi="es-ES"/>
        </w:rPr>
        <w:t>la</w:t>
      </w:r>
      <w:r>
        <w:rPr>
          <w:rFonts w:ascii="Mulish" w:eastAsia="Mulish" w:hAnsi="Mulish" w:cs="Mulish"/>
          <w:color w:val="0C0C0C" w:themeColor="text1"/>
          <w:lang w:eastAsia="es-ES" w:bidi="es-ES"/>
        </w:rPr>
        <w:t>s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 xml:space="preserve"> autonómica</w:t>
      </w:r>
      <w:r>
        <w:rPr>
          <w:rFonts w:ascii="Mulish" w:eastAsia="Mulish" w:hAnsi="Mulish" w:cs="Mulish"/>
          <w:color w:val="0C0C0C" w:themeColor="text1"/>
          <w:lang w:eastAsia="es-ES" w:bidi="es-ES"/>
        </w:rPr>
        <w:t>s</w:t>
      </w:r>
      <w:r w:rsidR="00823D5E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>y local</w:t>
      </w:r>
      <w:r>
        <w:rPr>
          <w:rFonts w:ascii="Mulish" w:eastAsia="Mulish" w:hAnsi="Mulish" w:cs="Mulish"/>
          <w:color w:val="0C0C0C" w:themeColor="text1"/>
          <w:lang w:eastAsia="es-ES" w:bidi="es-ES"/>
        </w:rPr>
        <w:t>es</w:t>
      </w:r>
      <w:r w:rsidR="00463E2A"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76773EA0" w14:textId="166DA07B" w:rsidR="00C613D2" w:rsidRDefault="00C613D2" w:rsidP="006D76DE">
      <w:pPr>
        <w:pStyle w:val="Prrafodelista"/>
        <w:numPr>
          <w:ilvl w:val="0"/>
          <w:numId w:val="1"/>
        </w:numPr>
        <w:tabs>
          <w:tab w:val="left" w:pos="2535"/>
        </w:tabs>
        <w:spacing w:after="240"/>
        <w:ind w:left="426" w:hanging="284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En 2023 el Consejo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intensificó su actividad de evaluación del cumplimiento de las obligaciones de publicidad activa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: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analizó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si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254 entidades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públicas y privadas publican</w:t>
      </w:r>
      <w:r w:rsidR="009305D3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la información relevante para </w:t>
      </w:r>
      <w:r w:rsidR="009305D3">
        <w:rPr>
          <w:rFonts w:ascii="Mulish" w:eastAsia="Mulish" w:hAnsi="Mulish" w:cs="Mulish"/>
          <w:color w:val="0C0C0C" w:themeColor="text1"/>
          <w:lang w:eastAsia="es-ES" w:bidi="es-ES"/>
        </w:rPr>
        <w:t xml:space="preserve">fiscalizar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su gestión a la que les obliga la Ley de transparencia, lo que supone </w:t>
      </w:r>
      <w:r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un 35% más de entidades evaluadas que en 2022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44746166" w14:textId="6654C09A" w:rsidR="00920332" w:rsidRDefault="004A3012" w:rsidP="006D76DE">
      <w:pPr>
        <w:pStyle w:val="Prrafodelista"/>
        <w:numPr>
          <w:ilvl w:val="0"/>
          <w:numId w:val="1"/>
        </w:numPr>
        <w:tabs>
          <w:tab w:val="left" w:pos="2535"/>
        </w:tabs>
        <w:spacing w:after="240"/>
        <w:ind w:left="426" w:hanging="284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>S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 xml:space="preserve">e </w:t>
      </w:r>
      <w:r w:rsidR="00613BF1">
        <w:rPr>
          <w:rFonts w:ascii="Mulish" w:eastAsia="Mulish" w:hAnsi="Mulish" w:cs="Mulish"/>
          <w:color w:val="0C0C0C" w:themeColor="text1"/>
          <w:lang w:eastAsia="es-ES" w:bidi="es-ES"/>
        </w:rPr>
        <w:t xml:space="preserve">presentaron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>73</w:t>
      </w:r>
      <w:r w:rsidR="00E35A1A">
        <w:rPr>
          <w:rFonts w:ascii="Mulish" w:eastAsia="Mulish" w:hAnsi="Mulish" w:cs="Mulish"/>
          <w:color w:val="0C0C0C" w:themeColor="text1"/>
          <w:lang w:eastAsia="es-ES" w:bidi="es-ES"/>
        </w:rPr>
        <w:t xml:space="preserve"> recursos</w:t>
      </w:r>
      <w:r w:rsidR="00920332">
        <w:rPr>
          <w:rFonts w:ascii="Mulish" w:eastAsia="Mulish" w:hAnsi="Mulish" w:cs="Mulish"/>
          <w:color w:val="0C0C0C" w:themeColor="text1"/>
          <w:lang w:eastAsia="es-ES" w:bidi="es-ES"/>
        </w:rPr>
        <w:t xml:space="preserve"> contencioso-administrativos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33660C">
        <w:rPr>
          <w:rFonts w:ascii="Mulish" w:eastAsia="Mulish" w:hAnsi="Mulish" w:cs="Mulish"/>
          <w:color w:val="0C0C0C" w:themeColor="text1"/>
          <w:lang w:eastAsia="es-ES" w:bidi="es-ES"/>
        </w:rPr>
        <w:t>contra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las resoluciones del Consejo</w:t>
      </w:r>
      <w:r w:rsidR="00920332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 lo que convierte a </w:t>
      </w:r>
      <w:r w:rsidR="0004559F" w:rsidRPr="009305D3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2023 en el segundo año con mayor </w:t>
      </w:r>
      <w:r w:rsidR="0033660C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número de </w:t>
      </w:r>
      <w:r w:rsidR="00E35A1A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litigios</w:t>
      </w:r>
      <w:r w:rsidR="0033660C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</w:t>
      </w:r>
      <w:r w:rsidR="00613BF1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interpuestos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desde que el organismo </w:t>
      </w:r>
      <w:r w:rsidR="00BE5145">
        <w:rPr>
          <w:rFonts w:ascii="Mulish" w:eastAsia="Mulish" w:hAnsi="Mulish" w:cs="Mulish"/>
          <w:color w:val="0C0C0C" w:themeColor="text1"/>
          <w:lang w:eastAsia="es-ES" w:bidi="es-ES"/>
        </w:rPr>
        <w:t xml:space="preserve">iniciara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su andadura. </w:t>
      </w:r>
    </w:p>
    <w:p w14:paraId="3D8B439A" w14:textId="77777777" w:rsidR="006D76DE" w:rsidRDefault="006D76DE" w:rsidP="0093132C">
      <w:pPr>
        <w:spacing w:after="0"/>
        <w:jc w:val="both"/>
        <w:rPr>
          <w:rFonts w:ascii="Mulish" w:eastAsia="Mulish" w:hAnsi="Mulish" w:cs="Mulish"/>
          <w:color w:val="0C0C0C" w:themeColor="text1"/>
          <w:u w:val="single"/>
          <w:lang w:eastAsia="es-ES" w:bidi="es-ES"/>
        </w:rPr>
      </w:pPr>
    </w:p>
    <w:p w14:paraId="4FEB9A75" w14:textId="72D22202" w:rsidR="00F12E78" w:rsidRDefault="00BA4068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B8011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Madrid</w:t>
      </w:r>
      <w:r w:rsidR="00C23867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, </w:t>
      </w:r>
      <w:r w:rsidR="00A4131E" w:rsidRPr="00A4131E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10</w:t>
      </w:r>
      <w:r w:rsidR="00510216" w:rsidRPr="00A4131E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 </w:t>
      </w:r>
      <w:r w:rsidRPr="00A4131E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de </w:t>
      </w:r>
      <w:r w:rsidR="00A4131E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septiembre</w:t>
      </w:r>
      <w:r w:rsidRPr="00B8011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 de 202</w:t>
      </w:r>
      <w:r w:rsidR="00A666AD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4</w:t>
      </w:r>
      <w:r w:rsidRPr="00B80115">
        <w:rPr>
          <w:rFonts w:ascii="Mulish" w:eastAsia="Mulish" w:hAnsi="Mulish" w:cs="Mulish"/>
          <w:color w:val="0C0C0C" w:themeColor="text1"/>
          <w:lang w:eastAsia="es-ES" w:bidi="es-ES"/>
        </w:rPr>
        <w:t xml:space="preserve">.- </w:t>
      </w:r>
      <w:r w:rsidR="00AA0900" w:rsidRPr="00AA0900">
        <w:rPr>
          <w:rFonts w:ascii="Mulish" w:eastAsia="Mulish" w:hAnsi="Mulish" w:cs="Mulish"/>
          <w:color w:val="0C0C0C" w:themeColor="text1"/>
          <w:lang w:eastAsia="es-ES" w:bidi="es-ES"/>
        </w:rPr>
        <w:t>El Consejo de Transparencia y Buen Gobierno (CTBG)</w:t>
      </w:r>
      <w:r w:rsidR="00DC0389">
        <w:rPr>
          <w:rFonts w:ascii="Mulish" w:eastAsia="Mulish" w:hAnsi="Mulish" w:cs="Mulish"/>
          <w:color w:val="0C0C0C" w:themeColor="text1"/>
          <w:lang w:eastAsia="es-ES" w:bidi="es-ES"/>
        </w:rPr>
        <w:t xml:space="preserve">, autoridad administrativa independiente de supervisión y control en materia de transparencia pública a nivel estatal, </w:t>
      </w:r>
      <w:r w:rsidR="00AA0900" w:rsidRPr="00AA0900">
        <w:rPr>
          <w:rFonts w:ascii="Mulish" w:eastAsia="Mulish" w:hAnsi="Mulish" w:cs="Mulish"/>
          <w:color w:val="0C0C0C" w:themeColor="text1"/>
          <w:lang w:eastAsia="es-ES" w:bidi="es-ES"/>
        </w:rPr>
        <w:t xml:space="preserve">acaba de publicar </w:t>
      </w:r>
      <w:r w:rsidR="00AA5B4D">
        <w:rPr>
          <w:rFonts w:ascii="Mulish" w:eastAsia="Mulish" w:hAnsi="Mulish" w:cs="Mulish"/>
          <w:color w:val="0C0C0C" w:themeColor="text1"/>
          <w:lang w:eastAsia="es-ES" w:bidi="es-ES"/>
        </w:rPr>
        <w:t xml:space="preserve">su </w:t>
      </w:r>
      <w:hyperlink r:id="rId8" w:history="1">
        <w:r w:rsidR="00AA5B4D" w:rsidRPr="00F24BA9">
          <w:rPr>
            <w:rStyle w:val="Hipervnculo"/>
            <w:rFonts w:ascii="Mulish" w:eastAsia="Mulish" w:hAnsi="Mulish" w:cs="Mulish"/>
            <w:color w:val="0070C0"/>
            <w:lang w:eastAsia="es-ES" w:bidi="es-ES"/>
          </w:rPr>
          <w:t xml:space="preserve">memoria </w:t>
        </w:r>
        <w:r w:rsidR="00DC0389" w:rsidRPr="00F24BA9">
          <w:rPr>
            <w:rStyle w:val="Hipervnculo"/>
            <w:rFonts w:ascii="Mulish" w:eastAsia="Mulish" w:hAnsi="Mulish" w:cs="Mulish"/>
            <w:color w:val="0070C0"/>
            <w:lang w:eastAsia="es-ES" w:bidi="es-ES"/>
          </w:rPr>
          <w:t xml:space="preserve">de actividades </w:t>
        </w:r>
        <w:r w:rsidR="00AA5B4D" w:rsidRPr="00F24BA9">
          <w:rPr>
            <w:rStyle w:val="Hipervnculo"/>
            <w:rFonts w:ascii="Mulish" w:eastAsia="Mulish" w:hAnsi="Mulish" w:cs="Mulish"/>
            <w:color w:val="0070C0"/>
            <w:lang w:eastAsia="es-ES" w:bidi="es-ES"/>
          </w:rPr>
          <w:t>2023</w:t>
        </w:r>
      </w:hyperlink>
      <w:r w:rsidR="00DC0389" w:rsidRPr="00F24BA9">
        <w:rPr>
          <w:rStyle w:val="Hipervnculo"/>
          <w:rFonts w:ascii="Mulish" w:eastAsia="Mulish" w:hAnsi="Mulish" w:cs="Mulish"/>
          <w:color w:val="0070C0"/>
          <w:lang w:eastAsia="es-ES" w:bidi="es-ES"/>
        </w:rPr>
        <w:t>.</w:t>
      </w:r>
      <w:r w:rsidR="00DC0389">
        <w:rPr>
          <w:rFonts w:ascii="Mulish" w:eastAsia="Mulish" w:hAnsi="Mulish" w:cs="Mulish"/>
          <w:color w:val="0C0C0C" w:themeColor="text1"/>
          <w:lang w:eastAsia="es-ES" w:bidi="es-ES"/>
        </w:rPr>
        <w:t xml:space="preserve"> En ella s</w:t>
      </w:r>
      <w:r w:rsidR="00AA5B4D">
        <w:rPr>
          <w:rFonts w:ascii="Mulish" w:eastAsia="Mulish" w:hAnsi="Mulish" w:cs="Mulish"/>
          <w:color w:val="0C0C0C" w:themeColor="text1"/>
          <w:lang w:eastAsia="es-ES" w:bidi="es-ES"/>
        </w:rPr>
        <w:t>e pone de relieve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un incremento</w:t>
      </w:r>
      <w:r w:rsidR="00920332">
        <w:rPr>
          <w:rFonts w:ascii="Mulish" w:eastAsia="Mulish" w:hAnsi="Mulish" w:cs="Mulish"/>
          <w:color w:val="0C0C0C" w:themeColor="text1"/>
          <w:lang w:eastAsia="es-ES" w:bidi="es-ES"/>
        </w:rPr>
        <w:t xml:space="preserve"> de su actividad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tanto </w:t>
      </w:r>
      <w:r w:rsidR="00920332">
        <w:rPr>
          <w:rFonts w:ascii="Mulish" w:eastAsia="Mulish" w:hAnsi="Mulish" w:cs="Mulish"/>
          <w:color w:val="0C0C0C" w:themeColor="text1"/>
          <w:lang w:eastAsia="es-ES" w:bidi="es-ES"/>
        </w:rPr>
        <w:t>en l</w:t>
      </w:r>
      <w:r w:rsidR="00595BD8">
        <w:rPr>
          <w:rFonts w:ascii="Mulish" w:eastAsia="Mulish" w:hAnsi="Mulish" w:cs="Mulish"/>
          <w:color w:val="0C0C0C" w:themeColor="text1"/>
          <w:lang w:eastAsia="es-ES" w:bidi="es-ES"/>
        </w:rPr>
        <w:t>o</w:t>
      </w:r>
      <w:r w:rsidR="00920332">
        <w:rPr>
          <w:rFonts w:ascii="Mulish" w:eastAsia="Mulish" w:hAnsi="Mulish" w:cs="Mulish"/>
          <w:color w:val="0C0C0C" w:themeColor="text1"/>
          <w:lang w:eastAsia="es-ES" w:bidi="es-ES"/>
        </w:rPr>
        <w:t xml:space="preserve"> relacionad</w:t>
      </w:r>
      <w:r w:rsidR="00595BD8">
        <w:rPr>
          <w:rFonts w:ascii="Mulish" w:eastAsia="Mulish" w:hAnsi="Mulish" w:cs="Mulish"/>
          <w:color w:val="0C0C0C" w:themeColor="text1"/>
          <w:lang w:eastAsia="es-ES" w:bidi="es-ES"/>
        </w:rPr>
        <w:t>o</w:t>
      </w:r>
      <w:r w:rsidR="00920332">
        <w:rPr>
          <w:rFonts w:ascii="Mulish" w:eastAsia="Mulish" w:hAnsi="Mulish" w:cs="Mulish"/>
          <w:color w:val="0C0C0C" w:themeColor="text1"/>
          <w:lang w:eastAsia="es-ES" w:bidi="es-ES"/>
        </w:rPr>
        <w:t xml:space="preserve"> con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su función de salvaguarda del derecho de acceso a la información pública, con 2</w:t>
      </w:r>
      <w:r w:rsidR="00975043">
        <w:rPr>
          <w:rFonts w:ascii="Mulish" w:eastAsia="Mulish" w:hAnsi="Mulish" w:cs="Mulish"/>
          <w:color w:val="0C0C0C" w:themeColor="text1"/>
          <w:lang w:eastAsia="es-ES" w:bidi="es-ES"/>
        </w:rPr>
        <w:t>.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>259 reclamaciones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AC00C8">
        <w:rPr>
          <w:rFonts w:ascii="Mulish" w:eastAsia="Mulish" w:hAnsi="Mulish" w:cs="Mulish"/>
          <w:color w:val="0C0C0C" w:themeColor="text1"/>
          <w:lang w:eastAsia="es-ES" w:bidi="es-ES"/>
        </w:rPr>
        <w:t xml:space="preserve">en esta materia 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resueltas (un </w:t>
      </w:r>
      <w:r w:rsidR="00EF73CF">
        <w:rPr>
          <w:rFonts w:ascii="Mulish" w:eastAsia="Mulish" w:hAnsi="Mulish" w:cs="Mulish"/>
          <w:color w:val="0C0C0C" w:themeColor="text1"/>
          <w:lang w:eastAsia="es-ES" w:bidi="es-ES"/>
        </w:rPr>
        <w:t>36,7%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más que en 2022)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t xml:space="preserve"> como en su función supervisora del cumplimiento de </w:t>
      </w:r>
      <w:r w:rsidR="00F12E78">
        <w:rPr>
          <w:rFonts w:ascii="Mulish" w:eastAsia="Mulish" w:hAnsi="Mulish" w:cs="Mulish"/>
          <w:color w:val="0C0C0C" w:themeColor="text1"/>
          <w:lang w:eastAsia="es-ES" w:bidi="es-ES"/>
        </w:rPr>
        <w:lastRenderedPageBreak/>
        <w:t xml:space="preserve">las obligaciones de publicidad activa por parte de entidades públicas y privadas: en 2023, el CTBG evaluó si 254 entidades 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 xml:space="preserve">publican </w:t>
      </w:r>
      <w:r w:rsidR="008E0658">
        <w:rPr>
          <w:rFonts w:ascii="Mulish" w:eastAsia="Mulish" w:hAnsi="Mulish" w:cs="Mulish"/>
          <w:color w:val="0C0C0C" w:themeColor="text1"/>
          <w:lang w:eastAsia="es-ES" w:bidi="es-ES"/>
        </w:rPr>
        <w:t xml:space="preserve">y actualizan 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 xml:space="preserve">en sus páginas web </w:t>
      </w:r>
      <w:r w:rsidR="008E0658">
        <w:rPr>
          <w:rFonts w:ascii="Mulish" w:eastAsia="Mulish" w:hAnsi="Mulish" w:cs="Mulish"/>
          <w:color w:val="0C0C0C" w:themeColor="text1"/>
          <w:lang w:eastAsia="es-ES" w:bidi="es-ES"/>
        </w:rPr>
        <w:t xml:space="preserve">institucionales 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>o en el portal de transparencia la información</w:t>
      </w:r>
      <w:r w:rsidR="008E0658">
        <w:rPr>
          <w:rFonts w:ascii="Mulish" w:eastAsia="Mulish" w:hAnsi="Mulish" w:cs="Mulish"/>
          <w:color w:val="0C0C0C" w:themeColor="text1"/>
          <w:lang w:eastAsia="es-ES" w:bidi="es-ES"/>
        </w:rPr>
        <w:t xml:space="preserve"> relevante </w:t>
      </w:r>
      <w:r w:rsidR="00453CB8">
        <w:rPr>
          <w:rFonts w:ascii="Mulish" w:eastAsia="Mulish" w:hAnsi="Mulish" w:cs="Mulish"/>
          <w:color w:val="0C0C0C" w:themeColor="text1"/>
          <w:lang w:eastAsia="es-ES" w:bidi="es-ES"/>
        </w:rPr>
        <w:t>para fiscalizar</w:t>
      </w:r>
      <w:r w:rsidR="008E0658">
        <w:rPr>
          <w:rFonts w:ascii="Mulish" w:eastAsia="Mulish" w:hAnsi="Mulish" w:cs="Mulish"/>
          <w:color w:val="0C0C0C" w:themeColor="text1"/>
          <w:lang w:eastAsia="es-ES" w:bidi="es-ES"/>
        </w:rPr>
        <w:t xml:space="preserve"> su gestión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 xml:space="preserve"> a la que están obligados por la Ley de transparencia</w:t>
      </w:r>
      <w:r w:rsidR="00453CB8"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 xml:space="preserve">Esto supone un </w:t>
      </w:r>
      <w:r w:rsidR="00C51199">
        <w:rPr>
          <w:rFonts w:ascii="Mulish" w:eastAsia="Mulish" w:hAnsi="Mulish" w:cs="Mulish"/>
          <w:color w:val="0C0C0C" w:themeColor="text1"/>
          <w:lang w:eastAsia="es-ES" w:bidi="es-ES"/>
        </w:rPr>
        <w:t>35,1</w:t>
      </w:r>
      <w:r w:rsidR="00D242B7">
        <w:rPr>
          <w:rFonts w:ascii="Mulish" w:eastAsia="Mulish" w:hAnsi="Mulish" w:cs="Mulish"/>
          <w:color w:val="0C0C0C" w:themeColor="text1"/>
          <w:lang w:eastAsia="es-ES" w:bidi="es-ES"/>
        </w:rPr>
        <w:t xml:space="preserve">% más de entidades evaluadas que en 2022. </w:t>
      </w:r>
    </w:p>
    <w:p w14:paraId="778BD6D5" w14:textId="4ABD9234" w:rsidR="00DC0389" w:rsidRDefault="00DC0389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659EB339" w14:textId="0A6C0C0B" w:rsidR="00DC0389" w:rsidRDefault="00DC0389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>A esta actividad se sum</w:t>
      </w:r>
      <w:r w:rsidR="006B4BB2">
        <w:rPr>
          <w:rFonts w:ascii="Mulish" w:eastAsia="Mulish" w:hAnsi="Mulish" w:cs="Mulish"/>
          <w:color w:val="0C0C0C" w:themeColor="text1"/>
          <w:lang w:eastAsia="es-ES" w:bidi="es-ES"/>
        </w:rPr>
        <w:t>ó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la resolución de consultas sobre aplicación de la ley de transparencia, la tramitación de denuncias por incumplimiento de las obligaciones de publicidad activa</w:t>
      </w:r>
      <w:r w:rsidR="006B4BB2">
        <w:rPr>
          <w:rFonts w:ascii="Mulish" w:eastAsia="Mulish" w:hAnsi="Mulish" w:cs="Mulish"/>
          <w:color w:val="0C0C0C" w:themeColor="text1"/>
          <w:lang w:eastAsia="es-ES" w:bidi="es-ES"/>
        </w:rPr>
        <w:t xml:space="preserve"> por parte de los sujetos obligados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, la realización de actividades de formación y sensibilización en materia de transparencia, la cooperación con órganos autonómicos y </w:t>
      </w:r>
      <w:r w:rsidR="00F21F37">
        <w:rPr>
          <w:rFonts w:ascii="Mulish" w:eastAsia="Mulish" w:hAnsi="Mulish" w:cs="Mulish"/>
          <w:color w:val="0C0C0C" w:themeColor="text1"/>
          <w:lang w:eastAsia="es-ES" w:bidi="es-ES"/>
        </w:rPr>
        <w:t xml:space="preserve">en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redes internacionales que trabajan en materia de derecho de acceso, etc. </w:t>
      </w:r>
    </w:p>
    <w:p w14:paraId="6F40E83D" w14:textId="281A4C5F" w:rsidR="00A67359" w:rsidRDefault="00A67359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172D7820" w14:textId="369459AC" w:rsidR="005D2C95" w:rsidRDefault="00A67359" w:rsidP="00A67359">
      <w:pPr>
        <w:spacing w:after="0"/>
        <w:jc w:val="both"/>
        <w:rPr>
          <w:rFonts w:ascii="Mulish" w:eastAsia="Mulish" w:hAnsi="Mulish" w:cs="Mulish"/>
          <w:i/>
          <w:iCs/>
          <w:color w:val="0C0C0C" w:themeColor="text1"/>
          <w:lang w:eastAsia="es-ES" w:bidi="es-ES"/>
        </w:rPr>
      </w:pPr>
      <w:r w:rsidRPr="00A67359">
        <w:rPr>
          <w:rFonts w:ascii="Mulish" w:eastAsia="Mulish" w:hAnsi="Mulish" w:cs="Mulish"/>
          <w:color w:val="0C0C0C" w:themeColor="text1"/>
          <w:lang w:eastAsia="es-ES" w:bidi="es-ES"/>
        </w:rPr>
        <w:t>Según destaca el presidente del Consejo de Transparencia, José Luis Rodríguez Álvarez: “</w:t>
      </w:r>
      <w:r w:rsidRPr="00291C4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en un año tan significativo como el de 2023, cuando se cumplieron 10 años desde la promulgación de la primera ley de transparencia en nuestro país, </w:t>
      </w:r>
      <w:r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hay que destacar</w:t>
      </w:r>
      <w:r w:rsidRPr="00291C4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un notable incremento en la actividad </w:t>
      </w:r>
      <w:r w:rsidR="00CC08A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del Consejo, sobre todo en la tramitación de expedientes de tutela del derecho de acceso a la información pública</w:t>
      </w:r>
      <w:r w:rsidR="00414BC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y</w:t>
      </w:r>
      <w:r w:rsidR="00CC08A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en la evaluación del cumplimiento de la ley de transparencia por los sujetos obligados. </w:t>
      </w:r>
      <w:r w:rsidR="004142AB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Pero t</w:t>
      </w:r>
      <w:r w:rsidR="00CC08A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ambién hemos intensificado nuestra labor en otras áreas</w:t>
      </w:r>
      <w:r w:rsidR="00414BC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necesarias para avanzar y consolidar la transparencia en España</w:t>
      </w:r>
      <w:r w:rsidR="00CC08A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, </w:t>
      </w:r>
      <w:r w:rsidR="006D76DE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como </w:t>
      </w:r>
      <w:r w:rsidR="00AC00C8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por ejemplo </w:t>
      </w:r>
      <w:r w:rsidR="006D76DE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las </w:t>
      </w:r>
      <w:r w:rsidR="005D2C95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actividades de formación y sensibilización</w:t>
      </w:r>
      <w:r w:rsidR="006D76DE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a los empleados públicos</w:t>
      </w:r>
      <w:r w:rsidR="005D2C95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en </w:t>
      </w:r>
      <w:r w:rsidR="00414BC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esta materia</w:t>
      </w:r>
      <w:r w:rsidRPr="00291C4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.</w:t>
      </w:r>
      <w:r w:rsidR="005D2C95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”</w:t>
      </w:r>
    </w:p>
    <w:p w14:paraId="587C707E" w14:textId="77777777" w:rsidR="005D2C95" w:rsidRDefault="005D2C95" w:rsidP="00A67359">
      <w:pPr>
        <w:spacing w:after="0"/>
        <w:jc w:val="both"/>
        <w:rPr>
          <w:rFonts w:ascii="Mulish" w:eastAsia="Mulish" w:hAnsi="Mulish" w:cs="Mulish"/>
          <w:i/>
          <w:iCs/>
          <w:color w:val="0C0C0C" w:themeColor="text1"/>
          <w:lang w:eastAsia="es-ES" w:bidi="es-ES"/>
        </w:rPr>
      </w:pPr>
    </w:p>
    <w:p w14:paraId="7498CBEE" w14:textId="5C6DC8C2" w:rsidR="00FC3B76" w:rsidRDefault="005D2C95" w:rsidP="00FC3B76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“</w:t>
      </w:r>
      <w:r w:rsidR="00A67359" w:rsidRPr="00291C4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El Consejo</w:t>
      </w:r>
      <w:r w:rsidR="00A6735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</w:t>
      </w:r>
      <w:r w:rsidRPr="005D2C95">
        <w:rPr>
          <w:rFonts w:ascii="Mulish" w:eastAsia="Mulish" w:hAnsi="Mulish" w:cs="Mulish"/>
          <w:color w:val="0C0C0C" w:themeColor="text1"/>
          <w:lang w:eastAsia="es-ES" w:bidi="es-ES"/>
        </w:rPr>
        <w:t>-subraya Rodríguez Álvarez-</w:t>
      </w:r>
      <w:r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</w:t>
      </w:r>
      <w:r w:rsidR="00A6735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se va </w:t>
      </w:r>
      <w:r w:rsidR="00AC00C8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fortaleciendo</w:t>
      </w:r>
      <w:r w:rsidR="00A6735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cada vez más como autoridad independiente de supervisión de la transparencia pública, </w:t>
      </w:r>
      <w:r w:rsidR="00414BC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un </w:t>
      </w:r>
      <w:r w:rsidR="00A6735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aspecto capital </w:t>
      </w:r>
      <w:r w:rsidR="00414BC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para </w:t>
      </w:r>
      <w:r w:rsidR="007905BA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situar a España en el lugar que le corresponde como </w:t>
      </w:r>
      <w:r w:rsidR="00A6735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democracia avanzada</w:t>
      </w:r>
      <w:r w:rsidR="00414BC4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, participativa y basada en la rendición de cuentas</w:t>
      </w:r>
      <w:r w:rsidR="006D76DE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”</w:t>
      </w:r>
      <w:r w:rsidR="00A6735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. </w:t>
      </w:r>
      <w:r w:rsidR="00A67359" w:rsidRPr="006D76DE">
        <w:rPr>
          <w:rFonts w:ascii="Mulish" w:eastAsia="Mulish" w:hAnsi="Mulish" w:cs="Mulish"/>
          <w:color w:val="0C0C0C" w:themeColor="text1"/>
          <w:lang w:eastAsia="es-ES" w:bidi="es-ES"/>
        </w:rPr>
        <w:t xml:space="preserve">En ese sentido, </w:t>
      </w:r>
      <w:r w:rsidRPr="006D76DE">
        <w:rPr>
          <w:rFonts w:ascii="Mulish" w:eastAsia="Mulish" w:hAnsi="Mulish" w:cs="Mulish"/>
          <w:color w:val="0C0C0C" w:themeColor="text1"/>
          <w:lang w:eastAsia="es-ES" w:bidi="es-ES"/>
        </w:rPr>
        <w:t>conviene recordar</w:t>
      </w:r>
      <w:r w:rsidR="00A67359" w:rsidRPr="006D76DE">
        <w:rPr>
          <w:rFonts w:ascii="Mulish" w:eastAsia="Mulish" w:hAnsi="Mulish" w:cs="Mulish"/>
          <w:color w:val="0C0C0C" w:themeColor="text1"/>
          <w:lang w:eastAsia="es-ES" w:bidi="es-ES"/>
        </w:rPr>
        <w:t xml:space="preserve"> la reciente aprobación</w:t>
      </w:r>
      <w:r w:rsidR="00414BC4">
        <w:rPr>
          <w:rFonts w:ascii="Mulish" w:eastAsia="Mulish" w:hAnsi="Mulish" w:cs="Mulish"/>
          <w:color w:val="0C0C0C" w:themeColor="text1"/>
          <w:lang w:eastAsia="es-ES" w:bidi="es-ES"/>
        </w:rPr>
        <w:t>, el pasado 2 de julio,</w:t>
      </w:r>
      <w:r w:rsidR="00A67359" w:rsidRPr="006D76DE">
        <w:rPr>
          <w:rFonts w:ascii="Mulish" w:eastAsia="Mulish" w:hAnsi="Mulish" w:cs="Mulish"/>
          <w:color w:val="0C0C0C" w:themeColor="text1"/>
          <w:lang w:eastAsia="es-ES" w:bidi="es-ES"/>
        </w:rPr>
        <w:t xml:space="preserve"> del nuevo Estatuto que regula el Consejo, que </w:t>
      </w:r>
      <w:r w:rsidR="00F21F37">
        <w:rPr>
          <w:rFonts w:ascii="Mulish" w:eastAsia="Mulish" w:hAnsi="Mulish" w:cs="Mulish"/>
          <w:color w:val="0C0C0C" w:themeColor="text1"/>
          <w:lang w:eastAsia="es-ES" w:bidi="es-ES"/>
        </w:rPr>
        <w:t>le dota</w:t>
      </w:r>
      <w:r w:rsidR="00A67359" w:rsidRPr="006D76DE">
        <w:rPr>
          <w:rFonts w:ascii="Mulish" w:eastAsia="Mulish" w:hAnsi="Mulish" w:cs="Mulish"/>
          <w:color w:val="0C0C0C" w:themeColor="text1"/>
          <w:lang w:eastAsia="es-ES" w:bidi="es-ES"/>
        </w:rPr>
        <w:t xml:space="preserve"> de una estructura orgánica reforzada y más acorde con las funciones que </w:t>
      </w:r>
      <w:r w:rsidR="00A67359" w:rsidRPr="00FC3B76">
        <w:rPr>
          <w:rFonts w:ascii="Mulish" w:eastAsia="Mulish" w:hAnsi="Mulish" w:cs="Mulish"/>
          <w:color w:val="0C0C0C" w:themeColor="text1"/>
          <w:lang w:eastAsia="es-ES" w:bidi="es-ES"/>
        </w:rPr>
        <w:t>desempeña</w:t>
      </w:r>
      <w:r w:rsidR="0029425B" w:rsidRPr="00FC3B76">
        <w:rPr>
          <w:rFonts w:ascii="Mulish" w:eastAsia="Mulish" w:hAnsi="Mulish" w:cs="Mulish"/>
          <w:color w:val="0C0C0C" w:themeColor="text1"/>
          <w:lang w:eastAsia="es-ES" w:bidi="es-ES"/>
        </w:rPr>
        <w:t xml:space="preserve">, </w:t>
      </w:r>
      <w:r w:rsidR="00FC3B76" w:rsidRPr="00FC3B76">
        <w:rPr>
          <w:rFonts w:ascii="Mulish" w:eastAsia="Mulish" w:hAnsi="Mulish" w:cs="Mulish"/>
          <w:color w:val="0C0C0C" w:themeColor="text1"/>
          <w:lang w:eastAsia="es-ES" w:bidi="es-ES"/>
        </w:rPr>
        <w:t>a la espera de que se culmine la programada reforma de la LTAIBG, en la que se deberán</w:t>
      </w:r>
      <w:r w:rsidR="00FC3B76" w:rsidRPr="00A666AD">
        <w:rPr>
          <w:rFonts w:ascii="Mulish" w:eastAsia="Mulish" w:hAnsi="Mulish" w:cs="Mulish"/>
          <w:color w:val="0C0C0C" w:themeColor="text1"/>
          <w:lang w:eastAsia="es-ES" w:bidi="es-ES"/>
        </w:rPr>
        <w:t xml:space="preserve"> incorporar los demás elementos imprescindibles para garantizar la plena eficacia de sus actuaciones como garante de la transparencia pública. </w:t>
      </w:r>
    </w:p>
    <w:p w14:paraId="6AE1D442" w14:textId="77777777" w:rsidR="00FC3B76" w:rsidRDefault="00FC3B76" w:rsidP="00A67359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2E911BEA" w14:textId="77777777" w:rsidR="006B4BB2" w:rsidRDefault="006B4BB2" w:rsidP="006B4BB2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El CTBG contó en 2023 con un presupuesto de 3,37 millones de euros, un 12,5% más que el ejercicio anterior, y quedó configurada con una plantilla de 29 funcionarios. </w:t>
      </w:r>
    </w:p>
    <w:p w14:paraId="0DF5486E" w14:textId="15E852B8" w:rsidR="00A67359" w:rsidRDefault="00A67359" w:rsidP="00A67359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0CBA1D83" w14:textId="6B769B60" w:rsidR="00A67359" w:rsidRDefault="00A67359" w:rsidP="00A67359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>A continuación</w:t>
      </w:r>
      <w:r w:rsidR="005D2C95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se destaca la información más relevante sobre la actividad desarrollada por el CTBG en 2023 y reflejada en la memoria</w:t>
      </w:r>
      <w:r w:rsidR="006B4BB2">
        <w:rPr>
          <w:rFonts w:ascii="Mulish" w:eastAsia="Mulish" w:hAnsi="Mulish" w:cs="Mulish"/>
          <w:color w:val="0C0C0C" w:themeColor="text1"/>
          <w:lang w:eastAsia="es-ES" w:bidi="es-ES"/>
        </w:rPr>
        <w:t>, disponible en la página web de la institución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: </w:t>
      </w:r>
    </w:p>
    <w:p w14:paraId="4033A172" w14:textId="77777777" w:rsidR="00AB13E9" w:rsidRDefault="00AB13E9" w:rsidP="00A67359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0082F34B" w14:textId="5CEA4BB4" w:rsidR="00D242B7" w:rsidRPr="0029425B" w:rsidRDefault="00E06776" w:rsidP="00AB13E9">
      <w:pPr>
        <w:pStyle w:val="Prrafodelista"/>
        <w:numPr>
          <w:ilvl w:val="0"/>
          <w:numId w:val="4"/>
        </w:numPr>
        <w:spacing w:after="0"/>
        <w:ind w:left="0" w:hanging="284"/>
        <w:jc w:val="both"/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</w:pPr>
      <w:r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>R</w:t>
      </w:r>
      <w:r w:rsidR="00D242B7"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 xml:space="preserve">eclamaciones de acceso a la información pública </w:t>
      </w:r>
    </w:p>
    <w:p w14:paraId="6603E6B7" w14:textId="3EB6F716" w:rsidR="00D242B7" w:rsidRDefault="00D242B7" w:rsidP="0093132C">
      <w:pPr>
        <w:spacing w:after="0"/>
        <w:jc w:val="both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73E7ED0F" w14:textId="48278374" w:rsidR="00E06776" w:rsidRDefault="00595BD8" w:rsidP="00E06776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595BD8">
        <w:rPr>
          <w:rFonts w:ascii="Mulish" w:eastAsia="Mulish" w:hAnsi="Mulish" w:cs="Mulish"/>
          <w:color w:val="0C0C0C" w:themeColor="text1"/>
          <w:lang w:eastAsia="es-ES" w:bidi="es-ES"/>
        </w:rPr>
        <w:t xml:space="preserve">Una de las funciones principales del Consejo de Transparencia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es resolver las reclamaciones que presenta la ciudadanía </w:t>
      </w:r>
      <w:r w:rsidR="00AA7167">
        <w:rPr>
          <w:rFonts w:ascii="Mulish" w:eastAsia="Mulish" w:hAnsi="Mulish" w:cs="Mulish"/>
          <w:color w:val="0C0C0C" w:themeColor="text1"/>
          <w:lang w:eastAsia="es-ES" w:bidi="es-ES"/>
        </w:rPr>
        <w:t xml:space="preserve">cuando </w:t>
      </w:r>
      <w:r w:rsidR="0091306E">
        <w:rPr>
          <w:rFonts w:ascii="Mulish" w:eastAsia="Mulish" w:hAnsi="Mulish" w:cs="Mulish"/>
          <w:color w:val="0C0C0C" w:themeColor="text1"/>
          <w:lang w:eastAsia="es-ES" w:bidi="es-ES"/>
        </w:rPr>
        <w:t>no</w:t>
      </w:r>
      <w:r w:rsidR="00AA7167">
        <w:rPr>
          <w:rFonts w:ascii="Mulish" w:eastAsia="Mulish" w:hAnsi="Mulish" w:cs="Mulish"/>
          <w:color w:val="0C0C0C" w:themeColor="text1"/>
          <w:lang w:eastAsia="es-ES" w:bidi="es-ES"/>
        </w:rPr>
        <w:t xml:space="preserve"> está conforme con la respuesta obtenida (o con la falta </w:t>
      </w:r>
      <w:r w:rsidR="00AA7167">
        <w:rPr>
          <w:rFonts w:ascii="Mulish" w:eastAsia="Mulish" w:hAnsi="Mulish" w:cs="Mulish"/>
          <w:color w:val="0C0C0C" w:themeColor="text1"/>
          <w:lang w:eastAsia="es-ES" w:bidi="es-ES"/>
        </w:rPr>
        <w:lastRenderedPageBreak/>
        <w:t xml:space="preserve">de respuesta) de la administración </w:t>
      </w:r>
      <w:r w:rsidR="004E0069">
        <w:rPr>
          <w:rFonts w:ascii="Mulish" w:eastAsia="Mulish" w:hAnsi="Mulish" w:cs="Mulish"/>
          <w:color w:val="0C0C0C" w:themeColor="text1"/>
          <w:lang w:eastAsia="es-ES" w:bidi="es-ES"/>
        </w:rPr>
        <w:t>o las entidades de</w:t>
      </w:r>
      <w:r w:rsidR="00AA7167">
        <w:rPr>
          <w:rFonts w:ascii="Mulish" w:eastAsia="Mulish" w:hAnsi="Mulish" w:cs="Mulish"/>
          <w:color w:val="0C0C0C" w:themeColor="text1"/>
          <w:lang w:eastAsia="es-ES" w:bidi="es-ES"/>
        </w:rPr>
        <w:t xml:space="preserve"> su sector público ante sus solicitudes de derecho a la información pública</w:t>
      </w:r>
      <w:r w:rsidR="003F5854">
        <w:rPr>
          <w:rFonts w:ascii="Mulish" w:eastAsia="Mulish" w:hAnsi="Mulish" w:cs="Mulish"/>
          <w:color w:val="0C0C0C" w:themeColor="text1"/>
          <w:lang w:eastAsia="es-ES" w:bidi="es-ES"/>
        </w:rPr>
        <w:t xml:space="preserve">, procedimiento regulado en el artículo 24 </w:t>
      </w:r>
      <w:r w:rsidR="003F5854" w:rsidRPr="00ED25BC">
        <w:rPr>
          <w:rFonts w:ascii="Mulish" w:eastAsia="Mulish" w:hAnsi="Mulish" w:cs="Mulish"/>
          <w:lang w:eastAsia="es-ES" w:bidi="es-ES"/>
        </w:rPr>
        <w:t>de la Ley 19/2013 de transparencia, acceso a la información pública y buen gobierno (LTAIBG)</w:t>
      </w:r>
      <w:r w:rsidR="00AA7167"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  <w:r w:rsidR="00E06776">
        <w:rPr>
          <w:rFonts w:ascii="Mulish" w:eastAsia="Mulish" w:hAnsi="Mulish" w:cs="Mulish"/>
          <w:color w:val="0C0C0C" w:themeColor="text1"/>
          <w:lang w:eastAsia="es-ES" w:bidi="es-ES"/>
        </w:rPr>
        <w:t xml:space="preserve">El Consejo resuelve </w:t>
      </w:r>
      <w:r w:rsidR="003A47B6">
        <w:rPr>
          <w:rFonts w:ascii="Mulish" w:eastAsia="Mulish" w:hAnsi="Mulish" w:cs="Mulish"/>
          <w:color w:val="0C0C0C" w:themeColor="text1"/>
          <w:lang w:eastAsia="es-ES" w:bidi="es-ES"/>
        </w:rPr>
        <w:t xml:space="preserve">tanto </w:t>
      </w:r>
      <w:r w:rsidR="00E06776">
        <w:rPr>
          <w:rFonts w:ascii="Mulish" w:eastAsia="Mulish" w:hAnsi="Mulish" w:cs="Mulish"/>
          <w:color w:val="0C0C0C" w:themeColor="text1"/>
          <w:lang w:eastAsia="es-ES" w:bidi="es-ES"/>
        </w:rPr>
        <w:t>reclamaciones presentadas frente al sector público estatal como al sector público autonómico y local de aquellas comunidades autónomas que, al no contar con un organismo propio en esta materia, han decidido atribuir al Consejo</w:t>
      </w:r>
      <w:r w:rsidR="003A47B6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="00E06776">
        <w:rPr>
          <w:rFonts w:ascii="Mulish" w:eastAsia="Mulish" w:hAnsi="Mulish" w:cs="Mulish"/>
          <w:color w:val="0C0C0C" w:themeColor="text1"/>
          <w:lang w:eastAsia="es-ES" w:bidi="es-ES"/>
        </w:rPr>
        <w:t xml:space="preserve"> mediante convenio</w:t>
      </w:r>
      <w:r w:rsidR="003A47B6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="00E06776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3A47B6">
        <w:rPr>
          <w:rFonts w:ascii="Mulish" w:eastAsia="Mulish" w:hAnsi="Mulish" w:cs="Mulish"/>
          <w:color w:val="0C0C0C" w:themeColor="text1"/>
          <w:lang w:eastAsia="es-ES" w:bidi="es-ES"/>
        </w:rPr>
        <w:t xml:space="preserve">su competencia para resolver estos </w:t>
      </w:r>
      <w:r w:rsidR="00E06776">
        <w:rPr>
          <w:rFonts w:ascii="Mulish" w:eastAsia="Mulish" w:hAnsi="Mulish" w:cs="Mulish"/>
          <w:color w:val="0C0C0C" w:themeColor="text1"/>
          <w:lang w:eastAsia="es-ES" w:bidi="es-ES"/>
        </w:rPr>
        <w:t xml:space="preserve">expedientes. </w:t>
      </w:r>
    </w:p>
    <w:p w14:paraId="3F6F83C2" w14:textId="77777777" w:rsidR="00E06776" w:rsidRPr="00ED25BC" w:rsidRDefault="00E06776" w:rsidP="00E06776">
      <w:pPr>
        <w:spacing w:after="0"/>
        <w:jc w:val="both"/>
        <w:rPr>
          <w:rFonts w:ascii="Mulish" w:eastAsia="Mulish" w:hAnsi="Mulish" w:cs="Mulish"/>
          <w:lang w:eastAsia="es-ES" w:bidi="es-ES"/>
        </w:rPr>
      </w:pPr>
    </w:p>
    <w:p w14:paraId="13AE946F" w14:textId="1CEDD809" w:rsidR="00E06776" w:rsidRPr="00B23CC5" w:rsidRDefault="00E06776" w:rsidP="00ED25BC">
      <w:pPr>
        <w:spacing w:after="0"/>
        <w:ind w:left="284"/>
        <w:jc w:val="both"/>
        <w:rPr>
          <w:rFonts w:ascii="Mulish" w:eastAsia="Mulish" w:hAnsi="Mulish" w:cs="Mulish"/>
          <w:b/>
          <w:bCs/>
          <w:u w:val="single"/>
          <w:lang w:eastAsia="es-ES" w:bidi="es-ES"/>
        </w:rPr>
      </w:pPr>
      <w:r w:rsidRPr="00B23CC5">
        <w:rPr>
          <w:rFonts w:ascii="Mulish" w:eastAsia="Mulish" w:hAnsi="Mulish" w:cs="Mulish"/>
          <w:b/>
          <w:bCs/>
          <w:u w:val="single"/>
          <w:lang w:eastAsia="es-ES" w:bidi="es-ES"/>
        </w:rPr>
        <w:t>Reclamaciones recibidas</w:t>
      </w:r>
    </w:p>
    <w:p w14:paraId="14AD694B" w14:textId="77777777" w:rsidR="00E06776" w:rsidRPr="00ED25BC" w:rsidRDefault="00E06776" w:rsidP="00ED25BC">
      <w:pPr>
        <w:spacing w:after="0"/>
        <w:ind w:left="284"/>
        <w:jc w:val="both"/>
        <w:rPr>
          <w:rFonts w:ascii="Mulish" w:eastAsia="Mulish" w:hAnsi="Mulish" w:cs="Mulish"/>
          <w:lang w:eastAsia="es-ES" w:bidi="es-ES"/>
        </w:rPr>
      </w:pPr>
    </w:p>
    <w:p w14:paraId="0309FE6D" w14:textId="1F9F87CB" w:rsidR="00E06776" w:rsidRPr="00ED25BC" w:rsidRDefault="00E06776" w:rsidP="00ED25BC">
      <w:pPr>
        <w:spacing w:after="0"/>
        <w:ind w:left="284"/>
        <w:jc w:val="both"/>
        <w:rPr>
          <w:rFonts w:ascii="Mulish" w:eastAsia="Mulish" w:hAnsi="Mulish" w:cs="Mulish"/>
          <w:lang w:eastAsia="es-ES" w:bidi="es-ES"/>
        </w:rPr>
      </w:pPr>
      <w:r w:rsidRPr="00ED25BC">
        <w:rPr>
          <w:rFonts w:ascii="Mulish" w:eastAsia="Mulish" w:hAnsi="Mulish" w:cs="Mulish"/>
          <w:lang w:eastAsia="es-ES" w:bidi="es-ES"/>
        </w:rPr>
        <w:t>En 2023 se recibieron un total de 1.886 reclamaciones</w:t>
      </w:r>
      <w:r w:rsidR="003F5854">
        <w:rPr>
          <w:rFonts w:ascii="Mulish" w:eastAsia="Mulish" w:hAnsi="Mulish" w:cs="Mulish"/>
          <w:lang w:eastAsia="es-ES" w:bidi="es-ES"/>
        </w:rPr>
        <w:t>:</w:t>
      </w:r>
      <w:r w:rsidRPr="00ED25BC">
        <w:rPr>
          <w:rFonts w:ascii="Mulish" w:eastAsia="Mulish" w:hAnsi="Mulish" w:cs="Mulish"/>
          <w:lang w:eastAsia="es-ES" w:bidi="es-ES"/>
        </w:rPr>
        <w:t xml:space="preserve"> 1.170 de ellas (el 62 %) fueron </w:t>
      </w:r>
      <w:r w:rsidR="003F5854">
        <w:rPr>
          <w:rFonts w:ascii="Mulish" w:eastAsia="Mulish" w:hAnsi="Mulish" w:cs="Mulish"/>
          <w:lang w:eastAsia="es-ES" w:bidi="es-ES"/>
        </w:rPr>
        <w:t>expedientes</w:t>
      </w:r>
      <w:r w:rsidRPr="00ED25BC">
        <w:rPr>
          <w:rFonts w:ascii="Mulish" w:eastAsia="Mulish" w:hAnsi="Mulish" w:cs="Mulish"/>
          <w:lang w:eastAsia="es-ES" w:bidi="es-ES"/>
        </w:rPr>
        <w:t xml:space="preserve"> frente a organismos y entidades de ámbito estata</w:t>
      </w:r>
      <w:r w:rsidR="003F5854">
        <w:rPr>
          <w:rFonts w:ascii="Mulish" w:eastAsia="Mulish" w:hAnsi="Mulish" w:cs="Mulish"/>
          <w:lang w:eastAsia="es-ES" w:bidi="es-ES"/>
        </w:rPr>
        <w:t xml:space="preserve">l y </w:t>
      </w:r>
      <w:r w:rsidRPr="00ED25BC">
        <w:rPr>
          <w:rFonts w:ascii="Mulish" w:eastAsia="Mulish" w:hAnsi="Mulish" w:cs="Mulish"/>
          <w:lang w:eastAsia="es-ES" w:bidi="es-ES"/>
        </w:rPr>
        <w:t xml:space="preserve">716 (el 38 %) frente a administraciones, organismos y entidades de ámbito autonómico y local de las comunidades autónomas que tienen convenio con el Consejo. </w:t>
      </w:r>
    </w:p>
    <w:p w14:paraId="4336681E" w14:textId="19452396" w:rsidR="00E06776" w:rsidRPr="00ED25BC" w:rsidRDefault="00E06776" w:rsidP="00ED25BC">
      <w:pPr>
        <w:spacing w:after="0"/>
        <w:ind w:left="284"/>
        <w:jc w:val="both"/>
        <w:rPr>
          <w:rFonts w:ascii="Mulish" w:eastAsia="Mulish" w:hAnsi="Mulish" w:cs="Mulish"/>
          <w:lang w:eastAsia="es-ES" w:bidi="es-ES"/>
        </w:rPr>
      </w:pPr>
    </w:p>
    <w:p w14:paraId="0C72FF6C" w14:textId="7A5504C0" w:rsidR="00E06776" w:rsidRPr="00B23CC5" w:rsidRDefault="00E06776" w:rsidP="00ED25BC">
      <w:pPr>
        <w:spacing w:after="0"/>
        <w:ind w:left="284"/>
        <w:jc w:val="both"/>
        <w:rPr>
          <w:rFonts w:ascii="Mulish" w:eastAsia="Mulish" w:hAnsi="Mulish" w:cs="Mulish"/>
          <w:b/>
          <w:bCs/>
          <w:u w:val="single"/>
          <w:lang w:eastAsia="es-ES" w:bidi="es-ES"/>
        </w:rPr>
      </w:pPr>
      <w:r w:rsidRPr="00B23CC5">
        <w:rPr>
          <w:rFonts w:ascii="Mulish" w:eastAsia="Mulish" w:hAnsi="Mulish" w:cs="Mulish"/>
          <w:b/>
          <w:bCs/>
          <w:u w:val="single"/>
          <w:lang w:eastAsia="es-ES" w:bidi="es-ES"/>
        </w:rPr>
        <w:t xml:space="preserve">Reclamaciones resueltas </w:t>
      </w:r>
    </w:p>
    <w:p w14:paraId="2AA4323C" w14:textId="77777777" w:rsidR="00E06776" w:rsidRPr="00ED25BC" w:rsidRDefault="00E06776" w:rsidP="00ED25BC">
      <w:pPr>
        <w:spacing w:after="0"/>
        <w:ind w:left="284"/>
        <w:jc w:val="both"/>
        <w:rPr>
          <w:rFonts w:ascii="Mulish" w:eastAsia="Mulish" w:hAnsi="Mulish" w:cs="Mulish"/>
          <w:lang w:eastAsia="es-ES" w:bidi="es-ES"/>
        </w:rPr>
      </w:pPr>
    </w:p>
    <w:p w14:paraId="6C2B87B3" w14:textId="2EEACC2A" w:rsidR="00AA7167" w:rsidRPr="00ED25BC" w:rsidRDefault="00E06776" w:rsidP="00ED25BC">
      <w:pPr>
        <w:spacing w:after="0"/>
        <w:ind w:left="284"/>
        <w:jc w:val="both"/>
        <w:rPr>
          <w:rFonts w:ascii="Mulish" w:eastAsia="Mulish" w:hAnsi="Mulish" w:cs="Mulish"/>
          <w:lang w:eastAsia="es-ES" w:bidi="es-ES"/>
        </w:rPr>
      </w:pPr>
      <w:r w:rsidRPr="00ED25BC">
        <w:rPr>
          <w:rFonts w:ascii="Mulish" w:eastAsia="Mulish" w:hAnsi="Mulish" w:cs="Mulish"/>
          <w:lang w:eastAsia="es-ES" w:bidi="es-ES"/>
        </w:rPr>
        <w:t>En cuanto al número de expedientes resueltos, e</w:t>
      </w:r>
      <w:r w:rsidR="00AA7167" w:rsidRPr="00ED25BC">
        <w:rPr>
          <w:rFonts w:ascii="Mulish" w:eastAsia="Mulish" w:hAnsi="Mulish" w:cs="Mulish"/>
          <w:lang w:eastAsia="es-ES" w:bidi="es-ES"/>
        </w:rPr>
        <w:t>n 2023, el Consejo resolvió 2.259 reclamaciones</w:t>
      </w:r>
      <w:r w:rsidR="000E50C4" w:rsidRPr="00ED25BC">
        <w:rPr>
          <w:rFonts w:ascii="Mulish" w:eastAsia="Mulish" w:hAnsi="Mulish" w:cs="Mulish"/>
          <w:lang w:eastAsia="es-ES" w:bidi="es-ES"/>
        </w:rPr>
        <w:t xml:space="preserve">, lo que supone un </w:t>
      </w:r>
      <w:r w:rsidR="0090740F" w:rsidRPr="00ED25BC">
        <w:rPr>
          <w:rFonts w:ascii="Mulish" w:eastAsia="Mulish" w:hAnsi="Mulish" w:cs="Mulish"/>
          <w:lang w:eastAsia="es-ES" w:bidi="es-ES"/>
        </w:rPr>
        <w:t>36,7</w:t>
      </w:r>
      <w:r w:rsidR="000E50C4" w:rsidRPr="00ED25BC">
        <w:rPr>
          <w:rFonts w:ascii="Mulish" w:eastAsia="Mulish" w:hAnsi="Mulish" w:cs="Mulish"/>
          <w:lang w:eastAsia="es-ES" w:bidi="es-ES"/>
        </w:rPr>
        <w:t xml:space="preserve">% más de expedientes resueltos que en el 2022. </w:t>
      </w:r>
    </w:p>
    <w:p w14:paraId="64C20016" w14:textId="2274AA15" w:rsidR="000E50C4" w:rsidRPr="00ED25BC" w:rsidRDefault="000E50C4" w:rsidP="0093132C">
      <w:pPr>
        <w:spacing w:after="0"/>
        <w:jc w:val="both"/>
        <w:rPr>
          <w:rFonts w:ascii="Mulish" w:eastAsia="Mulish" w:hAnsi="Mulish" w:cs="Mulish"/>
          <w:lang w:eastAsia="es-ES" w:bidi="es-ES"/>
        </w:rPr>
      </w:pPr>
    </w:p>
    <w:p w14:paraId="2018C68A" w14:textId="6FFC8A15" w:rsidR="003A47B6" w:rsidRPr="00ED25BC" w:rsidRDefault="004562CA" w:rsidP="00DB785C">
      <w:pPr>
        <w:pStyle w:val="Prrafodelista"/>
        <w:numPr>
          <w:ilvl w:val="0"/>
          <w:numId w:val="5"/>
        </w:numPr>
        <w:spacing w:after="0"/>
        <w:jc w:val="both"/>
        <w:rPr>
          <w:rFonts w:ascii="Mulish" w:eastAsia="Mulish" w:hAnsi="Mulish" w:cs="Mulish"/>
          <w:b/>
          <w:bCs/>
          <w:lang w:eastAsia="es-ES" w:bidi="es-ES"/>
        </w:rPr>
      </w:pPr>
      <w:r w:rsidRPr="00ED25BC">
        <w:rPr>
          <w:rFonts w:ascii="Mulish" w:eastAsia="Mulish" w:hAnsi="Mulish" w:cs="Mulish"/>
          <w:b/>
          <w:bCs/>
          <w:lang w:eastAsia="es-ES" w:bidi="es-ES"/>
        </w:rPr>
        <w:t>De á</w:t>
      </w:r>
      <w:r w:rsidR="003A47B6" w:rsidRPr="00ED25BC">
        <w:rPr>
          <w:rFonts w:ascii="Mulish" w:eastAsia="Mulish" w:hAnsi="Mulish" w:cs="Mulish"/>
          <w:b/>
          <w:bCs/>
          <w:lang w:eastAsia="es-ES" w:bidi="es-ES"/>
        </w:rPr>
        <w:t xml:space="preserve">mbito estatal </w:t>
      </w:r>
    </w:p>
    <w:p w14:paraId="62814350" w14:textId="77777777" w:rsidR="003A47B6" w:rsidRPr="00E06776" w:rsidRDefault="003A47B6" w:rsidP="0093132C">
      <w:pPr>
        <w:spacing w:after="0"/>
        <w:jc w:val="both"/>
        <w:rPr>
          <w:rFonts w:ascii="Mulish" w:eastAsia="Mulish" w:hAnsi="Mulish" w:cs="Mulish"/>
          <w:color w:val="FF0000"/>
          <w:lang w:eastAsia="es-ES" w:bidi="es-ES"/>
        </w:rPr>
      </w:pPr>
    </w:p>
    <w:p w14:paraId="3C139310" w14:textId="04A9D30F" w:rsidR="003A47B6" w:rsidRDefault="000E50C4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 xml:space="preserve">De </w:t>
      </w:r>
      <w:r w:rsidR="00E534D8" w:rsidRPr="009A3451">
        <w:rPr>
          <w:rFonts w:ascii="Mulish" w:eastAsia="Mulish" w:hAnsi="Mulish" w:cs="Mulish"/>
          <w:lang w:eastAsia="es-ES" w:bidi="es-ES"/>
        </w:rPr>
        <w:t>los 2.259 expedientes resueltos</w:t>
      </w:r>
      <w:r w:rsidR="003A47B6">
        <w:rPr>
          <w:rFonts w:ascii="Mulish" w:eastAsia="Mulish" w:hAnsi="Mulish" w:cs="Mulish"/>
          <w:lang w:eastAsia="es-ES" w:bidi="es-ES"/>
        </w:rPr>
        <w:t xml:space="preserve"> por el Consejo en 2023</w:t>
      </w:r>
      <w:r w:rsidR="00E534D8" w:rsidRPr="009A3451">
        <w:rPr>
          <w:rFonts w:ascii="Mulish" w:eastAsia="Mulish" w:hAnsi="Mulish" w:cs="Mulish"/>
          <w:lang w:eastAsia="es-ES" w:bidi="es-ES"/>
        </w:rPr>
        <w:t xml:space="preserve">, </w:t>
      </w:r>
      <w:r w:rsidR="0090740F" w:rsidRPr="009A3451">
        <w:rPr>
          <w:rFonts w:ascii="Mulish" w:eastAsia="Mulish" w:hAnsi="Mulish" w:cs="Mulish"/>
          <w:lang w:eastAsia="es-ES" w:bidi="es-ES"/>
        </w:rPr>
        <w:t>1.169</w:t>
      </w:r>
      <w:r w:rsidR="00201626" w:rsidRPr="009A3451">
        <w:rPr>
          <w:rFonts w:ascii="Mulish" w:eastAsia="Mulish" w:hAnsi="Mulish" w:cs="Mulish"/>
          <w:lang w:eastAsia="es-ES" w:bidi="es-ES"/>
        </w:rPr>
        <w:t xml:space="preserve"> </w:t>
      </w:r>
      <w:r w:rsidRPr="009A3451">
        <w:rPr>
          <w:rFonts w:ascii="Mulish" w:eastAsia="Mulish" w:hAnsi="Mulish" w:cs="Mulish"/>
          <w:lang w:eastAsia="es-ES" w:bidi="es-ES"/>
        </w:rPr>
        <w:t xml:space="preserve">se </w:t>
      </w:r>
      <w:r w:rsidR="00FF13BF" w:rsidRPr="009A3451">
        <w:rPr>
          <w:rFonts w:ascii="Mulish" w:eastAsia="Mulish" w:hAnsi="Mulish" w:cs="Mulish"/>
          <w:lang w:eastAsia="es-ES" w:bidi="es-ES"/>
        </w:rPr>
        <w:t>refieren</w:t>
      </w:r>
      <w:r w:rsidRPr="009A3451">
        <w:rPr>
          <w:rFonts w:ascii="Mulish" w:eastAsia="Mulish" w:hAnsi="Mulish" w:cs="Mulish"/>
          <w:lang w:eastAsia="es-ES" w:bidi="es-ES"/>
        </w:rPr>
        <w:t xml:space="preserve"> a información en poder de la Administración General del Estado y su sector público</w:t>
      </w:r>
      <w:r w:rsidR="00430FF2" w:rsidRPr="009A3451">
        <w:rPr>
          <w:rFonts w:ascii="Mulish" w:eastAsia="Mulish" w:hAnsi="Mulish" w:cs="Mulish"/>
          <w:lang w:eastAsia="es-ES" w:bidi="es-ES"/>
        </w:rPr>
        <w:t xml:space="preserve">, lo que supone un incremento del </w:t>
      </w:r>
      <w:r w:rsidR="0090740F" w:rsidRPr="009A3451">
        <w:rPr>
          <w:rFonts w:ascii="Mulish" w:eastAsia="Mulish" w:hAnsi="Mulish" w:cs="Mulish"/>
          <w:lang w:eastAsia="es-ES" w:bidi="es-ES"/>
        </w:rPr>
        <w:t>17,2</w:t>
      </w:r>
      <w:r w:rsidR="00430FF2" w:rsidRPr="009A3451">
        <w:rPr>
          <w:rFonts w:ascii="Mulish" w:eastAsia="Mulish" w:hAnsi="Mulish" w:cs="Mulish"/>
          <w:lang w:eastAsia="es-ES" w:bidi="es-ES"/>
        </w:rPr>
        <w:t>% respecto a los resueltos en 2022</w:t>
      </w:r>
      <w:r w:rsidRPr="009A3451">
        <w:rPr>
          <w:rFonts w:ascii="Mulish" w:eastAsia="Mulish" w:hAnsi="Mulish" w:cs="Mulish"/>
          <w:lang w:eastAsia="es-ES" w:bidi="es-ES"/>
        </w:rPr>
        <w:t xml:space="preserve">. </w:t>
      </w:r>
    </w:p>
    <w:p w14:paraId="7BF288BD" w14:textId="77777777" w:rsidR="003A47B6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2D069AE3" w14:textId="5AC9F709" w:rsidR="003A47B6" w:rsidRPr="009A3451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 xml:space="preserve">La memoria 2023 pone de relieve que </w:t>
      </w:r>
      <w:r w:rsidRPr="003A47B6">
        <w:rPr>
          <w:rFonts w:ascii="Mulish" w:eastAsia="Mulish" w:hAnsi="Mulish" w:cs="Mulish"/>
          <w:b/>
          <w:bCs/>
          <w:lang w:eastAsia="es-ES" w:bidi="es-ES"/>
        </w:rPr>
        <w:t>un alto porcentaje de las reclamaciones se siguen presentando por</w:t>
      </w:r>
      <w:r w:rsidRPr="009A3451">
        <w:rPr>
          <w:rFonts w:ascii="Mulish" w:eastAsia="Mulish" w:hAnsi="Mulish" w:cs="Mulish"/>
          <w:lang w:eastAsia="es-ES" w:bidi="es-ES"/>
        </w:rPr>
        <w:t xml:space="preserve"> desestimación presunta de la solicitud de información por </w:t>
      </w:r>
      <w:r w:rsidRPr="003A47B6">
        <w:rPr>
          <w:rFonts w:ascii="Mulish" w:eastAsia="Mulish" w:hAnsi="Mulish" w:cs="Mulish"/>
          <w:b/>
          <w:bCs/>
          <w:lang w:eastAsia="es-ES" w:bidi="es-ES"/>
        </w:rPr>
        <w:t>silencio administrativo</w:t>
      </w:r>
      <w:r w:rsidRPr="009A3451">
        <w:rPr>
          <w:rFonts w:ascii="Mulish" w:eastAsia="Mulish" w:hAnsi="Mulish" w:cs="Mulish"/>
          <w:lang w:eastAsia="es-ES" w:bidi="es-ES"/>
        </w:rPr>
        <w:t xml:space="preserve">, al no haber respondido la administración o entidad del sector público a la solicitud en plazo. </w:t>
      </w:r>
      <w:r>
        <w:rPr>
          <w:rFonts w:ascii="Mulish" w:eastAsia="Mulish" w:hAnsi="Mulish" w:cs="Mulish"/>
          <w:lang w:eastAsia="es-ES" w:bidi="es-ES"/>
        </w:rPr>
        <w:t>U</w:t>
      </w:r>
      <w:r w:rsidRPr="009A3451">
        <w:rPr>
          <w:rFonts w:ascii="Mulish" w:eastAsia="Mulish" w:hAnsi="Mulish" w:cs="Mulish"/>
          <w:lang w:eastAsia="es-ES" w:bidi="es-ES"/>
        </w:rPr>
        <w:t xml:space="preserve">n tercio (un 33,7%) de los expedientes resueltos por el Consejo en 2023 </w:t>
      </w:r>
      <w:r>
        <w:rPr>
          <w:rFonts w:ascii="Mulish" w:eastAsia="Mulish" w:hAnsi="Mulish" w:cs="Mulish"/>
          <w:lang w:eastAsia="es-ES" w:bidi="es-ES"/>
        </w:rPr>
        <w:t xml:space="preserve">en el ámbito estatal </w:t>
      </w:r>
      <w:r w:rsidRPr="009A3451">
        <w:rPr>
          <w:rFonts w:ascii="Mulish" w:eastAsia="Mulish" w:hAnsi="Mulish" w:cs="Mulish"/>
          <w:lang w:eastAsia="es-ES" w:bidi="es-ES"/>
        </w:rPr>
        <w:t xml:space="preserve">se </w:t>
      </w:r>
      <w:r w:rsidR="00B23CC5">
        <w:rPr>
          <w:rFonts w:ascii="Mulish" w:eastAsia="Mulish" w:hAnsi="Mulish" w:cs="Mulish"/>
          <w:lang w:eastAsia="es-ES" w:bidi="es-ES"/>
        </w:rPr>
        <w:t>habían presentado</w:t>
      </w:r>
      <w:r w:rsidRPr="009A3451">
        <w:rPr>
          <w:rFonts w:ascii="Mulish" w:eastAsia="Mulish" w:hAnsi="Mulish" w:cs="Mulish"/>
          <w:lang w:eastAsia="es-ES" w:bidi="es-ES"/>
        </w:rPr>
        <w:t xml:space="preserve"> por este motivo</w:t>
      </w:r>
      <w:r>
        <w:rPr>
          <w:rFonts w:ascii="Mulish" w:eastAsia="Mulish" w:hAnsi="Mulish" w:cs="Mulish"/>
          <w:lang w:eastAsia="es-ES" w:bidi="es-ES"/>
        </w:rPr>
        <w:t xml:space="preserve">. </w:t>
      </w:r>
    </w:p>
    <w:p w14:paraId="7170BA7F" w14:textId="77777777" w:rsidR="003A47B6" w:rsidRPr="009A3451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251D6BB5" w14:textId="12D223A8" w:rsidR="003A47B6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>En cuanto al resultado, se admitieron a trámite el 94,9% de las reclamaciones, de las que casi dos tercios (el 63,4%) fueron estimadas (total, parcialmente o por motivos formales</w:t>
      </w:r>
      <w:r w:rsidR="00B23CC5">
        <w:rPr>
          <w:rStyle w:val="Refdenotaalpie"/>
          <w:rFonts w:ascii="Mulish" w:eastAsia="Mulish" w:hAnsi="Mulish" w:cs="Mulish"/>
          <w:lang w:eastAsia="es-ES" w:bidi="es-ES"/>
        </w:rPr>
        <w:footnoteReference w:id="1"/>
      </w:r>
      <w:r w:rsidR="00B23CC5">
        <w:rPr>
          <w:rFonts w:ascii="Mulish" w:eastAsia="Mulish" w:hAnsi="Mulish" w:cs="Mulish"/>
          <w:lang w:eastAsia="es-ES" w:bidi="es-ES"/>
        </w:rPr>
        <w:t>)</w:t>
      </w:r>
      <w:r w:rsidRPr="009A3451">
        <w:rPr>
          <w:rFonts w:ascii="Mulish" w:eastAsia="Mulish" w:hAnsi="Mulish" w:cs="Mulish"/>
          <w:lang w:eastAsia="es-ES" w:bidi="es-ES"/>
        </w:rPr>
        <w:t xml:space="preserve">, resolviendo el Consejo de Transparencia que </w:t>
      </w:r>
      <w:r w:rsidR="00B23CC5">
        <w:rPr>
          <w:rFonts w:ascii="Mulish" w:eastAsia="Mulish" w:hAnsi="Mulish" w:cs="Mulish"/>
          <w:lang w:eastAsia="es-ES" w:bidi="es-ES"/>
        </w:rPr>
        <w:t>la administración debía</w:t>
      </w:r>
      <w:r w:rsidRPr="009A3451">
        <w:rPr>
          <w:rFonts w:ascii="Mulish" w:eastAsia="Mulish" w:hAnsi="Mulish" w:cs="Mulish"/>
          <w:lang w:eastAsia="es-ES" w:bidi="es-ES"/>
        </w:rPr>
        <w:t xml:space="preserve"> entregar la totalidad o parte de la información. </w:t>
      </w:r>
      <w:r>
        <w:rPr>
          <w:rFonts w:ascii="Mulish" w:eastAsia="Mulish" w:hAnsi="Mulish" w:cs="Mulish"/>
          <w:lang w:eastAsia="es-ES" w:bidi="es-ES"/>
        </w:rPr>
        <w:t xml:space="preserve"> </w:t>
      </w:r>
    </w:p>
    <w:p w14:paraId="139B2BBD" w14:textId="77777777" w:rsidR="003A47B6" w:rsidRDefault="003A47B6" w:rsidP="00B23CC5">
      <w:pPr>
        <w:spacing w:after="0"/>
        <w:jc w:val="both"/>
        <w:rPr>
          <w:rFonts w:ascii="Mulish" w:eastAsia="Mulish" w:hAnsi="Mulish" w:cs="Mulish"/>
          <w:lang w:eastAsia="es-ES" w:bidi="es-ES"/>
        </w:rPr>
      </w:pPr>
    </w:p>
    <w:p w14:paraId="48ABF1FD" w14:textId="3286643D" w:rsidR="003A47B6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>
        <w:rPr>
          <w:rFonts w:ascii="Mulish" w:eastAsia="Mulish" w:hAnsi="Mulish" w:cs="Mulish"/>
          <w:lang w:eastAsia="es-ES" w:bidi="es-ES"/>
        </w:rPr>
        <w:t>El</w:t>
      </w:r>
      <w:r w:rsidRPr="009A3451">
        <w:rPr>
          <w:rFonts w:ascii="Mulish" w:eastAsia="Mulish" w:hAnsi="Mulish" w:cs="Mulish"/>
          <w:lang w:eastAsia="es-ES" w:bidi="es-ES"/>
        </w:rPr>
        <w:t xml:space="preserve"> Ministerio del Interior fue el destinatario del mayor número de las reclamaciones resueltas por el Consejo (214, un 18,5 % del total), seguido del Ministerio de Hacienda y </w:t>
      </w:r>
      <w:r w:rsidRPr="009A3451">
        <w:rPr>
          <w:rFonts w:ascii="Mulish" w:eastAsia="Mulish" w:hAnsi="Mulish" w:cs="Mulish"/>
          <w:lang w:eastAsia="es-ES" w:bidi="es-ES"/>
        </w:rPr>
        <w:lastRenderedPageBreak/>
        <w:t>Función Pública (con 75 reclamaciones, el 6,5 % del total) y los Ministerios de Justicia y de Transición Ecológica y Reto Demográfico (con 52 reclamaciones cada uno, el 4,5 % del total).</w:t>
      </w:r>
    </w:p>
    <w:p w14:paraId="1F8260F1" w14:textId="77777777" w:rsidR="003A47B6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35363A40" w14:textId="2A066A6C" w:rsidR="003A47B6" w:rsidRPr="00ED25BC" w:rsidRDefault="004562CA" w:rsidP="00DB785C">
      <w:pPr>
        <w:pStyle w:val="Prrafodelista"/>
        <w:numPr>
          <w:ilvl w:val="0"/>
          <w:numId w:val="5"/>
        </w:numPr>
        <w:spacing w:after="0"/>
        <w:jc w:val="both"/>
        <w:rPr>
          <w:rFonts w:ascii="Mulish" w:eastAsia="Mulish" w:hAnsi="Mulish" w:cs="Mulish"/>
          <w:b/>
          <w:bCs/>
          <w:lang w:eastAsia="es-ES" w:bidi="es-ES"/>
        </w:rPr>
      </w:pPr>
      <w:r w:rsidRPr="00ED25BC">
        <w:rPr>
          <w:rFonts w:ascii="Mulish" w:eastAsia="Mulish" w:hAnsi="Mulish" w:cs="Mulish"/>
          <w:b/>
          <w:bCs/>
          <w:lang w:eastAsia="es-ES" w:bidi="es-ES"/>
        </w:rPr>
        <w:t>De á</w:t>
      </w:r>
      <w:r w:rsidR="003A47B6" w:rsidRPr="00ED25BC">
        <w:rPr>
          <w:rFonts w:ascii="Mulish" w:eastAsia="Mulish" w:hAnsi="Mulish" w:cs="Mulish"/>
          <w:b/>
          <w:bCs/>
          <w:lang w:eastAsia="es-ES" w:bidi="es-ES"/>
        </w:rPr>
        <w:t xml:space="preserve">mbito autonómico y local  </w:t>
      </w:r>
    </w:p>
    <w:p w14:paraId="5DCA4BA4" w14:textId="77777777" w:rsidR="003A47B6" w:rsidRDefault="003A47B6" w:rsidP="003A47B6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209D6F0F" w14:textId="2B1DEF94" w:rsidR="003A47B6" w:rsidRPr="009A3451" w:rsidRDefault="00E534D8" w:rsidP="00D35623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>E</w:t>
      </w:r>
      <w:r w:rsidR="00B23CC5">
        <w:rPr>
          <w:rFonts w:ascii="Mulish" w:eastAsia="Mulish" w:hAnsi="Mulish" w:cs="Mulish"/>
          <w:lang w:eastAsia="es-ES" w:bidi="es-ES"/>
        </w:rPr>
        <w:t>n 2023 e</w:t>
      </w:r>
      <w:r w:rsidRPr="009A3451">
        <w:rPr>
          <w:rFonts w:ascii="Mulish" w:eastAsia="Mulish" w:hAnsi="Mulish" w:cs="Mulish"/>
          <w:lang w:eastAsia="es-ES" w:bidi="es-ES"/>
        </w:rPr>
        <w:t xml:space="preserve">l </w:t>
      </w:r>
      <w:r w:rsidR="003A47B6">
        <w:rPr>
          <w:rFonts w:ascii="Mulish" w:eastAsia="Mulish" w:hAnsi="Mulish" w:cs="Mulish"/>
          <w:lang w:eastAsia="es-ES" w:bidi="es-ES"/>
        </w:rPr>
        <w:t>Consejo resolvió 1</w:t>
      </w:r>
      <w:r w:rsidR="0090740F" w:rsidRPr="009A3451">
        <w:rPr>
          <w:rFonts w:ascii="Mulish" w:eastAsia="Mulish" w:hAnsi="Mulish" w:cs="Mulish"/>
          <w:lang w:eastAsia="es-ES" w:bidi="es-ES"/>
        </w:rPr>
        <w:t>.090</w:t>
      </w:r>
      <w:r w:rsidR="003A47B6">
        <w:rPr>
          <w:rFonts w:ascii="Mulish" w:eastAsia="Mulish" w:hAnsi="Mulish" w:cs="Mulish"/>
          <w:lang w:eastAsia="es-ES" w:bidi="es-ES"/>
        </w:rPr>
        <w:t xml:space="preserve"> </w:t>
      </w:r>
      <w:r w:rsidR="00714265" w:rsidRPr="009A3451">
        <w:rPr>
          <w:rFonts w:ascii="Mulish" w:eastAsia="Mulish" w:hAnsi="Mulish" w:cs="Mulish"/>
          <w:lang w:eastAsia="es-ES" w:bidi="es-ES"/>
        </w:rPr>
        <w:t>reclamaciones</w:t>
      </w:r>
      <w:r w:rsidR="000E50C4" w:rsidRPr="009A3451">
        <w:rPr>
          <w:rFonts w:ascii="Mulish" w:eastAsia="Mulish" w:hAnsi="Mulish" w:cs="Mulish"/>
          <w:lang w:eastAsia="es-ES" w:bidi="es-ES"/>
        </w:rPr>
        <w:t xml:space="preserve"> </w:t>
      </w:r>
      <w:r w:rsidR="003A47B6">
        <w:rPr>
          <w:rFonts w:ascii="Mulish" w:eastAsia="Mulish" w:hAnsi="Mulish" w:cs="Mulish"/>
          <w:lang w:eastAsia="es-ES" w:bidi="es-ES"/>
        </w:rPr>
        <w:t>sobre</w:t>
      </w:r>
      <w:r w:rsidR="000E50C4" w:rsidRPr="009A3451">
        <w:rPr>
          <w:rFonts w:ascii="Mulish" w:eastAsia="Mulish" w:hAnsi="Mulish" w:cs="Mulish"/>
          <w:lang w:eastAsia="es-ES" w:bidi="es-ES"/>
        </w:rPr>
        <w:t xml:space="preserve"> información en poder de las administraciones autonómicas</w:t>
      </w:r>
      <w:r w:rsidR="003A47B6">
        <w:rPr>
          <w:rFonts w:ascii="Mulish" w:eastAsia="Mulish" w:hAnsi="Mulish" w:cs="Mulish"/>
          <w:lang w:eastAsia="es-ES" w:bidi="es-ES"/>
        </w:rPr>
        <w:t xml:space="preserve"> y las </w:t>
      </w:r>
      <w:r w:rsidR="000E50C4" w:rsidRPr="009A3451">
        <w:rPr>
          <w:rFonts w:ascii="Mulish" w:eastAsia="Mulish" w:hAnsi="Mulish" w:cs="Mulish"/>
          <w:lang w:eastAsia="es-ES" w:bidi="es-ES"/>
        </w:rPr>
        <w:t>entidades locales</w:t>
      </w:r>
      <w:r w:rsidR="003A47B6">
        <w:rPr>
          <w:rFonts w:ascii="Mulish" w:eastAsia="Mulish" w:hAnsi="Mulish" w:cs="Mulish"/>
          <w:lang w:eastAsia="es-ES" w:bidi="es-ES"/>
        </w:rPr>
        <w:t xml:space="preserve"> de las CC.AA. con las que tiene convenio</w:t>
      </w:r>
      <w:r w:rsidR="00E06776">
        <w:rPr>
          <w:rFonts w:ascii="Mulish" w:eastAsia="Mulish" w:hAnsi="Mulish" w:cs="Mulish"/>
          <w:lang w:eastAsia="es-ES" w:bidi="es-ES"/>
        </w:rPr>
        <w:t>.</w:t>
      </w:r>
      <w:r w:rsidR="000E50C4" w:rsidRPr="009A3451">
        <w:rPr>
          <w:rFonts w:ascii="Mulish" w:eastAsia="Mulish" w:hAnsi="Mulish" w:cs="Mulish"/>
          <w:lang w:eastAsia="es-ES" w:bidi="es-ES"/>
        </w:rPr>
        <w:t xml:space="preserve"> </w:t>
      </w:r>
      <w:r w:rsidR="00430FF2" w:rsidRPr="009A3451">
        <w:rPr>
          <w:rFonts w:ascii="Mulish" w:eastAsia="Mulish" w:hAnsi="Mulish" w:cs="Mulish"/>
          <w:lang w:eastAsia="es-ES" w:bidi="es-ES"/>
        </w:rPr>
        <w:t>Esto supone que</w:t>
      </w:r>
      <w:r w:rsidR="00FF13BF" w:rsidRPr="009A3451">
        <w:rPr>
          <w:rFonts w:ascii="Mulish" w:eastAsia="Mulish" w:hAnsi="Mulish" w:cs="Mulish"/>
          <w:lang w:eastAsia="es-ES" w:bidi="es-ES"/>
        </w:rPr>
        <w:t xml:space="preserve"> el Consejo</w:t>
      </w:r>
      <w:r w:rsidR="00430FF2" w:rsidRPr="009A3451">
        <w:rPr>
          <w:rFonts w:ascii="Mulish" w:eastAsia="Mulish" w:hAnsi="Mulish" w:cs="Mulish"/>
          <w:lang w:eastAsia="es-ES" w:bidi="es-ES"/>
        </w:rPr>
        <w:t xml:space="preserve"> resolv</w:t>
      </w:r>
      <w:r w:rsidR="004E0069" w:rsidRPr="009A3451">
        <w:rPr>
          <w:rFonts w:ascii="Mulish" w:eastAsia="Mulish" w:hAnsi="Mulish" w:cs="Mulish"/>
          <w:lang w:eastAsia="es-ES" w:bidi="es-ES"/>
        </w:rPr>
        <w:t>ió</w:t>
      </w:r>
      <w:r w:rsidR="00430FF2" w:rsidRPr="009A3451">
        <w:rPr>
          <w:rFonts w:ascii="Mulish" w:eastAsia="Mulish" w:hAnsi="Mulish" w:cs="Mulish"/>
          <w:lang w:eastAsia="es-ES" w:bidi="es-ES"/>
        </w:rPr>
        <w:t xml:space="preserve"> </w:t>
      </w:r>
      <w:r w:rsidR="004E0069" w:rsidRPr="009A3451">
        <w:rPr>
          <w:rFonts w:ascii="Mulish" w:eastAsia="Mulish" w:hAnsi="Mulish" w:cs="Mulish"/>
          <w:lang w:eastAsia="es-ES" w:bidi="es-ES"/>
        </w:rPr>
        <w:t>un 66,4</w:t>
      </w:r>
      <w:r w:rsidR="00430FF2" w:rsidRPr="009A3451">
        <w:rPr>
          <w:rFonts w:ascii="Mulish" w:eastAsia="Mulish" w:hAnsi="Mulish" w:cs="Mulish"/>
          <w:lang w:eastAsia="es-ES" w:bidi="es-ES"/>
        </w:rPr>
        <w:t xml:space="preserve">% más </w:t>
      </w:r>
      <w:r w:rsidR="004E0069" w:rsidRPr="009A3451">
        <w:rPr>
          <w:rFonts w:ascii="Mulish" w:eastAsia="Mulish" w:hAnsi="Mulish" w:cs="Mulish"/>
          <w:lang w:eastAsia="es-ES" w:bidi="es-ES"/>
        </w:rPr>
        <w:t xml:space="preserve">de </w:t>
      </w:r>
      <w:r w:rsidR="00430FF2" w:rsidRPr="009A3451">
        <w:rPr>
          <w:rFonts w:ascii="Mulish" w:eastAsia="Mulish" w:hAnsi="Mulish" w:cs="Mulish"/>
          <w:lang w:eastAsia="es-ES" w:bidi="es-ES"/>
        </w:rPr>
        <w:t xml:space="preserve">reclamaciones de ámbito autonómico y local que en 2022. </w:t>
      </w:r>
      <w:r w:rsidR="003A47B6">
        <w:rPr>
          <w:rFonts w:ascii="Mulish" w:eastAsia="Mulish" w:hAnsi="Mulish" w:cs="Mulish"/>
          <w:lang w:eastAsia="es-ES" w:bidi="es-ES"/>
        </w:rPr>
        <w:t xml:space="preserve">Es destacable que un 85,4% de ellas se habían presentado </w:t>
      </w:r>
      <w:r w:rsidR="00D93854">
        <w:rPr>
          <w:rFonts w:ascii="Mulish" w:eastAsia="Mulish" w:hAnsi="Mulish" w:cs="Mulish"/>
          <w:lang w:eastAsia="es-ES" w:bidi="es-ES"/>
        </w:rPr>
        <w:t xml:space="preserve">ante el Consejo </w:t>
      </w:r>
      <w:r w:rsidR="003A47B6">
        <w:rPr>
          <w:rFonts w:ascii="Mulish" w:eastAsia="Mulish" w:hAnsi="Mulish" w:cs="Mulish"/>
          <w:lang w:eastAsia="es-ES" w:bidi="es-ES"/>
        </w:rPr>
        <w:t>por silencio administrativo</w:t>
      </w:r>
      <w:r w:rsidR="00D93854">
        <w:rPr>
          <w:rFonts w:ascii="Mulish" w:eastAsia="Mulish" w:hAnsi="Mulish" w:cs="Mulish"/>
          <w:lang w:eastAsia="es-ES" w:bidi="es-ES"/>
        </w:rPr>
        <w:t xml:space="preserve">. </w:t>
      </w:r>
    </w:p>
    <w:p w14:paraId="30329C01" w14:textId="52BA6731" w:rsidR="000E50C4" w:rsidRPr="009A3451" w:rsidRDefault="000E50C4" w:rsidP="00D35623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3010C00B" w14:textId="42893B60" w:rsidR="00430FF2" w:rsidRPr="009A3451" w:rsidRDefault="00430FF2" w:rsidP="00D35623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 xml:space="preserve">En 2023 el CTBG </w:t>
      </w:r>
      <w:r w:rsidR="00FF13BF" w:rsidRPr="009A3451">
        <w:rPr>
          <w:rFonts w:ascii="Mulish" w:eastAsia="Mulish" w:hAnsi="Mulish" w:cs="Mulish"/>
          <w:lang w:eastAsia="es-ES" w:bidi="es-ES"/>
        </w:rPr>
        <w:t>estaba facultado mediante convenio para resolver</w:t>
      </w:r>
      <w:r w:rsidRPr="009A3451">
        <w:rPr>
          <w:rFonts w:ascii="Mulish" w:eastAsia="Mulish" w:hAnsi="Mulish" w:cs="Mulish"/>
          <w:lang w:eastAsia="es-ES" w:bidi="es-ES"/>
        </w:rPr>
        <w:t xml:space="preserve"> las reclamaciones de las siguientes comunidades y ciudades autónomas: Asturias, Cantabria, </w:t>
      </w:r>
      <w:r w:rsidR="006F454E">
        <w:rPr>
          <w:rFonts w:ascii="Mulish" w:eastAsia="Mulish" w:hAnsi="Mulish" w:cs="Mulish"/>
          <w:lang w:eastAsia="es-ES" w:bidi="es-ES"/>
        </w:rPr>
        <w:t>Castilla-La Mancha</w:t>
      </w:r>
      <w:r w:rsidR="00B23CC5">
        <w:rPr>
          <w:rStyle w:val="Refdenotaalpie"/>
          <w:rFonts w:ascii="Mulish" w:eastAsia="Mulish" w:hAnsi="Mulish" w:cs="Mulish"/>
          <w:lang w:eastAsia="es-ES" w:bidi="es-ES"/>
        </w:rPr>
        <w:footnoteReference w:id="2"/>
      </w:r>
      <w:r w:rsidR="006F454E">
        <w:rPr>
          <w:rFonts w:ascii="Mulish" w:eastAsia="Mulish" w:hAnsi="Mulish" w:cs="Mulish"/>
          <w:lang w:eastAsia="es-ES" w:bidi="es-ES"/>
        </w:rPr>
        <w:t xml:space="preserve">, </w:t>
      </w:r>
      <w:r w:rsidRPr="009A3451">
        <w:rPr>
          <w:rFonts w:ascii="Mulish" w:eastAsia="Mulish" w:hAnsi="Mulish" w:cs="Mulish"/>
          <w:lang w:eastAsia="es-ES" w:bidi="es-ES"/>
        </w:rPr>
        <w:t>Ceuta, Extremadura, Illes Balears</w:t>
      </w:r>
      <w:r w:rsidR="006F454E">
        <w:rPr>
          <w:rFonts w:ascii="Mulish" w:eastAsia="Mulish" w:hAnsi="Mulish" w:cs="Mulish"/>
          <w:lang w:eastAsia="es-ES" w:bidi="es-ES"/>
        </w:rPr>
        <w:t>, La Rioja</w:t>
      </w:r>
      <w:r w:rsidRPr="009A3451">
        <w:rPr>
          <w:rFonts w:ascii="Mulish" w:eastAsia="Mulish" w:hAnsi="Mulish" w:cs="Mulish"/>
          <w:lang w:eastAsia="es-ES" w:bidi="es-ES"/>
        </w:rPr>
        <w:t xml:space="preserve"> y Melilla. </w:t>
      </w:r>
    </w:p>
    <w:p w14:paraId="643499EF" w14:textId="5102631B" w:rsidR="00714265" w:rsidRPr="009A3451" w:rsidRDefault="00714265" w:rsidP="00D35623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38B0A772" w14:textId="5D6B20B3" w:rsidR="005F4C91" w:rsidRDefault="005F4C91" w:rsidP="00D35623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 xml:space="preserve">En cuanto al ámbito autonómico y local, la comunidad autónoma de la que proceden el mayor número de reclamaciones resueltas es, como en 2022, Castilla-La Mancha, con 598 (el 54,86 % del total), seguida por Extremadura, con 120 (11,01 % del total) y; en tercer lugar, por Cantabria, con 100 reclamaciones resueltas (un 9,17 %). </w:t>
      </w:r>
    </w:p>
    <w:p w14:paraId="71D25269" w14:textId="77777777" w:rsidR="00ED25BC" w:rsidRPr="00D35623" w:rsidRDefault="00ED25BC" w:rsidP="00D35623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tbl>
      <w:tblPr>
        <w:tblpPr w:leftFromText="141" w:rightFromText="141" w:vertAnchor="text" w:horzAnchor="margin" w:tblpXSpec="center" w:tblpY="148"/>
        <w:tblW w:w="5103" w:type="dxa"/>
        <w:tblBorders>
          <w:top w:val="single" w:sz="4" w:space="0" w:color="00806F" w:themeColor="text2"/>
          <w:left w:val="single" w:sz="4" w:space="0" w:color="00806F" w:themeColor="text2"/>
          <w:bottom w:val="single" w:sz="4" w:space="0" w:color="00806F" w:themeColor="text2"/>
          <w:right w:val="single" w:sz="4" w:space="0" w:color="00806F" w:themeColor="text2"/>
          <w:insideH w:val="single" w:sz="4" w:space="0" w:color="00806F" w:themeColor="text2"/>
          <w:insideV w:val="single" w:sz="4" w:space="0" w:color="00806F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711"/>
      </w:tblGrid>
      <w:tr w:rsidR="00034F82" w:rsidRPr="00034F82" w14:paraId="4E2078C8" w14:textId="77777777" w:rsidTr="004A7B57">
        <w:trPr>
          <w:trHeight w:val="315"/>
        </w:trPr>
        <w:tc>
          <w:tcPr>
            <w:tcW w:w="5103" w:type="dxa"/>
            <w:gridSpan w:val="2"/>
            <w:shd w:val="clear" w:color="auto" w:fill="auto"/>
            <w:vAlign w:val="center"/>
            <w:hideMark/>
          </w:tcPr>
          <w:p w14:paraId="6BC70BE6" w14:textId="77777777" w:rsidR="00034F82" w:rsidRPr="00034F82" w:rsidRDefault="00034F82" w:rsidP="00034F82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Reclamaciones resueltas en 2023 por CC.AA. </w:t>
            </w:r>
          </w:p>
        </w:tc>
      </w:tr>
      <w:tr w:rsidR="00034F82" w:rsidRPr="00034F82" w14:paraId="691666A5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4EC65ECE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ASTURIAS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B2FEFFC" w14:textId="7777777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90</w:t>
            </w:r>
          </w:p>
        </w:tc>
      </w:tr>
      <w:tr w:rsidR="00034F82" w:rsidRPr="00034F82" w14:paraId="04430B2E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1B6CA874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BALEARES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2871BD2" w14:textId="7777777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89</w:t>
            </w:r>
          </w:p>
        </w:tc>
      </w:tr>
      <w:tr w:rsidR="00034F82" w:rsidRPr="00034F82" w14:paraId="7139DDD5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1B10868E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406BAD1" w14:textId="7777777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100</w:t>
            </w:r>
          </w:p>
        </w:tc>
      </w:tr>
      <w:tr w:rsidR="00034F82" w:rsidRPr="00034F82" w14:paraId="44B6E6F4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54002286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439491F" w14:textId="2BD927A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59</w:t>
            </w:r>
            <w:r w:rsidR="00D82B8F" w:rsidRPr="005F050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034F82" w:rsidRPr="00034F82" w14:paraId="3F6CC13B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37C6FD6D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7F50FD1" w14:textId="7777777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034F82" w:rsidRPr="00034F82" w14:paraId="680192B3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4A3DDB63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EXTREMADURA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2162E78" w14:textId="7777777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120</w:t>
            </w:r>
          </w:p>
        </w:tc>
      </w:tr>
      <w:tr w:rsidR="00034F82" w:rsidRPr="00034F82" w14:paraId="738B106F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1F65C674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LA RIOJA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E7B196C" w14:textId="4ADA180A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5</w:t>
            </w:r>
            <w:r w:rsidR="00D82B8F" w:rsidRPr="005F050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034F82" w:rsidRPr="00034F82" w14:paraId="1CCBA512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3902681D" w14:textId="77777777" w:rsidR="00034F82" w:rsidRPr="00034F82" w:rsidRDefault="00034F82" w:rsidP="00034F82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C60E8B1" w14:textId="77777777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</w:tr>
      <w:tr w:rsidR="00034F82" w:rsidRPr="00034F82" w14:paraId="3FF6CBFD" w14:textId="77777777" w:rsidTr="004A7B57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4B88640D" w14:textId="77777777" w:rsidR="00034F82" w:rsidRPr="00034F82" w:rsidRDefault="00034F82" w:rsidP="005F0500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A732F9F" w14:textId="1E3D7B56" w:rsidR="00034F82" w:rsidRPr="00034F82" w:rsidRDefault="00034F82" w:rsidP="00034F82">
            <w:pPr>
              <w:spacing w:after="0" w:line="240" w:lineRule="auto"/>
              <w:jc w:val="right"/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34F82"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5F0500"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034F82">
              <w:rPr>
                <w:rFonts w:ascii="Mulish" w:eastAsia="Times New Roman" w:hAnsi="Mulish" w:cs="Calibri"/>
                <w:b/>
                <w:bCs/>
                <w:color w:val="000000"/>
                <w:sz w:val="20"/>
                <w:szCs w:val="20"/>
                <w:lang w:eastAsia="es-ES"/>
              </w:rPr>
              <w:t>090</w:t>
            </w:r>
          </w:p>
        </w:tc>
      </w:tr>
    </w:tbl>
    <w:p w14:paraId="4A6534CD" w14:textId="4AAF10A6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391E9A41" w14:textId="77777777" w:rsidR="007905BA" w:rsidRDefault="007905BA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C05C8AB" w14:textId="64F0294D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6C6D5F5D" w14:textId="3AF05E4F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325EC95A" w14:textId="795F5490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93C1478" w14:textId="70EA18AE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FC1CA4A" w14:textId="287A551F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782050BD" w14:textId="0AC651A2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753667C6" w14:textId="43381269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9272D2B" w14:textId="4EFCC175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196827D" w14:textId="02A91E82" w:rsidR="00034F82" w:rsidRDefault="00034F82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2D042304" w14:textId="12C0165E" w:rsidR="00D93854" w:rsidRDefault="00D93854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3779C564" w14:textId="465CBC28" w:rsidR="00D93854" w:rsidRDefault="00D93854" w:rsidP="00D93854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  <w:r w:rsidRPr="009A3451">
        <w:rPr>
          <w:rFonts w:ascii="Mulish" w:eastAsia="Mulish" w:hAnsi="Mulish" w:cs="Mulish"/>
          <w:lang w:eastAsia="es-ES" w:bidi="es-ES"/>
        </w:rPr>
        <w:t>En cuanto al resultado,</w:t>
      </w:r>
      <w:r>
        <w:rPr>
          <w:rFonts w:ascii="Mulish" w:eastAsia="Mulish" w:hAnsi="Mulish" w:cs="Mulish"/>
          <w:lang w:eastAsia="es-ES" w:bidi="es-ES"/>
        </w:rPr>
        <w:t xml:space="preserve"> e</w:t>
      </w:r>
      <w:r w:rsidRPr="009A3451">
        <w:rPr>
          <w:rFonts w:ascii="Mulish" w:eastAsia="Mulish" w:hAnsi="Mulish" w:cs="Mulish"/>
          <w:lang w:eastAsia="es-ES" w:bidi="es-ES"/>
        </w:rPr>
        <w:t xml:space="preserve">n el ámbito autonómico y local, los porcentajes presentan unas magnitudes similares a las estatales, puesto que se admitieron a trámite el 95,1% de las reclamaciones, resultando estimadas </w:t>
      </w:r>
      <w:r w:rsidR="00B23CC5">
        <w:rPr>
          <w:rFonts w:ascii="Mulish" w:eastAsia="Mulish" w:hAnsi="Mulish" w:cs="Mulish"/>
          <w:lang w:eastAsia="es-ES" w:bidi="es-ES"/>
        </w:rPr>
        <w:t xml:space="preserve">total, parcialmente o por motivos formales </w:t>
      </w:r>
      <w:r w:rsidRPr="009A3451">
        <w:rPr>
          <w:rFonts w:ascii="Mulish" w:eastAsia="Mulish" w:hAnsi="Mulish" w:cs="Mulish"/>
          <w:lang w:eastAsia="es-ES" w:bidi="es-ES"/>
        </w:rPr>
        <w:t>el 71,5%.</w:t>
      </w:r>
    </w:p>
    <w:p w14:paraId="08C32EB9" w14:textId="42E432DE" w:rsidR="00AB13E9" w:rsidRDefault="00AB13E9" w:rsidP="00D93854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725B4CD0" w14:textId="6EAB1E26" w:rsidR="00AB13E9" w:rsidRDefault="00AB13E9" w:rsidP="00D93854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35B08CEB" w14:textId="511AE99D" w:rsidR="00B23CC5" w:rsidRDefault="00B23CC5" w:rsidP="00D93854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10810880" w14:textId="77777777" w:rsidR="00B23CC5" w:rsidRPr="009A3451" w:rsidRDefault="00B23CC5" w:rsidP="00D93854">
      <w:pPr>
        <w:spacing w:after="0"/>
        <w:ind w:left="567"/>
        <w:jc w:val="both"/>
        <w:rPr>
          <w:rFonts w:ascii="Mulish" w:eastAsia="Mulish" w:hAnsi="Mulish" w:cs="Mulish"/>
          <w:lang w:eastAsia="es-ES" w:bidi="es-ES"/>
        </w:rPr>
      </w:pPr>
    </w:p>
    <w:p w14:paraId="0BA00183" w14:textId="26AB7AF6" w:rsidR="00D242B7" w:rsidRPr="0029425B" w:rsidRDefault="00F11F63" w:rsidP="00AB13E9">
      <w:pPr>
        <w:pStyle w:val="Prrafodelista"/>
        <w:numPr>
          <w:ilvl w:val="0"/>
          <w:numId w:val="4"/>
        </w:numPr>
        <w:spacing w:after="0"/>
        <w:ind w:left="0" w:hanging="284"/>
        <w:jc w:val="both"/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</w:pPr>
      <w:r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 xml:space="preserve">Seguimiento del </w:t>
      </w:r>
      <w:r w:rsidR="00714265"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>c</w:t>
      </w:r>
      <w:r w:rsidR="00F558D9"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>umplimiento de las resoluciones</w:t>
      </w:r>
    </w:p>
    <w:p w14:paraId="3E997CB8" w14:textId="21528281" w:rsidR="00F558D9" w:rsidRDefault="00F558D9" w:rsidP="0093132C">
      <w:pPr>
        <w:spacing w:after="0"/>
        <w:jc w:val="both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756540B0" w14:textId="5C04B824" w:rsidR="00F558D9" w:rsidRDefault="00453CB8" w:rsidP="0093132C">
      <w:pPr>
        <w:spacing w:after="0"/>
        <w:jc w:val="both"/>
        <w:rPr>
          <w:rFonts w:ascii="Mulish" w:eastAsia="Mulish" w:hAnsi="Mulish" w:cs="Mulish"/>
          <w:color w:val="FF0000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>Respecto al cumplimiento de las resoluciones, del que e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>l CTBG realiza un seguimiento</w:t>
      </w:r>
      <w:r w:rsidR="00FC30EA">
        <w:rPr>
          <w:rFonts w:ascii="Mulish" w:eastAsia="Mulish" w:hAnsi="Mulish" w:cs="Mulish"/>
          <w:color w:val="0C0C0C" w:themeColor="text1"/>
          <w:lang w:eastAsia="es-ES" w:bidi="es-ES"/>
        </w:rPr>
        <w:t xml:space="preserve"> constante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4A016D">
        <w:rPr>
          <w:rFonts w:ascii="Mulish" w:eastAsia="Mulish" w:hAnsi="Mulish" w:cs="Mulish"/>
          <w:color w:val="0C0C0C" w:themeColor="text1"/>
          <w:lang w:eastAsia="es-ES" w:bidi="es-ES"/>
        </w:rPr>
        <w:t>publicando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el resultado 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>trimestralmente en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su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 xml:space="preserve"> web</w:t>
      </w:r>
      <w:r>
        <w:rPr>
          <w:rFonts w:ascii="Mulish" w:eastAsia="Mulish" w:hAnsi="Mulish" w:cs="Mulish"/>
          <w:color w:val="0C0C0C" w:themeColor="text1"/>
          <w:lang w:eastAsia="es-ES" w:bidi="es-ES"/>
        </w:rPr>
        <w:t>, l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 xml:space="preserve">a memoria pone de relieve que, de las resoluciones dictadas en 2023 que requerían ejecución, a 31 de diciembre de ese año </w:t>
      </w:r>
      <w:r w:rsidR="00F558D9" w:rsidRPr="004A7B57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no constaba </w:t>
      </w:r>
      <w:r w:rsidRPr="004A7B57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al Consejo</w:t>
      </w:r>
      <w:r w:rsidR="00F558D9" w:rsidRPr="004A7B57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el cumplimiento del 11,3% de las dictadas ese ejercicio en el ámbito estatal y un 49% de las de ámbito autonómico y local.</w:t>
      </w:r>
      <w:r w:rsidR="00F558D9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</w:p>
    <w:p w14:paraId="662EA7A3" w14:textId="295C1A1C" w:rsidR="00FC3B76" w:rsidRPr="00F558D9" w:rsidRDefault="00FC3B76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307DF37" w14:textId="77777777" w:rsidR="00F558D9" w:rsidRPr="004A7B57" w:rsidRDefault="00F558D9" w:rsidP="0093132C">
      <w:pPr>
        <w:spacing w:after="0"/>
        <w:jc w:val="both"/>
        <w:rPr>
          <w:rFonts w:ascii="Mulish" w:eastAsia="Mulish" w:hAnsi="Mulish" w:cs="Mulish"/>
          <w:b/>
          <w:bCs/>
          <w:color w:val="00806F" w:themeColor="accent5"/>
          <w:lang w:eastAsia="es-ES" w:bidi="es-ES"/>
        </w:rPr>
      </w:pPr>
    </w:p>
    <w:p w14:paraId="41DE5274" w14:textId="269E54EE" w:rsidR="00D242B7" w:rsidRPr="0029425B" w:rsidRDefault="00D242B7" w:rsidP="00AB13E9">
      <w:pPr>
        <w:pStyle w:val="Prrafodelista"/>
        <w:numPr>
          <w:ilvl w:val="0"/>
          <w:numId w:val="4"/>
        </w:numPr>
        <w:spacing w:after="0"/>
        <w:ind w:left="0" w:hanging="284"/>
        <w:jc w:val="both"/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</w:pPr>
      <w:r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>Recursos judiciales</w:t>
      </w:r>
      <w:r w:rsidR="002504D4"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 xml:space="preserve"> frente a las resoluciones dictadas por el Consejo </w:t>
      </w:r>
    </w:p>
    <w:p w14:paraId="13C09878" w14:textId="6E2B0A8D" w:rsidR="00D242B7" w:rsidRDefault="00D242B7" w:rsidP="0093132C">
      <w:pPr>
        <w:spacing w:after="0"/>
        <w:jc w:val="both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2E0997A7" w14:textId="51984F2A" w:rsidR="002504D4" w:rsidRDefault="002504D4" w:rsidP="002504D4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>Al cierre de la memoria</w:t>
      </w:r>
      <w:r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 xml:space="preserve"> en 2023 se habían interpuesto 73 recursos contencioso-administrativos </w:t>
      </w:r>
      <w:r w:rsidR="0033660C">
        <w:rPr>
          <w:rFonts w:ascii="Mulish" w:eastAsia="Mulish" w:hAnsi="Mulish" w:cs="Mulish"/>
          <w:color w:val="0C0C0C" w:themeColor="text1"/>
          <w:lang w:eastAsia="es-ES" w:bidi="es-ES"/>
        </w:rPr>
        <w:t xml:space="preserve">contra 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 xml:space="preserve">resoluciones dictadas </w:t>
      </w:r>
      <w:r w:rsidR="00F21F37">
        <w:rPr>
          <w:rFonts w:ascii="Mulish" w:eastAsia="Mulish" w:hAnsi="Mulish" w:cs="Mulish"/>
          <w:color w:val="0C0C0C" w:themeColor="text1"/>
          <w:lang w:eastAsia="es-ES" w:bidi="es-ES"/>
        </w:rPr>
        <w:t>en materia de acceso a información pública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 xml:space="preserve">. En el ámbito estatal el número de recursos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fue d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 xml:space="preserve">e 62, mientras que en el ámbito autonómico y local los recursos planteados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fueron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 xml:space="preserve"> 11. Cabe destacar que 2023 ocupa el segundo lugar en cuanto a </w:t>
      </w:r>
      <w:r w:rsidR="007827CC">
        <w:rPr>
          <w:rFonts w:ascii="Mulish" w:eastAsia="Mulish" w:hAnsi="Mulish" w:cs="Mulish"/>
          <w:color w:val="0C0C0C" w:themeColor="text1"/>
          <w:lang w:eastAsia="es-ES" w:bidi="es-ES"/>
        </w:rPr>
        <w:t xml:space="preserve">número de 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>litigios</w:t>
      </w:r>
      <w:r w:rsidR="007827CC">
        <w:rPr>
          <w:rFonts w:ascii="Mulish" w:eastAsia="Mulish" w:hAnsi="Mulish" w:cs="Mulish"/>
          <w:color w:val="0C0C0C" w:themeColor="text1"/>
          <w:lang w:eastAsia="es-ES" w:bidi="es-ES"/>
        </w:rPr>
        <w:t xml:space="preserve"> de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 xml:space="preserve">sde que este inició su actividad (solo superado en 2019,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año en el que se presentaron </w:t>
      </w: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>77)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30D50949" w14:textId="77D20098" w:rsidR="0004559F" w:rsidRDefault="0004559F" w:rsidP="002504D4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04E47812" w14:textId="6E28FEB8" w:rsidR="0004559F" w:rsidRPr="002504D4" w:rsidRDefault="0004559F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En el ámbito judicial es necesario destacar una relevante novedad que se produjo en 2023: </w:t>
      </w:r>
      <w:r w:rsidRPr="0004559F">
        <w:rPr>
          <w:rFonts w:ascii="Mulish" w:eastAsia="Mulish" w:hAnsi="Mulish" w:cs="Mulish"/>
          <w:color w:val="0C0C0C" w:themeColor="text1"/>
          <w:lang w:eastAsia="es-ES" w:bidi="es-ES"/>
        </w:rPr>
        <w:t>el legislador</w:t>
      </w:r>
      <w:r w:rsidR="0060797D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04559F">
        <w:rPr>
          <w:rFonts w:ascii="Mulish" w:eastAsia="Mulish" w:hAnsi="Mulish" w:cs="Mulish"/>
          <w:color w:val="0C0C0C" w:themeColor="text1"/>
          <w:lang w:eastAsia="es-ES" w:bidi="es-ES"/>
        </w:rPr>
        <w:t>acogió una propuesta del Consejo y modificó la Ley 9/1998, reguladora de la jurisdicción contencioso-administrativa para establecer que los actos y disposiciones dictados por el Consejo son recurribles</w:t>
      </w:r>
      <w:r w:rsidR="0060797D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04559F">
        <w:rPr>
          <w:rFonts w:ascii="Mulish" w:eastAsia="Mulish" w:hAnsi="Mulish" w:cs="Mulish"/>
          <w:color w:val="0C0C0C" w:themeColor="text1"/>
          <w:lang w:eastAsia="es-ES" w:bidi="es-ES"/>
        </w:rPr>
        <w:t>directamente ante la Sala de lo Contencioso-administrativo de la Audiencia Nacional, con lo que se</w:t>
      </w:r>
      <w:r w:rsidR="0060797D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04559F">
        <w:rPr>
          <w:rFonts w:ascii="Mulish" w:eastAsia="Mulish" w:hAnsi="Mulish" w:cs="Mulish"/>
          <w:color w:val="0C0C0C" w:themeColor="text1"/>
          <w:lang w:eastAsia="es-ES" w:bidi="es-ES"/>
        </w:rPr>
        <w:t>suprime la doble instancia y se le equipara al resto de las autoridades administrativas independientes,</w:t>
      </w:r>
      <w:r w:rsidR="006C4529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04559F">
        <w:rPr>
          <w:rFonts w:ascii="Mulish" w:eastAsia="Mulish" w:hAnsi="Mulish" w:cs="Mulish"/>
          <w:color w:val="0C0C0C" w:themeColor="text1"/>
          <w:lang w:eastAsia="es-ES" w:bidi="es-ES"/>
        </w:rPr>
        <w:t>reduciendo el tiempo necesario para obtener una sentencia definitiva.</w:t>
      </w:r>
    </w:p>
    <w:p w14:paraId="0C0136A0" w14:textId="25993E1E" w:rsidR="00D242B7" w:rsidRDefault="00D242B7" w:rsidP="0093132C">
      <w:pPr>
        <w:spacing w:after="0"/>
        <w:jc w:val="both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0B81A11E" w14:textId="38BD2F41" w:rsidR="00D242B7" w:rsidRPr="004A016D" w:rsidRDefault="00D242B7" w:rsidP="00AB13E9">
      <w:pPr>
        <w:pStyle w:val="Prrafodelista"/>
        <w:numPr>
          <w:ilvl w:val="0"/>
          <w:numId w:val="4"/>
        </w:numPr>
        <w:spacing w:after="0"/>
        <w:ind w:left="0" w:hanging="284"/>
        <w:jc w:val="both"/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</w:pPr>
      <w:r w:rsidRPr="004A016D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>Función evaluadora</w:t>
      </w:r>
      <w:r w:rsidR="002504D4" w:rsidRPr="004A016D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 xml:space="preserve"> del Consejo </w:t>
      </w:r>
    </w:p>
    <w:p w14:paraId="4CCAAC40" w14:textId="163EF2B6" w:rsidR="002504D4" w:rsidRDefault="002504D4" w:rsidP="0093132C">
      <w:pPr>
        <w:spacing w:after="0"/>
        <w:jc w:val="both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3B5C8534" w14:textId="77C23886" w:rsidR="006C4529" w:rsidRDefault="002504D4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2504D4">
        <w:rPr>
          <w:rFonts w:ascii="Mulish" w:eastAsia="Mulish" w:hAnsi="Mulish" w:cs="Mulish"/>
          <w:color w:val="0C0C0C" w:themeColor="text1"/>
          <w:lang w:eastAsia="es-ES" w:bidi="es-ES"/>
        </w:rPr>
        <w:t>Otra de las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funciones principales que la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LTAIBG asigna al Consejo es la </w:t>
      </w:r>
      <w:r w:rsidR="00FF13BF">
        <w:rPr>
          <w:rFonts w:ascii="Mulish" w:eastAsia="Mulish" w:hAnsi="Mulish" w:cs="Mulish"/>
          <w:color w:val="0C0C0C" w:themeColor="text1"/>
          <w:lang w:eastAsia="es-ES" w:bidi="es-ES"/>
        </w:rPr>
        <w:t xml:space="preserve">analizar el cumplimiento de la ley de transparencia: para ello, cada año realiza evaluaciones a entidades obligadas por dicha ley, analizando si cumplen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las obligaciones de publicidad activa, es decir, </w:t>
      </w:r>
      <w:r w:rsidR="00FF13BF">
        <w:rPr>
          <w:rFonts w:ascii="Mulish" w:eastAsia="Mulish" w:hAnsi="Mulish" w:cs="Mulish"/>
          <w:color w:val="0C0C0C" w:themeColor="text1"/>
          <w:lang w:eastAsia="es-ES" w:bidi="es-ES"/>
        </w:rPr>
        <w:t xml:space="preserve">si publican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>en sus páginas web o portal de transparencia</w:t>
      </w:r>
      <w:r w:rsidR="00FF13BF">
        <w:rPr>
          <w:rFonts w:ascii="Mulish" w:eastAsia="Mulish" w:hAnsi="Mulish" w:cs="Mulish"/>
          <w:color w:val="0C0C0C" w:themeColor="text1"/>
          <w:lang w:eastAsia="es-ES" w:bidi="es-ES"/>
        </w:rPr>
        <w:t xml:space="preserve"> la información relevante para 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 xml:space="preserve">fiscalizar su gestión </w:t>
      </w:r>
      <w:r w:rsidR="00FF13BF">
        <w:rPr>
          <w:rFonts w:ascii="Mulish" w:eastAsia="Mulish" w:hAnsi="Mulish" w:cs="Mulish"/>
          <w:color w:val="0C0C0C" w:themeColor="text1"/>
          <w:lang w:eastAsia="es-ES" w:bidi="es-ES"/>
        </w:rPr>
        <w:t>a la que están obligados por la ley de transparencia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. En 2023 se intensificó notablemente la actividad en este sentido. El CTBG evaluó </w:t>
      </w:r>
      <w:r w:rsidR="006C4529">
        <w:rPr>
          <w:rFonts w:ascii="Mulish" w:eastAsia="Mulish" w:hAnsi="Mulish" w:cs="Mulish"/>
          <w:color w:val="0C0C0C" w:themeColor="text1"/>
          <w:lang w:eastAsia="es-ES" w:bidi="es-ES"/>
        </w:rPr>
        <w:t xml:space="preserve">a 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un total de 254 entidades públicas y privadas, lo que supone un </w:t>
      </w:r>
      <w:r w:rsidR="004C1C44">
        <w:rPr>
          <w:rFonts w:ascii="Mulish" w:eastAsia="Mulish" w:hAnsi="Mulish" w:cs="Mulish"/>
          <w:color w:val="0C0C0C" w:themeColor="text1"/>
          <w:lang w:eastAsia="es-ES" w:bidi="es-ES"/>
        </w:rPr>
        <w:t>35,1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>% más que el año anterior; y emitió un total de 361 informes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 xml:space="preserve"> (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 xml:space="preserve">un </w:t>
      </w:r>
      <w:r w:rsidR="004C1C44">
        <w:rPr>
          <w:rFonts w:ascii="Mulish" w:eastAsia="Mulish" w:hAnsi="Mulish" w:cs="Mulish"/>
          <w:color w:val="0C0C0C" w:themeColor="text1"/>
          <w:lang w:eastAsia="es-ES" w:bidi="es-ES"/>
        </w:rPr>
        <w:t>32,7</w:t>
      </w:r>
      <w:r w:rsidR="0004559F">
        <w:rPr>
          <w:rFonts w:ascii="Mulish" w:eastAsia="Mulish" w:hAnsi="Mulish" w:cs="Mulish"/>
          <w:color w:val="0C0C0C" w:themeColor="text1"/>
          <w:lang w:eastAsia="es-ES" w:bidi="es-ES"/>
        </w:rPr>
        <w:t>% más que en 2022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>)</w:t>
      </w:r>
      <w:r w:rsidR="004A016D">
        <w:rPr>
          <w:rFonts w:ascii="Mulish" w:eastAsia="Mulish" w:hAnsi="Mulish" w:cs="Mulish"/>
          <w:color w:val="0C0C0C" w:themeColor="text1"/>
          <w:lang w:eastAsia="es-ES" w:bidi="es-ES"/>
        </w:rPr>
        <w:t xml:space="preserve">. Estos informes </w:t>
      </w:r>
      <w:r w:rsidR="006C4529">
        <w:rPr>
          <w:rFonts w:ascii="Mulish" w:eastAsia="Mulish" w:hAnsi="Mulish" w:cs="Mulish"/>
          <w:color w:val="0C0C0C" w:themeColor="text1"/>
          <w:lang w:eastAsia="es-ES" w:bidi="es-ES"/>
        </w:rPr>
        <w:t>incluyen</w:t>
      </w:r>
      <w:r w:rsidR="004C1C44">
        <w:rPr>
          <w:rFonts w:ascii="Mulish" w:eastAsia="Mulish" w:hAnsi="Mulish" w:cs="Mulish"/>
          <w:color w:val="0C0C0C" w:themeColor="text1"/>
          <w:lang w:eastAsia="es-ES" w:bidi="es-ES"/>
        </w:rPr>
        <w:t xml:space="preserve"> recomendaciones dirigidas a las entidades evaluadas para que puedan mejorar el cumplimiento de sus obligaciones de transparencia. </w:t>
      </w:r>
    </w:p>
    <w:p w14:paraId="5502C376" w14:textId="661160D4" w:rsidR="004E6B57" w:rsidRDefault="004E6B57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4CF4CF54" w14:textId="13895FF9" w:rsidR="00BF435B" w:rsidRDefault="004E6B57" w:rsidP="00BF435B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La memoria pone de relieve que 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>e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>l Índice de Cumplimiento de la Información Obligatoria (</w:t>
      </w:r>
      <w:r w:rsidR="00BF435B" w:rsidRPr="00D82B8F">
        <w:rPr>
          <w:rFonts w:ascii="Mulish" w:eastAsia="Mulish" w:hAnsi="Mulish" w:cs="Mulish"/>
          <w:lang w:eastAsia="es-ES" w:bidi="es-ES"/>
        </w:rPr>
        <w:t>ICIO) medio obtenido por el conjunto de entidades evaluadas en 2023 (sin tener en cuenta las</w:t>
      </w:r>
      <w:r w:rsidR="00D82B8F" w:rsidRPr="00D82B8F">
        <w:rPr>
          <w:rFonts w:ascii="Mulish" w:eastAsia="Mulish" w:hAnsi="Mulish" w:cs="Mulish"/>
          <w:lang w:eastAsia="es-ES" w:bidi="es-ES"/>
        </w:rPr>
        <w:t xml:space="preserve"> </w:t>
      </w:r>
      <w:r w:rsidR="00D82B8F">
        <w:rPr>
          <w:rFonts w:ascii="Mulish" w:eastAsia="Mulish" w:hAnsi="Mulish" w:cs="Mulish"/>
          <w:lang w:eastAsia="es-ES" w:bidi="es-ES"/>
        </w:rPr>
        <w:t xml:space="preserve">90 </w:t>
      </w:r>
      <w:r w:rsidR="00BF435B" w:rsidRPr="00D82B8F">
        <w:rPr>
          <w:rFonts w:ascii="Mulish" w:eastAsia="Mulish" w:hAnsi="Mulish" w:cs="Mulish"/>
          <w:lang w:eastAsia="es-ES" w:bidi="es-ES"/>
        </w:rPr>
        <w:lastRenderedPageBreak/>
        <w:t xml:space="preserve">entidades evaluadas 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>por tercera vez por el Consejo) es de solo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 el 44,2%.</w:t>
      </w:r>
      <w:r w:rsidR="005D2C9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>La falta de publicación de informaciones obligatorias</w:t>
      </w:r>
      <w:r w:rsidR="005D2C95">
        <w:rPr>
          <w:rFonts w:ascii="Mulish" w:eastAsia="Mulish" w:hAnsi="Mulish" w:cs="Mulish"/>
          <w:color w:val="0C0C0C" w:themeColor="text1"/>
          <w:lang w:eastAsia="es-ES" w:bidi="es-ES"/>
        </w:rPr>
        <w:t xml:space="preserve">, 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>el recurso a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>fuentes centralizadas o la derivación al Portal de Transparencia de la AGE y, sobre todo, la carencia de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>referencias que permitan conocer a los usuarios el grado de actualización de la información publicada,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F435B" w:rsidRPr="00BF435B">
        <w:rPr>
          <w:rFonts w:ascii="Mulish" w:eastAsia="Mulish" w:hAnsi="Mulish" w:cs="Mulish"/>
          <w:color w:val="0C0C0C" w:themeColor="text1"/>
          <w:lang w:eastAsia="es-ES" w:bidi="es-ES"/>
        </w:rPr>
        <w:t>son los factores que explican el bajo nivel de cumplimiento global alcanzado.</w:t>
      </w:r>
    </w:p>
    <w:p w14:paraId="278250D9" w14:textId="77777777" w:rsidR="006C4529" w:rsidRDefault="006C4529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23CB8E31" w14:textId="6FBFDB55" w:rsidR="0004559F" w:rsidRDefault="0004559F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Todos los informes 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de evaluación son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public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ados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en la web del Consejo tan pronto </w:t>
      </w:r>
      <w:r w:rsidR="00F21F37">
        <w:rPr>
          <w:rFonts w:ascii="Mulish" w:eastAsia="Mulish" w:hAnsi="Mulish" w:cs="Mulish"/>
          <w:color w:val="0C0C0C" w:themeColor="text1"/>
          <w:lang w:eastAsia="es-ES" w:bidi="es-ES"/>
        </w:rPr>
        <w:t xml:space="preserve">como </w:t>
      </w:r>
      <w:r w:rsidR="00BF435B">
        <w:rPr>
          <w:rFonts w:ascii="Mulish" w:eastAsia="Mulish" w:hAnsi="Mulish" w:cs="Mulish"/>
          <w:color w:val="0C0C0C" w:themeColor="text1"/>
          <w:lang w:eastAsia="es-ES" w:bidi="es-ES"/>
        </w:rPr>
        <w:t xml:space="preserve">están disponibles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para hacer accesible la información a la ciudadanía. </w:t>
      </w:r>
      <w:r w:rsidRPr="0004559F">
        <w:rPr>
          <w:rFonts w:ascii="Mulish" w:eastAsia="Mulish" w:hAnsi="Mulish" w:cs="Mulish"/>
          <w:color w:val="0C0C0C" w:themeColor="text1"/>
          <w:lang w:eastAsia="es-ES" w:bidi="es-ES"/>
        </w:rPr>
        <w:t>La evaluación se realiza con recursos propios del Consejo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utilizando la metodología MESTA, desarrollada conjuntamente por el CTBG y la extinta Agencia de Evaluación de las Políticas Públicas (AEVAL). </w:t>
      </w:r>
    </w:p>
    <w:p w14:paraId="506F91B4" w14:textId="633598E1" w:rsidR="00FC3B76" w:rsidRDefault="00FC3B76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1A36DE8F" w14:textId="69387450" w:rsidR="00FC3B76" w:rsidRDefault="00FC3B76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El presidente del Consejo considera que la administración debe hacer un esfuerzo no solo por publicar los contenidos mínimos obligatorios legales, </w:t>
      </w:r>
      <w:r w:rsidR="005D6069">
        <w:rPr>
          <w:rFonts w:ascii="Mulish" w:eastAsia="Mulish" w:hAnsi="Mulish" w:cs="Mulish"/>
          <w:color w:val="0C0C0C" w:themeColor="text1"/>
          <w:lang w:eastAsia="es-ES" w:bidi="es-ES"/>
        </w:rPr>
        <w:t xml:space="preserve">y hacerlo adecuadamente,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sino por ser proactivos en la publicación de contenidos adicionales </w:t>
      </w:r>
      <w:r w:rsidR="005D6069">
        <w:rPr>
          <w:rFonts w:ascii="Mulish" w:eastAsia="Mulish" w:hAnsi="Mulish" w:cs="Mulish"/>
          <w:color w:val="0C0C0C" w:themeColor="text1"/>
          <w:lang w:eastAsia="es-ES" w:bidi="es-ES"/>
        </w:rPr>
        <w:t xml:space="preserve">de interés para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los ciudadanos</w:t>
      </w:r>
      <w:r w:rsidR="005D6069">
        <w:rPr>
          <w:rFonts w:ascii="Mulish" w:eastAsia="Mulish" w:hAnsi="Mulish" w:cs="Mulish"/>
          <w:color w:val="0C0C0C" w:themeColor="text1"/>
          <w:lang w:eastAsia="es-ES" w:bidi="es-ES"/>
        </w:rPr>
        <w:t xml:space="preserve"> que les ayuden a fiscalizar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su gestión. “</w:t>
      </w:r>
      <w:r w:rsidRPr="004A016D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La publicidad activa </w:t>
      </w:r>
      <w:r w:rsidR="004A016D" w:rsidRPr="004A016D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>es la forma</w:t>
      </w:r>
      <w:r w:rsidR="005D6069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más eficiente</w:t>
      </w:r>
      <w:r w:rsidR="004A016D" w:rsidRPr="004A016D">
        <w:rPr>
          <w:rFonts w:ascii="Mulish" w:eastAsia="Mulish" w:hAnsi="Mulish" w:cs="Mulish"/>
          <w:i/>
          <w:iCs/>
          <w:color w:val="0C0C0C" w:themeColor="text1"/>
          <w:lang w:eastAsia="es-ES" w:bidi="es-ES"/>
        </w:rPr>
        <w:t xml:space="preserve"> de garantizar la transparencia y ahorra recursos a la administración</w:t>
      </w:r>
      <w:r w:rsidR="004A016D">
        <w:rPr>
          <w:rFonts w:ascii="Mulish" w:eastAsia="Mulish" w:hAnsi="Mulish" w:cs="Mulish"/>
          <w:color w:val="0C0C0C" w:themeColor="text1"/>
          <w:lang w:eastAsia="es-ES" w:bidi="es-ES"/>
        </w:rPr>
        <w:t>”</w:t>
      </w:r>
      <w:r w:rsidR="005D6069">
        <w:rPr>
          <w:rFonts w:ascii="Mulish" w:eastAsia="Mulish" w:hAnsi="Mulish" w:cs="Mulish"/>
          <w:color w:val="0C0C0C" w:themeColor="text1"/>
          <w:lang w:eastAsia="es-ES" w:bidi="es-ES"/>
        </w:rPr>
        <w:t>, asegura</w:t>
      </w:r>
      <w:r w:rsidR="004A016D"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557F5067" w14:textId="103C70B6" w:rsidR="00F11F63" w:rsidRDefault="00F11F63" w:rsidP="0004559F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79BCC22B" w14:textId="2F6718FB" w:rsidR="00F11F63" w:rsidRPr="004A7B57" w:rsidRDefault="00F11F63" w:rsidP="00AB13E9">
      <w:pPr>
        <w:pStyle w:val="Prrafodelista"/>
        <w:numPr>
          <w:ilvl w:val="0"/>
          <w:numId w:val="4"/>
        </w:numPr>
        <w:spacing w:after="0"/>
        <w:ind w:left="0" w:hanging="284"/>
        <w:jc w:val="both"/>
        <w:rPr>
          <w:rFonts w:ascii="Mulish" w:eastAsia="Mulish" w:hAnsi="Mulish" w:cs="Mulish"/>
          <w:b/>
          <w:bCs/>
          <w:color w:val="00806F" w:themeColor="accent5"/>
          <w:lang w:eastAsia="es-ES" w:bidi="es-ES"/>
        </w:rPr>
      </w:pPr>
      <w:r w:rsidRPr="0029425B">
        <w:rPr>
          <w:rFonts w:ascii="Mulish" w:eastAsia="Mulish" w:hAnsi="Mulish" w:cs="Mulish"/>
          <w:b/>
          <w:bCs/>
          <w:color w:val="00806F" w:themeColor="accent5"/>
          <w:sz w:val="24"/>
          <w:szCs w:val="24"/>
          <w:lang w:eastAsia="es-ES" w:bidi="es-ES"/>
        </w:rPr>
        <w:t xml:space="preserve">Consultas, colaboración con otras entidades, actividades de formación… </w:t>
      </w:r>
    </w:p>
    <w:p w14:paraId="4C3EE45C" w14:textId="77777777" w:rsidR="0004559F" w:rsidRPr="002504D4" w:rsidRDefault="0004559F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066AA592" w14:textId="6729D9A7" w:rsidR="00F11F63" w:rsidRDefault="00A96018" w:rsidP="00F11F63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>La memoria recoge, además de la</w:t>
      </w:r>
      <w:r w:rsidR="00B3476E" w:rsidRP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labor tramitadora y evaluadora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del Consejo, otras tareas como la</w:t>
      </w:r>
      <w:r w:rsidR="00B3476E" w:rsidRP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resolución de consultas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 xml:space="preserve"> formales</w:t>
      </w:r>
      <w:r w:rsidR="00B3476E" w:rsidRP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sobre la aplicación de la ley de transparencia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 xml:space="preserve"> (en 2023 se </w:t>
      </w:r>
      <w:r w:rsidR="005D6069">
        <w:rPr>
          <w:rFonts w:ascii="Mulish" w:eastAsia="Mulish" w:hAnsi="Mulish" w:cs="Mulish"/>
          <w:color w:val="0C0C0C" w:themeColor="text1"/>
          <w:lang w:eastAsia="es-ES" w:bidi="es-ES"/>
        </w:rPr>
        <w:t>contestaron</w:t>
      </w:r>
      <w:r w:rsidR="006F454E">
        <w:rPr>
          <w:rFonts w:ascii="Mulish" w:eastAsia="Mulish" w:hAnsi="Mulish" w:cs="Mulish"/>
          <w:color w:val="0C0C0C" w:themeColor="text1"/>
          <w:lang w:eastAsia="es-ES" w:bidi="es-ES"/>
        </w:rPr>
        <w:t xml:space="preserve"> 138)</w:t>
      </w:r>
      <w:r w:rsidR="00B3476E" w:rsidRP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, la elaboración de informes </w:t>
      </w:r>
      <w:r w:rsidR="00F11F63" w:rsidRPr="00CA7D21">
        <w:rPr>
          <w:rFonts w:ascii="Mulish" w:eastAsia="Mulish" w:hAnsi="Mulish" w:cs="Mulish"/>
          <w:color w:val="0C0C0C" w:themeColor="text1"/>
          <w:lang w:eastAsia="es-ES" w:bidi="es-ES"/>
        </w:rPr>
        <w:t>sobre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F11F63" w:rsidRPr="00CA7D21">
        <w:rPr>
          <w:rFonts w:ascii="Mulish" w:eastAsia="Mulish" w:hAnsi="Mulish" w:cs="Mulish"/>
          <w:color w:val="0C0C0C" w:themeColor="text1"/>
          <w:lang w:eastAsia="es-ES" w:bidi="es-ES"/>
        </w:rPr>
        <w:t xml:space="preserve">proposiciones, proyectos normativos 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y </w:t>
      </w:r>
      <w:r w:rsidR="00F11F63" w:rsidRPr="00CA7D21">
        <w:rPr>
          <w:rFonts w:ascii="Mulish" w:eastAsia="Mulish" w:hAnsi="Mulish" w:cs="Mulish"/>
          <w:color w:val="0C0C0C" w:themeColor="text1"/>
          <w:lang w:eastAsia="es-ES" w:bidi="es-ES"/>
        </w:rPr>
        <w:t>leyes autonómicas que guardan relación, directa o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F11F63" w:rsidRPr="00CA7D21">
        <w:rPr>
          <w:rFonts w:ascii="Mulish" w:eastAsia="Mulish" w:hAnsi="Mulish" w:cs="Mulish"/>
          <w:color w:val="0C0C0C" w:themeColor="text1"/>
          <w:lang w:eastAsia="es-ES" w:bidi="es-ES"/>
        </w:rPr>
        <w:t>tangencial según los casos, con el ámbito de la transparencia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(40 informes emitidos en 2023)</w:t>
      </w:r>
      <w:r w:rsidR="00F11F63" w:rsidRPr="00CA7D21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F11F63" w:rsidRPr="00F11F63">
        <w:rPr>
          <w:rFonts w:ascii="Mulish" w:eastAsia="Mulish" w:hAnsi="Mulish" w:cs="Mulish"/>
          <w:color w:val="0C0C0C" w:themeColor="text1"/>
          <w:lang w:eastAsia="es-ES" w:bidi="es-ES"/>
        </w:rPr>
        <w:t>la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>s actividades de colaboración con otros organismos para impulsar la transparencia, y la</w:t>
      </w:r>
      <w:r w:rsidR="00F11F63" w:rsidRP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organización y participación en actividades formativas y de sensibilización en esta materia (que incrementó un 41,4%),</w:t>
      </w:r>
      <w:r w:rsidR="00F11F63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DC0389">
        <w:rPr>
          <w:rFonts w:ascii="Mulish" w:eastAsia="Mulish" w:hAnsi="Mulish" w:cs="Mulish"/>
          <w:color w:val="0C0C0C" w:themeColor="text1"/>
          <w:lang w:eastAsia="es-ES" w:bidi="es-ES"/>
        </w:rPr>
        <w:t xml:space="preserve">destacando el inicio de una serie de seminarios periódicos sobre cuestiones esenciales de la transparencia. </w:t>
      </w:r>
    </w:p>
    <w:p w14:paraId="227CEEEF" w14:textId="77777777" w:rsidR="006F454E" w:rsidRDefault="006F454E" w:rsidP="00F11F63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5398815C" w14:textId="3461AED5" w:rsidR="00F11F63" w:rsidRDefault="00F11F63" w:rsidP="00F11F63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F11F63">
        <w:rPr>
          <w:rFonts w:ascii="Mulish" w:eastAsia="Mulish" w:hAnsi="Mulish" w:cs="Mulish"/>
          <w:color w:val="0C0C0C" w:themeColor="text1"/>
          <w:lang w:eastAsia="es-ES" w:bidi="es-ES"/>
        </w:rPr>
        <w:t>Además, hay que señalar que se han atendido al menos 1.070 peticiones de información sobre una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F11F63">
        <w:rPr>
          <w:rFonts w:ascii="Mulish" w:eastAsia="Mulish" w:hAnsi="Mulish" w:cs="Mulish"/>
          <w:color w:val="0C0C0C" w:themeColor="text1"/>
          <w:lang w:eastAsia="es-ES" w:bidi="es-ES"/>
        </w:rPr>
        <w:t>pluralidad de aspectos relacionados con la aplicación de la LTAIBG a través de distintos canales de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F11F63">
        <w:rPr>
          <w:rFonts w:ascii="Mulish" w:eastAsia="Mulish" w:hAnsi="Mulish" w:cs="Mulish"/>
          <w:color w:val="0C0C0C" w:themeColor="text1"/>
          <w:lang w:eastAsia="es-ES" w:bidi="es-ES"/>
        </w:rPr>
        <w:t>entrada –vía telefónica, correo electrónico– procedentes tanto de personas físicas como de responsables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F11F63">
        <w:rPr>
          <w:rFonts w:ascii="Mulish" w:eastAsia="Mulish" w:hAnsi="Mulish" w:cs="Mulish"/>
          <w:color w:val="0C0C0C" w:themeColor="text1"/>
          <w:lang w:eastAsia="es-ES" w:bidi="es-ES"/>
        </w:rPr>
        <w:t>de unidades de trasparencia, entre otros.</w:t>
      </w:r>
    </w:p>
    <w:p w14:paraId="0A641C7F" w14:textId="7B877241" w:rsidR="00D242B7" w:rsidRDefault="00D242B7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bookmarkStart w:id="0" w:name="_Hlk176853031"/>
    <w:p w14:paraId="1637134A" w14:textId="4DB890BF" w:rsidR="00C527C3" w:rsidRPr="00AF67C6" w:rsidRDefault="00AF67C6" w:rsidP="0093132C">
      <w:pPr>
        <w:spacing w:after="0"/>
        <w:jc w:val="both"/>
        <w:rPr>
          <w:rFonts w:ascii="Mulish" w:eastAsia="Mulish" w:hAnsi="Mulish" w:cs="Mulish"/>
          <w:color w:val="0070C0"/>
          <w:u w:val="single"/>
          <w:lang w:eastAsia="es-ES" w:bidi="es-ES"/>
        </w:rPr>
      </w:pPr>
      <w:r w:rsidRPr="00AF67C6">
        <w:rPr>
          <w:rFonts w:ascii="Mulish" w:eastAsia="Mulish" w:hAnsi="Mulish" w:cs="Mulish"/>
          <w:color w:val="0070C0"/>
          <w:u w:val="single"/>
          <w:lang w:eastAsia="es-ES" w:bidi="es-ES"/>
        </w:rPr>
        <w:fldChar w:fldCharType="begin"/>
      </w:r>
      <w:r w:rsidRPr="00AF67C6">
        <w:rPr>
          <w:rFonts w:ascii="Mulish" w:eastAsia="Mulish" w:hAnsi="Mulish" w:cs="Mulish"/>
          <w:color w:val="0070C0"/>
          <w:u w:val="single"/>
          <w:lang w:eastAsia="es-ES" w:bidi="es-ES"/>
        </w:rPr>
        <w:instrText xml:space="preserve"> HYPERLINK "https://www.consejodetransparencia.es/ct_Home/Actividad/memorias_planes/memoria2023.html" </w:instrText>
      </w:r>
      <w:r w:rsidRPr="00AF67C6">
        <w:rPr>
          <w:rFonts w:ascii="Mulish" w:eastAsia="Mulish" w:hAnsi="Mulish" w:cs="Mulish"/>
          <w:color w:val="0070C0"/>
          <w:u w:val="single"/>
          <w:lang w:eastAsia="es-ES" w:bidi="es-ES"/>
        </w:rPr>
      </w:r>
      <w:r w:rsidRPr="00AF67C6">
        <w:rPr>
          <w:rFonts w:ascii="Mulish" w:eastAsia="Mulish" w:hAnsi="Mulish" w:cs="Mulish"/>
          <w:color w:val="0070C0"/>
          <w:u w:val="single"/>
          <w:lang w:eastAsia="es-ES" w:bidi="es-ES"/>
        </w:rPr>
        <w:fldChar w:fldCharType="separate"/>
      </w:r>
      <w:r w:rsidR="00C527C3" w:rsidRPr="00AF67C6">
        <w:rPr>
          <w:rStyle w:val="Hipervnculo"/>
          <w:rFonts w:ascii="Mulish" w:eastAsia="Mulish" w:hAnsi="Mulish" w:cs="Mulish"/>
          <w:color w:val="0070C0"/>
          <w:lang w:eastAsia="es-ES" w:bidi="es-ES"/>
        </w:rPr>
        <w:t>ENLACE A LA MEMORIA</w:t>
      </w:r>
      <w:r w:rsidRPr="00AF67C6">
        <w:rPr>
          <w:rFonts w:ascii="Mulish" w:eastAsia="Mulish" w:hAnsi="Mulish" w:cs="Mulish"/>
          <w:color w:val="0070C0"/>
          <w:u w:val="single"/>
          <w:lang w:eastAsia="es-ES" w:bidi="es-ES"/>
        </w:rPr>
        <w:fldChar w:fldCharType="end"/>
      </w:r>
      <w:r w:rsidR="00C527C3" w:rsidRPr="00AF67C6">
        <w:rPr>
          <w:rFonts w:ascii="Mulish" w:eastAsia="Mulish" w:hAnsi="Mulish" w:cs="Mulish"/>
          <w:color w:val="0070C0"/>
          <w:u w:val="single"/>
          <w:lang w:eastAsia="es-ES" w:bidi="es-ES"/>
        </w:rPr>
        <w:t xml:space="preserve"> </w:t>
      </w:r>
    </w:p>
    <w:bookmarkEnd w:id="0"/>
    <w:p w14:paraId="421CA6CD" w14:textId="77777777" w:rsidR="00C527C3" w:rsidRPr="00F11F63" w:rsidRDefault="00C527C3" w:rsidP="0093132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44DE4BF0" w14:textId="44E2DC03" w:rsidR="00B80115" w:rsidRPr="00FE7B8A" w:rsidRDefault="00B80115" w:rsidP="00B80115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FE7B8A">
        <w:rPr>
          <w:b/>
          <w:bCs/>
          <w:sz w:val="24"/>
          <w:szCs w:val="24"/>
          <w:u w:val="single"/>
        </w:rPr>
        <w:t>Más información:</w:t>
      </w:r>
    </w:p>
    <w:p w14:paraId="4E1F29A5" w14:textId="659995DD" w:rsidR="003769CA" w:rsidRPr="003769CA" w:rsidRDefault="003769CA" w:rsidP="00B80115">
      <w:pPr>
        <w:spacing w:after="0" w:line="240" w:lineRule="auto"/>
        <w:jc w:val="both"/>
        <w:rPr>
          <w:sz w:val="24"/>
          <w:szCs w:val="24"/>
        </w:rPr>
      </w:pPr>
      <w:r w:rsidRPr="003769CA">
        <w:rPr>
          <w:sz w:val="24"/>
          <w:szCs w:val="24"/>
        </w:rPr>
        <w:t xml:space="preserve">91 </w:t>
      </w:r>
      <w:r>
        <w:rPr>
          <w:sz w:val="24"/>
          <w:szCs w:val="24"/>
        </w:rPr>
        <w:t>273 33 45</w:t>
      </w:r>
      <w:r w:rsidR="00E4342C">
        <w:rPr>
          <w:sz w:val="24"/>
          <w:szCs w:val="24"/>
        </w:rPr>
        <w:t xml:space="preserve"> / 91 273 33 00</w:t>
      </w:r>
    </w:p>
    <w:p w14:paraId="6C40E5E0" w14:textId="450BB8AA" w:rsidR="009B3A1E" w:rsidRDefault="00B80115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  <w:r w:rsidRPr="0076793C">
        <w:rPr>
          <w:rStyle w:val="Hipervnculo"/>
          <w:sz w:val="24"/>
          <w:szCs w:val="24"/>
        </w:rPr>
        <w:t>prensa</w:t>
      </w:r>
      <w:hyperlink r:id="rId9" w:history="1">
        <w:r w:rsidRPr="0076793C">
          <w:rPr>
            <w:rStyle w:val="Hipervnculo"/>
            <w:sz w:val="24"/>
            <w:szCs w:val="24"/>
          </w:rPr>
          <w:t>@consejodetransparencia.es</w:t>
        </w:r>
      </w:hyperlink>
    </w:p>
    <w:p w14:paraId="6DB81D82" w14:textId="4B50F691" w:rsidR="00F81DEF" w:rsidRDefault="00F81DEF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6DC1E2A4" w14:textId="3D96BF08" w:rsidR="00F81DEF" w:rsidRDefault="00F81DEF" w:rsidP="00C05613">
      <w:pPr>
        <w:spacing w:after="0" w:line="240" w:lineRule="auto"/>
        <w:jc w:val="both"/>
      </w:pPr>
      <w:r w:rsidRPr="00F81DEF">
        <w:t>Síguenos en</w:t>
      </w:r>
    </w:p>
    <w:p w14:paraId="5B2B6C5F" w14:textId="2BE969E1" w:rsidR="00F81DEF" w:rsidRDefault="00F81DEF" w:rsidP="00C05613">
      <w:pPr>
        <w:spacing w:after="0" w:line="240" w:lineRule="auto"/>
        <w:jc w:val="both"/>
      </w:pPr>
    </w:p>
    <w:p w14:paraId="2DC8F3EE" w14:textId="228A436B" w:rsidR="00CC08A4" w:rsidRDefault="00F81DEF" w:rsidP="00C05613">
      <w:pPr>
        <w:spacing w:after="0" w:line="240" w:lineRule="auto"/>
        <w:jc w:val="both"/>
      </w:pPr>
      <w:r>
        <w:rPr>
          <w:noProof/>
          <w:color w:val="0000FF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41429" wp14:editId="22A86D94">
                <wp:simplePos x="0" y="0"/>
                <wp:positionH relativeFrom="column">
                  <wp:posOffset>744220</wp:posOffset>
                </wp:positionH>
                <wp:positionV relativeFrom="paragraph">
                  <wp:posOffset>42545</wp:posOffset>
                </wp:positionV>
                <wp:extent cx="0" cy="139700"/>
                <wp:effectExtent l="0" t="0" r="38100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58934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3.35pt" to="5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" strokecolor="#007969 [3044]"/>
            </w:pict>
          </mc:Fallback>
        </mc:AlternateContent>
      </w:r>
      <w:r>
        <w:rPr>
          <w:noProof/>
          <w:color w:val="0000FF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47C6" wp14:editId="77A6330E">
                <wp:simplePos x="0" y="0"/>
                <wp:positionH relativeFrom="column">
                  <wp:posOffset>312420</wp:posOffset>
                </wp:positionH>
                <wp:positionV relativeFrom="paragraph">
                  <wp:posOffset>36195</wp:posOffset>
                </wp:positionV>
                <wp:extent cx="0" cy="139700"/>
                <wp:effectExtent l="0" t="0" r="3810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47C83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2.85pt" to="24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" strokecolor="#007969 [3044]"/>
            </w:pict>
          </mc:Fallback>
        </mc:AlternateContent>
      </w:r>
      <w:r>
        <w:rPr>
          <w:noProof/>
          <w:color w:val="0000FF"/>
          <w:lang w:eastAsia="es-ES"/>
        </w:rPr>
        <w:drawing>
          <wp:inline distT="0" distB="0" distL="0" distR="0" wp14:anchorId="1DDA8707" wp14:editId="637AEA0A">
            <wp:extent cx="209550" cy="203200"/>
            <wp:effectExtent l="0" t="0" r="0" b="6350"/>
            <wp:docPr id="5" name="Imagen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eastAsia="es-ES"/>
        </w:rPr>
        <w:drawing>
          <wp:inline distT="0" distB="0" distL="0" distR="0" wp14:anchorId="7369762C" wp14:editId="2FE77A62">
            <wp:extent cx="190500" cy="184150"/>
            <wp:effectExtent l="0" t="0" r="0" b="6350"/>
            <wp:docPr id="3" name="Imagen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eastAsia="es-ES"/>
        </w:rPr>
        <w:drawing>
          <wp:inline distT="0" distB="0" distL="0" distR="0" wp14:anchorId="6B599957" wp14:editId="675C9B0F">
            <wp:extent cx="247650" cy="184150"/>
            <wp:effectExtent l="0" t="0" r="0" b="6350"/>
            <wp:docPr id="1" name="Imagen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8A4" w:rsidSect="004A301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191" w:bottom="1418" w:left="130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399D" w14:textId="77777777" w:rsidR="00E67367" w:rsidRDefault="00E67367" w:rsidP="00E033DF">
      <w:pPr>
        <w:spacing w:after="0" w:line="240" w:lineRule="auto"/>
      </w:pPr>
      <w:r>
        <w:separator/>
      </w:r>
    </w:p>
  </w:endnote>
  <w:endnote w:type="continuationSeparator" w:id="0">
    <w:p w14:paraId="0C2D82B4" w14:textId="77777777" w:rsidR="00E67367" w:rsidRDefault="00E67367" w:rsidP="00E0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9197"/>
      <w:docPartObj>
        <w:docPartGallery w:val="Page Numbers (Bottom of Page)"/>
        <w:docPartUnique/>
      </w:docPartObj>
    </w:sdtPr>
    <w:sdtEndPr/>
    <w:sdtContent>
      <w:p w14:paraId="6C40E5E8" w14:textId="388E40E1" w:rsidR="009B3A1E" w:rsidRPr="00A40308" w:rsidRDefault="00A667E2" w:rsidP="00F436DD">
        <w:pPr>
          <w:pStyle w:val="Piedepgina"/>
          <w:tabs>
            <w:tab w:val="clear" w:pos="8504"/>
          </w:tabs>
          <w:ind w:right="-568"/>
          <w:jc w:val="center"/>
          <w:rPr>
            <w:rFonts w:ascii="Mulish" w:hAnsi="Mulish"/>
            <w:sz w:val="16"/>
            <w:szCs w:val="16"/>
          </w:rPr>
        </w:pPr>
        <w:r w:rsidRPr="00F436DD">
          <w:rPr>
            <w:rFonts w:ascii="Mulish" w:hAnsi="Mulish"/>
            <w:noProof/>
            <w:sz w:val="16"/>
            <w:szCs w:val="16"/>
            <w:lang w:eastAsia="es-ES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C40E5F9" wp14:editId="572EC6D2">
                  <wp:simplePos x="0" y="0"/>
                  <wp:positionH relativeFrom="column">
                    <wp:posOffset>7855585</wp:posOffset>
                  </wp:positionH>
                  <wp:positionV relativeFrom="paragraph">
                    <wp:posOffset>164465</wp:posOffset>
                  </wp:positionV>
                  <wp:extent cx="0" cy="358140"/>
                  <wp:effectExtent l="6985" t="12065" r="12065" b="10795"/>
                  <wp:wrapNone/>
                  <wp:docPr id="980581345" name="AutoSha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58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335C4C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margin-left:618.55pt;margin-top:12.95pt;width:0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ystwEAAFU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"/>
              </w:pict>
            </mc:Fallback>
          </mc:AlternateContent>
        </w:r>
        <w:r w:rsidR="00E94641">
          <w:tab/>
        </w:r>
        <w:r w:rsidRPr="00F436DD">
          <w:rPr>
            <w:rFonts w:ascii="Mulish" w:hAnsi="Mulish"/>
            <w:sz w:val="16"/>
            <w:szCs w:val="16"/>
          </w:rPr>
          <w:fldChar w:fldCharType="begin"/>
        </w:r>
        <w:r w:rsidRPr="00F436DD">
          <w:rPr>
            <w:rFonts w:ascii="Mulish" w:hAnsi="Mulish"/>
            <w:sz w:val="16"/>
            <w:szCs w:val="16"/>
          </w:rPr>
          <w:instrText xml:space="preserve"> PAGE   \* MERGEFORMAT </w:instrText>
        </w:r>
        <w:r w:rsidRPr="00F436DD">
          <w:rPr>
            <w:rFonts w:ascii="Mulish" w:hAnsi="Mulish"/>
            <w:sz w:val="16"/>
            <w:szCs w:val="16"/>
          </w:rPr>
          <w:fldChar w:fldCharType="separate"/>
        </w:r>
        <w:r w:rsidR="000A35BB">
          <w:rPr>
            <w:rFonts w:ascii="Mulish" w:hAnsi="Mulish"/>
            <w:noProof/>
            <w:sz w:val="16"/>
            <w:szCs w:val="16"/>
          </w:rPr>
          <w:t>1</w:t>
        </w:r>
        <w:r w:rsidRPr="00F436DD">
          <w:rPr>
            <w:rFonts w:ascii="Mulish" w:hAnsi="Mulish"/>
            <w:noProof/>
            <w:sz w:val="16"/>
            <w:szCs w:val="16"/>
          </w:rPr>
          <w:fldChar w:fldCharType="end"/>
        </w:r>
        <w:r w:rsidR="009B3A1E" w:rsidRPr="00F436DD">
          <w:rPr>
            <w:rFonts w:ascii="Mulish" w:hAnsi="Mulish"/>
            <w:sz w:val="16"/>
            <w:szCs w:val="16"/>
          </w:rPr>
          <w:t xml:space="preserve">  </w:t>
        </w:r>
        <w:r w:rsidR="009B3A1E" w:rsidRPr="00A40308">
          <w:rPr>
            <w:rFonts w:ascii="Mulish" w:hAnsi="Mulish"/>
          </w:rPr>
          <w:t xml:space="preserve">                                                                                                            </w:t>
        </w:r>
        <w:r w:rsidR="009B3A1E" w:rsidRPr="00A40308">
          <w:rPr>
            <w:rFonts w:ascii="Mulish" w:hAnsi="Mulish"/>
            <w:sz w:val="16"/>
            <w:szCs w:val="16"/>
          </w:rPr>
          <w:t>CONSEJO DE TRANSPARENCIA</w:t>
        </w:r>
        <w:r w:rsidR="00F51DB5" w:rsidRPr="00A40308">
          <w:rPr>
            <w:rFonts w:ascii="Mulish" w:hAnsi="Mulish"/>
            <w:sz w:val="16"/>
            <w:szCs w:val="16"/>
          </w:rPr>
          <w:t xml:space="preserve"> </w:t>
        </w:r>
        <w:r w:rsidR="00DD76CF" w:rsidRPr="00A40308">
          <w:rPr>
            <w:rFonts w:ascii="Mulish" w:hAnsi="Mulish"/>
            <w:sz w:val="16"/>
            <w:szCs w:val="16"/>
          </w:rPr>
          <w:t>AAI</w:t>
        </w:r>
        <w:r w:rsidR="009B3A1E" w:rsidRPr="00A40308">
          <w:rPr>
            <w:rFonts w:ascii="Mulish" w:hAnsi="Mulish"/>
            <w:noProof/>
            <w:sz w:val="24"/>
            <w:szCs w:val="24"/>
            <w:lang w:eastAsia="es-ES"/>
          </w:rPr>
          <w:t xml:space="preserve"> </w:t>
        </w:r>
      </w:p>
      <w:p w14:paraId="6C40E5E9" w14:textId="77777777" w:rsidR="004E6B2E" w:rsidRDefault="00ED4D27" w:rsidP="005B3D95">
        <w:pPr>
          <w:pStyle w:val="Piedepgin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5F5" w14:textId="413E2187" w:rsidR="009B3A1E" w:rsidRPr="000974DF" w:rsidRDefault="00A667E2" w:rsidP="001021B2">
    <w:pPr>
      <w:pStyle w:val="Piedepgina"/>
      <w:jc w:val="center"/>
      <w:rPr>
        <w:rFonts w:ascii="Mulish" w:hAnsi="Mulish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56DAD95" wp14:editId="4E703215">
              <wp:simplePos x="0" y="0"/>
              <wp:positionH relativeFrom="page">
                <wp:posOffset>876935</wp:posOffset>
              </wp:positionH>
              <wp:positionV relativeFrom="page">
                <wp:posOffset>10072370</wp:posOffset>
              </wp:positionV>
              <wp:extent cx="1299845" cy="365760"/>
              <wp:effectExtent l="0" t="0" r="0" b="0"/>
              <wp:wrapNone/>
              <wp:docPr id="3599534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F72EF" w14:textId="77777777" w:rsidR="00362D91" w:rsidRPr="00A655A2" w:rsidRDefault="00362D91" w:rsidP="00362D91">
                          <w:pPr>
                            <w:spacing w:before="20" w:line="225" w:lineRule="auto"/>
                            <w:ind w:left="20" w:right="-18"/>
                            <w:rPr>
                              <w:rFonts w:ascii="Mulish" w:hAnsi="Mulish"/>
                              <w:sz w:val="14"/>
                            </w:rPr>
                          </w:pPr>
                          <w:r w:rsidRPr="00A655A2">
                            <w:rPr>
                              <w:rFonts w:ascii="Mulish" w:hAnsi="Mulish"/>
                              <w:b/>
                              <w:sz w:val="14"/>
                            </w:rPr>
                            <w:t xml:space="preserve">Consejo de Transparencia AAI </w:t>
                          </w:r>
                          <w:r w:rsidRPr="00A655A2">
                            <w:rPr>
                              <w:rFonts w:ascii="Mulish" w:hAnsi="Mulish"/>
                              <w:sz w:val="14"/>
                            </w:rPr>
                            <w:t>C/ José Abascal, nº 2, 5º-C 28003 MADRID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AD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9.05pt;margin-top:793.1pt;width:102.35pt;height:28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" filled="f" stroked="f">
              <v:textbox inset="0,0,0,0">
                <w:txbxContent>
                  <w:p w14:paraId="5DFF72EF" w14:textId="77777777" w:rsidR="00362D91" w:rsidRPr="00A655A2" w:rsidRDefault="00362D91" w:rsidP="00362D91">
                    <w:pPr>
                      <w:spacing w:before="20" w:line="225" w:lineRule="auto"/>
                      <w:ind w:left="20" w:right="-18"/>
                      <w:rPr>
                        <w:rFonts w:ascii="Mulish" w:hAnsi="Mulish"/>
                        <w:sz w:val="14"/>
                      </w:rPr>
                    </w:pPr>
                    <w:r w:rsidRPr="00A655A2">
                      <w:rPr>
                        <w:rFonts w:ascii="Mulish" w:hAnsi="Mulish"/>
                        <w:b/>
                        <w:sz w:val="14"/>
                      </w:rPr>
                      <w:t xml:space="preserve">Consejo de Transparencia AAI </w:t>
                    </w:r>
                    <w:r w:rsidRPr="00A655A2">
                      <w:rPr>
                        <w:rFonts w:ascii="Mulish" w:hAnsi="Mulish"/>
                        <w:sz w:val="14"/>
                      </w:rPr>
                      <w:t>C/ José Abascal, nº 2, 5º-C 28003 MADRID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9F40DE2" wp14:editId="52CD6E8A">
              <wp:simplePos x="0" y="0"/>
              <wp:positionH relativeFrom="page">
                <wp:posOffset>4848860</wp:posOffset>
              </wp:positionH>
              <wp:positionV relativeFrom="page">
                <wp:posOffset>10081260</wp:posOffset>
              </wp:positionV>
              <wp:extent cx="2000250" cy="419100"/>
              <wp:effectExtent l="0" t="0" r="0" b="0"/>
              <wp:wrapNone/>
              <wp:docPr id="4438871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F72C9" w14:textId="77777777" w:rsidR="001C2B35" w:rsidRPr="00A655A2" w:rsidRDefault="00ED4D27" w:rsidP="001C2B35">
                          <w:pPr>
                            <w:tabs>
                              <w:tab w:val="left" w:pos="2798"/>
                            </w:tabs>
                            <w:spacing w:before="20" w:line="225" w:lineRule="auto"/>
                            <w:ind w:left="101" w:right="342" w:hanging="82"/>
                            <w:jc w:val="right"/>
                            <w:rPr>
                              <w:rFonts w:ascii="Mulish" w:hAnsi="Mulish"/>
                              <w:sz w:val="14"/>
                            </w:rPr>
                          </w:pPr>
                          <w:hyperlink r:id="rId1">
                            <w:r w:rsidR="001C2B35" w:rsidRPr="00A655A2">
                              <w:rPr>
                                <w:rFonts w:ascii="Mulish" w:hAnsi="Mulish"/>
                                <w:sz w:val="14"/>
                              </w:rPr>
                              <w:t>email: ctbg@consejodetransparencia.es</w:t>
                            </w:r>
                          </w:hyperlink>
                          <w:r w:rsidR="001C2B35" w:rsidRPr="00A655A2">
                            <w:rPr>
                              <w:rFonts w:ascii="Mulish" w:hAnsi="Mulish"/>
                              <w:sz w:val="14"/>
                            </w:rPr>
                            <w:t xml:space="preserve"> Teléfono: 91 273 33 20 - 91 273 33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40DE2" id="Cuadro de texto 1" o:spid="_x0000_s1027" type="#_x0000_t202" style="position:absolute;left:0;text-align:left;margin-left:381.8pt;margin-top:793.8pt;width:157.5pt;height:3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" filled="f" stroked="f">
              <v:textbox inset="0,0,0,0">
                <w:txbxContent>
                  <w:p w14:paraId="59EF72C9" w14:textId="77777777" w:rsidR="001C2B35" w:rsidRPr="00A655A2" w:rsidRDefault="004A7B57" w:rsidP="001C2B35">
                    <w:pPr>
                      <w:tabs>
                        <w:tab w:val="left" w:pos="2798"/>
                      </w:tabs>
                      <w:spacing w:before="20" w:line="225" w:lineRule="auto"/>
                      <w:ind w:left="101" w:right="342" w:hanging="82"/>
                      <w:jc w:val="right"/>
                      <w:rPr>
                        <w:rFonts w:ascii="Mulish" w:hAnsi="Mulish"/>
                        <w:sz w:val="14"/>
                      </w:rPr>
                    </w:pPr>
                    <w:hyperlink r:id="rId2">
                      <w:r w:rsidR="001C2B35" w:rsidRPr="00A655A2">
                        <w:rPr>
                          <w:rFonts w:ascii="Mulish" w:hAnsi="Mulish"/>
                          <w:sz w:val="14"/>
                        </w:rPr>
                        <w:t>email: ctbg@consejodetransparencia.es</w:t>
                      </w:r>
                    </w:hyperlink>
                    <w:r w:rsidR="001C2B35" w:rsidRPr="00A655A2">
                      <w:rPr>
                        <w:rFonts w:ascii="Mulish" w:hAnsi="Mulish"/>
                        <w:sz w:val="14"/>
                      </w:rPr>
                      <w:t xml:space="preserve"> Teléfono: 91 273 33 20 - 91 273 33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A91">
      <w:tab/>
    </w:r>
    <w:r w:rsidR="00F31A91">
      <w:tab/>
    </w:r>
    <w:r w:rsidR="00F31A91">
      <w:tab/>
    </w:r>
    <w:r w:rsidR="00F31A91">
      <w:tab/>
    </w:r>
    <w:r w:rsidR="001C2B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13C4" w14:textId="77777777" w:rsidR="00E67367" w:rsidRDefault="00E67367" w:rsidP="00E033DF">
      <w:pPr>
        <w:spacing w:after="0" w:line="240" w:lineRule="auto"/>
      </w:pPr>
      <w:r>
        <w:separator/>
      </w:r>
    </w:p>
  </w:footnote>
  <w:footnote w:type="continuationSeparator" w:id="0">
    <w:p w14:paraId="7CBDC4AC" w14:textId="77777777" w:rsidR="00E67367" w:rsidRDefault="00E67367" w:rsidP="00E033DF">
      <w:pPr>
        <w:spacing w:after="0" w:line="240" w:lineRule="auto"/>
      </w:pPr>
      <w:r>
        <w:continuationSeparator/>
      </w:r>
    </w:p>
  </w:footnote>
  <w:footnote w:id="1">
    <w:p w14:paraId="44F458E7" w14:textId="6B95AA70" w:rsidR="00B23CC5" w:rsidRDefault="00B23CC5">
      <w:pPr>
        <w:pStyle w:val="Textonotapie"/>
      </w:pPr>
      <w:r>
        <w:rPr>
          <w:rStyle w:val="Refdenotaalpie"/>
        </w:rPr>
        <w:footnoteRef/>
      </w:r>
      <w:r>
        <w:t xml:space="preserve"> Estimación por motivos formales: al haber proporcionado la administración o entidad reclamada toda o parte de la información fuera de plazo y tras la intervención del Consejo después de que la persona interesada presentara reclamación ante el CTBG.</w:t>
      </w:r>
    </w:p>
  </w:footnote>
  <w:footnote w:id="2">
    <w:p w14:paraId="25B7A32D" w14:textId="1A588617" w:rsidR="00B23CC5" w:rsidRDefault="00B23CC5">
      <w:pPr>
        <w:pStyle w:val="Textonotapie"/>
      </w:pPr>
      <w:r>
        <w:rPr>
          <w:rStyle w:val="Refdenotaalpie"/>
        </w:rPr>
        <w:footnoteRef/>
      </w:r>
      <w:r>
        <w:t xml:space="preserve"> El CTBG resolvió las </w:t>
      </w:r>
      <w:r w:rsidRPr="006F454E">
        <w:t xml:space="preserve">reclamaciones recibidas </w:t>
      </w:r>
      <w:r>
        <w:t>hasta</w:t>
      </w:r>
      <w:r w:rsidRPr="006F454E">
        <w:t xml:space="preserve"> noviembre </w:t>
      </w:r>
      <w:r>
        <w:t>de 2023</w:t>
      </w:r>
      <w:r w:rsidRPr="006F454E">
        <w:t>, cuando se creó formalmente el Consejo Regional de Transparencia de Castilla-La Mancha.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1301" w14:textId="3526B498" w:rsidR="00A666AD" w:rsidRDefault="005F4C91" w:rsidP="008D3392">
    <w:pPr>
      <w:pStyle w:val="Encabezado"/>
      <w:ind w:left="-284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83840" behindDoc="0" locked="0" layoutInCell="1" allowOverlap="1" wp14:anchorId="009FC8A4" wp14:editId="4DAE984A">
          <wp:simplePos x="0" y="0"/>
          <wp:positionH relativeFrom="margin">
            <wp:posOffset>2028190</wp:posOffset>
          </wp:positionH>
          <wp:positionV relativeFrom="margin">
            <wp:posOffset>-796925</wp:posOffset>
          </wp:positionV>
          <wp:extent cx="1798320" cy="419100"/>
          <wp:effectExtent l="0" t="0" r="0" b="0"/>
          <wp:wrapSquare wrapText="bothSides"/>
          <wp:docPr id="1704970856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835127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353F07" w14:textId="005417EE" w:rsidR="00A666AD" w:rsidRDefault="00A666AD" w:rsidP="008D3392">
    <w:pPr>
      <w:pStyle w:val="Encabezado"/>
      <w:ind w:left="-284"/>
      <w:rPr>
        <w:sz w:val="16"/>
        <w:szCs w:val="16"/>
      </w:rPr>
    </w:pPr>
  </w:p>
  <w:p w14:paraId="4F080CFF" w14:textId="77777777" w:rsidR="00A666AD" w:rsidRDefault="00A666AD" w:rsidP="008D3392">
    <w:pPr>
      <w:pStyle w:val="Encabezado"/>
      <w:ind w:left="-284"/>
      <w:rPr>
        <w:sz w:val="16"/>
        <w:szCs w:val="16"/>
      </w:rPr>
    </w:pPr>
  </w:p>
  <w:p w14:paraId="06866FF9" w14:textId="77777777" w:rsidR="00A666AD" w:rsidRDefault="00A666AD" w:rsidP="008D3392">
    <w:pPr>
      <w:pStyle w:val="Encabezado"/>
      <w:ind w:left="-284"/>
      <w:rPr>
        <w:sz w:val="16"/>
        <w:szCs w:val="16"/>
      </w:rPr>
    </w:pPr>
  </w:p>
  <w:p w14:paraId="1BA3DC98" w14:textId="77777777" w:rsidR="00A666AD" w:rsidRDefault="00A666AD" w:rsidP="008D3392">
    <w:pPr>
      <w:pStyle w:val="Encabezado"/>
      <w:ind w:left="-284"/>
      <w:rPr>
        <w:sz w:val="16"/>
        <w:szCs w:val="16"/>
      </w:rPr>
    </w:pPr>
  </w:p>
  <w:p w14:paraId="6C40E5E5" w14:textId="081D95D3" w:rsidR="004E6B2E" w:rsidRPr="005951F3" w:rsidRDefault="004E6B2E" w:rsidP="008D3392">
    <w:pPr>
      <w:pStyle w:val="Encabezado"/>
      <w:ind w:left="-284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5EB" w14:textId="31BCD447" w:rsidR="005D4FB7" w:rsidRDefault="00F3528C" w:rsidP="00407A64">
    <w:pPr>
      <w:pStyle w:val="Sinespaciado"/>
      <w:tabs>
        <w:tab w:val="left" w:pos="6705"/>
      </w:tabs>
      <w:ind w:left="-284"/>
    </w:pPr>
    <w:r>
      <w:tab/>
    </w:r>
  </w:p>
  <w:p w14:paraId="6C40E5EC" w14:textId="568A3200" w:rsidR="004E6B2E" w:rsidRDefault="004E6B2E" w:rsidP="00E873AB">
    <w:pPr>
      <w:pStyle w:val="Encabezado"/>
    </w:pPr>
  </w:p>
  <w:p w14:paraId="6C40E5F1" w14:textId="77777777" w:rsidR="00F31A91" w:rsidRDefault="00F31A91" w:rsidP="00E873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EF3"/>
    <w:multiLevelType w:val="hybridMultilevel"/>
    <w:tmpl w:val="31F60E42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ED5189"/>
    <w:multiLevelType w:val="hybridMultilevel"/>
    <w:tmpl w:val="93604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3346"/>
    <w:multiLevelType w:val="hybridMultilevel"/>
    <w:tmpl w:val="D2C8F7F8"/>
    <w:lvl w:ilvl="0" w:tplc="07A46A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C837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305A0"/>
    <w:multiLevelType w:val="hybridMultilevel"/>
    <w:tmpl w:val="FF68F5BC"/>
    <w:lvl w:ilvl="0" w:tplc="CA582274">
      <w:start w:val="1"/>
      <w:numFmt w:val="bullet"/>
      <w:lvlText w:val="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3610947"/>
    <w:multiLevelType w:val="hybridMultilevel"/>
    <w:tmpl w:val="7AD0E230"/>
    <w:lvl w:ilvl="0" w:tplc="F22AECF0">
      <w:numFmt w:val="bullet"/>
      <w:lvlText w:val="•"/>
      <w:lvlJc w:val="left"/>
      <w:pPr>
        <w:ind w:left="786" w:hanging="360"/>
      </w:pPr>
      <w:rPr>
        <w:rFonts w:ascii="Mulish" w:eastAsia="Mulish" w:hAnsi="Mulish" w:cs="Mulish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8"/>
    <w:rsid w:val="00020447"/>
    <w:rsid w:val="000319A0"/>
    <w:rsid w:val="00034F82"/>
    <w:rsid w:val="0004559F"/>
    <w:rsid w:val="000566D2"/>
    <w:rsid w:val="00067423"/>
    <w:rsid w:val="000974DF"/>
    <w:rsid w:val="000A35BB"/>
    <w:rsid w:val="000B3967"/>
    <w:rsid w:val="000B5372"/>
    <w:rsid w:val="000E50C4"/>
    <w:rsid w:val="000F6044"/>
    <w:rsid w:val="00101E4F"/>
    <w:rsid w:val="001021B2"/>
    <w:rsid w:val="00110D03"/>
    <w:rsid w:val="00126747"/>
    <w:rsid w:val="001269C2"/>
    <w:rsid w:val="0014110E"/>
    <w:rsid w:val="001415FA"/>
    <w:rsid w:val="00153863"/>
    <w:rsid w:val="001543D9"/>
    <w:rsid w:val="00161CD5"/>
    <w:rsid w:val="00172B40"/>
    <w:rsid w:val="0018353B"/>
    <w:rsid w:val="001C2B35"/>
    <w:rsid w:val="001C5FD8"/>
    <w:rsid w:val="00201626"/>
    <w:rsid w:val="00224350"/>
    <w:rsid w:val="00224C4F"/>
    <w:rsid w:val="0022506A"/>
    <w:rsid w:val="002504D4"/>
    <w:rsid w:val="0025152B"/>
    <w:rsid w:val="0027108E"/>
    <w:rsid w:val="00285BCA"/>
    <w:rsid w:val="00291C44"/>
    <w:rsid w:val="00292E9B"/>
    <w:rsid w:val="0029425B"/>
    <w:rsid w:val="002D243D"/>
    <w:rsid w:val="002D6E52"/>
    <w:rsid w:val="002E3710"/>
    <w:rsid w:val="002E4E66"/>
    <w:rsid w:val="0033660C"/>
    <w:rsid w:val="00343319"/>
    <w:rsid w:val="00362D91"/>
    <w:rsid w:val="003769CA"/>
    <w:rsid w:val="003A47B6"/>
    <w:rsid w:val="003B4951"/>
    <w:rsid w:val="003C3727"/>
    <w:rsid w:val="003C6393"/>
    <w:rsid w:val="003C665C"/>
    <w:rsid w:val="003C685A"/>
    <w:rsid w:val="003D41CC"/>
    <w:rsid w:val="003D5AFA"/>
    <w:rsid w:val="003D5D48"/>
    <w:rsid w:val="003E58C6"/>
    <w:rsid w:val="003F5854"/>
    <w:rsid w:val="00407A64"/>
    <w:rsid w:val="004142AB"/>
    <w:rsid w:val="00414BC4"/>
    <w:rsid w:val="00430FF2"/>
    <w:rsid w:val="0045331D"/>
    <w:rsid w:val="0045349D"/>
    <w:rsid w:val="00453CB8"/>
    <w:rsid w:val="004562CA"/>
    <w:rsid w:val="00463E2A"/>
    <w:rsid w:val="00492494"/>
    <w:rsid w:val="004A016D"/>
    <w:rsid w:val="004A3012"/>
    <w:rsid w:val="004A5EA5"/>
    <w:rsid w:val="004A7B57"/>
    <w:rsid w:val="004C1C44"/>
    <w:rsid w:val="004D002C"/>
    <w:rsid w:val="004D3C31"/>
    <w:rsid w:val="004E0069"/>
    <w:rsid w:val="004E3AC4"/>
    <w:rsid w:val="004E6B2E"/>
    <w:rsid w:val="004E6B57"/>
    <w:rsid w:val="00504398"/>
    <w:rsid w:val="00505712"/>
    <w:rsid w:val="00510216"/>
    <w:rsid w:val="00532CA0"/>
    <w:rsid w:val="00533D96"/>
    <w:rsid w:val="005432EE"/>
    <w:rsid w:val="00553F22"/>
    <w:rsid w:val="00577451"/>
    <w:rsid w:val="00582BFC"/>
    <w:rsid w:val="005951F3"/>
    <w:rsid w:val="00595BD8"/>
    <w:rsid w:val="00596401"/>
    <w:rsid w:val="00596E55"/>
    <w:rsid w:val="005B0C58"/>
    <w:rsid w:val="005B1E17"/>
    <w:rsid w:val="005B3D95"/>
    <w:rsid w:val="005D2C95"/>
    <w:rsid w:val="005D4FB7"/>
    <w:rsid w:val="005D6069"/>
    <w:rsid w:val="005F0500"/>
    <w:rsid w:val="005F4C91"/>
    <w:rsid w:val="0060797D"/>
    <w:rsid w:val="00613BF1"/>
    <w:rsid w:val="0064406A"/>
    <w:rsid w:val="00644241"/>
    <w:rsid w:val="0064511D"/>
    <w:rsid w:val="00647FA0"/>
    <w:rsid w:val="00673B8A"/>
    <w:rsid w:val="00674F31"/>
    <w:rsid w:val="00686DAC"/>
    <w:rsid w:val="0069451C"/>
    <w:rsid w:val="006B065E"/>
    <w:rsid w:val="006B4BB2"/>
    <w:rsid w:val="006C4529"/>
    <w:rsid w:val="006D76DE"/>
    <w:rsid w:val="006E2CA6"/>
    <w:rsid w:val="006E6BAE"/>
    <w:rsid w:val="006F454E"/>
    <w:rsid w:val="0070731B"/>
    <w:rsid w:val="007101D5"/>
    <w:rsid w:val="00714265"/>
    <w:rsid w:val="00721825"/>
    <w:rsid w:val="0077727F"/>
    <w:rsid w:val="007827CC"/>
    <w:rsid w:val="007905BA"/>
    <w:rsid w:val="007A5F48"/>
    <w:rsid w:val="007B410A"/>
    <w:rsid w:val="007D462E"/>
    <w:rsid w:val="007F57CD"/>
    <w:rsid w:val="008217AF"/>
    <w:rsid w:val="00823D5E"/>
    <w:rsid w:val="00882413"/>
    <w:rsid w:val="008D3392"/>
    <w:rsid w:val="008D4FFA"/>
    <w:rsid w:val="008E0658"/>
    <w:rsid w:val="008E2617"/>
    <w:rsid w:val="00902756"/>
    <w:rsid w:val="0090740F"/>
    <w:rsid w:val="0091306E"/>
    <w:rsid w:val="00916A7F"/>
    <w:rsid w:val="00920332"/>
    <w:rsid w:val="00920FC8"/>
    <w:rsid w:val="00922C73"/>
    <w:rsid w:val="009305D3"/>
    <w:rsid w:val="0093132C"/>
    <w:rsid w:val="00945360"/>
    <w:rsid w:val="00946059"/>
    <w:rsid w:val="00966AFC"/>
    <w:rsid w:val="00967E04"/>
    <w:rsid w:val="00975043"/>
    <w:rsid w:val="00993416"/>
    <w:rsid w:val="009A3451"/>
    <w:rsid w:val="009B3212"/>
    <w:rsid w:val="009B3A1E"/>
    <w:rsid w:val="009C1C4B"/>
    <w:rsid w:val="00A0030B"/>
    <w:rsid w:val="00A035A9"/>
    <w:rsid w:val="00A40308"/>
    <w:rsid w:val="00A4131E"/>
    <w:rsid w:val="00A5464E"/>
    <w:rsid w:val="00A666AD"/>
    <w:rsid w:val="00A667E2"/>
    <w:rsid w:val="00A67359"/>
    <w:rsid w:val="00A90913"/>
    <w:rsid w:val="00A96018"/>
    <w:rsid w:val="00AA0900"/>
    <w:rsid w:val="00AA5B4D"/>
    <w:rsid w:val="00AA7167"/>
    <w:rsid w:val="00AB13E9"/>
    <w:rsid w:val="00AC00C8"/>
    <w:rsid w:val="00AC124E"/>
    <w:rsid w:val="00AD4EAB"/>
    <w:rsid w:val="00AF67C6"/>
    <w:rsid w:val="00B23CC5"/>
    <w:rsid w:val="00B25D70"/>
    <w:rsid w:val="00B27714"/>
    <w:rsid w:val="00B33F7D"/>
    <w:rsid w:val="00B3476E"/>
    <w:rsid w:val="00B3521D"/>
    <w:rsid w:val="00B80115"/>
    <w:rsid w:val="00B92379"/>
    <w:rsid w:val="00B964F3"/>
    <w:rsid w:val="00BA4068"/>
    <w:rsid w:val="00BA62A5"/>
    <w:rsid w:val="00BC1926"/>
    <w:rsid w:val="00BD42E2"/>
    <w:rsid w:val="00BE5145"/>
    <w:rsid w:val="00BF435B"/>
    <w:rsid w:val="00C00902"/>
    <w:rsid w:val="00C05613"/>
    <w:rsid w:val="00C23867"/>
    <w:rsid w:val="00C34F68"/>
    <w:rsid w:val="00C40DD4"/>
    <w:rsid w:val="00C51199"/>
    <w:rsid w:val="00C527C3"/>
    <w:rsid w:val="00C613D2"/>
    <w:rsid w:val="00C6302D"/>
    <w:rsid w:val="00C94749"/>
    <w:rsid w:val="00CA1CA7"/>
    <w:rsid w:val="00CA7D21"/>
    <w:rsid w:val="00CC08A4"/>
    <w:rsid w:val="00CD4664"/>
    <w:rsid w:val="00CF04E9"/>
    <w:rsid w:val="00CF7BBC"/>
    <w:rsid w:val="00D04F1E"/>
    <w:rsid w:val="00D13FB4"/>
    <w:rsid w:val="00D242B7"/>
    <w:rsid w:val="00D35623"/>
    <w:rsid w:val="00D4711D"/>
    <w:rsid w:val="00D519BA"/>
    <w:rsid w:val="00D70DAE"/>
    <w:rsid w:val="00D71C8B"/>
    <w:rsid w:val="00D74DBF"/>
    <w:rsid w:val="00D82B8F"/>
    <w:rsid w:val="00D93854"/>
    <w:rsid w:val="00DA1AA8"/>
    <w:rsid w:val="00DB785C"/>
    <w:rsid w:val="00DC0389"/>
    <w:rsid w:val="00DC45C2"/>
    <w:rsid w:val="00DD76CF"/>
    <w:rsid w:val="00DF0AA4"/>
    <w:rsid w:val="00DF50CF"/>
    <w:rsid w:val="00DF52D8"/>
    <w:rsid w:val="00DF62C2"/>
    <w:rsid w:val="00E033DF"/>
    <w:rsid w:val="00E06776"/>
    <w:rsid w:val="00E1510B"/>
    <w:rsid w:val="00E35A1A"/>
    <w:rsid w:val="00E369D7"/>
    <w:rsid w:val="00E42F8B"/>
    <w:rsid w:val="00E4342C"/>
    <w:rsid w:val="00E534D8"/>
    <w:rsid w:val="00E67367"/>
    <w:rsid w:val="00E873AB"/>
    <w:rsid w:val="00E94641"/>
    <w:rsid w:val="00EB7AAC"/>
    <w:rsid w:val="00EC3BCB"/>
    <w:rsid w:val="00ED25BC"/>
    <w:rsid w:val="00ED4D27"/>
    <w:rsid w:val="00EF73CF"/>
    <w:rsid w:val="00EF73FE"/>
    <w:rsid w:val="00EF7F60"/>
    <w:rsid w:val="00F11F63"/>
    <w:rsid w:val="00F12E78"/>
    <w:rsid w:val="00F14055"/>
    <w:rsid w:val="00F21F37"/>
    <w:rsid w:val="00F24BA9"/>
    <w:rsid w:val="00F253DF"/>
    <w:rsid w:val="00F26144"/>
    <w:rsid w:val="00F30B12"/>
    <w:rsid w:val="00F313BC"/>
    <w:rsid w:val="00F31A91"/>
    <w:rsid w:val="00F34666"/>
    <w:rsid w:val="00F3528C"/>
    <w:rsid w:val="00F436DD"/>
    <w:rsid w:val="00F51DB5"/>
    <w:rsid w:val="00F558D9"/>
    <w:rsid w:val="00F73ACD"/>
    <w:rsid w:val="00F744E1"/>
    <w:rsid w:val="00F80C9A"/>
    <w:rsid w:val="00F81DEF"/>
    <w:rsid w:val="00F97BAD"/>
    <w:rsid w:val="00FB7204"/>
    <w:rsid w:val="00FC30EA"/>
    <w:rsid w:val="00FC3B76"/>
    <w:rsid w:val="00FC7309"/>
    <w:rsid w:val="00FD0A75"/>
    <w:rsid w:val="00FD375B"/>
    <w:rsid w:val="00FD7623"/>
    <w:rsid w:val="00FE22F2"/>
    <w:rsid w:val="00FE5C64"/>
    <w:rsid w:val="00FE6C2A"/>
    <w:rsid w:val="00FE7B8A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0E5B0"/>
  <w15:docId w15:val="{3A54E176-1594-43FE-802E-0F09132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A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8E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3DF"/>
  </w:style>
  <w:style w:type="paragraph" w:styleId="Piedepgina">
    <w:name w:val="footer"/>
    <w:basedOn w:val="Normal"/>
    <w:link w:val="PiedepginaCar"/>
    <w:uiPriority w:val="99"/>
    <w:unhideWhenUsed/>
    <w:rsid w:val="00E0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3DF"/>
  </w:style>
  <w:style w:type="paragraph" w:styleId="Sinespaciado">
    <w:name w:val="No Spacing"/>
    <w:uiPriority w:val="1"/>
    <w:qFormat/>
    <w:rsid w:val="0018353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835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35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353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5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3A1E"/>
    <w:rPr>
      <w:color w:val="034638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07A64"/>
    <w:pPr>
      <w:widowControl w:val="0"/>
      <w:autoSpaceDE w:val="0"/>
      <w:autoSpaceDN w:val="0"/>
      <w:spacing w:after="0" w:line="240" w:lineRule="auto"/>
    </w:pPr>
    <w:rPr>
      <w:rFonts w:ascii="Mulish" w:eastAsia="Mulish" w:hAnsi="Mulish" w:cs="Mulish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7A64"/>
    <w:rPr>
      <w:rFonts w:ascii="Mulish" w:eastAsia="Mulish" w:hAnsi="Mulish" w:cs="Mulish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34"/>
    <w:qFormat/>
    <w:rsid w:val="00BA4068"/>
    <w:pPr>
      <w:ind w:left="720"/>
      <w:contextualSpacing/>
    </w:p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BA406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BA40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C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C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4C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clara">
    <w:name w:val="Grid Table Light"/>
    <w:basedOn w:val="Tablanormal"/>
    <w:uiPriority w:val="40"/>
    <w:rsid w:val="00BA4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2">
    <w:name w:val="List Table 3 Accent 2"/>
    <w:basedOn w:val="Tablanormal"/>
    <w:uiPriority w:val="48"/>
    <w:rsid w:val="00EF73FE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CB9700" w:themeColor="accent2"/>
        <w:left w:val="single" w:sz="4" w:space="0" w:color="CB9700" w:themeColor="accent2"/>
        <w:bottom w:val="single" w:sz="4" w:space="0" w:color="CB9700" w:themeColor="accent2"/>
        <w:right w:val="single" w:sz="4" w:space="0" w:color="CB97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B9700" w:themeFill="accent2"/>
      </w:tcPr>
    </w:tblStylePr>
    <w:tblStylePr w:type="lastRow">
      <w:rPr>
        <w:b/>
        <w:bCs/>
      </w:rPr>
      <w:tblPr/>
      <w:tcPr>
        <w:tcBorders>
          <w:top w:val="double" w:sz="4" w:space="0" w:color="CB9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9700" w:themeColor="accent2"/>
          <w:right w:val="single" w:sz="4" w:space="0" w:color="CB9700" w:themeColor="accent2"/>
        </w:tcBorders>
      </w:tcPr>
    </w:tblStylePr>
    <w:tblStylePr w:type="band1Horz">
      <w:tblPr/>
      <w:tcPr>
        <w:tcBorders>
          <w:top w:val="single" w:sz="4" w:space="0" w:color="CB9700" w:themeColor="accent2"/>
          <w:bottom w:val="single" w:sz="4" w:space="0" w:color="CB9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9700" w:themeColor="accent2"/>
          <w:left w:val="nil"/>
        </w:tcBorders>
      </w:tcPr>
    </w:tblStylePr>
    <w:tblStylePr w:type="swCell">
      <w:tblPr/>
      <w:tcPr>
        <w:tcBorders>
          <w:top w:val="double" w:sz="4" w:space="0" w:color="CB9700" w:themeColor="accent2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70DA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4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4D4"/>
    <w:rPr>
      <w:b/>
      <w:bCs/>
      <w:sz w:val="20"/>
      <w:szCs w:val="20"/>
    </w:rPr>
  </w:style>
  <w:style w:type="character" w:customStyle="1" w:styleId="css-1jxf684">
    <w:name w:val="css-1jxf684"/>
    <w:basedOn w:val="Fuentedeprrafopredeter"/>
    <w:rsid w:val="00F313BC"/>
  </w:style>
  <w:style w:type="character" w:customStyle="1" w:styleId="r-18u37iz">
    <w:name w:val="r-18u37iz"/>
    <w:basedOn w:val="Fuentedeprrafopredeter"/>
    <w:rsid w:val="00F313BC"/>
  </w:style>
  <w:style w:type="paragraph" w:styleId="Textonotapie">
    <w:name w:val="footnote text"/>
    <w:basedOn w:val="Normal"/>
    <w:link w:val="TextonotapieCar"/>
    <w:uiPriority w:val="99"/>
    <w:semiHidden/>
    <w:unhideWhenUsed/>
    <w:rsid w:val="00A673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3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735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F67C6"/>
    <w:rPr>
      <w:color w:val="CB97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jodetransparencia.es/ct_Home/Actividad/memorias_planes/memoria2023.html" TargetMode="External"/><Relationship Id="rId13" Type="http://schemas.openxmlformats.org/officeDocument/2006/relationships/hyperlink" Target="https://www.linkedin.com/authwall?trk=bf&amp;trkInfo=AQHsj-9JU3RDbwAAAY8_XD5oexyQbvJFoppOZUfcq-yTyWV4LECbrml6BRqJn42msVFXytwGQLsij8Xsg_GiIqVfUYN4yf-Z-EE9XoKg8Dz0xmoRd4kc4cWi0-R3xDC8dVvSg84=&amp;original_referer=&amp;sessionRedirect=https%3A%2F%2Fwww.linkedin.com%2Fcompany%2Fconsejodetransparenciaybuengobierno%2F%3FviewAsMember%3Dtrue" TargetMode="External"/><Relationship Id="rId18" Type="http://schemas.openxmlformats.org/officeDocument/2006/relationships/image" Target="cid:image005.jpg@01DAD11C.73F5F7C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cid:image002.jpg@01DAD11C.73F5F7C0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@consejodetransparenciaybue3615/vide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4.jpg@01DAD11C.73F5F7C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witter.com/ConsejoT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@consejodetransparencia.es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bg@consejodetransparencia.es" TargetMode="External"/><Relationship Id="rId1" Type="http://schemas.openxmlformats.org/officeDocument/2006/relationships/hyperlink" Target="mailto:ctbg@consejodetransparen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C0C0C"/>
      </a:dk1>
      <a:lt1>
        <a:sysClr val="window" lastClr="FFFFFF"/>
      </a:lt1>
      <a:dk2>
        <a:srgbClr val="00806F"/>
      </a:dk2>
      <a:lt2>
        <a:srgbClr val="D6D2C4"/>
      </a:lt2>
      <a:accent1>
        <a:srgbClr val="00806F"/>
      </a:accent1>
      <a:accent2>
        <a:srgbClr val="CB9700"/>
      </a:accent2>
      <a:accent3>
        <a:srgbClr val="244C5A"/>
      </a:accent3>
      <a:accent4>
        <a:srgbClr val="034638"/>
      </a:accent4>
      <a:accent5>
        <a:srgbClr val="00806F"/>
      </a:accent5>
      <a:accent6>
        <a:srgbClr val="034638"/>
      </a:accent6>
      <a:hlink>
        <a:srgbClr val="034638"/>
      </a:hlink>
      <a:folHlink>
        <a:srgbClr val="CB9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FD049-96EB-4473-A8A5-C7F6FF3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2261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FERRANDEZ FACI</dc:creator>
  <cp:lastModifiedBy>PILAR FERRANDEZ FACI</cp:lastModifiedBy>
  <cp:revision>2</cp:revision>
  <cp:lastPrinted>2024-09-03T10:23:00Z</cp:lastPrinted>
  <dcterms:created xsi:type="dcterms:W3CDTF">2024-09-10T07:36:00Z</dcterms:created>
  <dcterms:modified xsi:type="dcterms:W3CDTF">2024-09-10T07:36:00Z</dcterms:modified>
</cp:coreProperties>
</file>