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883213"/>
        <w:docPartObj>
          <w:docPartGallery w:val="Cover Pages"/>
          <w:docPartUnique/>
        </w:docPartObj>
      </w:sdtPr>
      <w:sdtEndPr>
        <w:rPr>
          <w:rFonts w:eastAsiaTheme="minorEastAsia" w:cs="Times New Roman"/>
          <w:sz w:val="44"/>
          <w:szCs w:val="48"/>
          <w:lang w:val="es-ES_tradnl" w:eastAsia="es-ES"/>
        </w:rPr>
      </w:sdtEndPr>
      <w:sdtContent>
        <w:p w:rsidR="00A64E36" w:rsidRDefault="00A64E36"/>
        <w:tbl>
          <w:tblPr>
            <w:tblpPr w:leftFromText="187" w:rightFromText="187" w:vertAnchor="page" w:horzAnchor="margin" w:tblpXSpec="right" w:tblpY="4351"/>
            <w:tblW w:w="2615" w:type="pct"/>
            <w:tblBorders>
              <w:top w:val="single" w:sz="36" w:space="0" w:color="1C314E" w:themeColor="accent4" w:themeShade="80"/>
              <w:bottom w:val="single" w:sz="36" w:space="0" w:color="1C314E" w:themeColor="accent4" w:themeShade="80"/>
              <w:insideH w:val="single" w:sz="36" w:space="0" w:color="1C314E" w:themeColor="accent4" w:themeShade="80"/>
              <w:insideV w:val="single" w:sz="36" w:space="0" w:color="EB641B" w:themeColor="accent3"/>
            </w:tblBorders>
            <w:tblCellMar>
              <w:top w:w="360" w:type="dxa"/>
              <w:left w:w="115" w:type="dxa"/>
              <w:bottom w:w="360" w:type="dxa"/>
              <w:right w:w="115" w:type="dxa"/>
            </w:tblCellMar>
            <w:tblLook w:val="04A0"/>
          </w:tblPr>
          <w:tblGrid>
            <w:gridCol w:w="5161"/>
          </w:tblGrid>
          <w:tr w:rsidR="00A64E36" w:rsidTr="0092297B">
            <w:sdt>
              <w:sdtPr>
                <w:rPr>
                  <w:rFonts w:asciiTheme="majorHAnsi" w:eastAsiaTheme="majorEastAsia" w:hAnsiTheme="majorHAnsi" w:cstheme="majorBidi"/>
                  <w:sz w:val="72"/>
                  <w:szCs w:val="72"/>
                </w:rPr>
                <w:alias w:val="Título"/>
                <w:id w:val="13553149"/>
                <w:placeholder>
                  <w:docPart w:val="7577BC8B60AC4B0DA8535D5BF2DB49A0"/>
                </w:placeholder>
                <w:dataBinding w:prefixMappings="xmlns:ns0='http://schemas.openxmlformats.org/package/2006/metadata/core-properties' xmlns:ns1='http://purl.org/dc/elements/1.1/'" w:xpath="/ns0:coreProperties[1]/ns1:title[1]" w:storeItemID="{6C3C8BC8-F283-45AE-878A-BAB7291924A1}"/>
                <w:text/>
              </w:sdtPr>
              <w:sdtContent>
                <w:tc>
                  <w:tcPr>
                    <w:tcW w:w="0" w:type="auto"/>
                    <w:shd w:val="clear" w:color="auto" w:fill="auto"/>
                  </w:tcPr>
                  <w:p w:rsidR="00A64E36" w:rsidRDefault="00A64E36" w:rsidP="00A64E36">
                    <w:pPr>
                      <w:pStyle w:val="Sinespaciado"/>
                      <w:rPr>
                        <w:rFonts w:asciiTheme="majorHAnsi" w:eastAsiaTheme="majorEastAsia" w:hAnsiTheme="majorHAnsi" w:cstheme="majorBidi"/>
                        <w:sz w:val="72"/>
                        <w:szCs w:val="72"/>
                      </w:rPr>
                    </w:pPr>
                    <w:r>
                      <w:rPr>
                        <w:rFonts w:asciiTheme="majorHAnsi" w:eastAsiaTheme="majorEastAsia" w:hAnsiTheme="majorHAnsi" w:cstheme="majorBidi"/>
                        <w:sz w:val="72"/>
                        <w:szCs w:val="72"/>
                      </w:rPr>
                      <w:t>Portal de la Transparencia de la AGE</w:t>
                    </w:r>
                  </w:p>
                </w:tc>
              </w:sdtContent>
            </w:sdt>
          </w:tr>
          <w:tr w:rsidR="00A64E36" w:rsidTr="0092297B">
            <w:sdt>
              <w:sdtPr>
                <w:rPr>
                  <w:rFonts w:ascii="Calibri" w:hAnsi="Calibri" w:cs="Times New Roman"/>
                  <w:sz w:val="44"/>
                  <w:szCs w:val="48"/>
                  <w:lang w:val="es-ES_tradnl"/>
                </w:rPr>
                <w:alias w:val="Subtítulo"/>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shd w:val="clear" w:color="auto" w:fill="auto"/>
                  </w:tcPr>
                  <w:p w:rsidR="00A64E36" w:rsidRDefault="00A64E36" w:rsidP="00A64E36">
                    <w:pPr>
                      <w:pStyle w:val="Sinespaciado"/>
                      <w:rPr>
                        <w:sz w:val="40"/>
                        <w:szCs w:val="40"/>
                      </w:rPr>
                    </w:pPr>
                    <w:r w:rsidRPr="00A64E36">
                      <w:rPr>
                        <w:rFonts w:ascii="Calibri" w:hAnsi="Calibri" w:cs="Times New Roman"/>
                        <w:sz w:val="44"/>
                        <w:szCs w:val="48"/>
                        <w:lang w:val="es-ES_tradnl"/>
                      </w:rPr>
                      <w:t>Informe de evaluación del cumplimiento</w:t>
                    </w:r>
                    <w:r>
                      <w:rPr>
                        <w:rFonts w:ascii="Calibri" w:hAnsi="Calibri" w:cs="Times New Roman"/>
                        <w:sz w:val="44"/>
                        <w:szCs w:val="48"/>
                        <w:lang w:val="es-ES_tradnl"/>
                      </w:rPr>
                      <w:t xml:space="preserve"> </w:t>
                    </w:r>
                    <w:r w:rsidRPr="00A64E36">
                      <w:rPr>
                        <w:rFonts w:ascii="Calibri" w:hAnsi="Calibri" w:cs="Times New Roman"/>
                        <w:sz w:val="44"/>
                        <w:szCs w:val="48"/>
                        <w:lang w:val="es-ES_tradnl"/>
                      </w:rPr>
                      <w:t>de la Ley de transparencia</w:t>
                    </w:r>
                  </w:p>
                </w:tc>
              </w:sdtContent>
            </w:sdt>
          </w:tr>
          <w:tr w:rsidR="00A64E36" w:rsidTr="0092297B">
            <w:sdt>
              <w:sdtPr>
                <w:rPr>
                  <w:sz w:val="28"/>
                  <w:szCs w:val="28"/>
                </w:rPr>
                <w:alias w:val="Autor"/>
                <w:id w:val="13553158"/>
                <w:dataBinding w:prefixMappings="xmlns:ns0='http://schemas.openxmlformats.org/package/2006/metadata/core-properties' xmlns:ns1='http://purl.org/dc/elements/1.1/'" w:xpath="/ns0:coreProperties[1]/ns1:creator[1]" w:storeItemID="{6C3C8BC8-F283-45AE-878A-BAB7291924A1}"/>
                <w:text/>
              </w:sdtPr>
              <w:sdtContent>
                <w:tc>
                  <w:tcPr>
                    <w:tcW w:w="0" w:type="auto"/>
                    <w:shd w:val="clear" w:color="auto" w:fill="auto"/>
                  </w:tcPr>
                  <w:p w:rsidR="00A64E36" w:rsidRDefault="00A64E36" w:rsidP="00A64E36">
                    <w:pPr>
                      <w:pStyle w:val="Sinespaciado"/>
                      <w:jc w:val="right"/>
                      <w:rPr>
                        <w:sz w:val="28"/>
                        <w:szCs w:val="28"/>
                      </w:rPr>
                    </w:pPr>
                    <w:r>
                      <w:rPr>
                        <w:sz w:val="28"/>
                        <w:szCs w:val="28"/>
                      </w:rPr>
                      <w:t>Julio, 2017</w:t>
                    </w:r>
                  </w:p>
                </w:tc>
              </w:sdtContent>
            </w:sdt>
          </w:tr>
        </w:tbl>
        <w:p w:rsidR="00A64E36" w:rsidRDefault="00A64E36" w:rsidP="00A64E36">
          <w:pPr>
            <w:jc w:val="right"/>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p>
        <w:p w:rsidR="00A64E36" w:rsidRDefault="00A64E36" w:rsidP="00A64E36">
          <w:pPr>
            <w:jc w:val="right"/>
            <w:rPr>
              <w:rFonts w:eastAsiaTheme="minorEastAsia" w:cs="Times New Roman"/>
              <w:sz w:val="44"/>
              <w:szCs w:val="48"/>
              <w:lang w:val="es-ES_tradnl" w:eastAsia="es-ES"/>
            </w:rPr>
          </w:pPr>
          <w:r w:rsidRPr="00A64E36">
            <w:rPr>
              <w:rFonts w:eastAsiaTheme="minorEastAsia" w:cs="Times New Roman"/>
              <w:noProof/>
              <w:sz w:val="44"/>
              <w:szCs w:val="48"/>
              <w:lang w:eastAsia="es-ES"/>
            </w:rPr>
            <w:drawing>
              <wp:inline distT="0" distB="0" distL="0" distR="0">
                <wp:extent cx="1885950" cy="1334886"/>
                <wp:effectExtent l="19050" t="0" r="0" b="0"/>
                <wp:docPr id="27" name="19 Imagen" descr="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jpg"/>
                        <pic:cNvPicPr/>
                      </pic:nvPicPr>
                      <pic:blipFill>
                        <a:blip r:embed="rId8" cstate="print"/>
                        <a:stretch>
                          <a:fillRect/>
                        </a:stretch>
                      </pic:blipFill>
                      <pic:spPr>
                        <a:xfrm>
                          <a:off x="0" y="0"/>
                          <a:ext cx="1887589" cy="1336046"/>
                        </a:xfrm>
                        <a:prstGeom prst="rect">
                          <a:avLst/>
                        </a:prstGeom>
                      </pic:spPr>
                    </pic:pic>
                  </a:graphicData>
                </a:graphic>
              </wp:inline>
            </w:drawing>
          </w:r>
          <w:r>
            <w:rPr>
              <w:rFonts w:eastAsiaTheme="minorEastAsia" w:cs="Times New Roman"/>
              <w:sz w:val="44"/>
              <w:szCs w:val="48"/>
              <w:lang w:val="es-ES_tradnl" w:eastAsia="es-ES"/>
            </w:rPr>
            <w:br w:type="page"/>
          </w:r>
        </w:p>
      </w:sdtContent>
    </w:sdt>
    <w:p w:rsidR="00896758" w:rsidRDefault="00896758">
      <w:pPr>
        <w:rPr>
          <w:caps/>
          <w:lang w:val="es-ES_tradnl"/>
        </w:rPr>
        <w:sectPr w:rsidR="00896758" w:rsidSect="00A64E36">
          <w:headerReference w:type="even" r:id="rId9"/>
          <w:headerReference w:type="default" r:id="rId10"/>
          <w:footerReference w:type="even" r:id="rId11"/>
          <w:footerReference w:type="default" r:id="rId12"/>
          <w:pgSz w:w="11906" w:h="16838" w:code="9"/>
          <w:pgMar w:top="2127" w:right="1134" w:bottom="1134" w:left="1134" w:header="709" w:footer="340" w:gutter="0"/>
          <w:pgNumType w:start="0"/>
          <w:cols w:space="708"/>
          <w:titlePg/>
          <w:docGrid w:linePitch="360"/>
        </w:sectPr>
      </w:pPr>
    </w:p>
    <w:p w:rsidR="00896758" w:rsidRDefault="00896758">
      <w:pPr>
        <w:rPr>
          <w:caps/>
          <w:lang w:val="es-ES_tradnl"/>
        </w:rPr>
        <w:sectPr w:rsidR="00896758" w:rsidSect="00A64E36">
          <w:pgSz w:w="11906" w:h="16838" w:code="9"/>
          <w:pgMar w:top="2127" w:right="1134" w:bottom="1134" w:left="1134" w:header="709" w:footer="340" w:gutter="0"/>
          <w:pgNumType w:start="0"/>
          <w:cols w:space="708"/>
          <w:titlePg/>
          <w:docGrid w:linePitch="360"/>
        </w:sectPr>
      </w:pPr>
    </w:p>
    <w:p w:rsidR="005A6843" w:rsidRPr="00FD4F60" w:rsidRDefault="00FD4F60">
      <w:pPr>
        <w:rPr>
          <w:rFonts w:asciiTheme="minorHAnsi" w:hAnsiTheme="minorHAnsi" w:cs="Arial"/>
          <w:b/>
          <w:color w:val="1C314E" w:themeColor="accent4" w:themeShade="80"/>
          <w:sz w:val="32"/>
          <w:szCs w:val="32"/>
        </w:rPr>
      </w:pPr>
      <w:r w:rsidRPr="00FD4F60">
        <w:rPr>
          <w:rFonts w:asciiTheme="minorHAnsi" w:hAnsiTheme="minorHAnsi" w:cs="Arial"/>
          <w:b/>
          <w:color w:val="1C314E" w:themeColor="accent4" w:themeShade="80"/>
          <w:sz w:val="32"/>
          <w:szCs w:val="32"/>
        </w:rPr>
        <w:lastRenderedPageBreak/>
        <w:t>CONTENIDO</w:t>
      </w:r>
    </w:p>
    <w:p w:rsidR="002420B8" w:rsidRDefault="00DF0E4B">
      <w:pPr>
        <w:pStyle w:val="TDC1"/>
        <w:tabs>
          <w:tab w:val="right" w:leader="dot" w:pos="9628"/>
        </w:tabs>
        <w:rPr>
          <w:rFonts w:asciiTheme="minorHAnsi" w:eastAsiaTheme="minorEastAsia" w:hAnsiTheme="minorHAnsi"/>
          <w:noProof/>
          <w:sz w:val="22"/>
          <w:lang w:eastAsia="es-ES"/>
        </w:rPr>
      </w:pPr>
      <w:r>
        <w:rPr>
          <w:rFonts w:ascii="Arial" w:hAnsi="Arial" w:cs="Arial"/>
          <w:sz w:val="22"/>
        </w:rPr>
        <w:fldChar w:fldCharType="begin"/>
      </w:r>
      <w:r w:rsidR="00436ECD">
        <w:rPr>
          <w:rFonts w:ascii="Arial" w:hAnsi="Arial" w:cs="Arial"/>
          <w:sz w:val="22"/>
        </w:rPr>
        <w:instrText xml:space="preserve"> TOC \o "1-3" \h \z \t "Título 4;2;Título 5;3;Título;1" </w:instrText>
      </w:r>
      <w:r>
        <w:rPr>
          <w:rFonts w:ascii="Arial" w:hAnsi="Arial" w:cs="Arial"/>
          <w:sz w:val="22"/>
        </w:rPr>
        <w:fldChar w:fldCharType="separate"/>
      </w:r>
      <w:hyperlink w:anchor="_Toc501110655" w:history="1">
        <w:r w:rsidR="002420B8" w:rsidRPr="007F0BAB">
          <w:rPr>
            <w:rStyle w:val="Hipervnculo"/>
            <w:noProof/>
          </w:rPr>
          <w:t>1.</w:t>
        </w:r>
        <w:r w:rsidR="002420B8">
          <w:rPr>
            <w:rFonts w:asciiTheme="minorHAnsi" w:eastAsiaTheme="minorEastAsia" w:hAnsiTheme="minorHAnsi"/>
            <w:noProof/>
            <w:sz w:val="22"/>
            <w:lang w:eastAsia="es-ES"/>
          </w:rPr>
          <w:tab/>
        </w:r>
        <w:r w:rsidR="002420B8" w:rsidRPr="007F0BAB">
          <w:rPr>
            <w:rStyle w:val="Hipervnculo"/>
            <w:noProof/>
          </w:rPr>
          <w:t>ANTECEDENTES</w:t>
        </w:r>
        <w:r w:rsidR="002420B8">
          <w:rPr>
            <w:noProof/>
            <w:webHidden/>
          </w:rPr>
          <w:tab/>
        </w:r>
        <w:r>
          <w:rPr>
            <w:noProof/>
            <w:webHidden/>
          </w:rPr>
          <w:fldChar w:fldCharType="begin"/>
        </w:r>
        <w:r w:rsidR="002420B8">
          <w:rPr>
            <w:noProof/>
            <w:webHidden/>
          </w:rPr>
          <w:instrText xml:space="preserve"> PAGEREF _Toc501110655 \h </w:instrText>
        </w:r>
        <w:r>
          <w:rPr>
            <w:noProof/>
            <w:webHidden/>
          </w:rPr>
        </w:r>
        <w:r>
          <w:rPr>
            <w:noProof/>
            <w:webHidden/>
          </w:rPr>
          <w:fldChar w:fldCharType="separate"/>
        </w:r>
        <w:r w:rsidR="00AF5351">
          <w:rPr>
            <w:noProof/>
            <w:webHidden/>
          </w:rPr>
          <w:t>3</w:t>
        </w:r>
        <w:r>
          <w:rPr>
            <w:noProof/>
            <w:webHidden/>
          </w:rPr>
          <w:fldChar w:fldCharType="end"/>
        </w:r>
      </w:hyperlink>
    </w:p>
    <w:p w:rsidR="002420B8" w:rsidRDefault="00DF0E4B">
      <w:pPr>
        <w:pStyle w:val="TDC1"/>
        <w:tabs>
          <w:tab w:val="right" w:leader="dot" w:pos="9628"/>
        </w:tabs>
        <w:rPr>
          <w:rFonts w:asciiTheme="minorHAnsi" w:eastAsiaTheme="minorEastAsia" w:hAnsiTheme="minorHAnsi"/>
          <w:noProof/>
          <w:sz w:val="22"/>
          <w:lang w:eastAsia="es-ES"/>
        </w:rPr>
      </w:pPr>
      <w:hyperlink w:anchor="_Toc501110656" w:history="1">
        <w:r w:rsidR="002420B8" w:rsidRPr="007F0BAB">
          <w:rPr>
            <w:rStyle w:val="Hipervnculo"/>
            <w:noProof/>
          </w:rPr>
          <w:t>2.</w:t>
        </w:r>
        <w:r w:rsidR="002420B8">
          <w:rPr>
            <w:rFonts w:asciiTheme="minorHAnsi" w:eastAsiaTheme="minorEastAsia" w:hAnsiTheme="minorHAnsi"/>
            <w:noProof/>
            <w:sz w:val="22"/>
            <w:lang w:eastAsia="es-ES"/>
          </w:rPr>
          <w:tab/>
        </w:r>
        <w:r w:rsidR="002420B8" w:rsidRPr="007F0BAB">
          <w:rPr>
            <w:rStyle w:val="Hipervnculo"/>
            <w:noProof/>
          </w:rPr>
          <w:t>ALCANCE Y CONTENIDO DE LA EVALUACIÓN</w:t>
        </w:r>
        <w:r w:rsidR="002420B8">
          <w:rPr>
            <w:noProof/>
            <w:webHidden/>
          </w:rPr>
          <w:tab/>
        </w:r>
        <w:r>
          <w:rPr>
            <w:noProof/>
            <w:webHidden/>
          </w:rPr>
          <w:fldChar w:fldCharType="begin"/>
        </w:r>
        <w:r w:rsidR="002420B8">
          <w:rPr>
            <w:noProof/>
            <w:webHidden/>
          </w:rPr>
          <w:instrText xml:space="preserve"> PAGEREF _Toc501110656 \h </w:instrText>
        </w:r>
        <w:r>
          <w:rPr>
            <w:noProof/>
            <w:webHidden/>
          </w:rPr>
        </w:r>
        <w:r>
          <w:rPr>
            <w:noProof/>
            <w:webHidden/>
          </w:rPr>
          <w:fldChar w:fldCharType="separate"/>
        </w:r>
        <w:r w:rsidR="00AF5351">
          <w:rPr>
            <w:noProof/>
            <w:webHidden/>
          </w:rPr>
          <w:t>5</w:t>
        </w:r>
        <w:r>
          <w:rPr>
            <w:noProof/>
            <w:webHidden/>
          </w:rPr>
          <w:fldChar w:fldCharType="end"/>
        </w:r>
      </w:hyperlink>
    </w:p>
    <w:p w:rsidR="002420B8" w:rsidRDefault="00DF0E4B">
      <w:pPr>
        <w:pStyle w:val="TDC2"/>
        <w:tabs>
          <w:tab w:val="left" w:pos="851"/>
          <w:tab w:val="right" w:leader="dot" w:pos="9628"/>
        </w:tabs>
        <w:rPr>
          <w:rFonts w:asciiTheme="minorHAnsi" w:eastAsiaTheme="minorEastAsia" w:hAnsiTheme="minorHAnsi"/>
          <w:noProof/>
          <w:sz w:val="22"/>
          <w:lang w:eastAsia="es-ES"/>
        </w:rPr>
      </w:pPr>
      <w:hyperlink w:anchor="_Toc501110657" w:history="1">
        <w:r w:rsidR="002420B8" w:rsidRPr="007F0BAB">
          <w:rPr>
            <w:rStyle w:val="Hipervnculo"/>
            <w:noProof/>
          </w:rPr>
          <w:t>2.1</w:t>
        </w:r>
        <w:r w:rsidR="002420B8">
          <w:rPr>
            <w:rFonts w:asciiTheme="minorHAnsi" w:eastAsiaTheme="minorEastAsia" w:hAnsiTheme="minorHAnsi"/>
            <w:noProof/>
            <w:sz w:val="22"/>
            <w:lang w:eastAsia="es-ES"/>
          </w:rPr>
          <w:tab/>
        </w:r>
        <w:r w:rsidR="002420B8" w:rsidRPr="007F0BAB">
          <w:rPr>
            <w:rStyle w:val="Hipervnculo"/>
            <w:noProof/>
          </w:rPr>
          <w:t>Alcance de la evaluación</w:t>
        </w:r>
        <w:r w:rsidR="002420B8">
          <w:rPr>
            <w:noProof/>
            <w:webHidden/>
          </w:rPr>
          <w:tab/>
        </w:r>
        <w:r>
          <w:rPr>
            <w:noProof/>
            <w:webHidden/>
          </w:rPr>
          <w:fldChar w:fldCharType="begin"/>
        </w:r>
        <w:r w:rsidR="002420B8">
          <w:rPr>
            <w:noProof/>
            <w:webHidden/>
          </w:rPr>
          <w:instrText xml:space="preserve"> PAGEREF _Toc501110657 \h </w:instrText>
        </w:r>
        <w:r>
          <w:rPr>
            <w:noProof/>
            <w:webHidden/>
          </w:rPr>
        </w:r>
        <w:r>
          <w:rPr>
            <w:noProof/>
            <w:webHidden/>
          </w:rPr>
          <w:fldChar w:fldCharType="separate"/>
        </w:r>
        <w:r w:rsidR="00AF5351">
          <w:rPr>
            <w:noProof/>
            <w:webHidden/>
          </w:rPr>
          <w:t>5</w:t>
        </w:r>
        <w:r>
          <w:rPr>
            <w:noProof/>
            <w:webHidden/>
          </w:rPr>
          <w:fldChar w:fldCharType="end"/>
        </w:r>
      </w:hyperlink>
    </w:p>
    <w:p w:rsidR="002420B8" w:rsidRDefault="00DF0E4B">
      <w:pPr>
        <w:pStyle w:val="TDC2"/>
        <w:tabs>
          <w:tab w:val="left" w:pos="851"/>
          <w:tab w:val="right" w:leader="dot" w:pos="9628"/>
        </w:tabs>
        <w:rPr>
          <w:rFonts w:asciiTheme="minorHAnsi" w:eastAsiaTheme="minorEastAsia" w:hAnsiTheme="minorHAnsi"/>
          <w:noProof/>
          <w:sz w:val="22"/>
          <w:lang w:eastAsia="es-ES"/>
        </w:rPr>
      </w:pPr>
      <w:hyperlink w:anchor="_Toc501110658" w:history="1">
        <w:r w:rsidR="002420B8" w:rsidRPr="007F0BAB">
          <w:rPr>
            <w:rStyle w:val="Hipervnculo"/>
            <w:noProof/>
          </w:rPr>
          <w:t>2.2</w:t>
        </w:r>
        <w:r w:rsidR="002420B8">
          <w:rPr>
            <w:rFonts w:asciiTheme="minorHAnsi" w:eastAsiaTheme="minorEastAsia" w:hAnsiTheme="minorHAnsi"/>
            <w:noProof/>
            <w:sz w:val="22"/>
            <w:lang w:eastAsia="es-ES"/>
          </w:rPr>
          <w:tab/>
        </w:r>
        <w:r w:rsidR="002420B8" w:rsidRPr="007F0BAB">
          <w:rPr>
            <w:rStyle w:val="Hipervnculo"/>
            <w:noProof/>
          </w:rPr>
          <w:t>Contenido</w:t>
        </w:r>
        <w:r w:rsidR="002420B8">
          <w:rPr>
            <w:noProof/>
            <w:webHidden/>
          </w:rPr>
          <w:tab/>
        </w:r>
        <w:r>
          <w:rPr>
            <w:noProof/>
            <w:webHidden/>
          </w:rPr>
          <w:fldChar w:fldCharType="begin"/>
        </w:r>
        <w:r w:rsidR="002420B8">
          <w:rPr>
            <w:noProof/>
            <w:webHidden/>
          </w:rPr>
          <w:instrText xml:space="preserve"> PAGEREF _Toc501110658 \h </w:instrText>
        </w:r>
        <w:r>
          <w:rPr>
            <w:noProof/>
            <w:webHidden/>
          </w:rPr>
        </w:r>
        <w:r>
          <w:rPr>
            <w:noProof/>
            <w:webHidden/>
          </w:rPr>
          <w:fldChar w:fldCharType="separate"/>
        </w:r>
        <w:r w:rsidR="00AF5351">
          <w:rPr>
            <w:noProof/>
            <w:webHidden/>
          </w:rPr>
          <w:t>7</w:t>
        </w:r>
        <w:r>
          <w:rPr>
            <w:noProof/>
            <w:webHidden/>
          </w:rPr>
          <w:fldChar w:fldCharType="end"/>
        </w:r>
      </w:hyperlink>
    </w:p>
    <w:p w:rsidR="002420B8" w:rsidRDefault="00DF0E4B">
      <w:pPr>
        <w:pStyle w:val="TDC2"/>
        <w:tabs>
          <w:tab w:val="left" w:pos="851"/>
          <w:tab w:val="right" w:leader="dot" w:pos="9628"/>
        </w:tabs>
        <w:rPr>
          <w:rFonts w:asciiTheme="minorHAnsi" w:eastAsiaTheme="minorEastAsia" w:hAnsiTheme="minorHAnsi"/>
          <w:noProof/>
          <w:sz w:val="22"/>
          <w:lang w:eastAsia="es-ES"/>
        </w:rPr>
      </w:pPr>
      <w:hyperlink w:anchor="_Toc501110659" w:history="1">
        <w:r w:rsidR="002420B8" w:rsidRPr="007F0BAB">
          <w:rPr>
            <w:rStyle w:val="Hipervnculo"/>
            <w:noProof/>
          </w:rPr>
          <w:t>2.3</w:t>
        </w:r>
        <w:r w:rsidR="002420B8">
          <w:rPr>
            <w:rFonts w:asciiTheme="minorHAnsi" w:eastAsiaTheme="minorEastAsia" w:hAnsiTheme="minorHAnsi"/>
            <w:noProof/>
            <w:sz w:val="22"/>
            <w:lang w:eastAsia="es-ES"/>
          </w:rPr>
          <w:tab/>
        </w:r>
        <w:r w:rsidR="002420B8" w:rsidRPr="007F0BAB">
          <w:rPr>
            <w:rStyle w:val="Hipervnculo"/>
            <w:noProof/>
          </w:rPr>
          <w:t>Principios metodológicos</w:t>
        </w:r>
        <w:r w:rsidR="002420B8">
          <w:rPr>
            <w:noProof/>
            <w:webHidden/>
          </w:rPr>
          <w:tab/>
        </w:r>
        <w:r>
          <w:rPr>
            <w:noProof/>
            <w:webHidden/>
          </w:rPr>
          <w:fldChar w:fldCharType="begin"/>
        </w:r>
        <w:r w:rsidR="002420B8">
          <w:rPr>
            <w:noProof/>
            <w:webHidden/>
          </w:rPr>
          <w:instrText xml:space="preserve"> PAGEREF _Toc501110659 \h </w:instrText>
        </w:r>
        <w:r>
          <w:rPr>
            <w:noProof/>
            <w:webHidden/>
          </w:rPr>
        </w:r>
        <w:r>
          <w:rPr>
            <w:noProof/>
            <w:webHidden/>
          </w:rPr>
          <w:fldChar w:fldCharType="separate"/>
        </w:r>
        <w:r w:rsidR="00AF5351">
          <w:rPr>
            <w:noProof/>
            <w:webHidden/>
          </w:rPr>
          <w:t>10</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60" w:history="1">
        <w:r w:rsidR="002420B8" w:rsidRPr="007F0BAB">
          <w:rPr>
            <w:rStyle w:val="Hipervnculo"/>
            <w:noProof/>
          </w:rPr>
          <w:t>2.3.1</w:t>
        </w:r>
        <w:r w:rsidR="002420B8">
          <w:rPr>
            <w:rFonts w:asciiTheme="minorHAnsi" w:eastAsiaTheme="minorEastAsia" w:hAnsiTheme="minorHAnsi"/>
            <w:noProof/>
            <w:sz w:val="22"/>
            <w:lang w:eastAsia="es-ES"/>
          </w:rPr>
          <w:tab/>
        </w:r>
        <w:r w:rsidR="002420B8" w:rsidRPr="007F0BAB">
          <w:rPr>
            <w:rStyle w:val="Hipervnculo"/>
            <w:noProof/>
          </w:rPr>
          <w:t>Cronograma</w:t>
        </w:r>
        <w:r w:rsidR="002420B8">
          <w:rPr>
            <w:noProof/>
            <w:webHidden/>
          </w:rPr>
          <w:tab/>
        </w:r>
        <w:r>
          <w:rPr>
            <w:noProof/>
            <w:webHidden/>
          </w:rPr>
          <w:fldChar w:fldCharType="begin"/>
        </w:r>
        <w:r w:rsidR="002420B8">
          <w:rPr>
            <w:noProof/>
            <w:webHidden/>
          </w:rPr>
          <w:instrText xml:space="preserve"> PAGEREF _Toc501110660 \h </w:instrText>
        </w:r>
        <w:r>
          <w:rPr>
            <w:noProof/>
            <w:webHidden/>
          </w:rPr>
        </w:r>
        <w:r>
          <w:rPr>
            <w:noProof/>
            <w:webHidden/>
          </w:rPr>
          <w:fldChar w:fldCharType="separate"/>
        </w:r>
        <w:r w:rsidR="00AF5351">
          <w:rPr>
            <w:noProof/>
            <w:webHidden/>
          </w:rPr>
          <w:t>10</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61" w:history="1">
        <w:r w:rsidR="002420B8" w:rsidRPr="007F0BAB">
          <w:rPr>
            <w:rStyle w:val="Hipervnculo"/>
            <w:noProof/>
          </w:rPr>
          <w:t>2.3.2</w:t>
        </w:r>
        <w:r w:rsidR="002420B8">
          <w:rPr>
            <w:rFonts w:asciiTheme="minorHAnsi" w:eastAsiaTheme="minorEastAsia" w:hAnsiTheme="minorHAnsi"/>
            <w:noProof/>
            <w:sz w:val="22"/>
            <w:lang w:eastAsia="es-ES"/>
          </w:rPr>
          <w:tab/>
        </w:r>
        <w:r w:rsidR="002420B8" w:rsidRPr="007F0BAB">
          <w:rPr>
            <w:rStyle w:val="Hipervnculo"/>
            <w:noProof/>
          </w:rPr>
          <w:t>Informaci</w:t>
        </w:r>
        <w:bookmarkStart w:id="0" w:name="_GoBack"/>
        <w:bookmarkEnd w:id="0"/>
        <w:r w:rsidR="002420B8" w:rsidRPr="007F0BAB">
          <w:rPr>
            <w:rStyle w:val="Hipervnculo"/>
            <w:noProof/>
          </w:rPr>
          <w:t>ón “globalizada” e información “departamentalizada”</w:t>
        </w:r>
        <w:r w:rsidR="002420B8">
          <w:rPr>
            <w:noProof/>
            <w:webHidden/>
          </w:rPr>
          <w:tab/>
        </w:r>
        <w:r>
          <w:rPr>
            <w:noProof/>
            <w:webHidden/>
          </w:rPr>
          <w:fldChar w:fldCharType="begin"/>
        </w:r>
        <w:r w:rsidR="002420B8">
          <w:rPr>
            <w:noProof/>
            <w:webHidden/>
          </w:rPr>
          <w:instrText xml:space="preserve"> PAGEREF _Toc501110661 \h </w:instrText>
        </w:r>
        <w:r>
          <w:rPr>
            <w:noProof/>
            <w:webHidden/>
          </w:rPr>
        </w:r>
        <w:r>
          <w:rPr>
            <w:noProof/>
            <w:webHidden/>
          </w:rPr>
          <w:fldChar w:fldCharType="separate"/>
        </w:r>
        <w:r w:rsidR="00AF5351">
          <w:rPr>
            <w:noProof/>
            <w:webHidden/>
          </w:rPr>
          <w:t>11</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62" w:history="1">
        <w:r w:rsidR="002420B8" w:rsidRPr="007F0BAB">
          <w:rPr>
            <w:rStyle w:val="Hipervnculo"/>
            <w:noProof/>
          </w:rPr>
          <w:t>2.3.3</w:t>
        </w:r>
        <w:r w:rsidR="002420B8">
          <w:rPr>
            <w:rFonts w:asciiTheme="minorHAnsi" w:eastAsiaTheme="minorEastAsia" w:hAnsiTheme="minorHAnsi"/>
            <w:noProof/>
            <w:sz w:val="22"/>
            <w:lang w:eastAsia="es-ES"/>
          </w:rPr>
          <w:tab/>
        </w:r>
        <w:r w:rsidR="002420B8" w:rsidRPr="007F0BAB">
          <w:rPr>
            <w:rStyle w:val="Hipervnculo"/>
            <w:noProof/>
          </w:rPr>
          <w:t>Mediciones e índices de cumplimiento</w:t>
        </w:r>
        <w:r w:rsidR="002420B8">
          <w:rPr>
            <w:noProof/>
            <w:webHidden/>
          </w:rPr>
          <w:tab/>
        </w:r>
        <w:r>
          <w:rPr>
            <w:noProof/>
            <w:webHidden/>
          </w:rPr>
          <w:fldChar w:fldCharType="begin"/>
        </w:r>
        <w:r w:rsidR="002420B8">
          <w:rPr>
            <w:noProof/>
            <w:webHidden/>
          </w:rPr>
          <w:instrText xml:space="preserve"> PAGEREF _Toc501110662 \h </w:instrText>
        </w:r>
        <w:r>
          <w:rPr>
            <w:noProof/>
            <w:webHidden/>
          </w:rPr>
        </w:r>
        <w:r>
          <w:rPr>
            <w:noProof/>
            <w:webHidden/>
          </w:rPr>
          <w:fldChar w:fldCharType="separate"/>
        </w:r>
        <w:r w:rsidR="00AF5351">
          <w:rPr>
            <w:noProof/>
            <w:webHidden/>
          </w:rPr>
          <w:t>11</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63" w:history="1">
        <w:r w:rsidR="002420B8" w:rsidRPr="007F0BAB">
          <w:rPr>
            <w:rStyle w:val="Hipervnculo"/>
            <w:noProof/>
          </w:rPr>
          <w:t>2.3.4</w:t>
        </w:r>
        <w:r w:rsidR="002420B8">
          <w:rPr>
            <w:rFonts w:asciiTheme="minorHAnsi" w:eastAsiaTheme="minorEastAsia" w:hAnsiTheme="minorHAnsi"/>
            <w:noProof/>
            <w:sz w:val="22"/>
            <w:lang w:eastAsia="es-ES"/>
          </w:rPr>
          <w:tab/>
        </w:r>
        <w:r w:rsidR="002420B8" w:rsidRPr="007F0BAB">
          <w:rPr>
            <w:rStyle w:val="Hipervnculo"/>
            <w:noProof/>
          </w:rPr>
          <w:t>Cumplimiento obligatorio y cumplimiento voluntario</w:t>
        </w:r>
        <w:r w:rsidR="002420B8">
          <w:rPr>
            <w:noProof/>
            <w:webHidden/>
          </w:rPr>
          <w:tab/>
        </w:r>
        <w:r>
          <w:rPr>
            <w:noProof/>
            <w:webHidden/>
          </w:rPr>
          <w:fldChar w:fldCharType="begin"/>
        </w:r>
        <w:r w:rsidR="002420B8">
          <w:rPr>
            <w:noProof/>
            <w:webHidden/>
          </w:rPr>
          <w:instrText xml:space="preserve"> PAGEREF _Toc501110663 \h </w:instrText>
        </w:r>
        <w:r>
          <w:rPr>
            <w:noProof/>
            <w:webHidden/>
          </w:rPr>
        </w:r>
        <w:r>
          <w:rPr>
            <w:noProof/>
            <w:webHidden/>
          </w:rPr>
          <w:fldChar w:fldCharType="separate"/>
        </w:r>
        <w:r w:rsidR="00AF5351">
          <w:rPr>
            <w:noProof/>
            <w:webHidden/>
          </w:rPr>
          <w:t>12</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64" w:history="1">
        <w:r w:rsidR="002420B8" w:rsidRPr="007F0BAB">
          <w:rPr>
            <w:rStyle w:val="Hipervnculo"/>
            <w:noProof/>
          </w:rPr>
          <w:t>2.3.5</w:t>
        </w:r>
        <w:r w:rsidR="002420B8">
          <w:rPr>
            <w:rFonts w:asciiTheme="minorHAnsi" w:eastAsiaTheme="minorEastAsia" w:hAnsiTheme="minorHAnsi"/>
            <w:noProof/>
            <w:sz w:val="22"/>
            <w:lang w:eastAsia="es-ES"/>
          </w:rPr>
          <w:tab/>
        </w:r>
        <w:r w:rsidR="002420B8" w:rsidRPr="007F0BAB">
          <w:rPr>
            <w:rStyle w:val="Hipervnculo"/>
            <w:noProof/>
          </w:rPr>
          <w:t>Acceso a la información</w:t>
        </w:r>
        <w:r w:rsidR="002420B8">
          <w:rPr>
            <w:noProof/>
            <w:webHidden/>
          </w:rPr>
          <w:tab/>
        </w:r>
        <w:r>
          <w:rPr>
            <w:noProof/>
            <w:webHidden/>
          </w:rPr>
          <w:fldChar w:fldCharType="begin"/>
        </w:r>
        <w:r w:rsidR="002420B8">
          <w:rPr>
            <w:noProof/>
            <w:webHidden/>
          </w:rPr>
          <w:instrText xml:space="preserve"> PAGEREF _Toc501110664 \h </w:instrText>
        </w:r>
        <w:r>
          <w:rPr>
            <w:noProof/>
            <w:webHidden/>
          </w:rPr>
        </w:r>
        <w:r>
          <w:rPr>
            <w:noProof/>
            <w:webHidden/>
          </w:rPr>
          <w:fldChar w:fldCharType="separate"/>
        </w:r>
        <w:r w:rsidR="00AF5351">
          <w:rPr>
            <w:noProof/>
            <w:webHidden/>
          </w:rPr>
          <w:t>14</w:t>
        </w:r>
        <w:r>
          <w:rPr>
            <w:noProof/>
            <w:webHidden/>
          </w:rPr>
          <w:fldChar w:fldCharType="end"/>
        </w:r>
      </w:hyperlink>
    </w:p>
    <w:p w:rsidR="002420B8" w:rsidRDefault="00DF0E4B">
      <w:pPr>
        <w:pStyle w:val="TDC1"/>
        <w:tabs>
          <w:tab w:val="right" w:leader="dot" w:pos="9628"/>
        </w:tabs>
        <w:rPr>
          <w:rFonts w:asciiTheme="minorHAnsi" w:eastAsiaTheme="minorEastAsia" w:hAnsiTheme="minorHAnsi"/>
          <w:noProof/>
          <w:sz w:val="22"/>
          <w:lang w:eastAsia="es-ES"/>
        </w:rPr>
      </w:pPr>
      <w:hyperlink w:anchor="_Toc501110665" w:history="1">
        <w:r w:rsidR="002420B8" w:rsidRPr="007F0BAB">
          <w:rPr>
            <w:rStyle w:val="Hipervnculo"/>
            <w:noProof/>
          </w:rPr>
          <w:t>3.</w:t>
        </w:r>
        <w:r w:rsidR="002420B8">
          <w:rPr>
            <w:rFonts w:asciiTheme="minorHAnsi" w:eastAsiaTheme="minorEastAsia" w:hAnsiTheme="minorHAnsi"/>
            <w:noProof/>
            <w:sz w:val="22"/>
            <w:lang w:eastAsia="es-ES"/>
          </w:rPr>
          <w:tab/>
        </w:r>
        <w:r w:rsidR="002420B8" w:rsidRPr="007F0BAB">
          <w:rPr>
            <w:rStyle w:val="Hipervnculo"/>
            <w:noProof/>
          </w:rPr>
          <w:t>VALORACIÓN DEL PORTAL AGE</w:t>
        </w:r>
        <w:r w:rsidR="002420B8">
          <w:rPr>
            <w:noProof/>
            <w:webHidden/>
          </w:rPr>
          <w:tab/>
        </w:r>
        <w:r>
          <w:rPr>
            <w:noProof/>
            <w:webHidden/>
          </w:rPr>
          <w:fldChar w:fldCharType="begin"/>
        </w:r>
        <w:r w:rsidR="002420B8">
          <w:rPr>
            <w:noProof/>
            <w:webHidden/>
          </w:rPr>
          <w:instrText xml:space="preserve"> PAGEREF _Toc501110665 \h </w:instrText>
        </w:r>
        <w:r>
          <w:rPr>
            <w:noProof/>
            <w:webHidden/>
          </w:rPr>
        </w:r>
        <w:r>
          <w:rPr>
            <w:noProof/>
            <w:webHidden/>
          </w:rPr>
          <w:fldChar w:fldCharType="separate"/>
        </w:r>
        <w:r w:rsidR="00AF5351">
          <w:rPr>
            <w:noProof/>
            <w:webHidden/>
          </w:rPr>
          <w:t>14</w:t>
        </w:r>
        <w:r>
          <w:rPr>
            <w:noProof/>
            <w:webHidden/>
          </w:rPr>
          <w:fldChar w:fldCharType="end"/>
        </w:r>
      </w:hyperlink>
    </w:p>
    <w:p w:rsidR="002420B8" w:rsidRDefault="00DF0E4B">
      <w:pPr>
        <w:pStyle w:val="TDC2"/>
        <w:tabs>
          <w:tab w:val="left" w:pos="851"/>
          <w:tab w:val="right" w:leader="dot" w:pos="9628"/>
        </w:tabs>
        <w:rPr>
          <w:rFonts w:asciiTheme="minorHAnsi" w:eastAsiaTheme="minorEastAsia" w:hAnsiTheme="minorHAnsi"/>
          <w:noProof/>
          <w:sz w:val="22"/>
          <w:lang w:eastAsia="es-ES"/>
        </w:rPr>
      </w:pPr>
      <w:hyperlink w:anchor="_Toc501110666" w:history="1">
        <w:r w:rsidR="002420B8" w:rsidRPr="007F0BAB">
          <w:rPr>
            <w:rStyle w:val="Hipervnculo"/>
            <w:noProof/>
          </w:rPr>
          <w:t>3.1</w:t>
        </w:r>
        <w:r w:rsidR="002420B8">
          <w:rPr>
            <w:rFonts w:asciiTheme="minorHAnsi" w:eastAsiaTheme="minorEastAsia" w:hAnsiTheme="minorHAnsi"/>
            <w:noProof/>
            <w:sz w:val="22"/>
            <w:lang w:eastAsia="es-ES"/>
          </w:rPr>
          <w:tab/>
        </w:r>
        <w:r w:rsidR="002420B8" w:rsidRPr="007F0BAB">
          <w:rPr>
            <w:rStyle w:val="Hipervnculo"/>
            <w:noProof/>
          </w:rPr>
          <w:t>Consideraciones generales</w:t>
        </w:r>
        <w:r w:rsidR="002420B8">
          <w:rPr>
            <w:noProof/>
            <w:webHidden/>
          </w:rPr>
          <w:tab/>
        </w:r>
        <w:r>
          <w:rPr>
            <w:noProof/>
            <w:webHidden/>
          </w:rPr>
          <w:fldChar w:fldCharType="begin"/>
        </w:r>
        <w:r w:rsidR="002420B8">
          <w:rPr>
            <w:noProof/>
            <w:webHidden/>
          </w:rPr>
          <w:instrText xml:space="preserve"> PAGEREF _Toc501110666 \h </w:instrText>
        </w:r>
        <w:r>
          <w:rPr>
            <w:noProof/>
            <w:webHidden/>
          </w:rPr>
        </w:r>
        <w:r>
          <w:rPr>
            <w:noProof/>
            <w:webHidden/>
          </w:rPr>
          <w:fldChar w:fldCharType="separate"/>
        </w:r>
        <w:r w:rsidR="00AF5351">
          <w:rPr>
            <w:noProof/>
            <w:webHidden/>
          </w:rPr>
          <w:t>14</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67" w:history="1">
        <w:r w:rsidR="002420B8" w:rsidRPr="007F0BAB">
          <w:rPr>
            <w:rStyle w:val="Hipervnculo"/>
            <w:noProof/>
          </w:rPr>
          <w:t>3.1.1</w:t>
        </w:r>
        <w:r w:rsidR="002420B8">
          <w:rPr>
            <w:rFonts w:asciiTheme="minorHAnsi" w:eastAsiaTheme="minorEastAsia" w:hAnsiTheme="minorHAnsi"/>
            <w:noProof/>
            <w:sz w:val="22"/>
            <w:lang w:eastAsia="es-ES"/>
          </w:rPr>
          <w:tab/>
        </w:r>
        <w:r w:rsidR="002420B8" w:rsidRPr="007F0BAB">
          <w:rPr>
            <w:rStyle w:val="Hipervnculo"/>
            <w:noProof/>
          </w:rPr>
          <w:t>Denominación</w:t>
        </w:r>
        <w:r w:rsidR="002420B8">
          <w:rPr>
            <w:noProof/>
            <w:webHidden/>
          </w:rPr>
          <w:tab/>
        </w:r>
        <w:r>
          <w:rPr>
            <w:noProof/>
            <w:webHidden/>
          </w:rPr>
          <w:fldChar w:fldCharType="begin"/>
        </w:r>
        <w:r w:rsidR="002420B8">
          <w:rPr>
            <w:noProof/>
            <w:webHidden/>
          </w:rPr>
          <w:instrText xml:space="preserve"> PAGEREF _Toc501110667 \h </w:instrText>
        </w:r>
        <w:r>
          <w:rPr>
            <w:noProof/>
            <w:webHidden/>
          </w:rPr>
        </w:r>
        <w:r>
          <w:rPr>
            <w:noProof/>
            <w:webHidden/>
          </w:rPr>
          <w:fldChar w:fldCharType="separate"/>
        </w:r>
        <w:r w:rsidR="00AF5351">
          <w:rPr>
            <w:noProof/>
            <w:webHidden/>
          </w:rPr>
          <w:t>14</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68" w:history="1">
        <w:r w:rsidR="002420B8" w:rsidRPr="007F0BAB">
          <w:rPr>
            <w:rStyle w:val="Hipervnculo"/>
            <w:noProof/>
          </w:rPr>
          <w:t>3.1.2</w:t>
        </w:r>
        <w:r w:rsidR="002420B8">
          <w:rPr>
            <w:rFonts w:asciiTheme="minorHAnsi" w:eastAsiaTheme="minorEastAsia" w:hAnsiTheme="minorHAnsi"/>
            <w:noProof/>
            <w:sz w:val="22"/>
            <w:lang w:eastAsia="es-ES"/>
          </w:rPr>
          <w:tab/>
        </w:r>
        <w:r w:rsidR="002420B8" w:rsidRPr="007F0BAB">
          <w:rPr>
            <w:rStyle w:val="Hipervnculo"/>
            <w:noProof/>
          </w:rPr>
          <w:t>Aspectos técnicos</w:t>
        </w:r>
        <w:r w:rsidR="002420B8">
          <w:rPr>
            <w:noProof/>
            <w:webHidden/>
          </w:rPr>
          <w:tab/>
        </w:r>
        <w:r>
          <w:rPr>
            <w:noProof/>
            <w:webHidden/>
          </w:rPr>
          <w:fldChar w:fldCharType="begin"/>
        </w:r>
        <w:r w:rsidR="002420B8">
          <w:rPr>
            <w:noProof/>
            <w:webHidden/>
          </w:rPr>
          <w:instrText xml:space="preserve"> PAGEREF _Toc501110668 \h </w:instrText>
        </w:r>
        <w:r>
          <w:rPr>
            <w:noProof/>
            <w:webHidden/>
          </w:rPr>
        </w:r>
        <w:r>
          <w:rPr>
            <w:noProof/>
            <w:webHidden/>
          </w:rPr>
          <w:fldChar w:fldCharType="separate"/>
        </w:r>
        <w:r w:rsidR="00AF5351">
          <w:rPr>
            <w:noProof/>
            <w:webHidden/>
          </w:rPr>
          <w:t>16</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69" w:history="1">
        <w:r w:rsidR="002420B8" w:rsidRPr="007F0BAB">
          <w:rPr>
            <w:rStyle w:val="Hipervnculo"/>
            <w:noProof/>
          </w:rPr>
          <w:t>3.1.3</w:t>
        </w:r>
        <w:r w:rsidR="002420B8">
          <w:rPr>
            <w:rFonts w:asciiTheme="minorHAnsi" w:eastAsiaTheme="minorEastAsia" w:hAnsiTheme="minorHAnsi"/>
            <w:noProof/>
            <w:sz w:val="22"/>
            <w:lang w:eastAsia="es-ES"/>
          </w:rPr>
          <w:tab/>
        </w:r>
        <w:r w:rsidR="002420B8" w:rsidRPr="007F0BAB">
          <w:rPr>
            <w:rStyle w:val="Hipervnculo"/>
            <w:noProof/>
          </w:rPr>
          <w:t>Referencia al “Buscador” del Portal</w:t>
        </w:r>
        <w:r w:rsidR="002420B8">
          <w:rPr>
            <w:noProof/>
            <w:webHidden/>
          </w:rPr>
          <w:tab/>
        </w:r>
        <w:r>
          <w:rPr>
            <w:noProof/>
            <w:webHidden/>
          </w:rPr>
          <w:fldChar w:fldCharType="begin"/>
        </w:r>
        <w:r w:rsidR="002420B8">
          <w:rPr>
            <w:noProof/>
            <w:webHidden/>
          </w:rPr>
          <w:instrText xml:space="preserve"> PAGEREF _Toc501110669 \h </w:instrText>
        </w:r>
        <w:r>
          <w:rPr>
            <w:noProof/>
            <w:webHidden/>
          </w:rPr>
        </w:r>
        <w:r>
          <w:rPr>
            <w:noProof/>
            <w:webHidden/>
          </w:rPr>
          <w:fldChar w:fldCharType="separate"/>
        </w:r>
        <w:r w:rsidR="00AF5351">
          <w:rPr>
            <w:noProof/>
            <w:webHidden/>
          </w:rPr>
          <w:t>17</w:t>
        </w:r>
        <w:r>
          <w:rPr>
            <w:noProof/>
            <w:webHidden/>
          </w:rPr>
          <w:fldChar w:fldCharType="end"/>
        </w:r>
      </w:hyperlink>
    </w:p>
    <w:p w:rsidR="002420B8" w:rsidRDefault="00DF0E4B">
      <w:pPr>
        <w:pStyle w:val="TDC2"/>
        <w:tabs>
          <w:tab w:val="left" w:pos="851"/>
          <w:tab w:val="right" w:leader="dot" w:pos="9628"/>
        </w:tabs>
        <w:rPr>
          <w:rFonts w:asciiTheme="minorHAnsi" w:eastAsiaTheme="minorEastAsia" w:hAnsiTheme="minorHAnsi"/>
          <w:noProof/>
          <w:sz w:val="22"/>
          <w:lang w:eastAsia="es-ES"/>
        </w:rPr>
      </w:pPr>
      <w:hyperlink w:anchor="_Toc501110670" w:history="1">
        <w:r w:rsidR="002420B8" w:rsidRPr="007F0BAB">
          <w:rPr>
            <w:rStyle w:val="Hipervnculo"/>
            <w:noProof/>
          </w:rPr>
          <w:t>3.2</w:t>
        </w:r>
        <w:r w:rsidR="002420B8">
          <w:rPr>
            <w:rFonts w:asciiTheme="minorHAnsi" w:eastAsiaTheme="minorEastAsia" w:hAnsiTheme="minorHAnsi"/>
            <w:noProof/>
            <w:sz w:val="22"/>
            <w:lang w:eastAsia="es-ES"/>
          </w:rPr>
          <w:tab/>
        </w:r>
        <w:r w:rsidR="002420B8" w:rsidRPr="007F0BAB">
          <w:rPr>
            <w:rStyle w:val="Hipervnculo"/>
            <w:noProof/>
          </w:rPr>
          <w:t>Publicidad Activa</w:t>
        </w:r>
        <w:r w:rsidR="002420B8">
          <w:rPr>
            <w:noProof/>
            <w:webHidden/>
          </w:rPr>
          <w:tab/>
        </w:r>
        <w:r>
          <w:rPr>
            <w:noProof/>
            <w:webHidden/>
          </w:rPr>
          <w:fldChar w:fldCharType="begin"/>
        </w:r>
        <w:r w:rsidR="002420B8">
          <w:rPr>
            <w:noProof/>
            <w:webHidden/>
          </w:rPr>
          <w:instrText xml:space="preserve"> PAGEREF _Toc501110670 \h </w:instrText>
        </w:r>
        <w:r>
          <w:rPr>
            <w:noProof/>
            <w:webHidden/>
          </w:rPr>
        </w:r>
        <w:r>
          <w:rPr>
            <w:noProof/>
            <w:webHidden/>
          </w:rPr>
          <w:fldChar w:fldCharType="separate"/>
        </w:r>
        <w:r w:rsidR="00AF5351">
          <w:rPr>
            <w:noProof/>
            <w:webHidden/>
          </w:rPr>
          <w:t>24</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71" w:history="1">
        <w:r w:rsidR="002420B8" w:rsidRPr="007F0BAB">
          <w:rPr>
            <w:rStyle w:val="Hipervnculo"/>
            <w:noProof/>
          </w:rPr>
          <w:t>3.2.1</w:t>
        </w:r>
        <w:r w:rsidR="002420B8">
          <w:rPr>
            <w:rFonts w:asciiTheme="minorHAnsi" w:eastAsiaTheme="minorEastAsia" w:hAnsiTheme="minorHAnsi"/>
            <w:noProof/>
            <w:sz w:val="22"/>
            <w:lang w:eastAsia="es-ES"/>
          </w:rPr>
          <w:tab/>
        </w:r>
        <w:r w:rsidR="002420B8" w:rsidRPr="007F0BAB">
          <w:rPr>
            <w:rStyle w:val="Hipervnculo"/>
            <w:noProof/>
          </w:rPr>
          <w:t>Aspectos genéricos</w:t>
        </w:r>
        <w:r w:rsidR="002420B8">
          <w:rPr>
            <w:noProof/>
            <w:webHidden/>
          </w:rPr>
          <w:tab/>
        </w:r>
        <w:r>
          <w:rPr>
            <w:noProof/>
            <w:webHidden/>
          </w:rPr>
          <w:fldChar w:fldCharType="begin"/>
        </w:r>
        <w:r w:rsidR="002420B8">
          <w:rPr>
            <w:noProof/>
            <w:webHidden/>
          </w:rPr>
          <w:instrText xml:space="preserve"> PAGEREF _Toc501110671 \h </w:instrText>
        </w:r>
        <w:r>
          <w:rPr>
            <w:noProof/>
            <w:webHidden/>
          </w:rPr>
        </w:r>
        <w:r>
          <w:rPr>
            <w:noProof/>
            <w:webHidden/>
          </w:rPr>
          <w:fldChar w:fldCharType="separate"/>
        </w:r>
        <w:r w:rsidR="00AF5351">
          <w:rPr>
            <w:noProof/>
            <w:webHidden/>
          </w:rPr>
          <w:t>24</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72" w:history="1">
        <w:r w:rsidR="002420B8" w:rsidRPr="007F0BAB">
          <w:rPr>
            <w:rStyle w:val="Hipervnculo"/>
            <w:noProof/>
          </w:rPr>
          <w:t>3.2.2</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_Toc501110672 \h </w:instrText>
        </w:r>
        <w:r>
          <w:rPr>
            <w:noProof/>
            <w:webHidden/>
          </w:rPr>
        </w:r>
        <w:r>
          <w:rPr>
            <w:noProof/>
            <w:webHidden/>
          </w:rPr>
          <w:fldChar w:fldCharType="separate"/>
        </w:r>
        <w:r w:rsidR="00AF5351">
          <w:rPr>
            <w:noProof/>
            <w:webHidden/>
          </w:rPr>
          <w:t>56</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73" w:history="1">
        <w:r w:rsidR="002420B8" w:rsidRPr="007F0BAB">
          <w:rPr>
            <w:rStyle w:val="Hipervnculo"/>
            <w:noProof/>
          </w:rPr>
          <w:t>3.2.3</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_Toc501110673 \h </w:instrText>
        </w:r>
        <w:r>
          <w:rPr>
            <w:noProof/>
            <w:webHidden/>
          </w:rPr>
        </w:r>
        <w:r>
          <w:rPr>
            <w:noProof/>
            <w:webHidden/>
          </w:rPr>
          <w:fldChar w:fldCharType="separate"/>
        </w:r>
        <w:r w:rsidR="00AF5351">
          <w:rPr>
            <w:noProof/>
            <w:webHidden/>
          </w:rPr>
          <w:t>70</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74" w:history="1">
        <w:r w:rsidR="002420B8" w:rsidRPr="007F0BAB">
          <w:rPr>
            <w:rStyle w:val="Hipervnculo"/>
            <w:noProof/>
          </w:rPr>
          <w:t>3.2.4</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_Toc501110674 \h </w:instrText>
        </w:r>
        <w:r>
          <w:rPr>
            <w:noProof/>
            <w:webHidden/>
          </w:rPr>
        </w:r>
        <w:r>
          <w:rPr>
            <w:noProof/>
            <w:webHidden/>
          </w:rPr>
          <w:fldChar w:fldCharType="separate"/>
        </w:r>
        <w:r w:rsidR="00AF5351">
          <w:rPr>
            <w:noProof/>
            <w:webHidden/>
          </w:rPr>
          <w:t>76</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75" w:history="1">
        <w:r w:rsidR="002420B8" w:rsidRPr="007F0BAB">
          <w:rPr>
            <w:rStyle w:val="Hipervnculo"/>
            <w:noProof/>
          </w:rPr>
          <w:t>3.2.5</w:t>
        </w:r>
        <w:r w:rsidR="002420B8">
          <w:rPr>
            <w:rFonts w:asciiTheme="minorHAnsi" w:eastAsiaTheme="minorEastAsia" w:hAnsiTheme="minorHAnsi"/>
            <w:noProof/>
            <w:sz w:val="22"/>
            <w:lang w:eastAsia="es-ES"/>
          </w:rPr>
          <w:tab/>
        </w:r>
        <w:r w:rsidR="002420B8" w:rsidRPr="007F0BAB">
          <w:rPr>
            <w:rStyle w:val="Hipervnculo"/>
            <w:noProof/>
          </w:rPr>
          <w:t>Relación de los bienes inmuebles que sean propiedad de las AAPP o sobre los que ostenten algún derecho real.</w:t>
        </w:r>
        <w:r w:rsidR="002420B8">
          <w:rPr>
            <w:noProof/>
            <w:webHidden/>
          </w:rPr>
          <w:tab/>
        </w:r>
        <w:r>
          <w:rPr>
            <w:noProof/>
            <w:webHidden/>
          </w:rPr>
          <w:fldChar w:fldCharType="begin"/>
        </w:r>
        <w:r w:rsidR="002420B8">
          <w:rPr>
            <w:noProof/>
            <w:webHidden/>
          </w:rPr>
          <w:instrText xml:space="preserve"> PAGEREF _Toc501110675 \h </w:instrText>
        </w:r>
        <w:r>
          <w:rPr>
            <w:noProof/>
            <w:webHidden/>
          </w:rPr>
        </w:r>
        <w:r>
          <w:rPr>
            <w:noProof/>
            <w:webHidden/>
          </w:rPr>
          <w:fldChar w:fldCharType="separate"/>
        </w:r>
        <w:r w:rsidR="00AF5351">
          <w:rPr>
            <w:noProof/>
            <w:webHidden/>
          </w:rPr>
          <w:t>97</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76" w:history="1">
        <w:r w:rsidR="002420B8" w:rsidRPr="007F0BAB">
          <w:rPr>
            <w:rStyle w:val="Hipervnculo"/>
            <w:noProof/>
          </w:rPr>
          <w:t>3.2.6</w:t>
        </w:r>
        <w:r w:rsidR="002420B8">
          <w:rPr>
            <w:rFonts w:asciiTheme="minorHAnsi" w:eastAsiaTheme="minorEastAsia" w:hAnsiTheme="minorHAnsi"/>
            <w:noProof/>
            <w:sz w:val="22"/>
            <w:lang w:eastAsia="es-ES"/>
          </w:rPr>
          <w:tab/>
        </w:r>
        <w:r w:rsidR="002420B8" w:rsidRPr="007F0BAB">
          <w:rPr>
            <w:rStyle w:val="Hipervnculo"/>
            <w:noProof/>
          </w:rPr>
          <w:t>Transparencia voluntaria</w:t>
        </w:r>
        <w:r w:rsidR="002420B8">
          <w:rPr>
            <w:noProof/>
            <w:webHidden/>
          </w:rPr>
          <w:tab/>
        </w:r>
        <w:r>
          <w:rPr>
            <w:noProof/>
            <w:webHidden/>
          </w:rPr>
          <w:fldChar w:fldCharType="begin"/>
        </w:r>
        <w:r w:rsidR="002420B8">
          <w:rPr>
            <w:noProof/>
            <w:webHidden/>
          </w:rPr>
          <w:instrText xml:space="preserve"> PAGEREF _Toc501110676 \h </w:instrText>
        </w:r>
        <w:r>
          <w:rPr>
            <w:noProof/>
            <w:webHidden/>
          </w:rPr>
        </w:r>
        <w:r>
          <w:rPr>
            <w:noProof/>
            <w:webHidden/>
          </w:rPr>
          <w:fldChar w:fldCharType="separate"/>
        </w:r>
        <w:r w:rsidR="00AF5351">
          <w:rPr>
            <w:noProof/>
            <w:webHidden/>
          </w:rPr>
          <w:t>97</w:t>
        </w:r>
        <w:r>
          <w:rPr>
            <w:noProof/>
            <w:webHidden/>
          </w:rPr>
          <w:fldChar w:fldCharType="end"/>
        </w:r>
      </w:hyperlink>
    </w:p>
    <w:p w:rsidR="002420B8" w:rsidRDefault="00DF0E4B">
      <w:pPr>
        <w:pStyle w:val="TDC2"/>
        <w:tabs>
          <w:tab w:val="left" w:pos="851"/>
          <w:tab w:val="right" w:leader="dot" w:pos="9628"/>
        </w:tabs>
        <w:rPr>
          <w:rFonts w:asciiTheme="minorHAnsi" w:eastAsiaTheme="minorEastAsia" w:hAnsiTheme="minorHAnsi"/>
          <w:noProof/>
          <w:sz w:val="22"/>
          <w:lang w:eastAsia="es-ES"/>
        </w:rPr>
      </w:pPr>
      <w:hyperlink w:anchor="_Toc501110677" w:history="1">
        <w:r w:rsidR="002420B8" w:rsidRPr="007F0BAB">
          <w:rPr>
            <w:rStyle w:val="Hipervnculo"/>
            <w:noProof/>
          </w:rPr>
          <w:t>3.3</w:t>
        </w:r>
        <w:r w:rsidR="002420B8">
          <w:rPr>
            <w:rFonts w:asciiTheme="minorHAnsi" w:eastAsiaTheme="minorEastAsia" w:hAnsiTheme="minorHAnsi"/>
            <w:noProof/>
            <w:sz w:val="22"/>
            <w:lang w:eastAsia="es-ES"/>
          </w:rPr>
          <w:tab/>
        </w:r>
        <w:r w:rsidR="002420B8" w:rsidRPr="007F0BAB">
          <w:rPr>
            <w:rStyle w:val="Hipervnculo"/>
            <w:noProof/>
          </w:rPr>
          <w:t>Acceso a la Información</w:t>
        </w:r>
        <w:r w:rsidR="002420B8">
          <w:rPr>
            <w:noProof/>
            <w:webHidden/>
          </w:rPr>
          <w:tab/>
        </w:r>
        <w:r>
          <w:rPr>
            <w:noProof/>
            <w:webHidden/>
          </w:rPr>
          <w:fldChar w:fldCharType="begin"/>
        </w:r>
        <w:r w:rsidR="002420B8">
          <w:rPr>
            <w:noProof/>
            <w:webHidden/>
          </w:rPr>
          <w:instrText xml:space="preserve"> PAGEREF _Toc501110677 \h </w:instrText>
        </w:r>
        <w:r>
          <w:rPr>
            <w:noProof/>
            <w:webHidden/>
          </w:rPr>
        </w:r>
        <w:r>
          <w:rPr>
            <w:noProof/>
            <w:webHidden/>
          </w:rPr>
          <w:fldChar w:fldCharType="separate"/>
        </w:r>
        <w:r w:rsidR="00AF5351">
          <w:rPr>
            <w:noProof/>
            <w:webHidden/>
          </w:rPr>
          <w:t>101</w:t>
        </w:r>
        <w:r>
          <w:rPr>
            <w:noProof/>
            <w:webHidden/>
          </w:rPr>
          <w:fldChar w:fldCharType="end"/>
        </w:r>
      </w:hyperlink>
    </w:p>
    <w:p w:rsidR="002420B8" w:rsidRDefault="00DF0E4B">
      <w:pPr>
        <w:pStyle w:val="TDC1"/>
        <w:tabs>
          <w:tab w:val="right" w:leader="dot" w:pos="9628"/>
        </w:tabs>
        <w:rPr>
          <w:rFonts w:asciiTheme="minorHAnsi" w:eastAsiaTheme="minorEastAsia" w:hAnsiTheme="minorHAnsi"/>
          <w:noProof/>
          <w:sz w:val="22"/>
          <w:lang w:eastAsia="es-ES"/>
        </w:rPr>
      </w:pPr>
      <w:hyperlink w:anchor="_Toc501110678" w:history="1">
        <w:r w:rsidR="002420B8" w:rsidRPr="007F0BAB">
          <w:rPr>
            <w:rStyle w:val="Hipervnculo"/>
            <w:noProof/>
          </w:rPr>
          <w:t>4.</w:t>
        </w:r>
        <w:r w:rsidR="002420B8">
          <w:rPr>
            <w:rFonts w:asciiTheme="minorHAnsi" w:eastAsiaTheme="minorEastAsia" w:hAnsiTheme="minorHAnsi"/>
            <w:noProof/>
            <w:sz w:val="22"/>
            <w:lang w:eastAsia="es-ES"/>
          </w:rPr>
          <w:tab/>
        </w:r>
        <w:r w:rsidR="002420B8" w:rsidRPr="007F0BAB">
          <w:rPr>
            <w:rStyle w:val="Hipervnculo"/>
            <w:noProof/>
          </w:rPr>
          <w:t>CONCLUSIONES Y RESULTADOS</w:t>
        </w:r>
        <w:r w:rsidR="002420B8">
          <w:rPr>
            <w:noProof/>
            <w:webHidden/>
          </w:rPr>
          <w:tab/>
        </w:r>
        <w:r>
          <w:rPr>
            <w:noProof/>
            <w:webHidden/>
          </w:rPr>
          <w:fldChar w:fldCharType="begin"/>
        </w:r>
        <w:r w:rsidR="002420B8">
          <w:rPr>
            <w:noProof/>
            <w:webHidden/>
          </w:rPr>
          <w:instrText xml:space="preserve"> PAGEREF _Toc501110678 \h </w:instrText>
        </w:r>
        <w:r>
          <w:rPr>
            <w:noProof/>
            <w:webHidden/>
          </w:rPr>
        </w:r>
        <w:r>
          <w:rPr>
            <w:noProof/>
            <w:webHidden/>
          </w:rPr>
          <w:fldChar w:fldCharType="separate"/>
        </w:r>
        <w:r w:rsidR="00AF5351">
          <w:rPr>
            <w:noProof/>
            <w:webHidden/>
          </w:rPr>
          <w:t>105</w:t>
        </w:r>
        <w:r>
          <w:rPr>
            <w:noProof/>
            <w:webHidden/>
          </w:rPr>
          <w:fldChar w:fldCharType="end"/>
        </w:r>
      </w:hyperlink>
    </w:p>
    <w:p w:rsidR="002420B8" w:rsidRDefault="00DF0E4B">
      <w:pPr>
        <w:pStyle w:val="TDC1"/>
        <w:tabs>
          <w:tab w:val="right" w:leader="dot" w:pos="9628"/>
        </w:tabs>
        <w:rPr>
          <w:rFonts w:asciiTheme="minorHAnsi" w:eastAsiaTheme="minorEastAsia" w:hAnsiTheme="minorHAnsi"/>
          <w:noProof/>
          <w:sz w:val="22"/>
          <w:lang w:eastAsia="es-ES"/>
        </w:rPr>
      </w:pPr>
      <w:hyperlink w:anchor="_Toc501110679" w:history="1">
        <w:r w:rsidR="002420B8" w:rsidRPr="007F0BAB">
          <w:rPr>
            <w:rStyle w:val="Hipervnculo"/>
            <w:noProof/>
          </w:rPr>
          <w:t>ANEXO. CONTENIDO POR MINISTERIOS</w:t>
        </w:r>
        <w:r w:rsidR="002420B8">
          <w:rPr>
            <w:noProof/>
            <w:webHidden/>
          </w:rPr>
          <w:tab/>
        </w:r>
        <w:r>
          <w:rPr>
            <w:noProof/>
            <w:webHidden/>
          </w:rPr>
          <w:fldChar w:fldCharType="begin"/>
        </w:r>
        <w:r w:rsidR="002420B8">
          <w:rPr>
            <w:noProof/>
            <w:webHidden/>
          </w:rPr>
          <w:instrText xml:space="preserve"> PAGEREF _Toc501110679 \h </w:instrText>
        </w:r>
        <w:r>
          <w:rPr>
            <w:noProof/>
            <w:webHidden/>
          </w:rPr>
        </w:r>
        <w:r>
          <w:rPr>
            <w:noProof/>
            <w:webHidden/>
          </w:rPr>
          <w:fldChar w:fldCharType="separate"/>
        </w:r>
        <w:r w:rsidR="00AF5351">
          <w:rPr>
            <w:noProof/>
            <w:webHidden/>
          </w:rPr>
          <w:t>111</w:t>
        </w:r>
        <w:r>
          <w:rPr>
            <w:noProof/>
            <w:webHidden/>
          </w:rPr>
          <w:fldChar w:fldCharType="end"/>
        </w:r>
      </w:hyperlink>
    </w:p>
    <w:p w:rsidR="002420B8" w:rsidRDefault="00DF0E4B">
      <w:pPr>
        <w:pStyle w:val="TDC2"/>
        <w:tabs>
          <w:tab w:val="right" w:leader="dot" w:pos="9628"/>
        </w:tabs>
        <w:rPr>
          <w:rFonts w:asciiTheme="minorHAnsi" w:eastAsiaTheme="minorEastAsia" w:hAnsiTheme="minorHAnsi"/>
          <w:noProof/>
          <w:sz w:val="22"/>
          <w:lang w:eastAsia="es-ES"/>
        </w:rPr>
      </w:pPr>
      <w:hyperlink w:anchor="_Toc501110680" w:history="1">
        <w:r w:rsidR="002420B8" w:rsidRPr="007F0BAB">
          <w:rPr>
            <w:rStyle w:val="Hipervnculo"/>
            <w:noProof/>
          </w:rPr>
          <w:t>1.</w:t>
        </w:r>
        <w:r w:rsidR="002420B8">
          <w:rPr>
            <w:rFonts w:asciiTheme="minorHAnsi" w:eastAsiaTheme="minorEastAsia" w:hAnsiTheme="minorHAnsi"/>
            <w:noProof/>
            <w:sz w:val="22"/>
            <w:lang w:eastAsia="es-ES"/>
          </w:rPr>
          <w:tab/>
        </w:r>
        <w:r w:rsidR="002420B8" w:rsidRPr="007F0BAB">
          <w:rPr>
            <w:rStyle w:val="Hipervnculo"/>
            <w:noProof/>
          </w:rPr>
          <w:t>Presidencia del Gobierno</w:t>
        </w:r>
        <w:r w:rsidR="002420B8">
          <w:rPr>
            <w:noProof/>
            <w:webHidden/>
          </w:rPr>
          <w:tab/>
        </w:r>
        <w:r>
          <w:rPr>
            <w:noProof/>
            <w:webHidden/>
          </w:rPr>
          <w:fldChar w:fldCharType="begin"/>
        </w:r>
        <w:r w:rsidR="002420B8">
          <w:rPr>
            <w:noProof/>
            <w:webHidden/>
          </w:rPr>
          <w:instrText xml:space="preserve"> PAGEREF _Toc501110680 \h </w:instrText>
        </w:r>
        <w:r>
          <w:rPr>
            <w:noProof/>
            <w:webHidden/>
          </w:rPr>
        </w:r>
        <w:r>
          <w:rPr>
            <w:noProof/>
            <w:webHidden/>
          </w:rPr>
          <w:fldChar w:fldCharType="separate"/>
        </w:r>
        <w:r w:rsidR="00AF5351">
          <w:rPr>
            <w:noProof/>
            <w:webHidden/>
          </w:rPr>
          <w:t>113</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81" w:history="1">
        <w:r w:rsidR="002420B8" w:rsidRPr="007F0BAB">
          <w:rPr>
            <w:rStyle w:val="Hipervnculo"/>
            <w:noProof/>
          </w:rPr>
          <w:t>1.1.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_Toc501110681 \h </w:instrText>
        </w:r>
        <w:r>
          <w:rPr>
            <w:noProof/>
            <w:webHidden/>
          </w:rPr>
        </w:r>
        <w:r>
          <w:rPr>
            <w:noProof/>
            <w:webHidden/>
          </w:rPr>
          <w:fldChar w:fldCharType="separate"/>
        </w:r>
        <w:r w:rsidR="00AF5351">
          <w:rPr>
            <w:noProof/>
            <w:webHidden/>
          </w:rPr>
          <w:t>114</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82" w:history="1">
        <w:r w:rsidR="002420B8" w:rsidRPr="007F0BAB">
          <w:rPr>
            <w:rStyle w:val="Hipervnculo"/>
            <w:noProof/>
          </w:rPr>
          <w:t>1.2.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_Toc501110682 \h </w:instrText>
        </w:r>
        <w:r>
          <w:rPr>
            <w:noProof/>
            <w:webHidden/>
          </w:rPr>
        </w:r>
        <w:r>
          <w:rPr>
            <w:noProof/>
            <w:webHidden/>
          </w:rPr>
          <w:fldChar w:fldCharType="separate"/>
        </w:r>
        <w:r w:rsidR="00AF5351">
          <w:rPr>
            <w:noProof/>
            <w:webHidden/>
          </w:rPr>
          <w:t>116</w:t>
        </w:r>
        <w:r>
          <w:rPr>
            <w:noProof/>
            <w:webHidden/>
          </w:rPr>
          <w:fldChar w:fldCharType="end"/>
        </w:r>
      </w:hyperlink>
    </w:p>
    <w:p w:rsidR="002420B8" w:rsidRDefault="00DF0E4B">
      <w:pPr>
        <w:pStyle w:val="TDC2"/>
        <w:tabs>
          <w:tab w:val="right" w:leader="dot" w:pos="9628"/>
        </w:tabs>
        <w:rPr>
          <w:rFonts w:asciiTheme="minorHAnsi" w:eastAsiaTheme="minorEastAsia" w:hAnsiTheme="minorHAnsi"/>
          <w:noProof/>
          <w:sz w:val="22"/>
          <w:lang w:eastAsia="es-ES"/>
        </w:rPr>
      </w:pPr>
      <w:hyperlink w:anchor="_Toc501110683" w:history="1">
        <w:r w:rsidR="002420B8" w:rsidRPr="007F0BAB">
          <w:rPr>
            <w:rStyle w:val="Hipervnculo"/>
            <w:noProof/>
          </w:rPr>
          <w:t>2.</w:t>
        </w:r>
        <w:r w:rsidR="002420B8">
          <w:rPr>
            <w:rFonts w:asciiTheme="minorHAnsi" w:eastAsiaTheme="minorEastAsia" w:hAnsiTheme="minorHAnsi"/>
            <w:noProof/>
            <w:sz w:val="22"/>
            <w:lang w:eastAsia="es-ES"/>
          </w:rPr>
          <w:tab/>
        </w:r>
        <w:r w:rsidR="002420B8" w:rsidRPr="007F0BAB">
          <w:rPr>
            <w:rStyle w:val="Hipervnculo"/>
            <w:noProof/>
          </w:rPr>
          <w:t>Ministerio de Asuntos Exteriores y de Cooperación (MAEC)</w:t>
        </w:r>
        <w:r w:rsidR="002420B8">
          <w:rPr>
            <w:noProof/>
            <w:webHidden/>
          </w:rPr>
          <w:tab/>
        </w:r>
        <w:r>
          <w:rPr>
            <w:noProof/>
            <w:webHidden/>
          </w:rPr>
          <w:fldChar w:fldCharType="begin"/>
        </w:r>
        <w:r w:rsidR="002420B8">
          <w:rPr>
            <w:noProof/>
            <w:webHidden/>
          </w:rPr>
          <w:instrText xml:space="preserve"> PAGEREF _Toc501110683 \h </w:instrText>
        </w:r>
        <w:r>
          <w:rPr>
            <w:noProof/>
            <w:webHidden/>
          </w:rPr>
        </w:r>
        <w:r>
          <w:rPr>
            <w:noProof/>
            <w:webHidden/>
          </w:rPr>
          <w:fldChar w:fldCharType="separate"/>
        </w:r>
        <w:r w:rsidR="00AF5351">
          <w:rPr>
            <w:noProof/>
            <w:webHidden/>
          </w:rPr>
          <w:t>118</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84" w:history="1">
        <w:r w:rsidR="002420B8" w:rsidRPr="007F0BAB">
          <w:rPr>
            <w:rStyle w:val="Hipervnculo"/>
            <w:noProof/>
          </w:rPr>
          <w:t>2.1.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_Toc501110684 \h </w:instrText>
        </w:r>
        <w:r>
          <w:rPr>
            <w:noProof/>
            <w:webHidden/>
          </w:rPr>
        </w:r>
        <w:r>
          <w:rPr>
            <w:noProof/>
            <w:webHidden/>
          </w:rPr>
          <w:fldChar w:fldCharType="separate"/>
        </w:r>
        <w:r w:rsidR="00AF5351">
          <w:rPr>
            <w:noProof/>
            <w:webHidden/>
          </w:rPr>
          <w:t>118</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85" w:history="1">
        <w:r w:rsidR="002420B8" w:rsidRPr="007F0BAB">
          <w:rPr>
            <w:rStyle w:val="Hipervnculo"/>
            <w:noProof/>
          </w:rPr>
          <w:t>2.2.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_Toc501110685 \h </w:instrText>
        </w:r>
        <w:r>
          <w:rPr>
            <w:noProof/>
            <w:webHidden/>
          </w:rPr>
        </w:r>
        <w:r>
          <w:rPr>
            <w:noProof/>
            <w:webHidden/>
          </w:rPr>
          <w:fldChar w:fldCharType="separate"/>
        </w:r>
        <w:r w:rsidR="00AF5351">
          <w:rPr>
            <w:noProof/>
            <w:webHidden/>
          </w:rPr>
          <w:t>120</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86" w:history="1">
        <w:r w:rsidR="002420B8" w:rsidRPr="007F0BAB">
          <w:rPr>
            <w:rStyle w:val="Hipervnculo"/>
            <w:noProof/>
          </w:rPr>
          <w:t>2.3.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_Toc501110686 \h </w:instrText>
        </w:r>
        <w:r>
          <w:rPr>
            <w:noProof/>
            <w:webHidden/>
          </w:rPr>
        </w:r>
        <w:r>
          <w:rPr>
            <w:noProof/>
            <w:webHidden/>
          </w:rPr>
          <w:fldChar w:fldCharType="separate"/>
        </w:r>
        <w:r w:rsidR="00AF5351">
          <w:rPr>
            <w:noProof/>
            <w:webHidden/>
          </w:rPr>
          <w:t>121</w:t>
        </w:r>
        <w:r>
          <w:rPr>
            <w:noProof/>
            <w:webHidden/>
          </w:rPr>
          <w:fldChar w:fldCharType="end"/>
        </w:r>
      </w:hyperlink>
    </w:p>
    <w:p w:rsidR="002420B8" w:rsidRDefault="00DF0E4B">
      <w:pPr>
        <w:pStyle w:val="TDC2"/>
        <w:tabs>
          <w:tab w:val="right" w:leader="dot" w:pos="9628"/>
        </w:tabs>
        <w:rPr>
          <w:rFonts w:asciiTheme="minorHAnsi" w:eastAsiaTheme="minorEastAsia" w:hAnsiTheme="minorHAnsi"/>
          <w:noProof/>
          <w:sz w:val="22"/>
          <w:lang w:eastAsia="es-ES"/>
        </w:rPr>
      </w:pPr>
      <w:hyperlink w:anchor="_Toc501110687" w:history="1">
        <w:r w:rsidR="002420B8" w:rsidRPr="007F0BAB">
          <w:rPr>
            <w:rStyle w:val="Hipervnculo"/>
            <w:noProof/>
          </w:rPr>
          <w:t>3.</w:t>
        </w:r>
        <w:r w:rsidR="002420B8">
          <w:rPr>
            <w:rFonts w:asciiTheme="minorHAnsi" w:eastAsiaTheme="minorEastAsia" w:hAnsiTheme="minorHAnsi"/>
            <w:noProof/>
            <w:sz w:val="22"/>
            <w:lang w:eastAsia="es-ES"/>
          </w:rPr>
          <w:tab/>
        </w:r>
        <w:r w:rsidR="002420B8" w:rsidRPr="007F0BAB">
          <w:rPr>
            <w:rStyle w:val="Hipervnculo"/>
            <w:noProof/>
          </w:rPr>
          <w:t>Ministerio de Justicia (MJUS)</w:t>
        </w:r>
        <w:r w:rsidR="002420B8">
          <w:rPr>
            <w:noProof/>
            <w:webHidden/>
          </w:rPr>
          <w:tab/>
        </w:r>
        <w:r>
          <w:rPr>
            <w:noProof/>
            <w:webHidden/>
          </w:rPr>
          <w:fldChar w:fldCharType="begin"/>
        </w:r>
        <w:r w:rsidR="002420B8">
          <w:rPr>
            <w:noProof/>
            <w:webHidden/>
          </w:rPr>
          <w:instrText xml:space="preserve"> PAGEREF _Toc501110687 \h </w:instrText>
        </w:r>
        <w:r>
          <w:rPr>
            <w:noProof/>
            <w:webHidden/>
          </w:rPr>
        </w:r>
        <w:r>
          <w:rPr>
            <w:noProof/>
            <w:webHidden/>
          </w:rPr>
          <w:fldChar w:fldCharType="separate"/>
        </w:r>
        <w:r w:rsidR="00AF5351">
          <w:rPr>
            <w:noProof/>
            <w:webHidden/>
          </w:rPr>
          <w:t>124</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88" w:history="1">
        <w:r w:rsidR="002420B8" w:rsidRPr="007F0BAB">
          <w:rPr>
            <w:rStyle w:val="Hipervnculo"/>
            <w:noProof/>
          </w:rPr>
          <w:t>3.1.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_Toc501110688 \h </w:instrText>
        </w:r>
        <w:r>
          <w:rPr>
            <w:noProof/>
            <w:webHidden/>
          </w:rPr>
        </w:r>
        <w:r>
          <w:rPr>
            <w:noProof/>
            <w:webHidden/>
          </w:rPr>
          <w:fldChar w:fldCharType="separate"/>
        </w:r>
        <w:r w:rsidR="00AF5351">
          <w:rPr>
            <w:noProof/>
            <w:webHidden/>
          </w:rPr>
          <w:t>124</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89" w:history="1">
        <w:r w:rsidR="002420B8" w:rsidRPr="007F0BAB">
          <w:rPr>
            <w:rStyle w:val="Hipervnculo"/>
            <w:noProof/>
          </w:rPr>
          <w:t>3.2.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_Toc501110689 \h </w:instrText>
        </w:r>
        <w:r>
          <w:rPr>
            <w:noProof/>
            <w:webHidden/>
          </w:rPr>
        </w:r>
        <w:r>
          <w:rPr>
            <w:noProof/>
            <w:webHidden/>
          </w:rPr>
          <w:fldChar w:fldCharType="separate"/>
        </w:r>
        <w:r w:rsidR="00AF5351">
          <w:rPr>
            <w:noProof/>
            <w:webHidden/>
          </w:rPr>
          <w:t>126</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90" w:history="1">
        <w:r w:rsidR="002420B8" w:rsidRPr="007F0BAB">
          <w:rPr>
            <w:rStyle w:val="Hipervnculo"/>
            <w:noProof/>
          </w:rPr>
          <w:t>3.3.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_Toc501110690 \h </w:instrText>
        </w:r>
        <w:r>
          <w:rPr>
            <w:noProof/>
            <w:webHidden/>
          </w:rPr>
        </w:r>
        <w:r>
          <w:rPr>
            <w:noProof/>
            <w:webHidden/>
          </w:rPr>
          <w:fldChar w:fldCharType="separate"/>
        </w:r>
        <w:r w:rsidR="00AF5351">
          <w:rPr>
            <w:noProof/>
            <w:webHidden/>
          </w:rPr>
          <w:t>127</w:t>
        </w:r>
        <w:r>
          <w:rPr>
            <w:noProof/>
            <w:webHidden/>
          </w:rPr>
          <w:fldChar w:fldCharType="end"/>
        </w:r>
      </w:hyperlink>
    </w:p>
    <w:p w:rsidR="002420B8" w:rsidRDefault="00DF0E4B">
      <w:pPr>
        <w:pStyle w:val="TDC2"/>
        <w:tabs>
          <w:tab w:val="right" w:leader="dot" w:pos="9628"/>
        </w:tabs>
        <w:rPr>
          <w:rFonts w:asciiTheme="minorHAnsi" w:eastAsiaTheme="minorEastAsia" w:hAnsiTheme="minorHAnsi"/>
          <w:noProof/>
          <w:sz w:val="22"/>
          <w:lang w:eastAsia="es-ES"/>
        </w:rPr>
      </w:pPr>
      <w:hyperlink w:anchor="_Toc501110691" w:history="1">
        <w:r w:rsidR="002420B8" w:rsidRPr="007F0BAB">
          <w:rPr>
            <w:rStyle w:val="Hipervnculo"/>
            <w:noProof/>
          </w:rPr>
          <w:t>4.</w:t>
        </w:r>
        <w:r w:rsidR="002420B8">
          <w:rPr>
            <w:rFonts w:asciiTheme="minorHAnsi" w:eastAsiaTheme="minorEastAsia" w:hAnsiTheme="minorHAnsi"/>
            <w:noProof/>
            <w:sz w:val="22"/>
            <w:lang w:eastAsia="es-ES"/>
          </w:rPr>
          <w:tab/>
        </w:r>
        <w:r w:rsidR="002420B8" w:rsidRPr="007F0BAB">
          <w:rPr>
            <w:rStyle w:val="Hipervnculo"/>
            <w:noProof/>
          </w:rPr>
          <w:t>Ministerio de Defensa (MINDEF)</w:t>
        </w:r>
        <w:r w:rsidR="002420B8">
          <w:rPr>
            <w:noProof/>
            <w:webHidden/>
          </w:rPr>
          <w:tab/>
        </w:r>
        <w:r>
          <w:rPr>
            <w:noProof/>
            <w:webHidden/>
          </w:rPr>
          <w:fldChar w:fldCharType="begin"/>
        </w:r>
        <w:r w:rsidR="002420B8">
          <w:rPr>
            <w:noProof/>
            <w:webHidden/>
          </w:rPr>
          <w:instrText xml:space="preserve"> PAGEREF _Toc501110691 \h </w:instrText>
        </w:r>
        <w:r>
          <w:rPr>
            <w:noProof/>
            <w:webHidden/>
          </w:rPr>
        </w:r>
        <w:r>
          <w:rPr>
            <w:noProof/>
            <w:webHidden/>
          </w:rPr>
          <w:fldChar w:fldCharType="separate"/>
        </w:r>
        <w:r w:rsidR="00AF5351">
          <w:rPr>
            <w:noProof/>
            <w:webHidden/>
          </w:rPr>
          <w:t>130</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92" w:history="1">
        <w:r w:rsidR="002420B8" w:rsidRPr="007F0BAB">
          <w:rPr>
            <w:rStyle w:val="Hipervnculo"/>
            <w:noProof/>
          </w:rPr>
          <w:t>4.1.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_Toc501110692 \h </w:instrText>
        </w:r>
        <w:r>
          <w:rPr>
            <w:noProof/>
            <w:webHidden/>
          </w:rPr>
        </w:r>
        <w:r>
          <w:rPr>
            <w:noProof/>
            <w:webHidden/>
          </w:rPr>
          <w:fldChar w:fldCharType="separate"/>
        </w:r>
        <w:r w:rsidR="00AF5351">
          <w:rPr>
            <w:noProof/>
            <w:webHidden/>
          </w:rPr>
          <w:t>130</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93" w:history="1">
        <w:r w:rsidR="002420B8" w:rsidRPr="007F0BAB">
          <w:rPr>
            <w:rStyle w:val="Hipervnculo"/>
            <w:noProof/>
          </w:rPr>
          <w:t>4.2.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_Toc501110693 \h </w:instrText>
        </w:r>
        <w:r>
          <w:rPr>
            <w:noProof/>
            <w:webHidden/>
          </w:rPr>
        </w:r>
        <w:r>
          <w:rPr>
            <w:noProof/>
            <w:webHidden/>
          </w:rPr>
          <w:fldChar w:fldCharType="separate"/>
        </w:r>
        <w:r w:rsidR="00AF5351">
          <w:rPr>
            <w:noProof/>
            <w:webHidden/>
          </w:rPr>
          <w:t>132</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94" w:history="1">
        <w:r w:rsidR="002420B8" w:rsidRPr="007F0BAB">
          <w:rPr>
            <w:rStyle w:val="Hipervnculo"/>
            <w:noProof/>
          </w:rPr>
          <w:t>4.3.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_Toc501110694 \h </w:instrText>
        </w:r>
        <w:r>
          <w:rPr>
            <w:noProof/>
            <w:webHidden/>
          </w:rPr>
        </w:r>
        <w:r>
          <w:rPr>
            <w:noProof/>
            <w:webHidden/>
          </w:rPr>
          <w:fldChar w:fldCharType="separate"/>
        </w:r>
        <w:r w:rsidR="00AF5351">
          <w:rPr>
            <w:noProof/>
            <w:webHidden/>
          </w:rPr>
          <w:t>133</w:t>
        </w:r>
        <w:r>
          <w:rPr>
            <w:noProof/>
            <w:webHidden/>
          </w:rPr>
          <w:fldChar w:fldCharType="end"/>
        </w:r>
      </w:hyperlink>
    </w:p>
    <w:p w:rsidR="002420B8" w:rsidRDefault="00DF0E4B">
      <w:pPr>
        <w:pStyle w:val="TDC2"/>
        <w:tabs>
          <w:tab w:val="right" w:leader="dot" w:pos="9628"/>
        </w:tabs>
        <w:rPr>
          <w:rFonts w:asciiTheme="minorHAnsi" w:eastAsiaTheme="minorEastAsia" w:hAnsiTheme="minorHAnsi"/>
          <w:noProof/>
          <w:sz w:val="22"/>
          <w:lang w:eastAsia="es-ES"/>
        </w:rPr>
      </w:pPr>
      <w:hyperlink w:anchor="_Toc501110695" w:history="1">
        <w:r w:rsidR="002420B8" w:rsidRPr="007F0BAB">
          <w:rPr>
            <w:rStyle w:val="Hipervnculo"/>
            <w:noProof/>
          </w:rPr>
          <w:t>5.</w:t>
        </w:r>
        <w:r w:rsidR="002420B8">
          <w:rPr>
            <w:rFonts w:asciiTheme="minorHAnsi" w:eastAsiaTheme="minorEastAsia" w:hAnsiTheme="minorHAnsi"/>
            <w:noProof/>
            <w:sz w:val="22"/>
            <w:lang w:eastAsia="es-ES"/>
          </w:rPr>
          <w:tab/>
        </w:r>
        <w:r w:rsidR="002420B8" w:rsidRPr="007F0BAB">
          <w:rPr>
            <w:rStyle w:val="Hipervnculo"/>
            <w:noProof/>
          </w:rPr>
          <w:t>Ministerio de Hacienda y Función Pública (MINHAFP)</w:t>
        </w:r>
        <w:r w:rsidR="002420B8">
          <w:rPr>
            <w:noProof/>
            <w:webHidden/>
          </w:rPr>
          <w:tab/>
        </w:r>
        <w:r>
          <w:rPr>
            <w:noProof/>
            <w:webHidden/>
          </w:rPr>
          <w:fldChar w:fldCharType="begin"/>
        </w:r>
        <w:r w:rsidR="002420B8">
          <w:rPr>
            <w:noProof/>
            <w:webHidden/>
          </w:rPr>
          <w:instrText xml:space="preserve"> PAGEREF _Toc501110695 \h </w:instrText>
        </w:r>
        <w:r>
          <w:rPr>
            <w:noProof/>
            <w:webHidden/>
          </w:rPr>
        </w:r>
        <w:r>
          <w:rPr>
            <w:noProof/>
            <w:webHidden/>
          </w:rPr>
          <w:fldChar w:fldCharType="separate"/>
        </w:r>
        <w:r w:rsidR="00AF5351">
          <w:rPr>
            <w:noProof/>
            <w:webHidden/>
          </w:rPr>
          <w:t>136</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96" w:history="1">
        <w:r w:rsidR="002420B8" w:rsidRPr="007F0BAB">
          <w:rPr>
            <w:rStyle w:val="Hipervnculo"/>
            <w:noProof/>
          </w:rPr>
          <w:t>5.1.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_Toc501110696 \h </w:instrText>
        </w:r>
        <w:r>
          <w:rPr>
            <w:noProof/>
            <w:webHidden/>
          </w:rPr>
        </w:r>
        <w:r>
          <w:rPr>
            <w:noProof/>
            <w:webHidden/>
          </w:rPr>
          <w:fldChar w:fldCharType="separate"/>
        </w:r>
        <w:r w:rsidR="00AF5351">
          <w:rPr>
            <w:noProof/>
            <w:webHidden/>
          </w:rPr>
          <w:t>136</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97" w:history="1">
        <w:r w:rsidR="002420B8" w:rsidRPr="007F0BAB">
          <w:rPr>
            <w:rStyle w:val="Hipervnculo"/>
            <w:noProof/>
          </w:rPr>
          <w:t>5.2.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_Toc501110697 \h </w:instrText>
        </w:r>
        <w:r>
          <w:rPr>
            <w:noProof/>
            <w:webHidden/>
          </w:rPr>
        </w:r>
        <w:r>
          <w:rPr>
            <w:noProof/>
            <w:webHidden/>
          </w:rPr>
          <w:fldChar w:fldCharType="separate"/>
        </w:r>
        <w:r w:rsidR="00AF5351">
          <w:rPr>
            <w:noProof/>
            <w:webHidden/>
          </w:rPr>
          <w:t>138</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698" w:history="1">
        <w:r w:rsidR="002420B8" w:rsidRPr="007F0BAB">
          <w:rPr>
            <w:rStyle w:val="Hipervnculo"/>
            <w:noProof/>
          </w:rPr>
          <w:t>5.3.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_Toc501110698 \h </w:instrText>
        </w:r>
        <w:r>
          <w:rPr>
            <w:noProof/>
            <w:webHidden/>
          </w:rPr>
        </w:r>
        <w:r>
          <w:rPr>
            <w:noProof/>
            <w:webHidden/>
          </w:rPr>
          <w:fldChar w:fldCharType="separate"/>
        </w:r>
        <w:r w:rsidR="00AF5351">
          <w:rPr>
            <w:noProof/>
            <w:webHidden/>
          </w:rPr>
          <w:t>140</w:t>
        </w:r>
        <w:r>
          <w:rPr>
            <w:noProof/>
            <w:webHidden/>
          </w:rPr>
          <w:fldChar w:fldCharType="end"/>
        </w:r>
      </w:hyperlink>
    </w:p>
    <w:p w:rsidR="002420B8" w:rsidRDefault="00DF0E4B">
      <w:pPr>
        <w:pStyle w:val="TDC2"/>
        <w:tabs>
          <w:tab w:val="right" w:leader="dot" w:pos="9628"/>
        </w:tabs>
        <w:rPr>
          <w:rFonts w:asciiTheme="minorHAnsi" w:eastAsiaTheme="minorEastAsia" w:hAnsiTheme="minorHAnsi"/>
          <w:noProof/>
          <w:sz w:val="22"/>
          <w:lang w:eastAsia="es-ES"/>
        </w:rPr>
      </w:pPr>
      <w:hyperlink w:anchor="_Toc501110699" w:history="1">
        <w:r w:rsidR="002420B8" w:rsidRPr="007F0BAB">
          <w:rPr>
            <w:rStyle w:val="Hipervnculo"/>
            <w:noProof/>
          </w:rPr>
          <w:t>6.</w:t>
        </w:r>
        <w:r w:rsidR="002420B8">
          <w:rPr>
            <w:rFonts w:asciiTheme="minorHAnsi" w:eastAsiaTheme="minorEastAsia" w:hAnsiTheme="minorHAnsi"/>
            <w:noProof/>
            <w:sz w:val="22"/>
            <w:lang w:eastAsia="es-ES"/>
          </w:rPr>
          <w:tab/>
        </w:r>
        <w:r w:rsidR="002420B8" w:rsidRPr="007F0BAB">
          <w:rPr>
            <w:rStyle w:val="Hipervnculo"/>
            <w:noProof/>
          </w:rPr>
          <w:t>Ministerio del Interior (MIR)</w:t>
        </w:r>
        <w:r w:rsidR="002420B8">
          <w:rPr>
            <w:noProof/>
            <w:webHidden/>
          </w:rPr>
          <w:tab/>
        </w:r>
        <w:r>
          <w:rPr>
            <w:noProof/>
            <w:webHidden/>
          </w:rPr>
          <w:fldChar w:fldCharType="begin"/>
        </w:r>
        <w:r w:rsidR="002420B8">
          <w:rPr>
            <w:noProof/>
            <w:webHidden/>
          </w:rPr>
          <w:instrText xml:space="preserve"> PAGEREF _Toc501110699 \h </w:instrText>
        </w:r>
        <w:r>
          <w:rPr>
            <w:noProof/>
            <w:webHidden/>
          </w:rPr>
        </w:r>
        <w:r>
          <w:rPr>
            <w:noProof/>
            <w:webHidden/>
          </w:rPr>
          <w:fldChar w:fldCharType="separate"/>
        </w:r>
        <w:r w:rsidR="00AF5351">
          <w:rPr>
            <w:noProof/>
            <w:webHidden/>
          </w:rPr>
          <w:t>143</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00" w:history="1">
        <w:r w:rsidR="002420B8" w:rsidRPr="007F0BAB">
          <w:rPr>
            <w:rStyle w:val="Hipervnculo"/>
            <w:noProof/>
          </w:rPr>
          <w:t>6.1.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_Toc501110700 \h </w:instrText>
        </w:r>
        <w:r>
          <w:rPr>
            <w:noProof/>
            <w:webHidden/>
          </w:rPr>
        </w:r>
        <w:r>
          <w:rPr>
            <w:noProof/>
            <w:webHidden/>
          </w:rPr>
          <w:fldChar w:fldCharType="separate"/>
        </w:r>
        <w:r w:rsidR="00AF5351">
          <w:rPr>
            <w:noProof/>
            <w:webHidden/>
          </w:rPr>
          <w:t>143</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01" w:history="1">
        <w:r w:rsidR="002420B8" w:rsidRPr="007F0BAB">
          <w:rPr>
            <w:rStyle w:val="Hipervnculo"/>
            <w:noProof/>
          </w:rPr>
          <w:t>6.2.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_Toc501110701 \h </w:instrText>
        </w:r>
        <w:r>
          <w:rPr>
            <w:noProof/>
            <w:webHidden/>
          </w:rPr>
        </w:r>
        <w:r>
          <w:rPr>
            <w:noProof/>
            <w:webHidden/>
          </w:rPr>
          <w:fldChar w:fldCharType="separate"/>
        </w:r>
        <w:r w:rsidR="00AF5351">
          <w:rPr>
            <w:noProof/>
            <w:webHidden/>
          </w:rPr>
          <w:t>145</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02" w:history="1">
        <w:r w:rsidR="002420B8" w:rsidRPr="007F0BAB">
          <w:rPr>
            <w:rStyle w:val="Hipervnculo"/>
            <w:noProof/>
          </w:rPr>
          <w:t>6.3.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_Toc501110702 \h </w:instrText>
        </w:r>
        <w:r>
          <w:rPr>
            <w:noProof/>
            <w:webHidden/>
          </w:rPr>
        </w:r>
        <w:r>
          <w:rPr>
            <w:noProof/>
            <w:webHidden/>
          </w:rPr>
          <w:fldChar w:fldCharType="separate"/>
        </w:r>
        <w:r w:rsidR="00AF5351">
          <w:rPr>
            <w:noProof/>
            <w:webHidden/>
          </w:rPr>
          <w:t>146</w:t>
        </w:r>
        <w:r>
          <w:rPr>
            <w:noProof/>
            <w:webHidden/>
          </w:rPr>
          <w:fldChar w:fldCharType="end"/>
        </w:r>
      </w:hyperlink>
    </w:p>
    <w:p w:rsidR="002420B8" w:rsidRDefault="00DF0E4B">
      <w:pPr>
        <w:pStyle w:val="TDC2"/>
        <w:tabs>
          <w:tab w:val="right" w:leader="dot" w:pos="9628"/>
        </w:tabs>
        <w:rPr>
          <w:rFonts w:asciiTheme="minorHAnsi" w:eastAsiaTheme="minorEastAsia" w:hAnsiTheme="minorHAnsi"/>
          <w:noProof/>
          <w:sz w:val="22"/>
          <w:lang w:eastAsia="es-ES"/>
        </w:rPr>
      </w:pPr>
      <w:hyperlink w:anchor="_Toc501110703" w:history="1">
        <w:r w:rsidR="002420B8" w:rsidRPr="007F0BAB">
          <w:rPr>
            <w:rStyle w:val="Hipervnculo"/>
            <w:noProof/>
          </w:rPr>
          <w:t>7.</w:t>
        </w:r>
        <w:r w:rsidR="002420B8">
          <w:rPr>
            <w:rFonts w:asciiTheme="minorHAnsi" w:eastAsiaTheme="minorEastAsia" w:hAnsiTheme="minorHAnsi"/>
            <w:noProof/>
            <w:sz w:val="22"/>
            <w:lang w:eastAsia="es-ES"/>
          </w:rPr>
          <w:tab/>
        </w:r>
        <w:r w:rsidR="002420B8" w:rsidRPr="007F0BAB">
          <w:rPr>
            <w:rStyle w:val="Hipervnculo"/>
            <w:noProof/>
          </w:rPr>
          <w:t>Ministerio de Fomento (MFOM)</w:t>
        </w:r>
        <w:r w:rsidR="002420B8">
          <w:rPr>
            <w:noProof/>
            <w:webHidden/>
          </w:rPr>
          <w:tab/>
        </w:r>
        <w:r>
          <w:rPr>
            <w:noProof/>
            <w:webHidden/>
          </w:rPr>
          <w:fldChar w:fldCharType="begin"/>
        </w:r>
        <w:r w:rsidR="002420B8">
          <w:rPr>
            <w:noProof/>
            <w:webHidden/>
          </w:rPr>
          <w:instrText xml:space="preserve"> PAGEREF _Toc501110703 \h </w:instrText>
        </w:r>
        <w:r>
          <w:rPr>
            <w:noProof/>
            <w:webHidden/>
          </w:rPr>
        </w:r>
        <w:r>
          <w:rPr>
            <w:noProof/>
            <w:webHidden/>
          </w:rPr>
          <w:fldChar w:fldCharType="separate"/>
        </w:r>
        <w:r w:rsidR="00AF5351">
          <w:rPr>
            <w:noProof/>
            <w:webHidden/>
          </w:rPr>
          <w:t>149</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04" w:history="1">
        <w:r w:rsidR="002420B8" w:rsidRPr="007F0BAB">
          <w:rPr>
            <w:rStyle w:val="Hipervnculo"/>
            <w:noProof/>
          </w:rPr>
          <w:t>7.1.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_Toc501110704 \h </w:instrText>
        </w:r>
        <w:r>
          <w:rPr>
            <w:noProof/>
            <w:webHidden/>
          </w:rPr>
        </w:r>
        <w:r>
          <w:rPr>
            <w:noProof/>
            <w:webHidden/>
          </w:rPr>
          <w:fldChar w:fldCharType="separate"/>
        </w:r>
        <w:r w:rsidR="00AF5351">
          <w:rPr>
            <w:noProof/>
            <w:webHidden/>
          </w:rPr>
          <w:t>149</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05" w:history="1">
        <w:r w:rsidR="002420B8" w:rsidRPr="007F0BAB">
          <w:rPr>
            <w:rStyle w:val="Hipervnculo"/>
            <w:noProof/>
          </w:rPr>
          <w:t>7.2.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_Toc501110705 \h </w:instrText>
        </w:r>
        <w:r>
          <w:rPr>
            <w:noProof/>
            <w:webHidden/>
          </w:rPr>
        </w:r>
        <w:r>
          <w:rPr>
            <w:noProof/>
            <w:webHidden/>
          </w:rPr>
          <w:fldChar w:fldCharType="separate"/>
        </w:r>
        <w:r w:rsidR="00AF5351">
          <w:rPr>
            <w:noProof/>
            <w:webHidden/>
          </w:rPr>
          <w:t>151</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06" w:history="1">
        <w:r w:rsidR="002420B8" w:rsidRPr="007F0BAB">
          <w:rPr>
            <w:rStyle w:val="Hipervnculo"/>
            <w:noProof/>
          </w:rPr>
          <w:t>7.3.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_Toc501110706 \h </w:instrText>
        </w:r>
        <w:r>
          <w:rPr>
            <w:noProof/>
            <w:webHidden/>
          </w:rPr>
        </w:r>
        <w:r>
          <w:rPr>
            <w:noProof/>
            <w:webHidden/>
          </w:rPr>
          <w:fldChar w:fldCharType="separate"/>
        </w:r>
        <w:r w:rsidR="00AF5351">
          <w:rPr>
            <w:noProof/>
            <w:webHidden/>
          </w:rPr>
          <w:t>152</w:t>
        </w:r>
        <w:r>
          <w:rPr>
            <w:noProof/>
            <w:webHidden/>
          </w:rPr>
          <w:fldChar w:fldCharType="end"/>
        </w:r>
      </w:hyperlink>
    </w:p>
    <w:p w:rsidR="002420B8" w:rsidRDefault="00DF0E4B">
      <w:pPr>
        <w:pStyle w:val="TDC2"/>
        <w:tabs>
          <w:tab w:val="right" w:leader="dot" w:pos="9628"/>
        </w:tabs>
        <w:rPr>
          <w:rFonts w:asciiTheme="minorHAnsi" w:eastAsiaTheme="minorEastAsia" w:hAnsiTheme="minorHAnsi"/>
          <w:noProof/>
          <w:sz w:val="22"/>
          <w:lang w:eastAsia="es-ES"/>
        </w:rPr>
      </w:pPr>
      <w:hyperlink w:anchor="_Toc501110707" w:history="1">
        <w:r w:rsidR="002420B8" w:rsidRPr="007F0BAB">
          <w:rPr>
            <w:rStyle w:val="Hipervnculo"/>
            <w:noProof/>
          </w:rPr>
          <w:t>8.</w:t>
        </w:r>
        <w:r w:rsidR="002420B8">
          <w:rPr>
            <w:rFonts w:asciiTheme="minorHAnsi" w:eastAsiaTheme="minorEastAsia" w:hAnsiTheme="minorHAnsi"/>
            <w:noProof/>
            <w:sz w:val="22"/>
            <w:lang w:eastAsia="es-ES"/>
          </w:rPr>
          <w:tab/>
        </w:r>
        <w:r w:rsidR="002420B8" w:rsidRPr="007F0BAB">
          <w:rPr>
            <w:rStyle w:val="Hipervnculo"/>
            <w:noProof/>
          </w:rPr>
          <w:t>Ministerio de Educación, Cultura y Deporte (MECD)</w:t>
        </w:r>
        <w:r w:rsidR="002420B8">
          <w:rPr>
            <w:noProof/>
            <w:webHidden/>
          </w:rPr>
          <w:tab/>
        </w:r>
        <w:r>
          <w:rPr>
            <w:noProof/>
            <w:webHidden/>
          </w:rPr>
          <w:fldChar w:fldCharType="begin"/>
        </w:r>
        <w:r w:rsidR="002420B8">
          <w:rPr>
            <w:noProof/>
            <w:webHidden/>
          </w:rPr>
          <w:instrText xml:space="preserve"> PAGEREF _Toc501110707 \h </w:instrText>
        </w:r>
        <w:r>
          <w:rPr>
            <w:noProof/>
            <w:webHidden/>
          </w:rPr>
        </w:r>
        <w:r>
          <w:rPr>
            <w:noProof/>
            <w:webHidden/>
          </w:rPr>
          <w:fldChar w:fldCharType="separate"/>
        </w:r>
        <w:r w:rsidR="00AF5351">
          <w:rPr>
            <w:noProof/>
            <w:webHidden/>
          </w:rPr>
          <w:t>155</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08" w:history="1">
        <w:r w:rsidR="002420B8" w:rsidRPr="007F0BAB">
          <w:rPr>
            <w:rStyle w:val="Hipervnculo"/>
            <w:noProof/>
          </w:rPr>
          <w:t>8.1.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_Toc501110708 \h </w:instrText>
        </w:r>
        <w:r>
          <w:rPr>
            <w:noProof/>
            <w:webHidden/>
          </w:rPr>
        </w:r>
        <w:r>
          <w:rPr>
            <w:noProof/>
            <w:webHidden/>
          </w:rPr>
          <w:fldChar w:fldCharType="separate"/>
        </w:r>
        <w:r w:rsidR="00AF5351">
          <w:rPr>
            <w:noProof/>
            <w:webHidden/>
          </w:rPr>
          <w:t>155</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09" w:history="1">
        <w:r w:rsidR="002420B8" w:rsidRPr="007F0BAB">
          <w:rPr>
            <w:rStyle w:val="Hipervnculo"/>
            <w:noProof/>
          </w:rPr>
          <w:t>8.2.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_Toc501110709 \h </w:instrText>
        </w:r>
        <w:r>
          <w:rPr>
            <w:noProof/>
            <w:webHidden/>
          </w:rPr>
        </w:r>
        <w:r>
          <w:rPr>
            <w:noProof/>
            <w:webHidden/>
          </w:rPr>
          <w:fldChar w:fldCharType="separate"/>
        </w:r>
        <w:r w:rsidR="00AF5351">
          <w:rPr>
            <w:noProof/>
            <w:webHidden/>
          </w:rPr>
          <w:t>157</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10" w:history="1">
        <w:r w:rsidR="002420B8" w:rsidRPr="007F0BAB">
          <w:rPr>
            <w:rStyle w:val="Hipervnculo"/>
            <w:noProof/>
          </w:rPr>
          <w:t>8.3.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_Toc501110710 \h </w:instrText>
        </w:r>
        <w:r>
          <w:rPr>
            <w:noProof/>
            <w:webHidden/>
          </w:rPr>
        </w:r>
        <w:r>
          <w:rPr>
            <w:noProof/>
            <w:webHidden/>
          </w:rPr>
          <w:fldChar w:fldCharType="separate"/>
        </w:r>
        <w:r w:rsidR="00AF5351">
          <w:rPr>
            <w:noProof/>
            <w:webHidden/>
          </w:rPr>
          <w:t>159</w:t>
        </w:r>
        <w:r>
          <w:rPr>
            <w:noProof/>
            <w:webHidden/>
          </w:rPr>
          <w:fldChar w:fldCharType="end"/>
        </w:r>
      </w:hyperlink>
    </w:p>
    <w:p w:rsidR="002420B8" w:rsidRDefault="00DF0E4B">
      <w:pPr>
        <w:pStyle w:val="TDC2"/>
        <w:tabs>
          <w:tab w:val="right" w:leader="dot" w:pos="9628"/>
        </w:tabs>
        <w:rPr>
          <w:rFonts w:asciiTheme="minorHAnsi" w:eastAsiaTheme="minorEastAsia" w:hAnsiTheme="minorHAnsi"/>
          <w:noProof/>
          <w:sz w:val="22"/>
          <w:lang w:eastAsia="es-ES"/>
        </w:rPr>
      </w:pPr>
      <w:hyperlink w:anchor="_Toc501110711" w:history="1">
        <w:r w:rsidR="002420B8" w:rsidRPr="007F0BAB">
          <w:rPr>
            <w:rStyle w:val="Hipervnculo"/>
            <w:noProof/>
          </w:rPr>
          <w:t>9.</w:t>
        </w:r>
        <w:r w:rsidR="002420B8">
          <w:rPr>
            <w:rFonts w:asciiTheme="minorHAnsi" w:eastAsiaTheme="minorEastAsia" w:hAnsiTheme="minorHAnsi"/>
            <w:noProof/>
            <w:sz w:val="22"/>
            <w:lang w:eastAsia="es-ES"/>
          </w:rPr>
          <w:tab/>
        </w:r>
        <w:r w:rsidR="002420B8" w:rsidRPr="007F0BAB">
          <w:rPr>
            <w:rStyle w:val="Hipervnculo"/>
            <w:noProof/>
          </w:rPr>
          <w:t>Ministerio de Empleo y Seguridad Social (MEYSS)</w:t>
        </w:r>
        <w:r w:rsidR="002420B8">
          <w:rPr>
            <w:noProof/>
            <w:webHidden/>
          </w:rPr>
          <w:tab/>
        </w:r>
        <w:r>
          <w:rPr>
            <w:noProof/>
            <w:webHidden/>
          </w:rPr>
          <w:fldChar w:fldCharType="begin"/>
        </w:r>
        <w:r w:rsidR="002420B8">
          <w:rPr>
            <w:noProof/>
            <w:webHidden/>
          </w:rPr>
          <w:instrText xml:space="preserve"> PAGEREF _Toc501110711 \h </w:instrText>
        </w:r>
        <w:r>
          <w:rPr>
            <w:noProof/>
            <w:webHidden/>
          </w:rPr>
        </w:r>
        <w:r>
          <w:rPr>
            <w:noProof/>
            <w:webHidden/>
          </w:rPr>
          <w:fldChar w:fldCharType="separate"/>
        </w:r>
        <w:r w:rsidR="00AF5351">
          <w:rPr>
            <w:noProof/>
            <w:webHidden/>
          </w:rPr>
          <w:t>161</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12" w:history="1">
        <w:r w:rsidR="002420B8" w:rsidRPr="007F0BAB">
          <w:rPr>
            <w:rStyle w:val="Hipervnculo"/>
            <w:noProof/>
          </w:rPr>
          <w:t>9.1.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_Toc501110712 \h </w:instrText>
        </w:r>
        <w:r>
          <w:rPr>
            <w:noProof/>
            <w:webHidden/>
          </w:rPr>
        </w:r>
        <w:r>
          <w:rPr>
            <w:noProof/>
            <w:webHidden/>
          </w:rPr>
          <w:fldChar w:fldCharType="separate"/>
        </w:r>
        <w:r w:rsidR="00AF5351">
          <w:rPr>
            <w:noProof/>
            <w:webHidden/>
          </w:rPr>
          <w:t>161</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13" w:history="1">
        <w:r w:rsidR="002420B8" w:rsidRPr="007F0BAB">
          <w:rPr>
            <w:rStyle w:val="Hipervnculo"/>
            <w:noProof/>
          </w:rPr>
          <w:t>9.2.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_Toc501110713 \h </w:instrText>
        </w:r>
        <w:r>
          <w:rPr>
            <w:noProof/>
            <w:webHidden/>
          </w:rPr>
        </w:r>
        <w:r>
          <w:rPr>
            <w:noProof/>
            <w:webHidden/>
          </w:rPr>
          <w:fldChar w:fldCharType="separate"/>
        </w:r>
        <w:r w:rsidR="00AF5351">
          <w:rPr>
            <w:noProof/>
            <w:webHidden/>
          </w:rPr>
          <w:t>163</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14" w:history="1">
        <w:r w:rsidR="002420B8" w:rsidRPr="007F0BAB">
          <w:rPr>
            <w:rStyle w:val="Hipervnculo"/>
            <w:noProof/>
          </w:rPr>
          <w:t>9.3.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_Toc501110714 \h </w:instrText>
        </w:r>
        <w:r>
          <w:rPr>
            <w:noProof/>
            <w:webHidden/>
          </w:rPr>
        </w:r>
        <w:r>
          <w:rPr>
            <w:noProof/>
            <w:webHidden/>
          </w:rPr>
          <w:fldChar w:fldCharType="separate"/>
        </w:r>
        <w:r w:rsidR="00AF5351">
          <w:rPr>
            <w:noProof/>
            <w:webHidden/>
          </w:rPr>
          <w:t>165</w:t>
        </w:r>
        <w:r>
          <w:rPr>
            <w:noProof/>
            <w:webHidden/>
          </w:rPr>
          <w:fldChar w:fldCharType="end"/>
        </w:r>
      </w:hyperlink>
    </w:p>
    <w:p w:rsidR="002420B8" w:rsidRDefault="00DF0E4B">
      <w:pPr>
        <w:pStyle w:val="TDC2"/>
        <w:tabs>
          <w:tab w:val="left" w:pos="851"/>
          <w:tab w:val="right" w:leader="dot" w:pos="9628"/>
        </w:tabs>
        <w:rPr>
          <w:rFonts w:asciiTheme="minorHAnsi" w:eastAsiaTheme="minorEastAsia" w:hAnsiTheme="minorHAnsi"/>
          <w:noProof/>
          <w:sz w:val="22"/>
          <w:lang w:eastAsia="es-ES"/>
        </w:rPr>
      </w:pPr>
      <w:hyperlink w:anchor="_Toc501110715" w:history="1">
        <w:r w:rsidR="002420B8" w:rsidRPr="007F0BAB">
          <w:rPr>
            <w:rStyle w:val="Hipervnculo"/>
            <w:noProof/>
          </w:rPr>
          <w:t>10.</w:t>
        </w:r>
        <w:r w:rsidR="002420B8">
          <w:rPr>
            <w:rFonts w:asciiTheme="minorHAnsi" w:eastAsiaTheme="minorEastAsia" w:hAnsiTheme="minorHAnsi"/>
            <w:noProof/>
            <w:sz w:val="22"/>
            <w:lang w:eastAsia="es-ES"/>
          </w:rPr>
          <w:tab/>
        </w:r>
        <w:r w:rsidR="002420B8" w:rsidRPr="007F0BAB">
          <w:rPr>
            <w:rStyle w:val="Hipervnculo"/>
            <w:noProof/>
          </w:rPr>
          <w:t>Ministerio de Energía, Turismo y Agenda Digital (MINETAD)</w:t>
        </w:r>
        <w:r w:rsidR="002420B8">
          <w:rPr>
            <w:noProof/>
            <w:webHidden/>
          </w:rPr>
          <w:tab/>
        </w:r>
        <w:r>
          <w:rPr>
            <w:noProof/>
            <w:webHidden/>
          </w:rPr>
          <w:fldChar w:fldCharType="begin"/>
        </w:r>
        <w:r w:rsidR="002420B8">
          <w:rPr>
            <w:noProof/>
            <w:webHidden/>
          </w:rPr>
          <w:instrText xml:space="preserve"> PAGEREF _Toc501110715 \h </w:instrText>
        </w:r>
        <w:r>
          <w:rPr>
            <w:noProof/>
            <w:webHidden/>
          </w:rPr>
        </w:r>
        <w:r>
          <w:rPr>
            <w:noProof/>
            <w:webHidden/>
          </w:rPr>
          <w:fldChar w:fldCharType="separate"/>
        </w:r>
        <w:r w:rsidR="00AF5351">
          <w:rPr>
            <w:noProof/>
            <w:webHidden/>
          </w:rPr>
          <w:t>167</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16" w:history="1">
        <w:r w:rsidR="002420B8" w:rsidRPr="007F0BAB">
          <w:rPr>
            <w:rStyle w:val="Hipervnculo"/>
            <w:noProof/>
          </w:rPr>
          <w:t>10.1.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_Toc501110716 \h </w:instrText>
        </w:r>
        <w:r>
          <w:rPr>
            <w:noProof/>
            <w:webHidden/>
          </w:rPr>
        </w:r>
        <w:r>
          <w:rPr>
            <w:noProof/>
            <w:webHidden/>
          </w:rPr>
          <w:fldChar w:fldCharType="separate"/>
        </w:r>
        <w:r w:rsidR="00AF5351">
          <w:rPr>
            <w:noProof/>
            <w:webHidden/>
          </w:rPr>
          <w:t>167</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17" w:history="1">
        <w:r w:rsidR="002420B8" w:rsidRPr="007F0BAB">
          <w:rPr>
            <w:rStyle w:val="Hipervnculo"/>
            <w:noProof/>
          </w:rPr>
          <w:t>10.2.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_Toc501110717 \h </w:instrText>
        </w:r>
        <w:r>
          <w:rPr>
            <w:noProof/>
            <w:webHidden/>
          </w:rPr>
        </w:r>
        <w:r>
          <w:rPr>
            <w:noProof/>
            <w:webHidden/>
          </w:rPr>
          <w:fldChar w:fldCharType="separate"/>
        </w:r>
        <w:r w:rsidR="00AF5351">
          <w:rPr>
            <w:noProof/>
            <w:webHidden/>
          </w:rPr>
          <w:t>168</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18" w:history="1">
        <w:r w:rsidR="002420B8" w:rsidRPr="007F0BAB">
          <w:rPr>
            <w:rStyle w:val="Hipervnculo"/>
            <w:noProof/>
          </w:rPr>
          <w:t>10.3.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_Toc501110718 \h </w:instrText>
        </w:r>
        <w:r>
          <w:rPr>
            <w:noProof/>
            <w:webHidden/>
          </w:rPr>
        </w:r>
        <w:r>
          <w:rPr>
            <w:noProof/>
            <w:webHidden/>
          </w:rPr>
          <w:fldChar w:fldCharType="separate"/>
        </w:r>
        <w:r w:rsidR="00AF5351">
          <w:rPr>
            <w:noProof/>
            <w:webHidden/>
          </w:rPr>
          <w:t>169</w:t>
        </w:r>
        <w:r>
          <w:rPr>
            <w:noProof/>
            <w:webHidden/>
          </w:rPr>
          <w:fldChar w:fldCharType="end"/>
        </w:r>
      </w:hyperlink>
    </w:p>
    <w:p w:rsidR="002420B8" w:rsidRDefault="00DF0E4B">
      <w:pPr>
        <w:pStyle w:val="TDC2"/>
        <w:tabs>
          <w:tab w:val="left" w:pos="851"/>
          <w:tab w:val="right" w:leader="dot" w:pos="9628"/>
        </w:tabs>
        <w:rPr>
          <w:rFonts w:asciiTheme="minorHAnsi" w:eastAsiaTheme="minorEastAsia" w:hAnsiTheme="minorHAnsi"/>
          <w:noProof/>
          <w:sz w:val="22"/>
          <w:lang w:eastAsia="es-ES"/>
        </w:rPr>
      </w:pPr>
      <w:hyperlink w:anchor="_Toc501110719" w:history="1">
        <w:r w:rsidR="002420B8" w:rsidRPr="007F0BAB">
          <w:rPr>
            <w:rStyle w:val="Hipervnculo"/>
            <w:noProof/>
          </w:rPr>
          <w:t>11.</w:t>
        </w:r>
        <w:r w:rsidR="002420B8">
          <w:rPr>
            <w:rFonts w:asciiTheme="minorHAnsi" w:eastAsiaTheme="minorEastAsia" w:hAnsiTheme="minorHAnsi"/>
            <w:noProof/>
            <w:sz w:val="22"/>
            <w:lang w:eastAsia="es-ES"/>
          </w:rPr>
          <w:tab/>
        </w:r>
        <w:r w:rsidR="002420B8" w:rsidRPr="007F0BAB">
          <w:rPr>
            <w:rStyle w:val="Hipervnculo"/>
            <w:noProof/>
          </w:rPr>
          <w:t>Ministerio de Agricultura, Pesca, Alimentación y Medio Ambiente (MAPAMA)</w:t>
        </w:r>
        <w:r w:rsidR="002420B8">
          <w:rPr>
            <w:noProof/>
            <w:webHidden/>
          </w:rPr>
          <w:tab/>
        </w:r>
        <w:r>
          <w:rPr>
            <w:noProof/>
            <w:webHidden/>
          </w:rPr>
          <w:fldChar w:fldCharType="begin"/>
        </w:r>
        <w:r w:rsidR="002420B8">
          <w:rPr>
            <w:noProof/>
            <w:webHidden/>
          </w:rPr>
          <w:instrText xml:space="preserve"> PAGEREF _Toc501110719 \h </w:instrText>
        </w:r>
        <w:r>
          <w:rPr>
            <w:noProof/>
            <w:webHidden/>
          </w:rPr>
        </w:r>
        <w:r>
          <w:rPr>
            <w:noProof/>
            <w:webHidden/>
          </w:rPr>
          <w:fldChar w:fldCharType="separate"/>
        </w:r>
        <w:r w:rsidR="00AF5351">
          <w:rPr>
            <w:noProof/>
            <w:webHidden/>
          </w:rPr>
          <w:t>172</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20" w:history="1">
        <w:r w:rsidR="002420B8" w:rsidRPr="007F0BAB">
          <w:rPr>
            <w:rStyle w:val="Hipervnculo"/>
            <w:noProof/>
          </w:rPr>
          <w:t>11.1.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_Toc501110720 \h </w:instrText>
        </w:r>
        <w:r>
          <w:rPr>
            <w:noProof/>
            <w:webHidden/>
          </w:rPr>
        </w:r>
        <w:r>
          <w:rPr>
            <w:noProof/>
            <w:webHidden/>
          </w:rPr>
          <w:fldChar w:fldCharType="separate"/>
        </w:r>
        <w:r w:rsidR="00AF5351">
          <w:rPr>
            <w:noProof/>
            <w:webHidden/>
          </w:rPr>
          <w:t>172</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21" w:history="1">
        <w:r w:rsidR="002420B8" w:rsidRPr="007F0BAB">
          <w:rPr>
            <w:rStyle w:val="Hipervnculo"/>
            <w:noProof/>
          </w:rPr>
          <w:t>11.2.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_Toc501110721 \h </w:instrText>
        </w:r>
        <w:r>
          <w:rPr>
            <w:noProof/>
            <w:webHidden/>
          </w:rPr>
        </w:r>
        <w:r>
          <w:rPr>
            <w:noProof/>
            <w:webHidden/>
          </w:rPr>
          <w:fldChar w:fldCharType="separate"/>
        </w:r>
        <w:r w:rsidR="00AF5351">
          <w:rPr>
            <w:noProof/>
            <w:webHidden/>
          </w:rPr>
          <w:t>174</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22" w:history="1">
        <w:r w:rsidR="002420B8" w:rsidRPr="007F0BAB">
          <w:rPr>
            <w:rStyle w:val="Hipervnculo"/>
            <w:noProof/>
          </w:rPr>
          <w:t>11.3.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_Toc501110722 \h </w:instrText>
        </w:r>
        <w:r>
          <w:rPr>
            <w:noProof/>
            <w:webHidden/>
          </w:rPr>
        </w:r>
        <w:r>
          <w:rPr>
            <w:noProof/>
            <w:webHidden/>
          </w:rPr>
          <w:fldChar w:fldCharType="separate"/>
        </w:r>
        <w:r w:rsidR="00AF5351">
          <w:rPr>
            <w:noProof/>
            <w:webHidden/>
          </w:rPr>
          <w:t>175</w:t>
        </w:r>
        <w:r>
          <w:rPr>
            <w:noProof/>
            <w:webHidden/>
          </w:rPr>
          <w:fldChar w:fldCharType="end"/>
        </w:r>
      </w:hyperlink>
    </w:p>
    <w:p w:rsidR="002420B8" w:rsidRDefault="00DF0E4B">
      <w:pPr>
        <w:pStyle w:val="TDC2"/>
        <w:tabs>
          <w:tab w:val="left" w:pos="851"/>
          <w:tab w:val="right" w:leader="dot" w:pos="9628"/>
        </w:tabs>
        <w:rPr>
          <w:rFonts w:asciiTheme="minorHAnsi" w:eastAsiaTheme="minorEastAsia" w:hAnsiTheme="minorHAnsi"/>
          <w:noProof/>
          <w:sz w:val="22"/>
          <w:lang w:eastAsia="es-ES"/>
        </w:rPr>
      </w:pPr>
      <w:hyperlink w:anchor="_Toc501110723" w:history="1">
        <w:r w:rsidR="002420B8" w:rsidRPr="007F0BAB">
          <w:rPr>
            <w:rStyle w:val="Hipervnculo"/>
            <w:noProof/>
          </w:rPr>
          <w:t>12.</w:t>
        </w:r>
        <w:r w:rsidR="002420B8">
          <w:rPr>
            <w:rFonts w:asciiTheme="minorHAnsi" w:eastAsiaTheme="minorEastAsia" w:hAnsiTheme="minorHAnsi"/>
            <w:noProof/>
            <w:sz w:val="22"/>
            <w:lang w:eastAsia="es-ES"/>
          </w:rPr>
          <w:tab/>
        </w:r>
        <w:r w:rsidR="002420B8" w:rsidRPr="007F0BAB">
          <w:rPr>
            <w:rStyle w:val="Hipervnculo"/>
            <w:noProof/>
          </w:rPr>
          <w:t>Ministerio de Presidencia y para las Administraciones Territoriales (MPREAT)</w:t>
        </w:r>
        <w:r w:rsidR="002420B8">
          <w:rPr>
            <w:noProof/>
            <w:webHidden/>
          </w:rPr>
          <w:tab/>
        </w:r>
        <w:r>
          <w:rPr>
            <w:noProof/>
            <w:webHidden/>
          </w:rPr>
          <w:fldChar w:fldCharType="begin"/>
        </w:r>
        <w:r w:rsidR="002420B8">
          <w:rPr>
            <w:noProof/>
            <w:webHidden/>
          </w:rPr>
          <w:instrText xml:space="preserve"> PAGEREF _Toc501110723 \h </w:instrText>
        </w:r>
        <w:r>
          <w:rPr>
            <w:noProof/>
            <w:webHidden/>
          </w:rPr>
        </w:r>
        <w:r>
          <w:rPr>
            <w:noProof/>
            <w:webHidden/>
          </w:rPr>
          <w:fldChar w:fldCharType="separate"/>
        </w:r>
        <w:r w:rsidR="00AF5351">
          <w:rPr>
            <w:noProof/>
            <w:webHidden/>
          </w:rPr>
          <w:t>177</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24" w:history="1">
        <w:r w:rsidR="002420B8" w:rsidRPr="007F0BAB">
          <w:rPr>
            <w:rStyle w:val="Hipervnculo"/>
            <w:noProof/>
          </w:rPr>
          <w:t>12.1.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_Toc501110724 \h </w:instrText>
        </w:r>
        <w:r>
          <w:rPr>
            <w:noProof/>
            <w:webHidden/>
          </w:rPr>
        </w:r>
        <w:r>
          <w:rPr>
            <w:noProof/>
            <w:webHidden/>
          </w:rPr>
          <w:fldChar w:fldCharType="separate"/>
        </w:r>
        <w:r w:rsidR="00AF5351">
          <w:rPr>
            <w:noProof/>
            <w:webHidden/>
          </w:rPr>
          <w:t>177</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25" w:history="1">
        <w:r w:rsidR="002420B8" w:rsidRPr="007F0BAB">
          <w:rPr>
            <w:rStyle w:val="Hipervnculo"/>
            <w:noProof/>
          </w:rPr>
          <w:t>12.2.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_Toc501110725 \h </w:instrText>
        </w:r>
        <w:r>
          <w:rPr>
            <w:noProof/>
            <w:webHidden/>
          </w:rPr>
        </w:r>
        <w:r>
          <w:rPr>
            <w:noProof/>
            <w:webHidden/>
          </w:rPr>
          <w:fldChar w:fldCharType="separate"/>
        </w:r>
        <w:r w:rsidR="00AF5351">
          <w:rPr>
            <w:noProof/>
            <w:webHidden/>
          </w:rPr>
          <w:t>179</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26" w:history="1">
        <w:r w:rsidR="002420B8" w:rsidRPr="007F0BAB">
          <w:rPr>
            <w:rStyle w:val="Hipervnculo"/>
            <w:noProof/>
          </w:rPr>
          <w:t>12.3.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_Toc501110726 \h </w:instrText>
        </w:r>
        <w:r>
          <w:rPr>
            <w:noProof/>
            <w:webHidden/>
          </w:rPr>
        </w:r>
        <w:r>
          <w:rPr>
            <w:noProof/>
            <w:webHidden/>
          </w:rPr>
          <w:fldChar w:fldCharType="separate"/>
        </w:r>
        <w:r w:rsidR="00AF5351">
          <w:rPr>
            <w:noProof/>
            <w:webHidden/>
          </w:rPr>
          <w:t>179</w:t>
        </w:r>
        <w:r>
          <w:rPr>
            <w:noProof/>
            <w:webHidden/>
          </w:rPr>
          <w:fldChar w:fldCharType="end"/>
        </w:r>
      </w:hyperlink>
    </w:p>
    <w:p w:rsidR="002420B8" w:rsidRDefault="00DF0E4B">
      <w:pPr>
        <w:pStyle w:val="TDC2"/>
        <w:tabs>
          <w:tab w:val="left" w:pos="851"/>
          <w:tab w:val="right" w:leader="dot" w:pos="9628"/>
        </w:tabs>
        <w:rPr>
          <w:rFonts w:asciiTheme="minorHAnsi" w:eastAsiaTheme="minorEastAsia" w:hAnsiTheme="minorHAnsi"/>
          <w:noProof/>
          <w:sz w:val="22"/>
          <w:lang w:eastAsia="es-ES"/>
        </w:rPr>
      </w:pPr>
      <w:hyperlink w:anchor="_Toc501110727" w:history="1">
        <w:r w:rsidR="002420B8" w:rsidRPr="007F0BAB">
          <w:rPr>
            <w:rStyle w:val="Hipervnculo"/>
            <w:noProof/>
          </w:rPr>
          <w:t>13.</w:t>
        </w:r>
        <w:r w:rsidR="002420B8">
          <w:rPr>
            <w:rFonts w:asciiTheme="minorHAnsi" w:eastAsiaTheme="minorEastAsia" w:hAnsiTheme="minorHAnsi"/>
            <w:noProof/>
            <w:sz w:val="22"/>
            <w:lang w:eastAsia="es-ES"/>
          </w:rPr>
          <w:tab/>
        </w:r>
        <w:r w:rsidR="002420B8" w:rsidRPr="007F0BAB">
          <w:rPr>
            <w:rStyle w:val="Hipervnculo"/>
            <w:noProof/>
          </w:rPr>
          <w:t>Ministerio de Economía, Industria y Competitividad (MINECO)</w:t>
        </w:r>
        <w:r w:rsidR="002420B8">
          <w:rPr>
            <w:noProof/>
            <w:webHidden/>
          </w:rPr>
          <w:tab/>
        </w:r>
        <w:r>
          <w:rPr>
            <w:noProof/>
            <w:webHidden/>
          </w:rPr>
          <w:fldChar w:fldCharType="begin"/>
        </w:r>
        <w:r w:rsidR="002420B8">
          <w:rPr>
            <w:noProof/>
            <w:webHidden/>
          </w:rPr>
          <w:instrText xml:space="preserve"> PAGEREF _Toc501110727 \h </w:instrText>
        </w:r>
        <w:r>
          <w:rPr>
            <w:noProof/>
            <w:webHidden/>
          </w:rPr>
        </w:r>
        <w:r>
          <w:rPr>
            <w:noProof/>
            <w:webHidden/>
          </w:rPr>
          <w:fldChar w:fldCharType="separate"/>
        </w:r>
        <w:r w:rsidR="00AF5351">
          <w:rPr>
            <w:noProof/>
            <w:webHidden/>
          </w:rPr>
          <w:t>182</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28" w:history="1">
        <w:r w:rsidR="002420B8" w:rsidRPr="007F0BAB">
          <w:rPr>
            <w:rStyle w:val="Hipervnculo"/>
            <w:noProof/>
          </w:rPr>
          <w:t>13.1.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_Toc501110728 \h </w:instrText>
        </w:r>
        <w:r>
          <w:rPr>
            <w:noProof/>
            <w:webHidden/>
          </w:rPr>
        </w:r>
        <w:r>
          <w:rPr>
            <w:noProof/>
            <w:webHidden/>
          </w:rPr>
          <w:fldChar w:fldCharType="separate"/>
        </w:r>
        <w:r w:rsidR="00AF5351">
          <w:rPr>
            <w:noProof/>
            <w:webHidden/>
          </w:rPr>
          <w:t>182</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29" w:history="1">
        <w:r w:rsidR="002420B8" w:rsidRPr="007F0BAB">
          <w:rPr>
            <w:rStyle w:val="Hipervnculo"/>
            <w:noProof/>
          </w:rPr>
          <w:t>13.2.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_Toc501110729 \h </w:instrText>
        </w:r>
        <w:r>
          <w:rPr>
            <w:noProof/>
            <w:webHidden/>
          </w:rPr>
        </w:r>
        <w:r>
          <w:rPr>
            <w:noProof/>
            <w:webHidden/>
          </w:rPr>
          <w:fldChar w:fldCharType="separate"/>
        </w:r>
        <w:r w:rsidR="00AF5351">
          <w:rPr>
            <w:noProof/>
            <w:webHidden/>
          </w:rPr>
          <w:t>185</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30" w:history="1">
        <w:r w:rsidR="002420B8" w:rsidRPr="007F0BAB">
          <w:rPr>
            <w:rStyle w:val="Hipervnculo"/>
            <w:noProof/>
          </w:rPr>
          <w:t>13.3.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_Toc501110730 \h </w:instrText>
        </w:r>
        <w:r>
          <w:rPr>
            <w:noProof/>
            <w:webHidden/>
          </w:rPr>
        </w:r>
        <w:r>
          <w:rPr>
            <w:noProof/>
            <w:webHidden/>
          </w:rPr>
          <w:fldChar w:fldCharType="separate"/>
        </w:r>
        <w:r w:rsidR="00AF5351">
          <w:rPr>
            <w:noProof/>
            <w:webHidden/>
          </w:rPr>
          <w:t>185</w:t>
        </w:r>
        <w:r>
          <w:rPr>
            <w:noProof/>
            <w:webHidden/>
          </w:rPr>
          <w:fldChar w:fldCharType="end"/>
        </w:r>
      </w:hyperlink>
    </w:p>
    <w:p w:rsidR="002420B8" w:rsidRDefault="00DF0E4B">
      <w:pPr>
        <w:pStyle w:val="TDC2"/>
        <w:tabs>
          <w:tab w:val="left" w:pos="851"/>
          <w:tab w:val="right" w:leader="dot" w:pos="9628"/>
        </w:tabs>
        <w:rPr>
          <w:rFonts w:asciiTheme="minorHAnsi" w:eastAsiaTheme="minorEastAsia" w:hAnsiTheme="minorHAnsi"/>
          <w:noProof/>
          <w:sz w:val="22"/>
          <w:lang w:eastAsia="es-ES"/>
        </w:rPr>
      </w:pPr>
      <w:hyperlink w:anchor="_Toc501110731" w:history="1">
        <w:r w:rsidR="002420B8" w:rsidRPr="007F0BAB">
          <w:rPr>
            <w:rStyle w:val="Hipervnculo"/>
            <w:noProof/>
          </w:rPr>
          <w:t>14.</w:t>
        </w:r>
        <w:r w:rsidR="002420B8">
          <w:rPr>
            <w:rFonts w:asciiTheme="minorHAnsi" w:eastAsiaTheme="minorEastAsia" w:hAnsiTheme="minorHAnsi"/>
            <w:noProof/>
            <w:sz w:val="22"/>
            <w:lang w:eastAsia="es-ES"/>
          </w:rPr>
          <w:tab/>
        </w:r>
        <w:r w:rsidR="002420B8" w:rsidRPr="007F0BAB">
          <w:rPr>
            <w:rStyle w:val="Hipervnculo"/>
            <w:noProof/>
          </w:rPr>
          <w:t>Ministerio de Sanidad, Servicios Sociales e Igualdad (MSSSI)</w:t>
        </w:r>
        <w:r w:rsidR="002420B8">
          <w:rPr>
            <w:noProof/>
            <w:webHidden/>
          </w:rPr>
          <w:tab/>
        </w:r>
        <w:r>
          <w:rPr>
            <w:noProof/>
            <w:webHidden/>
          </w:rPr>
          <w:fldChar w:fldCharType="begin"/>
        </w:r>
        <w:r w:rsidR="002420B8">
          <w:rPr>
            <w:noProof/>
            <w:webHidden/>
          </w:rPr>
          <w:instrText xml:space="preserve"> PAGEREF _Toc501110731 \h </w:instrText>
        </w:r>
        <w:r>
          <w:rPr>
            <w:noProof/>
            <w:webHidden/>
          </w:rPr>
        </w:r>
        <w:r>
          <w:rPr>
            <w:noProof/>
            <w:webHidden/>
          </w:rPr>
          <w:fldChar w:fldCharType="separate"/>
        </w:r>
        <w:r w:rsidR="00AF5351">
          <w:rPr>
            <w:noProof/>
            <w:webHidden/>
          </w:rPr>
          <w:t>188</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32" w:history="1">
        <w:r w:rsidR="002420B8" w:rsidRPr="007F0BAB">
          <w:rPr>
            <w:rStyle w:val="Hipervnculo"/>
            <w:noProof/>
          </w:rPr>
          <w:t>14.1.</w:t>
        </w:r>
        <w:r w:rsidR="002420B8">
          <w:rPr>
            <w:rFonts w:asciiTheme="minorHAnsi" w:eastAsiaTheme="minorEastAsia" w:hAnsiTheme="minorHAnsi"/>
            <w:noProof/>
            <w:sz w:val="22"/>
            <w:lang w:eastAsia="es-ES"/>
          </w:rPr>
          <w:tab/>
        </w:r>
        <w:r w:rsidR="002420B8" w:rsidRPr="007F0BAB">
          <w:rPr>
            <w:rStyle w:val="Hipervnculo"/>
            <w:noProof/>
          </w:rPr>
          <w:t>Información institucional, organizativa y de planificación</w:t>
        </w:r>
        <w:r w:rsidR="002420B8">
          <w:rPr>
            <w:noProof/>
            <w:webHidden/>
          </w:rPr>
          <w:tab/>
        </w:r>
        <w:r>
          <w:rPr>
            <w:noProof/>
            <w:webHidden/>
          </w:rPr>
          <w:fldChar w:fldCharType="begin"/>
        </w:r>
        <w:r w:rsidR="002420B8">
          <w:rPr>
            <w:noProof/>
            <w:webHidden/>
          </w:rPr>
          <w:instrText xml:space="preserve"> PAGEREF _Toc501110732 \h </w:instrText>
        </w:r>
        <w:r>
          <w:rPr>
            <w:noProof/>
            <w:webHidden/>
          </w:rPr>
        </w:r>
        <w:r>
          <w:rPr>
            <w:noProof/>
            <w:webHidden/>
          </w:rPr>
          <w:fldChar w:fldCharType="separate"/>
        </w:r>
        <w:r w:rsidR="00AF5351">
          <w:rPr>
            <w:noProof/>
            <w:webHidden/>
          </w:rPr>
          <w:t>188</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33" w:history="1">
        <w:r w:rsidR="002420B8" w:rsidRPr="007F0BAB">
          <w:rPr>
            <w:rStyle w:val="Hipervnculo"/>
            <w:noProof/>
          </w:rPr>
          <w:t>14.2.</w:t>
        </w:r>
        <w:r w:rsidR="002420B8">
          <w:rPr>
            <w:rFonts w:asciiTheme="minorHAnsi" w:eastAsiaTheme="minorEastAsia" w:hAnsiTheme="minorHAnsi"/>
            <w:noProof/>
            <w:sz w:val="22"/>
            <w:lang w:eastAsia="es-ES"/>
          </w:rPr>
          <w:tab/>
        </w:r>
        <w:r w:rsidR="002420B8" w:rsidRPr="007F0BAB">
          <w:rPr>
            <w:rStyle w:val="Hipervnculo"/>
            <w:noProof/>
          </w:rPr>
          <w:t>Información de relevancia jurídica</w:t>
        </w:r>
        <w:r w:rsidR="002420B8">
          <w:rPr>
            <w:noProof/>
            <w:webHidden/>
          </w:rPr>
          <w:tab/>
        </w:r>
        <w:r>
          <w:rPr>
            <w:noProof/>
            <w:webHidden/>
          </w:rPr>
          <w:fldChar w:fldCharType="begin"/>
        </w:r>
        <w:r w:rsidR="002420B8">
          <w:rPr>
            <w:noProof/>
            <w:webHidden/>
          </w:rPr>
          <w:instrText xml:space="preserve"> PAGEREF _Toc501110733 \h </w:instrText>
        </w:r>
        <w:r>
          <w:rPr>
            <w:noProof/>
            <w:webHidden/>
          </w:rPr>
        </w:r>
        <w:r>
          <w:rPr>
            <w:noProof/>
            <w:webHidden/>
          </w:rPr>
          <w:fldChar w:fldCharType="separate"/>
        </w:r>
        <w:r w:rsidR="00AF5351">
          <w:rPr>
            <w:noProof/>
            <w:webHidden/>
          </w:rPr>
          <w:t>190</w:t>
        </w:r>
        <w:r>
          <w:rPr>
            <w:noProof/>
            <w:webHidden/>
          </w:rPr>
          <w:fldChar w:fldCharType="end"/>
        </w:r>
      </w:hyperlink>
    </w:p>
    <w:p w:rsidR="002420B8" w:rsidRDefault="00DF0E4B">
      <w:pPr>
        <w:pStyle w:val="TDC3"/>
        <w:tabs>
          <w:tab w:val="left" w:pos="1418"/>
          <w:tab w:val="right" w:leader="dot" w:pos="9628"/>
        </w:tabs>
        <w:rPr>
          <w:rFonts w:asciiTheme="minorHAnsi" w:eastAsiaTheme="minorEastAsia" w:hAnsiTheme="minorHAnsi"/>
          <w:noProof/>
          <w:sz w:val="22"/>
          <w:lang w:eastAsia="es-ES"/>
        </w:rPr>
      </w:pPr>
      <w:hyperlink w:anchor="_Toc501110734" w:history="1">
        <w:r w:rsidR="002420B8" w:rsidRPr="007F0BAB">
          <w:rPr>
            <w:rStyle w:val="Hipervnculo"/>
            <w:noProof/>
          </w:rPr>
          <w:t>14.3.</w:t>
        </w:r>
        <w:r w:rsidR="002420B8">
          <w:rPr>
            <w:rFonts w:asciiTheme="minorHAnsi" w:eastAsiaTheme="minorEastAsia" w:hAnsiTheme="minorHAnsi"/>
            <w:noProof/>
            <w:sz w:val="22"/>
            <w:lang w:eastAsia="es-ES"/>
          </w:rPr>
          <w:tab/>
        </w:r>
        <w:r w:rsidR="002420B8" w:rsidRPr="007F0BAB">
          <w:rPr>
            <w:rStyle w:val="Hipervnculo"/>
            <w:noProof/>
          </w:rPr>
          <w:t>Información económica, presupuestaria y estadística</w:t>
        </w:r>
        <w:r w:rsidR="002420B8">
          <w:rPr>
            <w:noProof/>
            <w:webHidden/>
          </w:rPr>
          <w:tab/>
        </w:r>
        <w:r>
          <w:rPr>
            <w:noProof/>
            <w:webHidden/>
          </w:rPr>
          <w:fldChar w:fldCharType="begin"/>
        </w:r>
        <w:r w:rsidR="002420B8">
          <w:rPr>
            <w:noProof/>
            <w:webHidden/>
          </w:rPr>
          <w:instrText xml:space="preserve"> PAGEREF _Toc501110734 \h </w:instrText>
        </w:r>
        <w:r>
          <w:rPr>
            <w:noProof/>
            <w:webHidden/>
          </w:rPr>
        </w:r>
        <w:r>
          <w:rPr>
            <w:noProof/>
            <w:webHidden/>
          </w:rPr>
          <w:fldChar w:fldCharType="separate"/>
        </w:r>
        <w:r w:rsidR="00AF5351">
          <w:rPr>
            <w:noProof/>
            <w:webHidden/>
          </w:rPr>
          <w:t>192</w:t>
        </w:r>
        <w:r>
          <w:rPr>
            <w:noProof/>
            <w:webHidden/>
          </w:rPr>
          <w:fldChar w:fldCharType="end"/>
        </w:r>
      </w:hyperlink>
    </w:p>
    <w:p w:rsidR="00AC069F" w:rsidRDefault="00DF0E4B">
      <w:pPr>
        <w:rPr>
          <w:rFonts w:ascii="Arial" w:hAnsi="Arial" w:cs="Arial"/>
          <w:sz w:val="22"/>
        </w:rPr>
      </w:pPr>
      <w:r>
        <w:rPr>
          <w:rFonts w:ascii="Arial" w:hAnsi="Arial" w:cs="Arial"/>
          <w:sz w:val="22"/>
        </w:rPr>
        <w:fldChar w:fldCharType="end"/>
      </w:r>
      <w:r w:rsidR="00AC069F">
        <w:rPr>
          <w:rFonts w:ascii="Arial" w:hAnsi="Arial" w:cs="Arial"/>
          <w:sz w:val="22"/>
        </w:rPr>
        <w:br w:type="page"/>
      </w:r>
    </w:p>
    <w:p w:rsidR="00EE236C" w:rsidRPr="005012A5" w:rsidRDefault="00EE236C" w:rsidP="0016665B">
      <w:pPr>
        <w:pStyle w:val="Ttulo1"/>
      </w:pPr>
      <w:bookmarkStart w:id="1" w:name="_Toc489351980"/>
      <w:bookmarkStart w:id="2" w:name="_Toc498345360"/>
      <w:bookmarkStart w:id="3" w:name="_Toc500414712"/>
      <w:bookmarkStart w:id="4" w:name="_Toc500416445"/>
      <w:bookmarkStart w:id="5" w:name="_Toc500416503"/>
      <w:bookmarkStart w:id="6" w:name="_Toc501110655"/>
      <w:r w:rsidRPr="005012A5">
        <w:t>ANTECEDENTES</w:t>
      </w:r>
      <w:bookmarkEnd w:id="1"/>
      <w:bookmarkEnd w:id="2"/>
      <w:bookmarkEnd w:id="3"/>
      <w:bookmarkEnd w:id="4"/>
      <w:bookmarkEnd w:id="5"/>
      <w:bookmarkEnd w:id="6"/>
    </w:p>
    <w:p w:rsidR="0080302D" w:rsidRPr="005A6843" w:rsidRDefault="0080302D" w:rsidP="00AA712B">
      <w:pPr>
        <w:jc w:val="both"/>
      </w:pPr>
      <w:r w:rsidRPr="005A6843">
        <w:t xml:space="preserve">La </w:t>
      </w:r>
      <w:r w:rsidR="001C41A6">
        <w:t>Ley</w:t>
      </w:r>
      <w:r w:rsidRPr="005A6843">
        <w:t xml:space="preserve"> 19/2013, de 9 de diciembre, de Transparencia, Acceso a la Información Pública y Buen Gobierno (e</w:t>
      </w:r>
      <w:r w:rsidR="001D3E3D">
        <w:t>n</w:t>
      </w:r>
      <w:r w:rsidRPr="005A6843">
        <w:t xml:space="preserve"> adelante </w:t>
      </w:r>
      <w:r w:rsidR="001D3E3D">
        <w:t>l</w:t>
      </w:r>
      <w:r w:rsidR="001C41A6">
        <w:t>ey</w:t>
      </w:r>
      <w:r w:rsidR="00E768A4">
        <w:t xml:space="preserve"> de transparencia</w:t>
      </w:r>
      <w:r w:rsidRPr="005A6843">
        <w:t xml:space="preserve">) encomienda al Consejo de Transparencia y Buen Gobierno (en adelante CTBG) la función de evaluar el grado de aplicación de la </w:t>
      </w:r>
      <w:r w:rsidR="001D3E3D">
        <w:t>ley</w:t>
      </w:r>
      <w:r w:rsidRPr="005A6843">
        <w:t xml:space="preserve">. Para ello, el Consejo tendrá que elaborar anualmente una Memoria </w:t>
      </w:r>
      <w:r w:rsidRPr="00FC4B2E">
        <w:rPr>
          <w:i/>
        </w:rPr>
        <w:t xml:space="preserve">“en la que se incluirá información sobre el cumplimiento de las obligaciones previstas y que será presentada ante las Cortes Generales” </w:t>
      </w:r>
      <w:r w:rsidRPr="005A6843">
        <w:t>(art. 38.1, letra d)</w:t>
      </w:r>
      <w:r w:rsidR="009730C0" w:rsidRPr="005A6843">
        <w:t>.</w:t>
      </w:r>
    </w:p>
    <w:p w:rsidR="009730C0" w:rsidRPr="005A6843" w:rsidRDefault="009730C0" w:rsidP="00AA712B">
      <w:pPr>
        <w:jc w:val="both"/>
      </w:pPr>
      <w:r w:rsidRPr="005A6843">
        <w:t xml:space="preserve">Así, el </w:t>
      </w:r>
      <w:r w:rsidR="009F0383" w:rsidRPr="005A6843">
        <w:t xml:space="preserve">presente ejercicio 2017, el </w:t>
      </w:r>
      <w:r w:rsidRPr="005A6843">
        <w:t xml:space="preserve">CTBG </w:t>
      </w:r>
      <w:r w:rsidR="009F0383" w:rsidRPr="005A6843">
        <w:t xml:space="preserve">está </w:t>
      </w:r>
      <w:r w:rsidRPr="005A6843">
        <w:t xml:space="preserve">obligado a realizar una evaluación del cumplimiento de la </w:t>
      </w:r>
      <w:r w:rsidR="001D3E3D">
        <w:t>l</w:t>
      </w:r>
      <w:r w:rsidR="001C41A6">
        <w:t>ey</w:t>
      </w:r>
      <w:r w:rsidR="00E768A4">
        <w:t xml:space="preserve"> de transparencia</w:t>
      </w:r>
      <w:r w:rsidRPr="005A6843">
        <w:t xml:space="preserve"> </w:t>
      </w:r>
      <w:r w:rsidR="00E878AD" w:rsidRPr="005A6843">
        <w:t xml:space="preserve">durante 2016 </w:t>
      </w:r>
      <w:r w:rsidRPr="005A6843">
        <w:t xml:space="preserve">por </w:t>
      </w:r>
      <w:r w:rsidR="009F0383" w:rsidRPr="005A6843">
        <w:t xml:space="preserve">los organismos e instituciones obligados a ello </w:t>
      </w:r>
      <w:r w:rsidR="00E878AD" w:rsidRPr="005A6843">
        <w:t xml:space="preserve">y a </w:t>
      </w:r>
      <w:r w:rsidR="00705E39" w:rsidRPr="005A6843">
        <w:t xml:space="preserve">informar </w:t>
      </w:r>
      <w:r w:rsidRPr="005A6843">
        <w:t xml:space="preserve">las Cortes Generales </w:t>
      </w:r>
      <w:r w:rsidR="009F0383" w:rsidRPr="005A6843">
        <w:t xml:space="preserve">de los resultados </w:t>
      </w:r>
      <w:r w:rsidR="00E878AD" w:rsidRPr="005A6843">
        <w:t xml:space="preserve">obtenidos </w:t>
      </w:r>
      <w:r w:rsidR="009F0383" w:rsidRPr="005A6843">
        <w:t>a través de la correspondiente</w:t>
      </w:r>
      <w:r w:rsidRPr="005A6843">
        <w:t xml:space="preserve"> Memoria</w:t>
      </w:r>
      <w:r w:rsidR="009F0383" w:rsidRPr="005A6843">
        <w:t>.</w:t>
      </w:r>
      <w:r w:rsidRPr="005A6843">
        <w:t xml:space="preserve"> </w:t>
      </w:r>
    </w:p>
    <w:p w:rsidR="0080302D" w:rsidRPr="005A6843" w:rsidRDefault="0080302D" w:rsidP="00AA712B">
      <w:pPr>
        <w:jc w:val="both"/>
      </w:pPr>
      <w:r w:rsidRPr="005A6843">
        <w:t xml:space="preserve">Para desarrollar </w:t>
      </w:r>
      <w:r w:rsidR="00E878AD" w:rsidRPr="005A6843">
        <w:t xml:space="preserve">las </w:t>
      </w:r>
      <w:r w:rsidR="009F0383" w:rsidRPr="005A6843">
        <w:t>evaluaciones</w:t>
      </w:r>
      <w:r w:rsidR="00E878AD" w:rsidRPr="005A6843">
        <w:t xml:space="preserve"> a que viene obligado</w:t>
      </w:r>
      <w:r w:rsidR="009F0383" w:rsidRPr="005A6843">
        <w:t xml:space="preserve">, </w:t>
      </w:r>
      <w:r w:rsidRPr="005A6843">
        <w:t>el CTBG</w:t>
      </w:r>
      <w:r w:rsidR="009F0383" w:rsidRPr="005A6843">
        <w:t xml:space="preserve"> ha elaborado</w:t>
      </w:r>
      <w:r w:rsidR="00E878AD" w:rsidRPr="005A6843">
        <w:t>,</w:t>
      </w:r>
      <w:r w:rsidR="009F0383" w:rsidRPr="005A6843">
        <w:t xml:space="preserve"> en colaboración con la Agencia Estatal de Evaluación de las Políticas Públicas y la Calidad de los Servicios (AEVAL) del Ministerio de Hacienda y Función Pública (MINHAFP)</w:t>
      </w:r>
      <w:r w:rsidR="00E878AD" w:rsidRPr="005A6843">
        <w:t>,</w:t>
      </w:r>
      <w:r w:rsidR="009F0383" w:rsidRPr="005A6843">
        <w:t xml:space="preserve"> </w:t>
      </w:r>
      <w:r w:rsidRPr="005A6843">
        <w:t>una metodología específica</w:t>
      </w:r>
      <w:r w:rsidR="000A06CF" w:rsidRPr="005A6843">
        <w:t xml:space="preserve"> de medición</w:t>
      </w:r>
      <w:r w:rsidR="00EE236C" w:rsidRPr="005A6843">
        <w:t xml:space="preserve">, </w:t>
      </w:r>
      <w:r w:rsidRPr="005A6843">
        <w:t>basad</w:t>
      </w:r>
      <w:r w:rsidR="00EE236C" w:rsidRPr="005A6843">
        <w:t>a</w:t>
      </w:r>
      <w:r w:rsidRPr="005A6843">
        <w:t xml:space="preserve"> </w:t>
      </w:r>
      <w:r w:rsidR="00E878AD" w:rsidRPr="005A6843">
        <w:t xml:space="preserve">exclusivamente </w:t>
      </w:r>
      <w:r w:rsidRPr="005A6843">
        <w:t xml:space="preserve">en los parámetros establecidos en la </w:t>
      </w:r>
      <w:r w:rsidR="001D3E3D">
        <w:t>l</w:t>
      </w:r>
      <w:r w:rsidR="001C41A6">
        <w:t>ey</w:t>
      </w:r>
      <w:r w:rsidR="00E768A4">
        <w:t xml:space="preserve"> de transparencia</w:t>
      </w:r>
      <w:r w:rsidR="00DF51B3" w:rsidRPr="005A6843">
        <w:t>, sin perjuicio de que se incorpore una valoración de</w:t>
      </w:r>
      <w:r w:rsidR="0093032C" w:rsidRPr="005A6843">
        <w:t>l</w:t>
      </w:r>
      <w:r w:rsidR="00DF51B3" w:rsidRPr="005A6843">
        <w:t xml:space="preserve"> cumplimiento voluntario de publicidad activa basada en información recogida en la normativa autonómica en materia de transparencia </w:t>
      </w:r>
      <w:r w:rsidRPr="005A6843">
        <w:t>.</w:t>
      </w:r>
    </w:p>
    <w:p w:rsidR="00B05727" w:rsidRPr="005A6843" w:rsidRDefault="00B05727" w:rsidP="00AA712B">
      <w:pPr>
        <w:jc w:val="both"/>
      </w:pPr>
      <w:r w:rsidRPr="005A6843">
        <w:t xml:space="preserve">La metodología -denominada propiamente </w:t>
      </w:r>
      <w:r w:rsidRPr="00FC4B2E">
        <w:rPr>
          <w:i/>
        </w:rPr>
        <w:t>Metodología de Evaluación y Seguimiento de la Transparencia de la Actividad Pública</w:t>
      </w:r>
      <w:r w:rsidRPr="005A6843">
        <w:t xml:space="preserve"> (MESTA)- </w:t>
      </w:r>
      <w:r w:rsidR="00EE236C" w:rsidRPr="005A6843">
        <w:t xml:space="preserve">está diseñada para ser aplicada por los auditores y órganos externos de control y evaluación de las diferentes Administraciones y entidades sujetas a la </w:t>
      </w:r>
      <w:r w:rsidR="001D3E3D">
        <w:t>l</w:t>
      </w:r>
      <w:r w:rsidR="001C41A6">
        <w:t>ey</w:t>
      </w:r>
      <w:r w:rsidR="00E768A4">
        <w:t xml:space="preserve"> de transparencia</w:t>
      </w:r>
      <w:r w:rsidR="00EE236C" w:rsidRPr="005A6843">
        <w:t xml:space="preserve">, pero </w:t>
      </w:r>
      <w:r w:rsidRPr="005A6843">
        <w:t xml:space="preserve">puede ser aplicada también </w:t>
      </w:r>
      <w:r w:rsidR="00705E39" w:rsidRPr="005A6843">
        <w:t xml:space="preserve">como </w:t>
      </w:r>
      <w:r w:rsidRPr="005A6843">
        <w:t xml:space="preserve">autoevaluación por </w:t>
      </w:r>
      <w:r w:rsidR="00526C0F" w:rsidRPr="005A6843">
        <w:t xml:space="preserve">los sujetos obligados </w:t>
      </w:r>
      <w:r w:rsidRPr="005A6843">
        <w:t xml:space="preserve">con vistas a testear </w:t>
      </w:r>
      <w:r w:rsidR="00EE236C" w:rsidRPr="005A6843">
        <w:t>su</w:t>
      </w:r>
      <w:r w:rsidRPr="005A6843">
        <w:t xml:space="preserve"> propio </w:t>
      </w:r>
      <w:r w:rsidR="00705E39" w:rsidRPr="005A6843">
        <w:t xml:space="preserve">nivel de </w:t>
      </w:r>
      <w:r w:rsidRPr="005A6843">
        <w:t xml:space="preserve">cumplimiento </w:t>
      </w:r>
      <w:r w:rsidR="00EE236C" w:rsidRPr="005A6843">
        <w:t xml:space="preserve">y </w:t>
      </w:r>
      <w:r w:rsidR="00705E39" w:rsidRPr="005A6843">
        <w:t xml:space="preserve">a </w:t>
      </w:r>
      <w:r w:rsidR="00EE236C" w:rsidRPr="005A6843">
        <w:t>compara</w:t>
      </w:r>
      <w:r w:rsidRPr="005A6843">
        <w:t xml:space="preserve">rlo </w:t>
      </w:r>
      <w:r w:rsidR="00EE236C" w:rsidRPr="005A6843">
        <w:t>con el entorno</w:t>
      </w:r>
      <w:r w:rsidRPr="005A6843">
        <w:t>. P</w:t>
      </w:r>
      <w:r w:rsidR="00705E39" w:rsidRPr="005A6843">
        <w:t xml:space="preserve">ara </w:t>
      </w:r>
      <w:r w:rsidRPr="005A6843">
        <w:t>ello</w:t>
      </w:r>
      <w:r w:rsidR="009F0383" w:rsidRPr="005A6843">
        <w:t xml:space="preserve">, </w:t>
      </w:r>
      <w:r w:rsidR="00705E39" w:rsidRPr="005A6843">
        <w:t xml:space="preserve">MESTA se proyectó desde un principio </w:t>
      </w:r>
      <w:r w:rsidR="00526C0F" w:rsidRPr="005A6843">
        <w:t xml:space="preserve">con la idea de estar </w:t>
      </w:r>
      <w:r w:rsidRPr="005A6843">
        <w:t>soportada</w:t>
      </w:r>
      <w:r w:rsidR="00705E39" w:rsidRPr="005A6843">
        <w:t xml:space="preserve"> </w:t>
      </w:r>
      <w:r w:rsidR="00526C0F" w:rsidRPr="005A6843">
        <w:t xml:space="preserve">en </w:t>
      </w:r>
      <w:r w:rsidRPr="005A6843">
        <w:t xml:space="preserve">un sistema de información y comunicaciones que, además de incorporar las herramientas informáticas necesarias para el cálculo de </w:t>
      </w:r>
      <w:r w:rsidR="00705E39" w:rsidRPr="005A6843">
        <w:t xml:space="preserve">los </w:t>
      </w:r>
      <w:r w:rsidRPr="005A6843">
        <w:t>indicadores</w:t>
      </w:r>
      <w:r w:rsidR="00705E39" w:rsidRPr="005A6843">
        <w:t xml:space="preserve"> y de los </w:t>
      </w:r>
      <w:r w:rsidRPr="005A6843">
        <w:t xml:space="preserve">índices de cumplimiento de la </w:t>
      </w:r>
      <w:r w:rsidR="001D3E3D">
        <w:t>l</w:t>
      </w:r>
      <w:r w:rsidR="001C41A6">
        <w:t>ey</w:t>
      </w:r>
      <w:r w:rsidRPr="005A6843">
        <w:t>, posibilit</w:t>
      </w:r>
      <w:r w:rsidR="00526C0F" w:rsidRPr="005A6843">
        <w:t>aría e</w:t>
      </w:r>
      <w:r w:rsidR="00705E39" w:rsidRPr="005A6843">
        <w:t>l uso</w:t>
      </w:r>
      <w:r w:rsidR="00526C0F" w:rsidRPr="005A6843">
        <w:t xml:space="preserve"> de la metodología</w:t>
      </w:r>
      <w:r w:rsidR="00705E39" w:rsidRPr="005A6843">
        <w:t xml:space="preserve"> “en la nube” </w:t>
      </w:r>
      <w:r w:rsidR="00526C0F" w:rsidRPr="005A6843">
        <w:t xml:space="preserve">y de forma gratuita </w:t>
      </w:r>
      <w:r w:rsidR="00180AB1" w:rsidRPr="005A6843">
        <w:t xml:space="preserve">por todos los </w:t>
      </w:r>
      <w:r w:rsidRPr="005A6843">
        <w:t xml:space="preserve">obligados </w:t>
      </w:r>
      <w:r w:rsidR="00180AB1" w:rsidRPr="005A6843">
        <w:t>y canali</w:t>
      </w:r>
      <w:r w:rsidR="00526C0F" w:rsidRPr="005A6843">
        <w:t xml:space="preserve">zaría </w:t>
      </w:r>
      <w:r w:rsidRPr="005A6843">
        <w:t xml:space="preserve">las comunicaciones electrónicas y el intercambio de información entre </w:t>
      </w:r>
      <w:r w:rsidR="00180AB1" w:rsidRPr="005A6843">
        <w:t>ellos</w:t>
      </w:r>
      <w:r w:rsidRPr="005A6843">
        <w:t>.</w:t>
      </w:r>
    </w:p>
    <w:p w:rsidR="00EB3C7C" w:rsidRPr="005A6843" w:rsidRDefault="000A06CF" w:rsidP="00AA712B">
      <w:pPr>
        <w:jc w:val="both"/>
      </w:pPr>
      <w:r w:rsidRPr="005A6843">
        <w:t xml:space="preserve">Como quiera </w:t>
      </w:r>
      <w:r w:rsidR="00EE236C" w:rsidRPr="005A6843">
        <w:t xml:space="preserve">que el CTBG </w:t>
      </w:r>
      <w:r w:rsidR="00A97893" w:rsidRPr="005A6843">
        <w:t xml:space="preserve">no dispone </w:t>
      </w:r>
      <w:r w:rsidR="00EE236C" w:rsidRPr="005A6843">
        <w:t>de medios tecnológicos propios</w:t>
      </w:r>
      <w:r w:rsidRPr="005A6843">
        <w:t>,</w:t>
      </w:r>
      <w:r w:rsidR="00EE236C" w:rsidRPr="005A6843">
        <w:t xml:space="preserve"> </w:t>
      </w:r>
      <w:r w:rsidR="00D15F5E" w:rsidRPr="005A6843">
        <w:t xml:space="preserve">y que los </w:t>
      </w:r>
      <w:r w:rsidRPr="005A6843">
        <w:t xml:space="preserve">servicios y recursos </w:t>
      </w:r>
      <w:r w:rsidR="00D15F5E" w:rsidRPr="005A6843">
        <w:t xml:space="preserve">electrónicos le son suministrados por la Secretaría General de Administración Digital (SGAD) del MINHAFP, </w:t>
      </w:r>
      <w:r w:rsidR="00705E39" w:rsidRPr="005A6843">
        <w:t>e</w:t>
      </w:r>
      <w:r w:rsidR="00526C0F" w:rsidRPr="005A6843">
        <w:t>l desarrollo e implantación del sistema de información y comu</w:t>
      </w:r>
      <w:r w:rsidR="00180AB1" w:rsidRPr="005A6843">
        <w:t xml:space="preserve">nicaciones </w:t>
      </w:r>
      <w:r w:rsidR="009730C0" w:rsidRPr="005A6843">
        <w:t xml:space="preserve">de MESTA </w:t>
      </w:r>
      <w:r w:rsidR="00526C0F" w:rsidRPr="005A6843">
        <w:t xml:space="preserve">corresponde a </w:t>
      </w:r>
      <w:r w:rsidR="009730C0" w:rsidRPr="005A6843">
        <w:t>ésta</w:t>
      </w:r>
      <w:r w:rsidR="00526C0F" w:rsidRPr="005A6843">
        <w:t xml:space="preserve"> con la participación del </w:t>
      </w:r>
      <w:r w:rsidR="009730C0" w:rsidRPr="005A6843">
        <w:t>Consejo</w:t>
      </w:r>
      <w:r w:rsidR="00526C0F" w:rsidRPr="005A6843">
        <w:t xml:space="preserve"> como parte funcional.</w:t>
      </w:r>
    </w:p>
    <w:p w:rsidR="009730C0" w:rsidRPr="005A6843" w:rsidRDefault="009730C0" w:rsidP="00AA712B">
      <w:pPr>
        <w:jc w:val="both"/>
      </w:pPr>
      <w:r w:rsidRPr="005A6843">
        <w:t xml:space="preserve">De acuerdo con </w:t>
      </w:r>
      <w:r w:rsidR="00526C0F" w:rsidRPr="005A6843">
        <w:t xml:space="preserve">las disponibilidades de ambos organismos y con </w:t>
      </w:r>
      <w:r w:rsidRPr="005A6843">
        <w:t xml:space="preserve">el cronograma </w:t>
      </w:r>
      <w:r w:rsidR="00526C0F" w:rsidRPr="005A6843">
        <w:t xml:space="preserve">de tareas </w:t>
      </w:r>
      <w:r w:rsidRPr="005A6843">
        <w:t xml:space="preserve">establecido por </w:t>
      </w:r>
      <w:r w:rsidR="00526C0F" w:rsidRPr="005A6843">
        <w:t>éstos</w:t>
      </w:r>
      <w:r w:rsidRPr="005A6843">
        <w:t xml:space="preserve">, la puesta en producción del sistema </w:t>
      </w:r>
      <w:r w:rsidR="00526C0F" w:rsidRPr="005A6843">
        <w:t xml:space="preserve">no podrá abordarse hasta </w:t>
      </w:r>
      <w:r w:rsidRPr="005A6843">
        <w:t>el segundo trimestre de 2017</w:t>
      </w:r>
      <w:r w:rsidR="00526C0F" w:rsidRPr="005A6843">
        <w:t xml:space="preserve">, de modo que no estará disponible en tiempo hábil para ser utilizado por el CTBG </w:t>
      </w:r>
      <w:r w:rsidR="00B12C3C" w:rsidRPr="005A6843">
        <w:t xml:space="preserve">como en un principio se pretendía para </w:t>
      </w:r>
      <w:r w:rsidR="00526C0F" w:rsidRPr="005A6843">
        <w:t xml:space="preserve">la evaluación del grado de aplicación de la </w:t>
      </w:r>
      <w:r w:rsidR="001D3E3D">
        <w:t>l</w:t>
      </w:r>
      <w:r w:rsidR="001C41A6">
        <w:t>ey</w:t>
      </w:r>
      <w:r w:rsidR="00526C0F" w:rsidRPr="005A6843">
        <w:t xml:space="preserve"> </w:t>
      </w:r>
      <w:r w:rsidR="00B12C3C" w:rsidRPr="005A6843">
        <w:t xml:space="preserve">durante </w:t>
      </w:r>
      <w:r w:rsidR="00526C0F" w:rsidRPr="005A6843">
        <w:t>2016</w:t>
      </w:r>
      <w:r w:rsidR="00B12C3C" w:rsidRPr="005A6843">
        <w:t>.</w:t>
      </w:r>
    </w:p>
    <w:p w:rsidR="0080302D" w:rsidRPr="005A6843" w:rsidRDefault="00EB3C7C" w:rsidP="00AA712B">
      <w:pPr>
        <w:jc w:val="both"/>
      </w:pPr>
      <w:r w:rsidRPr="005A6843">
        <w:t xml:space="preserve">Con esta perspectiva, la aplicación de MESTA para la citada evaluación ha debido abordarse con herramientas provisionales por lo que ha sido necesario acotar el universo evaluado mediante el establecimiento de muestras significativas de sujetos y </w:t>
      </w:r>
      <w:r w:rsidR="0080302D" w:rsidRPr="005A6843">
        <w:t xml:space="preserve">priorizar entre los </w:t>
      </w:r>
      <w:r w:rsidRPr="005A6843">
        <w:t xml:space="preserve">indicadores </w:t>
      </w:r>
      <w:r w:rsidR="0080302D" w:rsidRPr="005A6843">
        <w:t xml:space="preserve">aplicados por </w:t>
      </w:r>
      <w:r w:rsidRPr="005A6843">
        <w:t xml:space="preserve">aquella, seleccionando los </w:t>
      </w:r>
      <w:r w:rsidR="0080302D" w:rsidRPr="005A6843">
        <w:t xml:space="preserve">relacionados </w:t>
      </w:r>
      <w:r w:rsidRPr="005A6843">
        <w:t xml:space="preserve">directamente </w:t>
      </w:r>
      <w:r w:rsidR="0080302D" w:rsidRPr="005A6843">
        <w:t>con la calidad de la publicación y de la información publicada</w:t>
      </w:r>
      <w:r w:rsidRPr="005A6843">
        <w:t xml:space="preserve"> -</w:t>
      </w:r>
      <w:r w:rsidR="0080302D" w:rsidRPr="005A6843">
        <w:t>presentación, contenido, forma, estructuración, accesibilidad, claridad, estructuración, actualización y reutilización</w:t>
      </w:r>
      <w:r w:rsidRPr="005A6843">
        <w:t>-</w:t>
      </w:r>
      <w:r w:rsidR="0080302D" w:rsidRPr="005A6843">
        <w:t>.</w:t>
      </w:r>
    </w:p>
    <w:p w:rsidR="007247AC" w:rsidRPr="005A6843" w:rsidRDefault="007247AC" w:rsidP="00AA712B">
      <w:pPr>
        <w:jc w:val="both"/>
      </w:pPr>
      <w:r w:rsidRPr="005A6843">
        <w:t xml:space="preserve">La </w:t>
      </w:r>
      <w:r w:rsidR="0080302D" w:rsidRPr="005A6843">
        <w:t>primer</w:t>
      </w:r>
      <w:r w:rsidRPr="005A6843">
        <w:t xml:space="preserve">a de las muestras objeto de evaluación para 2016 </w:t>
      </w:r>
      <w:r w:rsidR="0080302D" w:rsidRPr="005A6843">
        <w:t xml:space="preserve">comprende los sujetos incluidos en el artículo 2, letra f), de la </w:t>
      </w:r>
      <w:r w:rsidR="001D3E3D">
        <w:t>ley</w:t>
      </w:r>
      <w:r w:rsidR="00E768A4">
        <w:t xml:space="preserve"> de transparencia</w:t>
      </w:r>
      <w:r w:rsidRPr="005A6843">
        <w:t xml:space="preserve">: </w:t>
      </w:r>
      <w:r w:rsidR="0080302D" w:rsidRPr="005A6843">
        <w:t xml:space="preserve">los órganos constitucionales y de relevancia constitucional </w:t>
      </w:r>
      <w:r w:rsidRPr="005A6843">
        <w:t xml:space="preserve">y </w:t>
      </w:r>
      <w:r w:rsidR="0080302D" w:rsidRPr="005A6843">
        <w:t>los entes reguladores</w:t>
      </w:r>
      <w:r w:rsidRPr="005A6843">
        <w:t xml:space="preserve">, </w:t>
      </w:r>
      <w:r w:rsidR="0080302D" w:rsidRPr="005A6843">
        <w:t xml:space="preserve">esto es, aquéllas entidades de derecho público que, con independencia funcional o con una especial autonomía reconocida por la </w:t>
      </w:r>
      <w:r w:rsidR="001D3E3D">
        <w:t>l</w:t>
      </w:r>
      <w:r w:rsidR="001C41A6">
        <w:t>ey</w:t>
      </w:r>
      <w:r w:rsidR="0080302D" w:rsidRPr="005A6843">
        <w:t xml:space="preserve">, tienen atribuidas funciones de regulación o supervisión de carácter externo sobre un determinado sector o actividad señalado. </w:t>
      </w:r>
      <w:r w:rsidRPr="005A6843">
        <w:t xml:space="preserve">Los resultados de la evaluación se han documentado por </w:t>
      </w:r>
      <w:r w:rsidR="00825123" w:rsidRPr="005A6843">
        <w:t xml:space="preserve">el CTBG </w:t>
      </w:r>
      <w:r w:rsidRPr="005A6843">
        <w:t xml:space="preserve">en el </w:t>
      </w:r>
      <w:hyperlink r:id="rId13" w:anchor=".WiUmxfu2xec" w:history="1">
        <w:r w:rsidRPr="001A53CC">
          <w:rPr>
            <w:rStyle w:val="Hipervnculo"/>
          </w:rPr>
          <w:t xml:space="preserve">Informe de Evaluación de los Órganos Constitucionales </w:t>
        </w:r>
        <w:r w:rsidR="00825123" w:rsidRPr="001A53CC">
          <w:rPr>
            <w:rStyle w:val="Hipervnculo"/>
          </w:rPr>
          <w:t>y r</w:t>
        </w:r>
        <w:r w:rsidRPr="001A53CC">
          <w:rPr>
            <w:rStyle w:val="Hipervnculo"/>
          </w:rPr>
          <w:t>eguladores de marzo de 2017</w:t>
        </w:r>
      </w:hyperlink>
      <w:r w:rsidRPr="005A6843">
        <w:t>, presentado el siguiente mes de abril</w:t>
      </w:r>
      <w:r w:rsidR="00825123" w:rsidRPr="005A6843">
        <w:t xml:space="preserve">, </w:t>
      </w:r>
      <w:r w:rsidRPr="005A6843">
        <w:t xml:space="preserve">y se incluirán de forma abreviada en la Memoria del organismo para </w:t>
      </w:r>
      <w:r w:rsidR="00825123" w:rsidRPr="005A6843">
        <w:t xml:space="preserve">el </w:t>
      </w:r>
      <w:r w:rsidRPr="005A6843">
        <w:t>ejercicio</w:t>
      </w:r>
      <w:r w:rsidR="00825123" w:rsidRPr="005A6843">
        <w:t xml:space="preserve"> 2016</w:t>
      </w:r>
      <w:r w:rsidRPr="005A6843">
        <w:t>.</w:t>
      </w:r>
    </w:p>
    <w:p w:rsidR="00D15F5E" w:rsidRPr="005A6843" w:rsidRDefault="00825123" w:rsidP="00AA712B">
      <w:pPr>
        <w:jc w:val="both"/>
      </w:pPr>
      <w:r w:rsidRPr="005A6843">
        <w:t xml:space="preserve">La segunda muestra evaluada se refiere a la Administración General del Estado (AGE) y comprende al Portal de la Transparencia de ésta y a las informaciones publicadas en él. </w:t>
      </w:r>
      <w:r w:rsidR="0080302D" w:rsidRPr="005A6843">
        <w:t xml:space="preserve">Los resultados de la evaluación se documentan en el presente informe y se incluirán </w:t>
      </w:r>
      <w:r w:rsidRPr="005A6843">
        <w:t xml:space="preserve">igualmente </w:t>
      </w:r>
      <w:r w:rsidR="0080302D" w:rsidRPr="005A6843">
        <w:t>en la Memoria de</w:t>
      </w:r>
      <w:r w:rsidRPr="005A6843">
        <w:t xml:space="preserve"> Actividades de</w:t>
      </w:r>
      <w:r w:rsidR="0080302D" w:rsidRPr="005A6843">
        <w:t xml:space="preserve">l organismo para </w:t>
      </w:r>
      <w:r w:rsidRPr="005A6843">
        <w:t>2016</w:t>
      </w:r>
      <w:r w:rsidR="0080302D" w:rsidRPr="005A6843">
        <w:t>.</w:t>
      </w:r>
    </w:p>
    <w:p w:rsidR="00AF5351" w:rsidRDefault="0093032C" w:rsidP="00AA712B">
      <w:pPr>
        <w:jc w:val="both"/>
        <w:sectPr w:rsidR="00AF5351" w:rsidSect="00AF5351">
          <w:headerReference w:type="first" r:id="rId14"/>
          <w:footerReference w:type="first" r:id="rId15"/>
          <w:type w:val="continuous"/>
          <w:pgSz w:w="11906" w:h="16838" w:code="9"/>
          <w:pgMar w:top="2127" w:right="1134" w:bottom="1134" w:left="1134" w:header="709" w:footer="340" w:gutter="0"/>
          <w:cols w:space="567"/>
          <w:titlePg/>
          <w:docGrid w:linePitch="360"/>
        </w:sectPr>
      </w:pPr>
      <w:r w:rsidRPr="005A6843">
        <w:t xml:space="preserve">Por último, debe señalarse que algunas de las cuestiones que se destacan en este informe como mejoras y recomendaciones se encuentran incluidas en el </w:t>
      </w:r>
      <w:r w:rsidR="006D00E7" w:rsidRPr="00FC4B2E">
        <w:rPr>
          <w:i/>
        </w:rPr>
        <w:t xml:space="preserve">III Plan de Acción de España 2017-2019 </w:t>
      </w:r>
      <w:r w:rsidR="0011773E" w:rsidRPr="00FC4B2E">
        <w:rPr>
          <w:i/>
        </w:rPr>
        <w:t xml:space="preserve">para la </w:t>
      </w:r>
      <w:r w:rsidR="006D00E7" w:rsidRPr="00FC4B2E">
        <w:rPr>
          <w:i/>
        </w:rPr>
        <w:t>Alianza para el Gobierno Abierto</w:t>
      </w:r>
      <w:r w:rsidR="0011773E" w:rsidRPr="005A6843">
        <w:t xml:space="preserve"> (OGP)</w:t>
      </w:r>
      <w:r w:rsidRPr="005A6843">
        <w:t xml:space="preserve">, </w:t>
      </w:r>
      <w:r w:rsidR="0011773E" w:rsidRPr="005A6843">
        <w:t xml:space="preserve">recientemente </w:t>
      </w:r>
      <w:r w:rsidRPr="005A6843">
        <w:t>aprobado en junio de 2017.</w:t>
      </w:r>
    </w:p>
    <w:p w:rsidR="00D15F5E" w:rsidRPr="005A6843" w:rsidRDefault="00D15F5E" w:rsidP="00AA712B">
      <w:pPr>
        <w:jc w:val="both"/>
      </w:pPr>
      <w:r w:rsidRPr="005A6843">
        <w:br w:type="page"/>
      </w:r>
    </w:p>
    <w:p w:rsidR="00F41877" w:rsidRPr="005A6843" w:rsidRDefault="002D145E" w:rsidP="0016665B">
      <w:pPr>
        <w:pStyle w:val="Ttulo1"/>
      </w:pPr>
      <w:bookmarkStart w:id="7" w:name="_Toc489351981"/>
      <w:bookmarkStart w:id="8" w:name="_Toc498345361"/>
      <w:bookmarkStart w:id="9" w:name="_Toc500414713"/>
      <w:bookmarkStart w:id="10" w:name="_Toc500416446"/>
      <w:bookmarkStart w:id="11" w:name="_Toc500416504"/>
      <w:bookmarkStart w:id="12" w:name="_Toc501110656"/>
      <w:r w:rsidRPr="005A6843">
        <w:t>ALCANCE Y CONTENIDO DE LA EVALUACIÓN</w:t>
      </w:r>
      <w:bookmarkEnd w:id="7"/>
      <w:bookmarkEnd w:id="8"/>
      <w:bookmarkEnd w:id="9"/>
      <w:bookmarkEnd w:id="10"/>
      <w:bookmarkEnd w:id="11"/>
      <w:bookmarkEnd w:id="12"/>
      <w:r w:rsidR="001102E7" w:rsidRPr="005A6843">
        <w:t xml:space="preserve"> </w:t>
      </w:r>
    </w:p>
    <w:p w:rsidR="0082497E" w:rsidRDefault="0082497E" w:rsidP="002420B8">
      <w:pPr>
        <w:pStyle w:val="Ttulo2"/>
      </w:pPr>
      <w:bookmarkStart w:id="13" w:name="_Toc489351982"/>
      <w:bookmarkStart w:id="14" w:name="_Toc498345362"/>
      <w:bookmarkStart w:id="15" w:name="_Toc500414714"/>
      <w:bookmarkStart w:id="16" w:name="_Toc500416447"/>
      <w:bookmarkStart w:id="17" w:name="_Toc500416505"/>
      <w:bookmarkStart w:id="18" w:name="_Toc501110657"/>
      <w:r w:rsidRPr="007C0D35">
        <w:t>Alcance de la evaluación</w:t>
      </w:r>
      <w:bookmarkEnd w:id="13"/>
      <w:bookmarkEnd w:id="14"/>
      <w:bookmarkEnd w:id="15"/>
      <w:bookmarkEnd w:id="16"/>
      <w:bookmarkEnd w:id="17"/>
      <w:bookmarkEnd w:id="18"/>
    </w:p>
    <w:p w:rsidR="0082497E" w:rsidRPr="005A6843" w:rsidRDefault="0082497E" w:rsidP="00AA712B">
      <w:pPr>
        <w:jc w:val="both"/>
      </w:pPr>
      <w:r w:rsidRPr="005A6843">
        <w:t xml:space="preserve">Como se ha dicho en el epígrafe anterior, el objeto de la presente evaluación es el cumplimiento por parte de la AGE durante el ejercicio 2016 de las obligaciones que le señala la </w:t>
      </w:r>
      <w:r w:rsidR="001D3E3D">
        <w:t>l</w:t>
      </w:r>
      <w:r w:rsidR="001C41A6">
        <w:t>ey</w:t>
      </w:r>
      <w:r w:rsidR="00E768A4">
        <w:t xml:space="preserve"> de transparencia</w:t>
      </w:r>
      <w:r w:rsidRPr="005A6843">
        <w:t xml:space="preserve"> en relación con el Portal de la Transparencia.</w:t>
      </w:r>
    </w:p>
    <w:p w:rsidR="00362DF2" w:rsidRPr="005A6843" w:rsidRDefault="00362DF2" w:rsidP="00AA712B">
      <w:pPr>
        <w:jc w:val="both"/>
      </w:pPr>
      <w:r w:rsidRPr="005A6843">
        <w:t xml:space="preserve">Conforme a lo dispuesto en el art. 10 núm. 1 de la </w:t>
      </w:r>
      <w:r w:rsidR="001D3E3D">
        <w:t>l</w:t>
      </w:r>
      <w:r w:rsidR="001C41A6">
        <w:t>ey</w:t>
      </w:r>
      <w:r w:rsidRPr="005A6843">
        <w:t xml:space="preserve">, la AGE debe desarrollar </w:t>
      </w:r>
      <w:r w:rsidRPr="00FC4B2E">
        <w:rPr>
          <w:i/>
        </w:rPr>
        <w:t>“un Portal de la Transparencia, dependiente del Ministerio de la Presidencia</w:t>
      </w:r>
      <w:r w:rsidRPr="005A6843">
        <w:t xml:space="preserve"> -hoy</w:t>
      </w:r>
      <w:r w:rsidR="0082497E" w:rsidRPr="005A6843">
        <w:t xml:space="preserve"> Ministerio de la Presidencia y para las Administraciones Territoriales (MPREAT)</w:t>
      </w:r>
      <w:r w:rsidRPr="005A6843">
        <w:t xml:space="preserve">, después de la reestructuración de los Departamentos ministeriales operada por el Real Decreto 415/2016, de 3 de noviembre-, </w:t>
      </w:r>
      <w:r w:rsidRPr="00FC4B2E">
        <w:rPr>
          <w:i/>
        </w:rPr>
        <w:t>que facilitará el acceso de los ciudadanos a toda la información a la que se refieren los artículos anteriores relativa a su ámbito de actuación”.</w:t>
      </w:r>
      <w:r w:rsidRPr="005A6843">
        <w:t xml:space="preserve"> </w:t>
      </w:r>
    </w:p>
    <w:p w:rsidR="007B6C1A" w:rsidRPr="005A6843" w:rsidRDefault="00DF0E4B" w:rsidP="00AA712B">
      <w:pPr>
        <w:jc w:val="both"/>
      </w:pPr>
      <w:r>
        <w:rPr>
          <w:noProof/>
          <w:lang w:eastAsia="es-ES"/>
        </w:rPr>
        <w:pict>
          <v:rect id="Rectángulo 399" o:spid="_x0000_s1026" style="position:absolute;left:0;text-align:left;margin-left:344pt;margin-top:392.7pt;width:179.05pt;height:147.2pt;z-index:251760640;visibility:visible;mso-width-percent:330;mso-position-horizontal-relative:page;mso-position-vertical-relative:page;mso-width-percent: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" o:allowincell="f" fillcolor="#d2edf4 [660]" stroked="f">
            <v:fill opacity="57054f"/>
            <v:shadow on="t" type="perspective" color="#d4cfb3" opacity="29491f" offset="5.91708mm,-6.53994mm" matrix="65602f,,,65602f"/>
            <v:textbox inset="28.8pt,7.2pt,14.4pt,7.2pt">
              <w:txbxContent>
                <w:p w:rsidR="005A7AEE" w:rsidRPr="00E37946" w:rsidRDefault="005A7AEE" w:rsidP="00E37946">
                  <w:pPr>
                    <w:shd w:val="clear" w:color="auto" w:fill="7C9FCF" w:themeFill="accent4" w:themeFillTint="99"/>
                    <w:ind w:left="-426" w:right="-151"/>
                    <w:rPr>
                      <w:b/>
                      <w:iCs/>
                      <w:sz w:val="22"/>
                    </w:rPr>
                  </w:pPr>
                  <w:r w:rsidRPr="00E37946">
                    <w:rPr>
                      <w:b/>
                      <w:sz w:val="22"/>
                    </w:rPr>
                    <w:t>Los artículos de referencia son los arts. 5, 6, 7 y 8 de la norma que enumeran una serie de datos o informaciones que los sujetos comprendidos en su ámbito de cobertura deben publicar en las correspondientes sedes electrónicas o páginas web.</w:t>
                  </w:r>
                </w:p>
              </w:txbxContent>
            </v:textbox>
            <w10:wrap type="square" anchorx="page" anchory="page"/>
          </v:rect>
        </w:pict>
      </w:r>
      <w:r w:rsidR="0082497E" w:rsidRPr="005A6843">
        <w:t xml:space="preserve">Los artículos de referencia son los arts. </w:t>
      </w:r>
      <w:r w:rsidR="008A0E6C" w:rsidRPr="005A6843">
        <w:t xml:space="preserve">5, </w:t>
      </w:r>
      <w:r w:rsidR="0082497E" w:rsidRPr="005A6843">
        <w:t xml:space="preserve">6, 7 y 8 de la norma que enumeran una serie de datos o informaciones </w:t>
      </w:r>
      <w:r w:rsidR="008A0E6C" w:rsidRPr="005A6843">
        <w:t xml:space="preserve">que los sujetos comprendidos en su ámbito de cobertura deben publicar en las correspondientes sedes electrónicas o páginas </w:t>
      </w:r>
      <w:r w:rsidR="00FC4B2E" w:rsidRPr="00FC4B2E">
        <w:rPr>
          <w:i/>
        </w:rPr>
        <w:t>web</w:t>
      </w:r>
      <w:r w:rsidR="008A0E6C" w:rsidRPr="005A6843">
        <w:t xml:space="preserve"> de conformidad con determinados requerimientos y requisitos técnicos. Los datos e informaciones </w:t>
      </w:r>
      <w:r w:rsidR="007B6C1A" w:rsidRPr="005A6843">
        <w:t xml:space="preserve">en cuestión </w:t>
      </w:r>
      <w:r w:rsidR="008A0E6C" w:rsidRPr="005A6843">
        <w:t>son</w:t>
      </w:r>
      <w:r w:rsidR="007B6C1A" w:rsidRPr="005A6843">
        <w:t>,</w:t>
      </w:r>
      <w:r w:rsidR="008A0E6C" w:rsidRPr="005A6843">
        <w:t xml:space="preserve"> en principio</w:t>
      </w:r>
      <w:r w:rsidR="007B6C1A" w:rsidRPr="005A6843">
        <w:t xml:space="preserve"> y con carácter general, todos aquéllos </w:t>
      </w:r>
      <w:r w:rsidR="008A0E6C" w:rsidRPr="005A6843">
        <w:t xml:space="preserve">cuyo conocimiento sea relevante para </w:t>
      </w:r>
      <w:r w:rsidR="007B6C1A" w:rsidRPr="005A6843">
        <w:t>“</w:t>
      </w:r>
      <w:r w:rsidR="008A0E6C" w:rsidRPr="005A6843">
        <w:t>garantizar la transparencia</w:t>
      </w:r>
      <w:r w:rsidR="007B6C1A" w:rsidRPr="005A6843">
        <w:t>”</w:t>
      </w:r>
      <w:r w:rsidR="008A0E6C" w:rsidRPr="005A6843">
        <w:t xml:space="preserve"> de </w:t>
      </w:r>
      <w:r w:rsidR="007B6C1A" w:rsidRPr="005A6843">
        <w:t xml:space="preserve">la </w:t>
      </w:r>
      <w:r w:rsidR="008A0E6C" w:rsidRPr="005A6843">
        <w:t xml:space="preserve">actividad </w:t>
      </w:r>
      <w:r w:rsidR="007B6C1A" w:rsidRPr="005A6843">
        <w:t xml:space="preserve">del sujeto </w:t>
      </w:r>
      <w:r w:rsidR="007B6C1A" w:rsidRPr="00FC4B2E">
        <w:rPr>
          <w:i/>
        </w:rPr>
        <w:t>“</w:t>
      </w:r>
      <w:r w:rsidR="008A0E6C" w:rsidRPr="00FC4B2E">
        <w:rPr>
          <w:i/>
        </w:rPr>
        <w:t>relacionada con el funcionamiento y control de la actuación pública</w:t>
      </w:r>
      <w:r w:rsidR="007B6C1A" w:rsidRPr="00FC4B2E">
        <w:rPr>
          <w:i/>
        </w:rPr>
        <w:t xml:space="preserve">” </w:t>
      </w:r>
      <w:r w:rsidR="004D5A3A" w:rsidRPr="00FC4B2E">
        <w:rPr>
          <w:i/>
        </w:rPr>
        <w:t xml:space="preserve">(art. 5) </w:t>
      </w:r>
      <w:r w:rsidR="007B6C1A" w:rsidRPr="00FC4B2E">
        <w:rPr>
          <w:i/>
        </w:rPr>
        <w:t xml:space="preserve">y, en segundo lugar, todos aquéllos </w:t>
      </w:r>
      <w:r w:rsidR="0082497E" w:rsidRPr="00FC4B2E">
        <w:rPr>
          <w:i/>
        </w:rPr>
        <w:t>de naturaleza “institucional, organizativa y de planificación”</w:t>
      </w:r>
      <w:r w:rsidR="007B6C1A" w:rsidRPr="00FC4B2E">
        <w:rPr>
          <w:i/>
        </w:rPr>
        <w:t>,</w:t>
      </w:r>
      <w:r w:rsidR="007B6C1A" w:rsidRPr="005A6843">
        <w:t xml:space="preserve"> </w:t>
      </w:r>
      <w:r w:rsidR="0082497E" w:rsidRPr="005A6843">
        <w:t xml:space="preserve">de </w:t>
      </w:r>
      <w:r w:rsidR="0082497E" w:rsidRPr="00FC4B2E">
        <w:rPr>
          <w:i/>
        </w:rPr>
        <w:t>“relevancia jurídica”</w:t>
      </w:r>
      <w:r w:rsidR="0082497E" w:rsidRPr="005A6843">
        <w:t xml:space="preserve"> y de índole </w:t>
      </w:r>
      <w:r w:rsidR="0082497E" w:rsidRPr="00FC4B2E">
        <w:rPr>
          <w:i/>
        </w:rPr>
        <w:t>“económica, presupuestaria y estadística”</w:t>
      </w:r>
      <w:r w:rsidR="007B6C1A" w:rsidRPr="005A6843">
        <w:t>, que enumeran respectivamente los arts. 6, 7 y 8.</w:t>
      </w:r>
    </w:p>
    <w:p w:rsidR="00362DF2" w:rsidRPr="005A6843" w:rsidRDefault="004D5A3A" w:rsidP="00AA712B">
      <w:pPr>
        <w:jc w:val="both"/>
      </w:pPr>
      <w:r w:rsidRPr="005A6843">
        <w:t xml:space="preserve">Los </w:t>
      </w:r>
      <w:r w:rsidR="0082497E" w:rsidRPr="005A6843">
        <w:t xml:space="preserve">requerimientos y requisitos técnicos </w:t>
      </w:r>
      <w:r w:rsidRPr="005A6843">
        <w:t xml:space="preserve">que debe observar la publicación </w:t>
      </w:r>
      <w:r w:rsidR="0082497E" w:rsidRPr="005A6843">
        <w:t xml:space="preserve">aparecen recogidos en el art. 5 de la </w:t>
      </w:r>
      <w:r w:rsidR="001D3E3D">
        <w:t>l</w:t>
      </w:r>
      <w:r w:rsidR="001C41A6">
        <w:t>ey</w:t>
      </w:r>
      <w:r w:rsidR="0082497E" w:rsidRPr="005A6843">
        <w:t xml:space="preserve"> y se refieren a que</w:t>
      </w:r>
      <w:r w:rsidR="008A0E6C" w:rsidRPr="005A6843">
        <w:t xml:space="preserve"> l</w:t>
      </w:r>
      <w:r w:rsidR="0082497E" w:rsidRPr="005A6843">
        <w:t xml:space="preserve">a publicación debe hacerse </w:t>
      </w:r>
      <w:r w:rsidR="008A0E6C" w:rsidRPr="00FC4B2E">
        <w:rPr>
          <w:i/>
        </w:rPr>
        <w:t>“</w:t>
      </w:r>
      <w:r w:rsidR="0082497E" w:rsidRPr="00FC4B2E">
        <w:rPr>
          <w:i/>
        </w:rPr>
        <w:t>de forma periódica y actualizada</w:t>
      </w:r>
      <w:r w:rsidR="008A0E6C" w:rsidRPr="00FC4B2E">
        <w:rPr>
          <w:i/>
        </w:rPr>
        <w:t>”</w:t>
      </w:r>
      <w:r w:rsidR="008A0E6C" w:rsidRPr="005A6843">
        <w:t xml:space="preserve">, </w:t>
      </w:r>
      <w:r w:rsidRPr="005A6843">
        <w:t xml:space="preserve">debe </w:t>
      </w:r>
      <w:r w:rsidR="008A0E6C" w:rsidRPr="005A6843">
        <w:t xml:space="preserve">presentar la información </w:t>
      </w:r>
      <w:r w:rsidR="00362DF2" w:rsidRPr="005A6843">
        <w:t xml:space="preserve">de una </w:t>
      </w:r>
      <w:r w:rsidR="008A0E6C" w:rsidRPr="00FC4B2E">
        <w:rPr>
          <w:i/>
        </w:rPr>
        <w:t>“</w:t>
      </w:r>
      <w:r w:rsidR="00362DF2" w:rsidRPr="00FC4B2E">
        <w:rPr>
          <w:i/>
        </w:rPr>
        <w:t>manera clara, estructurada y entendible para los interesados y, preferiblemente, en formatos reutilizables</w:t>
      </w:r>
      <w:r w:rsidR="008A0E6C" w:rsidRPr="00FC4B2E">
        <w:rPr>
          <w:i/>
        </w:rPr>
        <w:t>”</w:t>
      </w:r>
      <w:r w:rsidR="008A0E6C" w:rsidRPr="005A6843">
        <w:t xml:space="preserve"> y </w:t>
      </w:r>
      <w:r w:rsidRPr="005A6843">
        <w:t xml:space="preserve">debe garantizar </w:t>
      </w:r>
      <w:r w:rsidR="00362DF2" w:rsidRPr="005A6843">
        <w:t xml:space="preserve">los mecanismos adecuados para </w:t>
      </w:r>
      <w:r w:rsidR="008A0E6C" w:rsidRPr="00FC4B2E">
        <w:rPr>
          <w:i/>
        </w:rPr>
        <w:t>“</w:t>
      </w:r>
      <w:r w:rsidR="00362DF2" w:rsidRPr="00FC4B2E">
        <w:rPr>
          <w:i/>
        </w:rPr>
        <w:t>facilitar la accesibilidad, la interoperabilidad, la calidad y la reutilización de la información</w:t>
      </w:r>
      <w:r w:rsidR="008A0E6C" w:rsidRPr="00FC4B2E">
        <w:rPr>
          <w:i/>
        </w:rPr>
        <w:t>”</w:t>
      </w:r>
      <w:r w:rsidR="008A0E6C" w:rsidRPr="005A6843">
        <w:t xml:space="preserve">, </w:t>
      </w:r>
      <w:r w:rsidR="00362DF2" w:rsidRPr="005A6843">
        <w:t xml:space="preserve">así como su </w:t>
      </w:r>
      <w:r w:rsidR="008A0E6C" w:rsidRPr="00FC4B2E">
        <w:rPr>
          <w:i/>
        </w:rPr>
        <w:t>“</w:t>
      </w:r>
      <w:r w:rsidR="00362DF2" w:rsidRPr="00FC4B2E">
        <w:rPr>
          <w:i/>
        </w:rPr>
        <w:t>identificación y localización”</w:t>
      </w:r>
      <w:r w:rsidR="00362DF2" w:rsidRPr="005A6843">
        <w:t>.</w:t>
      </w:r>
    </w:p>
    <w:p w:rsidR="004D5A3A" w:rsidRPr="005A6843" w:rsidRDefault="008A0E6C" w:rsidP="00AA712B">
      <w:pPr>
        <w:jc w:val="both"/>
      </w:pPr>
      <w:r w:rsidRPr="005A6843">
        <w:t xml:space="preserve">De esta manera, la AGE </w:t>
      </w:r>
      <w:r w:rsidR="004D5A3A" w:rsidRPr="005A6843">
        <w:t xml:space="preserve">(art. 10) </w:t>
      </w:r>
      <w:r w:rsidRPr="005A6843">
        <w:t xml:space="preserve">viene obligada a desarrollar un Portal </w:t>
      </w:r>
      <w:r w:rsidR="004D5A3A" w:rsidRPr="005A6843">
        <w:t xml:space="preserve">de Transparencia </w:t>
      </w:r>
      <w:r w:rsidRPr="005A6843">
        <w:t xml:space="preserve">(en adelante Portal AGE) </w:t>
      </w:r>
      <w:r w:rsidR="004D5A3A" w:rsidRPr="005A6843">
        <w:t xml:space="preserve">para facilitar </w:t>
      </w:r>
      <w:r w:rsidRPr="005A6843">
        <w:t xml:space="preserve">a los ciudadanos el acceso a la información que publiquen </w:t>
      </w:r>
      <w:r w:rsidR="004D5A3A" w:rsidRPr="005A6843">
        <w:t xml:space="preserve">en régimen de publicidad activa </w:t>
      </w:r>
      <w:r w:rsidRPr="005A6843">
        <w:t>los Ministerios y demás órganos de la AGE</w:t>
      </w:r>
      <w:r w:rsidR="004D5A3A" w:rsidRPr="005A6843">
        <w:t>. T</w:t>
      </w:r>
      <w:r w:rsidRPr="005A6843">
        <w:t xml:space="preserve">anto la institucional, jurídica y económica que deben publicar obligatoriamente </w:t>
      </w:r>
      <w:r w:rsidR="004D5A3A" w:rsidRPr="005A6843">
        <w:t xml:space="preserve">(arts. 6, 7 y 8) </w:t>
      </w:r>
      <w:r w:rsidRPr="005A6843">
        <w:t>como aquélla otra</w:t>
      </w:r>
      <w:r w:rsidRPr="00FC4B2E">
        <w:rPr>
          <w:i/>
        </w:rPr>
        <w:t xml:space="preserve"> </w:t>
      </w:r>
      <w:r w:rsidR="004D5A3A" w:rsidRPr="00FC4B2E">
        <w:rPr>
          <w:i/>
        </w:rPr>
        <w:t>“de conocimiento relevante”</w:t>
      </w:r>
      <w:r w:rsidR="004D5A3A" w:rsidRPr="005A6843">
        <w:t xml:space="preserve"> </w:t>
      </w:r>
      <w:r w:rsidRPr="005A6843">
        <w:t xml:space="preserve">que decidan publicar </w:t>
      </w:r>
      <w:r w:rsidR="004D5A3A" w:rsidRPr="005A6843">
        <w:t>libre</w:t>
      </w:r>
      <w:r w:rsidRPr="005A6843">
        <w:t>mente</w:t>
      </w:r>
      <w:r w:rsidR="004D5A3A" w:rsidRPr="005A6843">
        <w:t xml:space="preserve"> (art. 5)</w:t>
      </w:r>
      <w:r w:rsidRPr="005A6843">
        <w:t xml:space="preserve">. </w:t>
      </w:r>
    </w:p>
    <w:p w:rsidR="00685119" w:rsidRPr="005A6843" w:rsidRDefault="00574A3F" w:rsidP="00AA712B">
      <w:pPr>
        <w:jc w:val="both"/>
      </w:pPr>
      <w:r w:rsidRPr="005A6843">
        <w:t xml:space="preserve">La </w:t>
      </w:r>
      <w:r w:rsidR="001D3E3D">
        <w:t>l</w:t>
      </w:r>
      <w:r w:rsidR="001C41A6">
        <w:t>ey</w:t>
      </w:r>
      <w:r w:rsidRPr="005A6843">
        <w:t xml:space="preserve"> contiene aún algunos preceptos adicionales </w:t>
      </w:r>
      <w:r w:rsidR="00D5127F" w:rsidRPr="005A6843">
        <w:t xml:space="preserve">sobre el </w:t>
      </w:r>
      <w:r w:rsidR="004D5A3A" w:rsidRPr="005A6843">
        <w:t>Portal</w:t>
      </w:r>
      <w:r w:rsidR="00D5127F" w:rsidRPr="005A6843">
        <w:t xml:space="preserve">. </w:t>
      </w:r>
      <w:r w:rsidR="00685119" w:rsidRPr="005A6843">
        <w:t xml:space="preserve">Así, </w:t>
      </w:r>
      <w:r w:rsidR="004D5A3A" w:rsidRPr="005A6843">
        <w:t>señala que</w:t>
      </w:r>
      <w:r w:rsidR="00D5127F" w:rsidRPr="005A6843">
        <w:t>,</w:t>
      </w:r>
      <w:r w:rsidR="004D5A3A" w:rsidRPr="005A6843">
        <w:t xml:space="preserve"> </w:t>
      </w:r>
      <w:r w:rsidR="004D5A3A" w:rsidRPr="00FC4B2E">
        <w:rPr>
          <w:i/>
        </w:rPr>
        <w:t>“en los términos que se establezcan reglamentariamente”</w:t>
      </w:r>
      <w:r w:rsidR="004D5A3A" w:rsidRPr="005A6843">
        <w:t xml:space="preserve">, deberá incorporar </w:t>
      </w:r>
      <w:r w:rsidR="004D5A3A" w:rsidRPr="00FC4B2E">
        <w:rPr>
          <w:i/>
        </w:rPr>
        <w:t>“la información de la Administración General del Estado, cuyo acceso se solicite con mayor frecuencia”</w:t>
      </w:r>
      <w:r w:rsidR="004D5A3A" w:rsidRPr="005A6843">
        <w:t xml:space="preserve"> (art. 10.2) y </w:t>
      </w:r>
      <w:r w:rsidR="00685119" w:rsidRPr="005A6843">
        <w:t xml:space="preserve">que </w:t>
      </w:r>
      <w:r w:rsidR="00685119" w:rsidRPr="00FC4B2E">
        <w:rPr>
          <w:i/>
        </w:rPr>
        <w:t>“contendrá información publicada de acuerdo con las prescripciones técnicas que se establezcan reglamentariamente”</w:t>
      </w:r>
      <w:r w:rsidR="00685119" w:rsidRPr="005A6843">
        <w:t xml:space="preserve"> que deberán adecuarse a los principios de accesibilidad, interoperabilidad y reutilización (art. 11). De acuerdo con el primero, </w:t>
      </w:r>
      <w:r w:rsidR="00685119" w:rsidRPr="00FC4B2E">
        <w:rPr>
          <w:i/>
        </w:rPr>
        <w:t xml:space="preserve">“se proporcionará información estructurada sobre los documentos y recursos de información con vistas a facilitar la identificación y búsqueda de la información”. De acuerdo con el segundo, la información publicada se ajustará al Esquema Nacional de Interoperabilidad, aprobado por el Real Decreto 4/2010, de 8 enero, y a las normas técnicas de interoperabilidad. Y de acuerdo con el tercero, “se fomentará que la información sea publicada en formatos que permita su reutilización, de acuerdo con lo previsto en la </w:t>
      </w:r>
      <w:r w:rsidR="001C41A6">
        <w:rPr>
          <w:i/>
        </w:rPr>
        <w:t>Ley</w:t>
      </w:r>
      <w:r w:rsidR="00685119" w:rsidRPr="00FC4B2E">
        <w:rPr>
          <w:i/>
        </w:rPr>
        <w:t xml:space="preserve"> 37/2007, de 16 de noviembre, sobre reutilización de la información del sector público y en su normativa de desarrollo”</w:t>
      </w:r>
      <w:r w:rsidR="00685119" w:rsidRPr="005A6843">
        <w:t>.</w:t>
      </w:r>
    </w:p>
    <w:p w:rsidR="002E0E34" w:rsidRPr="005A6843" w:rsidRDefault="00685119" w:rsidP="00AA712B">
      <w:pPr>
        <w:jc w:val="both"/>
      </w:pPr>
      <w:r w:rsidRPr="005A6843">
        <w:t xml:space="preserve">De este modo, </w:t>
      </w:r>
      <w:r w:rsidR="008A725E" w:rsidRPr="005A6843">
        <w:t xml:space="preserve">además </w:t>
      </w:r>
      <w:r w:rsidRPr="005A6843">
        <w:t xml:space="preserve">de incorporar la información </w:t>
      </w:r>
      <w:r w:rsidR="00D5127F" w:rsidRPr="005A6843">
        <w:t>de la AGE que sus responsables consideren relevante y los datos e informaciones enumerad</w:t>
      </w:r>
      <w:r w:rsidR="001D6167" w:rsidRPr="005A6843">
        <w:t>o</w:t>
      </w:r>
      <w:r w:rsidR="00D5127F" w:rsidRPr="005A6843">
        <w:t xml:space="preserve">s en los </w:t>
      </w:r>
      <w:r w:rsidR="001D6167" w:rsidRPr="005A6843">
        <w:t xml:space="preserve">arts. 6 a 8 de la </w:t>
      </w:r>
      <w:r w:rsidR="001D3E3D">
        <w:t>l</w:t>
      </w:r>
      <w:r w:rsidR="001C41A6">
        <w:t>ey</w:t>
      </w:r>
      <w:r w:rsidR="00E768A4">
        <w:t xml:space="preserve"> de transparencia</w:t>
      </w:r>
      <w:r w:rsidR="001D6167" w:rsidRPr="005A6843">
        <w:t xml:space="preserve">, el Portal debe </w:t>
      </w:r>
      <w:r w:rsidR="00D5127F" w:rsidRPr="005A6843">
        <w:t>inclui</w:t>
      </w:r>
      <w:r w:rsidR="001D6167" w:rsidRPr="005A6843">
        <w:t xml:space="preserve">r la información </w:t>
      </w:r>
      <w:r w:rsidR="008A725E" w:rsidRPr="005A6843">
        <w:t xml:space="preserve">solicitada </w:t>
      </w:r>
      <w:r w:rsidR="001D6167" w:rsidRPr="005A6843">
        <w:t xml:space="preserve">con más frecuencia </w:t>
      </w:r>
      <w:r w:rsidR="003C28E0" w:rsidRPr="005A6843">
        <w:t xml:space="preserve">por </w:t>
      </w:r>
      <w:r w:rsidR="008A725E" w:rsidRPr="005A6843">
        <w:t>vía derecho de acceso</w:t>
      </w:r>
      <w:r w:rsidR="001D6167" w:rsidRPr="005A6843">
        <w:t>. Y además de ajustarse en la presentación de la información a los requerimientos de</w:t>
      </w:r>
      <w:r w:rsidR="0055167D" w:rsidRPr="005A6843">
        <w:t xml:space="preserve"> actualización, periodicidad, comprensibilidad, estructuración, etc. establecidos en la </w:t>
      </w:r>
      <w:r w:rsidR="001D3E3D">
        <w:t>l</w:t>
      </w:r>
      <w:r w:rsidR="001C41A6">
        <w:t>ey</w:t>
      </w:r>
      <w:r w:rsidR="0055167D" w:rsidRPr="005A6843">
        <w:t>, deberá configura</w:t>
      </w:r>
      <w:r w:rsidR="002E0E34" w:rsidRPr="005A6843">
        <w:t>r</w:t>
      </w:r>
      <w:r w:rsidR="0055167D" w:rsidRPr="005A6843">
        <w:t>se de acuerdo con los nuevos requisitos técnicos que se establezcan reglamentariamente</w:t>
      </w:r>
      <w:r w:rsidR="002E0E34" w:rsidRPr="005A6843">
        <w:t>, que deberán ajustarse en todo caso a los principios de accesibilidad, interoperabilidad y reutilización</w:t>
      </w:r>
      <w:r w:rsidR="0055167D" w:rsidRPr="005A6843">
        <w:t>.</w:t>
      </w:r>
    </w:p>
    <w:p w:rsidR="003C28E0" w:rsidRPr="005A6843" w:rsidRDefault="003C28E0" w:rsidP="00AA712B">
      <w:pPr>
        <w:jc w:val="both"/>
      </w:pPr>
      <w:r w:rsidRPr="005A6843">
        <w:t xml:space="preserve">En síntesis, las obligaciones que la </w:t>
      </w:r>
      <w:r w:rsidR="001D3E3D">
        <w:t>l</w:t>
      </w:r>
      <w:r w:rsidR="001C41A6">
        <w:t>ey</w:t>
      </w:r>
      <w:r w:rsidR="00E768A4">
        <w:t xml:space="preserve"> de transparencia</w:t>
      </w:r>
      <w:r w:rsidRPr="005A6843">
        <w:t xml:space="preserve"> impone a la AGE en relación con el Portal de Transparencia son: A) Desarrollar el Portal; B) Incorporar al mismo la información </w:t>
      </w:r>
      <w:r w:rsidRPr="00FC4B2E">
        <w:rPr>
          <w:i/>
        </w:rPr>
        <w:t>“de conocimiento relevante”</w:t>
      </w:r>
      <w:r w:rsidRPr="005A6843">
        <w:t xml:space="preserve"> del art. 5, los datos e informaciones enumerados en los arts. 6, 7 y 8 que hubieran publicado los Ministerios y demás órganos de la AGE en sus sedes y páginas </w:t>
      </w:r>
      <w:r w:rsidR="00FC4B2E" w:rsidRPr="00FC4B2E">
        <w:rPr>
          <w:i/>
        </w:rPr>
        <w:t>web</w:t>
      </w:r>
      <w:r w:rsidRPr="005A6843">
        <w:t xml:space="preserve"> (art. 10.1) y la información solicitada </w:t>
      </w:r>
      <w:r w:rsidRPr="00FC4B2E">
        <w:rPr>
          <w:i/>
        </w:rPr>
        <w:t>“frecuentemente”</w:t>
      </w:r>
      <w:r w:rsidRPr="005A6843">
        <w:t xml:space="preserve"> vía derecho de acceso (art. 10.2); C) </w:t>
      </w:r>
      <w:r w:rsidR="00D07AFB" w:rsidRPr="005A6843">
        <w:t>Publicar la información de acuerdo con los requisitos técnicos del art. 5 y aquéllos otros que se establezcan reglamentariamente.</w:t>
      </w:r>
    </w:p>
    <w:p w:rsidR="00D07AFB" w:rsidRPr="005A6843" w:rsidRDefault="00D07AFB" w:rsidP="00AA712B">
      <w:pPr>
        <w:jc w:val="both"/>
      </w:pPr>
      <w:r w:rsidRPr="005A6843">
        <w:t>La presente evaluación se refiere al cumplimiento de estas obligaciones.</w:t>
      </w:r>
    </w:p>
    <w:p w:rsidR="008A0E6C" w:rsidRPr="005A6843" w:rsidRDefault="003C28E0" w:rsidP="002420B8">
      <w:pPr>
        <w:pStyle w:val="Ttulo2"/>
      </w:pPr>
      <w:bookmarkStart w:id="19" w:name="_Toc489351983"/>
      <w:bookmarkStart w:id="20" w:name="_Toc498345363"/>
      <w:r w:rsidRPr="005A6843">
        <w:t xml:space="preserve"> </w:t>
      </w:r>
      <w:bookmarkStart w:id="21" w:name="_Toc500414715"/>
      <w:bookmarkStart w:id="22" w:name="_Toc500416448"/>
      <w:bookmarkStart w:id="23" w:name="_Toc500416506"/>
      <w:bookmarkStart w:id="24" w:name="_Toc501110658"/>
      <w:r w:rsidRPr="005A6843">
        <w:t>Contenido</w:t>
      </w:r>
      <w:bookmarkEnd w:id="19"/>
      <w:bookmarkEnd w:id="20"/>
      <w:bookmarkEnd w:id="21"/>
      <w:bookmarkEnd w:id="22"/>
      <w:bookmarkEnd w:id="23"/>
      <w:bookmarkEnd w:id="24"/>
      <w:r w:rsidR="008A0E6C" w:rsidRPr="005A6843">
        <w:t xml:space="preserve"> </w:t>
      </w:r>
    </w:p>
    <w:p w:rsidR="000F0063" w:rsidRPr="005A6843" w:rsidRDefault="000B7D94" w:rsidP="00AA712B">
      <w:pPr>
        <w:jc w:val="both"/>
      </w:pPr>
      <w:r w:rsidRPr="005A6843">
        <w:t xml:space="preserve">El 10 de diciembre de 2014, día de la entrada en vigor de la </w:t>
      </w:r>
      <w:r w:rsidR="001D3E3D">
        <w:t>l</w:t>
      </w:r>
      <w:r w:rsidR="001C41A6">
        <w:t>ey</w:t>
      </w:r>
      <w:r w:rsidR="00E768A4">
        <w:t xml:space="preserve"> de transparencia</w:t>
      </w:r>
      <w:r w:rsidRPr="005A6843">
        <w:t xml:space="preserve"> en el ámbito estatal, entró en funcionamiento el denominado “</w:t>
      </w:r>
      <w:hyperlink r:id="rId16" w:history="1">
        <w:r w:rsidRPr="0069620D">
          <w:rPr>
            <w:rStyle w:val="Hipervnculo"/>
          </w:rPr>
          <w:t>Portal de la Transparencia del Gobierno de España</w:t>
        </w:r>
      </w:hyperlink>
      <w:r w:rsidR="0016665B" w:rsidRPr="005A6843">
        <w:t>“</w:t>
      </w:r>
      <w:r w:rsidRPr="005A6843">
        <w:t>, que incorporaba más de 500.000 registros accesibles de info</w:t>
      </w:r>
      <w:r w:rsidR="001D2003" w:rsidRPr="005A6843">
        <w:t>rmación, con 25.000 in</w:t>
      </w:r>
      <w:r w:rsidRPr="005A6843">
        <w:t>formaciones individuales, referidas a tod</w:t>
      </w:r>
      <w:r w:rsidR="005933F2">
        <w:t>os los Departamentos ministeria</w:t>
      </w:r>
      <w:r w:rsidRPr="005A6843">
        <w:t xml:space="preserve">les -pág. 50 de la Memoria-. </w:t>
      </w:r>
    </w:p>
    <w:p w:rsidR="000B7D94" w:rsidRPr="005A6843" w:rsidRDefault="000B7D94" w:rsidP="00AA712B">
      <w:pPr>
        <w:jc w:val="both"/>
      </w:pPr>
      <w:r w:rsidRPr="005A6843">
        <w:t>Las tareas de desarrollo y gestión del Portal se realizaron por el entonces Ministerio de Presidencia en colaboración con el de Hacienda y Administraciones Públicas, que hoy, después de la reestructuración de los Departamentos ministeriales efectuada por el Real Decreto 415/2016, de 3 de noviembre, se corresponden con los nuevos MPREAT y MINHAFP.</w:t>
      </w:r>
    </w:p>
    <w:p w:rsidR="00F2176A" w:rsidRPr="005A6843" w:rsidRDefault="000933DE" w:rsidP="00AA712B">
      <w:pPr>
        <w:jc w:val="both"/>
      </w:pPr>
      <w:r>
        <w:rPr>
          <w:noProof/>
          <w:lang w:eastAsia="es-ES"/>
        </w:rPr>
        <w:drawing>
          <wp:inline distT="0" distB="0" distL="0" distR="0">
            <wp:extent cx="6114197" cy="2620370"/>
            <wp:effectExtent l="0" t="0" r="1270"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15835526.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988" b="28738"/>
                    <a:stretch/>
                  </pic:blipFill>
                  <pic:spPr bwMode="auto">
                    <a:xfrm>
                      <a:off x="0" y="0"/>
                      <a:ext cx="6120130" cy="26229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B7D94" w:rsidRPr="005A6843">
        <w:t xml:space="preserve">De este modo puede decirse que, ya en los primeros momentos de aplicación de la </w:t>
      </w:r>
      <w:r w:rsidR="001D3E3D">
        <w:t>l</w:t>
      </w:r>
      <w:r w:rsidR="001C41A6">
        <w:t>ey</w:t>
      </w:r>
      <w:r w:rsidR="00E768A4">
        <w:t xml:space="preserve"> de transparencia</w:t>
      </w:r>
      <w:r w:rsidR="000B7D94" w:rsidRPr="005A6843">
        <w:t>, la AGE había cumplido las principales obligaciones que ésta le señalaba en relación con el Portal de la Transparencia. Había desarrolla</w:t>
      </w:r>
      <w:r w:rsidR="00F2176A" w:rsidRPr="005A6843">
        <w:t>do</w:t>
      </w:r>
      <w:r w:rsidR="000B7D94" w:rsidRPr="005A6843">
        <w:t xml:space="preserve"> el Portal; había incorporado al mismo </w:t>
      </w:r>
      <w:r w:rsidR="00F2176A" w:rsidRPr="005A6843">
        <w:t xml:space="preserve">la información que sus responsables consideraban </w:t>
      </w:r>
      <w:r w:rsidR="00F2176A" w:rsidRPr="00FC4B2E">
        <w:rPr>
          <w:i/>
        </w:rPr>
        <w:t>“de conocimiento relevante”</w:t>
      </w:r>
      <w:r w:rsidR="00F2176A" w:rsidRPr="005A6843">
        <w:t xml:space="preserve"> a efectos del art. 5 de la AGE además de </w:t>
      </w:r>
      <w:r w:rsidR="000B7D94" w:rsidRPr="005A6843">
        <w:t xml:space="preserve">los datos e informaciones enumerados en los arts. 6, 7 y 8 de la </w:t>
      </w:r>
      <w:r w:rsidR="001D3E3D">
        <w:t>l</w:t>
      </w:r>
      <w:r w:rsidR="001C41A6">
        <w:t>ey</w:t>
      </w:r>
      <w:r w:rsidR="00E768A4">
        <w:t xml:space="preserve"> de transparencia</w:t>
      </w:r>
      <w:r w:rsidR="000B7D94" w:rsidRPr="005A6843">
        <w:t xml:space="preserve"> re</w:t>
      </w:r>
      <w:r w:rsidR="00F2176A" w:rsidRPr="005A6843">
        <w:t xml:space="preserve">lativos a </w:t>
      </w:r>
      <w:r w:rsidR="000B7D94" w:rsidRPr="005A6843">
        <w:t>los Ministerios y demás órganos de la AGE</w:t>
      </w:r>
      <w:r w:rsidR="00F2176A" w:rsidRPr="005A6843">
        <w:t>,</w:t>
      </w:r>
      <w:r w:rsidR="000B7D94" w:rsidRPr="005A6843">
        <w:t xml:space="preserve"> y había publicado la información de acuerdo con los requisitos del art. 5 y los principios de accesibilidad, interoperabilidad y reutilización</w:t>
      </w:r>
      <w:r w:rsidR="00F2176A" w:rsidRPr="005A6843">
        <w:t xml:space="preserve"> del </w:t>
      </w:r>
      <w:r w:rsidR="000B7D94" w:rsidRPr="005A6843">
        <w:t>art. 10.1</w:t>
      </w:r>
      <w:r w:rsidR="00F2176A" w:rsidRPr="005A6843">
        <w:t>.</w:t>
      </w:r>
    </w:p>
    <w:p w:rsidR="008F181B" w:rsidRPr="005A6843" w:rsidRDefault="008F181B" w:rsidP="00AA712B">
      <w:pPr>
        <w:jc w:val="both"/>
      </w:pPr>
      <w:r w:rsidRPr="005A6843">
        <w:t xml:space="preserve">Es cierto que, formalmente, aún </w:t>
      </w:r>
      <w:r w:rsidR="00F2176A" w:rsidRPr="005A6843">
        <w:t>quedarían por cumplir las obligaciones relativas a la incorporación de la información más frecuentemente objeto de derecho de acceso y a la observancia de los requisitos técnicos que pudieran establecerse por vía reglamentaria. Pero</w:t>
      </w:r>
      <w:r w:rsidRPr="005A6843">
        <w:t>,</w:t>
      </w:r>
      <w:r w:rsidR="00F2176A" w:rsidRPr="005A6843">
        <w:t xml:space="preserve"> encontrándose todavía pendiente de aprobación </w:t>
      </w:r>
      <w:r w:rsidRPr="005A6843">
        <w:t xml:space="preserve">el Reglamento de desarrollo de la </w:t>
      </w:r>
      <w:r w:rsidR="001D3E3D">
        <w:t>l</w:t>
      </w:r>
      <w:r w:rsidR="001C41A6">
        <w:t>ey</w:t>
      </w:r>
      <w:r w:rsidRPr="005A6843">
        <w:t xml:space="preserve"> -y, por ende, la delimitación de la “frecuencia” en las solicitudes que justificaría su publicación y la definición de los nuevos requerimientos técnicos que habrían de observarse- es evidente que, por el momento, se trata, de obligaciones sin posibilidad de cumplimiento.</w:t>
      </w:r>
    </w:p>
    <w:p w:rsidR="008F181B" w:rsidRPr="005A6843" w:rsidRDefault="000B7D94" w:rsidP="00AA712B">
      <w:pPr>
        <w:jc w:val="both"/>
      </w:pPr>
      <w:r w:rsidRPr="005A6843">
        <w:t xml:space="preserve">La cuestión, pues, en materia de evaluación no </w:t>
      </w:r>
      <w:r w:rsidR="008F181B" w:rsidRPr="005A6843">
        <w:t xml:space="preserve">sería tanto </w:t>
      </w:r>
      <w:r w:rsidRPr="005A6843">
        <w:t xml:space="preserve">comprobar el cumplimiento de </w:t>
      </w:r>
      <w:r w:rsidR="008F181B" w:rsidRPr="005A6843">
        <w:t xml:space="preserve">las obligaciones de la AGE en relación con el Portal sino valorar en qué medida el cumplimiento realizado se ajusta a las previsiones de la </w:t>
      </w:r>
      <w:r w:rsidR="001D3E3D">
        <w:t>l</w:t>
      </w:r>
      <w:r w:rsidR="001C41A6">
        <w:t>ey</w:t>
      </w:r>
      <w:r w:rsidR="008F181B" w:rsidRPr="005A6843">
        <w:t>.</w:t>
      </w:r>
    </w:p>
    <w:p w:rsidR="00D07AFB" w:rsidRDefault="00D07AFB" w:rsidP="00AA712B">
      <w:pPr>
        <w:jc w:val="both"/>
      </w:pPr>
      <w:r w:rsidRPr="005A6843">
        <w:t>Ya en 2015</w:t>
      </w:r>
      <w:r w:rsidR="008F181B" w:rsidRPr="005A6843">
        <w:t>,</w:t>
      </w:r>
      <w:r w:rsidRPr="005A6843">
        <w:t xml:space="preserve"> de acuerdo con </w:t>
      </w:r>
      <w:r w:rsidR="008F181B" w:rsidRPr="005A6843">
        <w:t xml:space="preserve">los </w:t>
      </w:r>
      <w:r w:rsidRPr="005A6843">
        <w:t>mandato</w:t>
      </w:r>
      <w:r w:rsidR="008F181B" w:rsidRPr="005A6843">
        <w:t>s</w:t>
      </w:r>
      <w:r w:rsidRPr="005A6843">
        <w:t xml:space="preserve"> de la </w:t>
      </w:r>
      <w:r w:rsidR="001D3E3D">
        <w:t>l</w:t>
      </w:r>
      <w:r w:rsidR="001C41A6">
        <w:t>ey</w:t>
      </w:r>
      <w:r w:rsidR="00E768A4">
        <w:t xml:space="preserve"> de transparencia</w:t>
      </w:r>
      <w:r w:rsidRPr="005A6843">
        <w:t xml:space="preserve">, el CTBG realizó una primera evaluación del grado de cumplimiento de la </w:t>
      </w:r>
      <w:r w:rsidR="001D3E3D">
        <w:t>l</w:t>
      </w:r>
      <w:r w:rsidR="001C41A6">
        <w:t>ey</w:t>
      </w:r>
      <w:r w:rsidRPr="005A6843">
        <w:t xml:space="preserve"> en el ámbito de la AGE. El contenido de la misma queda reflejado en la primera parte de la </w:t>
      </w:r>
      <w:hyperlink r:id="rId18" w:history="1">
        <w:r w:rsidRPr="0069620D">
          <w:rPr>
            <w:rStyle w:val="Hipervnculo"/>
            <w:i/>
          </w:rPr>
          <w:t>Memoria Anual 2015</w:t>
        </w:r>
        <w:r w:rsidRPr="0069620D">
          <w:rPr>
            <w:rStyle w:val="Hipervnculo"/>
          </w:rPr>
          <w:t xml:space="preserve"> del Consejo</w:t>
        </w:r>
      </w:hyperlink>
      <w:r w:rsidR="0069620D">
        <w:rPr>
          <w:i/>
        </w:rPr>
        <w:t>.</w:t>
      </w:r>
    </w:p>
    <w:p w:rsidR="00D07AFB" w:rsidRPr="005A6843" w:rsidRDefault="00D07AFB" w:rsidP="00AA712B">
      <w:pPr>
        <w:jc w:val="both"/>
      </w:pPr>
      <w:r w:rsidRPr="005A6843">
        <w:t xml:space="preserve">Como se describe en el documento (pág. 13 y sigs.), la evaluación se basó en un análisis del Portal AGE y de las páginas </w:t>
      </w:r>
      <w:r w:rsidR="00FC4B2E" w:rsidRPr="00FC4B2E">
        <w:rPr>
          <w:i/>
        </w:rPr>
        <w:t>web</w:t>
      </w:r>
      <w:r w:rsidRPr="005A6843">
        <w:t xml:space="preserve"> de los Ministerios efectuado por el CTBG con medios propios, y estaba forzosamente limitada por la propia escasez de recursos del Consejo. Por otra parte, a la hora de abordarla -como también se advertía en la Memoria-, no se contaba todavía con una versión definitiva de la actual MESTA y, en consecuencia, no se podían realizar mediciones concretas sino únicamente apreciaciones genéricas. </w:t>
      </w:r>
    </w:p>
    <w:p w:rsidR="00D07AFB" w:rsidRPr="005A6843" w:rsidRDefault="008F181B" w:rsidP="00AA712B">
      <w:pPr>
        <w:jc w:val="both"/>
      </w:pPr>
      <w:r w:rsidRPr="005A6843">
        <w:t xml:space="preserve">Con estas limitaciones, </w:t>
      </w:r>
      <w:r w:rsidR="00D07AFB" w:rsidRPr="005A6843">
        <w:t xml:space="preserve">y desde </w:t>
      </w:r>
      <w:r w:rsidRPr="005A6843">
        <w:t xml:space="preserve">una </w:t>
      </w:r>
      <w:r w:rsidR="00D07AFB" w:rsidRPr="005A6843">
        <w:t xml:space="preserve">perspectiva </w:t>
      </w:r>
      <w:r w:rsidRPr="005A6843">
        <w:t xml:space="preserve">forzosamente </w:t>
      </w:r>
      <w:r w:rsidR="00D07AFB" w:rsidRPr="005A6843">
        <w:t>genérica, se indicaba en la Memoria</w:t>
      </w:r>
      <w:r w:rsidRPr="005A6843">
        <w:t>,</w:t>
      </w:r>
      <w:r w:rsidR="00D07AFB" w:rsidRPr="005A6843">
        <w:t xml:space="preserve"> </w:t>
      </w:r>
      <w:r w:rsidRPr="005A6843">
        <w:t xml:space="preserve">como principal resultado de la evaluación, </w:t>
      </w:r>
      <w:r w:rsidR="00D07AFB" w:rsidRPr="005A6843">
        <w:t xml:space="preserve">que durante 2015 la AGE había realizado un cumplimiento adecuado de las obligaciones señaladas en la </w:t>
      </w:r>
      <w:r w:rsidR="001D3E3D">
        <w:t>l</w:t>
      </w:r>
      <w:r w:rsidR="001C41A6">
        <w:t>ey</w:t>
      </w:r>
      <w:r w:rsidRPr="005A6843">
        <w:t>.</w:t>
      </w:r>
      <w:r w:rsidR="00D07AFB" w:rsidRPr="005A6843">
        <w:t xml:space="preserve"> </w:t>
      </w:r>
    </w:p>
    <w:p w:rsidR="00D07AFB" w:rsidRPr="005A6843" w:rsidRDefault="00D07AFB" w:rsidP="00AA712B">
      <w:pPr>
        <w:jc w:val="both"/>
      </w:pPr>
      <w:r w:rsidRPr="005A6843">
        <w:t>Esta conclusión estaba matizada, no obstante, por algunas cuestiones que presentaban un margen de mejora cualitativo, tanto en materia de publicidad activa (págs. 45-59 y 94 y sigs.) como de acceso a la información (págs.</w:t>
      </w:r>
      <w:r w:rsidR="008B2345" w:rsidRPr="005A6843">
        <w:t xml:space="preserve"> </w:t>
      </w:r>
      <w:r w:rsidRPr="005A6843">
        <w:t>103 a 105). Señaladamente</w:t>
      </w:r>
      <w:r w:rsidR="008F181B" w:rsidRPr="005A6843">
        <w:t xml:space="preserve">, y en lo que aquí interesa, se indicaban algunas debilidades respecto del Portal: </w:t>
      </w:r>
      <w:r w:rsidRPr="005A6843">
        <w:t xml:space="preserve">la simultaneidad de la publicación de la información </w:t>
      </w:r>
      <w:r w:rsidR="0013684F" w:rsidRPr="005A6843">
        <w:t xml:space="preserve">en el mismo y </w:t>
      </w:r>
      <w:r w:rsidRPr="005A6843">
        <w:t xml:space="preserve">en las sedes o </w:t>
      </w:r>
      <w:r w:rsidR="00FC4B2E" w:rsidRPr="00FC4B2E">
        <w:rPr>
          <w:i/>
        </w:rPr>
        <w:t>web</w:t>
      </w:r>
      <w:r w:rsidRPr="005A6843">
        <w:t xml:space="preserve"> </w:t>
      </w:r>
      <w:r w:rsidR="0013684F" w:rsidRPr="005A6843">
        <w:t>ministeriales</w:t>
      </w:r>
      <w:r w:rsidRPr="005A6843">
        <w:t xml:space="preserve">, la abundancia de informaciones </w:t>
      </w:r>
      <w:r w:rsidR="0013684F" w:rsidRPr="005A6843">
        <w:t>“</w:t>
      </w:r>
      <w:r w:rsidRPr="005A6843">
        <w:t>centralizadas</w:t>
      </w:r>
      <w:r w:rsidR="0013684F" w:rsidRPr="005A6843">
        <w:t>”</w:t>
      </w:r>
      <w:r w:rsidRPr="005A6843">
        <w:t xml:space="preserve"> y el nivel de claridad y comprensibilidad de la información.</w:t>
      </w:r>
    </w:p>
    <w:p w:rsidR="0013684F" w:rsidRPr="005A6843" w:rsidRDefault="0013684F" w:rsidP="00AA712B">
      <w:pPr>
        <w:jc w:val="both"/>
      </w:pPr>
      <w:r w:rsidRPr="005A6843">
        <w:t>Para 2016, se trata de repetir la evaluación del Portal pero con algunas diferencias fundamentales.</w:t>
      </w:r>
    </w:p>
    <w:p w:rsidR="004407F4" w:rsidRDefault="0013684F" w:rsidP="00407DE5">
      <w:pPr>
        <w:pStyle w:val="Prrafodelista"/>
        <w:numPr>
          <w:ilvl w:val="0"/>
          <w:numId w:val="3"/>
        </w:numPr>
        <w:spacing w:line="276" w:lineRule="auto"/>
        <w:ind w:left="425"/>
        <w:jc w:val="both"/>
      </w:pPr>
      <w:r w:rsidRPr="005A6843">
        <w:t xml:space="preserve">En primer lugar, y como ya se ha avanzado en las páginas anteriores, en dicho año se ha cerrado definitivamente el diseño de MESTA y se han iniciado los trabajos </w:t>
      </w:r>
      <w:r w:rsidR="008954C0" w:rsidRPr="005A6843">
        <w:t xml:space="preserve">de </w:t>
      </w:r>
      <w:r w:rsidRPr="005A6843">
        <w:t xml:space="preserve">desarrollo e implantación del sistema de información que servirá de soporte a su utilización. En este sentido, se cuenta con una metodología </w:t>
      </w:r>
      <w:r w:rsidR="008954C0" w:rsidRPr="005A6843">
        <w:t xml:space="preserve">y </w:t>
      </w:r>
      <w:r w:rsidR="00B71154" w:rsidRPr="005A6843">
        <w:t>un</w:t>
      </w:r>
      <w:r w:rsidR="0091319F" w:rsidRPr="005A6843">
        <w:t xml:space="preserve"> sistema de indicadores </w:t>
      </w:r>
      <w:r w:rsidR="00B71154" w:rsidRPr="005A6843">
        <w:t>y criterios de valoración d</w:t>
      </w:r>
      <w:r w:rsidR="0091319F" w:rsidRPr="005A6843">
        <w:t xml:space="preserve">iseñados para </w:t>
      </w:r>
      <w:r w:rsidRPr="005A6843">
        <w:t xml:space="preserve">medir el cumplimiento de </w:t>
      </w:r>
      <w:r w:rsidR="008954C0" w:rsidRPr="005A6843">
        <w:t xml:space="preserve">las obligaciones </w:t>
      </w:r>
      <w:r w:rsidR="00DD0D35" w:rsidRPr="005A6843">
        <w:t>q</w:t>
      </w:r>
      <w:r w:rsidR="008954C0" w:rsidRPr="005A6843">
        <w:t>u</w:t>
      </w:r>
      <w:r w:rsidR="00DD0D35" w:rsidRPr="005A6843">
        <w:t>e</w:t>
      </w:r>
      <w:r w:rsidR="00B71154" w:rsidRPr="005A6843">
        <w:t>,</w:t>
      </w:r>
      <w:r w:rsidR="00DD0D35" w:rsidRPr="005A6843">
        <w:t xml:space="preserve"> de acuerdo con la </w:t>
      </w:r>
      <w:r w:rsidR="001D3E3D">
        <w:t>l</w:t>
      </w:r>
      <w:r w:rsidR="001C41A6">
        <w:t>ey</w:t>
      </w:r>
      <w:r w:rsidR="00E768A4">
        <w:t xml:space="preserve"> de transparencia</w:t>
      </w:r>
      <w:r w:rsidR="00B71154" w:rsidRPr="005A6843">
        <w:t>,</w:t>
      </w:r>
      <w:r w:rsidR="008954C0" w:rsidRPr="005A6843">
        <w:t xml:space="preserve"> </w:t>
      </w:r>
      <w:r w:rsidR="00DD0D35" w:rsidRPr="005A6843">
        <w:t xml:space="preserve">debe cumplir la AGE a través del </w:t>
      </w:r>
      <w:r w:rsidRPr="005A6843">
        <w:t xml:space="preserve">Portal y </w:t>
      </w:r>
      <w:r w:rsidR="00193E04" w:rsidRPr="005A6843">
        <w:t xml:space="preserve">la </w:t>
      </w:r>
      <w:r w:rsidR="00B71154" w:rsidRPr="005A6843">
        <w:t xml:space="preserve">forma en que </w:t>
      </w:r>
      <w:r w:rsidR="00D41353" w:rsidRPr="005A6843">
        <w:t xml:space="preserve">en </w:t>
      </w:r>
      <w:r w:rsidR="00B71154" w:rsidRPr="005A6843">
        <w:t xml:space="preserve">dicho cumplimiento se ha ajustado a los principios y requerimientos </w:t>
      </w:r>
      <w:r w:rsidR="00D41353" w:rsidRPr="005A6843">
        <w:t>técnicos establecidos por</w:t>
      </w:r>
      <w:r w:rsidR="0091319F" w:rsidRPr="005A6843">
        <w:t xml:space="preserve"> aquélla, </w:t>
      </w:r>
      <w:r w:rsidR="00D41353" w:rsidRPr="005A6843">
        <w:t xml:space="preserve">siendo posible, </w:t>
      </w:r>
      <w:r w:rsidRPr="005A6843">
        <w:t>en consecuencia</w:t>
      </w:r>
      <w:r w:rsidR="004407F4" w:rsidRPr="005A6843">
        <w:t>,</w:t>
      </w:r>
      <w:r w:rsidRPr="005A6843">
        <w:t xml:space="preserve"> </w:t>
      </w:r>
      <w:r w:rsidR="00D41353" w:rsidRPr="005A6843">
        <w:t xml:space="preserve">establecer coeficientes e </w:t>
      </w:r>
      <w:r w:rsidRPr="005A6843">
        <w:t>índice</w:t>
      </w:r>
      <w:r w:rsidR="00D41353" w:rsidRPr="005A6843">
        <w:t>s</w:t>
      </w:r>
      <w:r w:rsidRPr="005A6843">
        <w:t xml:space="preserve"> de cumplimiento</w:t>
      </w:r>
      <w:r w:rsidR="004407F4" w:rsidRPr="005A6843">
        <w:t>.</w:t>
      </w:r>
    </w:p>
    <w:p w:rsidR="004B7EC4" w:rsidRPr="005A6843" w:rsidRDefault="004B7EC4" w:rsidP="00407DE5">
      <w:pPr>
        <w:pStyle w:val="Prrafodelista"/>
        <w:spacing w:line="276" w:lineRule="auto"/>
        <w:ind w:left="425"/>
        <w:jc w:val="both"/>
      </w:pPr>
    </w:p>
    <w:p w:rsidR="000933DE" w:rsidRDefault="004407F4" w:rsidP="00407DE5">
      <w:pPr>
        <w:pStyle w:val="Prrafodelista"/>
        <w:numPr>
          <w:ilvl w:val="0"/>
          <w:numId w:val="3"/>
        </w:numPr>
        <w:spacing w:line="276" w:lineRule="auto"/>
        <w:ind w:left="425"/>
        <w:jc w:val="both"/>
      </w:pPr>
      <w:r w:rsidRPr="005A6843">
        <w:t>En segundo lugar, aunque d</w:t>
      </w:r>
      <w:r w:rsidR="00D07AFB" w:rsidRPr="005A6843">
        <w:t>urante 2016, la situación de la AGE en materia de transparencia y acceso a la información ha permanecido prácticamente inalterada</w:t>
      </w:r>
      <w:r w:rsidRPr="005A6843">
        <w:t xml:space="preserve"> respecto de </w:t>
      </w:r>
      <w:r w:rsidR="00DD0D35" w:rsidRPr="005A6843">
        <w:t xml:space="preserve">la existente en </w:t>
      </w:r>
      <w:r w:rsidRPr="005A6843">
        <w:t>2015</w:t>
      </w:r>
      <w:r w:rsidR="00D07AFB" w:rsidRPr="005A6843">
        <w:t xml:space="preserve">, en lo referente al Portal </w:t>
      </w:r>
      <w:r w:rsidRPr="005A6843">
        <w:t xml:space="preserve">se ha producido </w:t>
      </w:r>
      <w:r w:rsidR="00D07AFB" w:rsidRPr="005A6843">
        <w:t xml:space="preserve">una clara evolución tanto en volumen de datos como en calidad técnica. </w:t>
      </w:r>
    </w:p>
    <w:p w:rsidR="004B7EC4" w:rsidRDefault="004B7EC4" w:rsidP="004B7EC4">
      <w:pPr>
        <w:pStyle w:val="Prrafodelista"/>
      </w:pPr>
    </w:p>
    <w:p w:rsidR="00D07AFB" w:rsidRDefault="00D07AFB" w:rsidP="00FC4B2E">
      <w:pPr>
        <w:pStyle w:val="Prrafodelista"/>
        <w:numPr>
          <w:ilvl w:val="0"/>
          <w:numId w:val="4"/>
        </w:numPr>
        <w:spacing w:line="276" w:lineRule="auto"/>
        <w:ind w:left="851" w:hanging="425"/>
        <w:jc w:val="both"/>
      </w:pPr>
      <w:r w:rsidRPr="005A6843">
        <w:t xml:space="preserve">En el primer aspecto, y de acuerdo con los </w:t>
      </w:r>
      <w:hyperlink r:id="rId19" w:history="1">
        <w:r w:rsidRPr="0069620D">
          <w:rPr>
            <w:rStyle w:val="Hipervnculo"/>
          </w:rPr>
          <w:t>datos aportados por el propio Portal</w:t>
        </w:r>
      </w:hyperlink>
      <w:r w:rsidRPr="005A6843">
        <w:t xml:space="preserve">, la base de datos del sistema ha experimentado un notable incremento en 2016, pasando de los 1,35 millones de registros con que finalizó el ejercicio 2015 a los 1,55 millones de datos que incorporaba a  31 diciembre de 2016 (en </w:t>
      </w:r>
      <w:r w:rsidR="00DE6E60" w:rsidRPr="005A6843">
        <w:t xml:space="preserve">la </w:t>
      </w:r>
      <w:r w:rsidRPr="005A6843">
        <w:t>actual</w:t>
      </w:r>
      <w:r w:rsidR="00DE6E60" w:rsidRPr="005A6843">
        <w:t>idad</w:t>
      </w:r>
      <w:r w:rsidRPr="005A6843">
        <w:t xml:space="preserve">, </w:t>
      </w:r>
      <w:r w:rsidR="00DE6E60" w:rsidRPr="005A6843">
        <w:t xml:space="preserve">con datos </w:t>
      </w:r>
      <w:r w:rsidRPr="005A6843">
        <w:t xml:space="preserve">a 30 de abril de 2017, incorpora ya 1.573.429 </w:t>
      </w:r>
      <w:hyperlink r:id="rId20" w:history="1">
        <w:r w:rsidR="0069620D" w:rsidRPr="0069620D">
          <w:rPr>
            <w:rStyle w:val="Hipervnculo"/>
          </w:rPr>
          <w:t>registros de dat</w:t>
        </w:r>
        <w:r w:rsidR="00431C0D" w:rsidRPr="0069620D">
          <w:rPr>
            <w:rStyle w:val="Hipervnculo"/>
          </w:rPr>
          <w:t>os</w:t>
        </w:r>
      </w:hyperlink>
      <w:r w:rsidRPr="005A6843">
        <w:t>.</w:t>
      </w:r>
      <w:r w:rsidR="00FC372D" w:rsidRPr="005A6843">
        <w:t xml:space="preserve"> </w:t>
      </w:r>
      <w:r w:rsidR="00DE6E60" w:rsidRPr="005A6843">
        <w:t xml:space="preserve">Muchos de los nuevos contenidos del Portal corresponden a información que los responsables del Portal consideran </w:t>
      </w:r>
      <w:r w:rsidR="00DE6E60" w:rsidRPr="00FC4B2E">
        <w:rPr>
          <w:i/>
        </w:rPr>
        <w:t>“de conocimiento relevante”</w:t>
      </w:r>
      <w:r w:rsidR="00DE6E60" w:rsidRPr="005A6843">
        <w:t xml:space="preserve"> a los efectos del art. 5 de la </w:t>
      </w:r>
      <w:r w:rsidR="001D3E3D">
        <w:t>l</w:t>
      </w:r>
      <w:r w:rsidR="001C41A6">
        <w:t>ey</w:t>
      </w:r>
      <w:r w:rsidR="00E768A4">
        <w:t xml:space="preserve"> de transparencia</w:t>
      </w:r>
      <w:r w:rsidR="00DE6E60" w:rsidRPr="005A6843">
        <w:t>.</w:t>
      </w:r>
    </w:p>
    <w:p w:rsidR="004B7EC4" w:rsidRPr="005A6843" w:rsidRDefault="004B7EC4" w:rsidP="00FC4B2E">
      <w:pPr>
        <w:pStyle w:val="Prrafodelista"/>
        <w:spacing w:line="276" w:lineRule="auto"/>
        <w:ind w:left="851"/>
        <w:jc w:val="both"/>
      </w:pPr>
    </w:p>
    <w:p w:rsidR="00D07AFB" w:rsidRDefault="00D07AFB" w:rsidP="00FC4B2E">
      <w:pPr>
        <w:pStyle w:val="Prrafodelista"/>
        <w:numPr>
          <w:ilvl w:val="0"/>
          <w:numId w:val="4"/>
        </w:numPr>
        <w:spacing w:line="276" w:lineRule="auto"/>
        <w:ind w:left="851"/>
        <w:jc w:val="both"/>
      </w:pPr>
      <w:r w:rsidRPr="005A6843">
        <w:t xml:space="preserve">En el segundo, </w:t>
      </w:r>
      <w:r w:rsidR="004407F4" w:rsidRPr="005A6843">
        <w:t xml:space="preserve">el Portal </w:t>
      </w:r>
      <w:r w:rsidRPr="005A6843">
        <w:t xml:space="preserve">ha incorporado nuevas funcionalidades -como p.ej. un boletín estadístico mensual y una guía de navegación- y ha introducido diversas mejoras técnicas para más “amigable” la navegación, incorporando </w:t>
      </w:r>
      <w:r w:rsidR="004407F4" w:rsidRPr="005A6843">
        <w:t>cambios de diseño</w:t>
      </w:r>
      <w:r w:rsidRPr="005A6843">
        <w:t>, material gráfico y textos introductorios o explicativos en los inicios de sus distintas páginas o apartados. Muchas de estas mejoras responden a sugerencias realizadas por este CTBG en la Memoria 2015 u otros documentos.</w:t>
      </w:r>
    </w:p>
    <w:p w:rsidR="004B7EC4" w:rsidRDefault="004B7EC4" w:rsidP="004B7EC4">
      <w:pPr>
        <w:pStyle w:val="Prrafodelista"/>
      </w:pPr>
    </w:p>
    <w:p w:rsidR="0078565A" w:rsidRDefault="004407F4" w:rsidP="00AA712B">
      <w:pPr>
        <w:jc w:val="both"/>
      </w:pPr>
      <w:r w:rsidRPr="005A6843">
        <w:t xml:space="preserve">De esta manera, la presente evaluación </w:t>
      </w:r>
      <w:r w:rsidR="00F73B5E" w:rsidRPr="005A6843">
        <w:t xml:space="preserve">supone una continuación y, a la vez, una superación de la efectuada en 2015 en la medida en que </w:t>
      </w:r>
      <w:r w:rsidR="00FC372D" w:rsidRPr="005A6843">
        <w:t xml:space="preserve">tiene por objeto la versión 2016 del Portal AGE </w:t>
      </w:r>
      <w:r w:rsidR="008744AB" w:rsidRPr="005A6843">
        <w:t>y</w:t>
      </w:r>
      <w:r w:rsidR="00F73B5E" w:rsidRPr="005A6843">
        <w:t xml:space="preserve"> </w:t>
      </w:r>
      <w:r w:rsidR="008744AB" w:rsidRPr="005A6843">
        <w:t xml:space="preserve">en </w:t>
      </w:r>
      <w:r w:rsidR="00F73B5E" w:rsidRPr="005A6843">
        <w:t xml:space="preserve">que contiene, al igual que la realizada por </w:t>
      </w:r>
      <w:r w:rsidR="008744AB" w:rsidRPr="005A6843">
        <w:t xml:space="preserve">este CTBG </w:t>
      </w:r>
      <w:r w:rsidR="00F73B5E" w:rsidRPr="005A6843">
        <w:t xml:space="preserve">respecto del cumplimiento de la </w:t>
      </w:r>
      <w:r w:rsidR="001D3E3D">
        <w:t>l</w:t>
      </w:r>
      <w:r w:rsidR="001C41A6">
        <w:t>ey</w:t>
      </w:r>
      <w:r w:rsidR="00E768A4">
        <w:t xml:space="preserve"> de transparencia</w:t>
      </w:r>
      <w:r w:rsidR="00F73B5E" w:rsidRPr="005A6843">
        <w:t xml:space="preserve"> por </w:t>
      </w:r>
      <w:r w:rsidR="008744AB" w:rsidRPr="005A6843">
        <w:t xml:space="preserve">los órganos constitucionales y los entes reguladores, </w:t>
      </w:r>
      <w:r w:rsidR="00C26648" w:rsidRPr="005A6843">
        <w:t xml:space="preserve">una </w:t>
      </w:r>
      <w:r w:rsidR="000F0063" w:rsidRPr="005A6843">
        <w:t xml:space="preserve">medición </w:t>
      </w:r>
      <w:r w:rsidR="00C26648" w:rsidRPr="005A6843">
        <w:t xml:space="preserve">concreta del cumplimiento de aquélla por los responsables del Portal y </w:t>
      </w:r>
      <w:r w:rsidR="000F0063" w:rsidRPr="005A6843">
        <w:t>los</w:t>
      </w:r>
      <w:r w:rsidR="00C26648" w:rsidRPr="005A6843">
        <w:t xml:space="preserve"> distintos Ministerios </w:t>
      </w:r>
      <w:r w:rsidR="000F0063" w:rsidRPr="005A6843">
        <w:t xml:space="preserve">y </w:t>
      </w:r>
      <w:r w:rsidR="00EA605C" w:rsidRPr="005A6843">
        <w:t>una fijación exacta de los índices correspondientes</w:t>
      </w:r>
      <w:r w:rsidR="0078565A">
        <w:t>.</w:t>
      </w:r>
    </w:p>
    <w:p w:rsidR="0078565A" w:rsidRDefault="0078565A">
      <w:r>
        <w:br w:type="page"/>
      </w:r>
    </w:p>
    <w:p w:rsidR="002D145E" w:rsidRPr="005A6843" w:rsidRDefault="00DF0E4B" w:rsidP="002420B8">
      <w:pPr>
        <w:pStyle w:val="Ttulo2"/>
      </w:pPr>
      <w:bookmarkStart w:id="25" w:name="_Toc489351984"/>
      <w:bookmarkStart w:id="26" w:name="_Toc498345364"/>
      <w:bookmarkStart w:id="27" w:name="_Toc500414716"/>
      <w:bookmarkStart w:id="28" w:name="_Toc500416449"/>
      <w:bookmarkStart w:id="29" w:name="_Toc500416507"/>
      <w:r>
        <w:rPr>
          <w:noProof/>
          <w:lang w:eastAsia="es-ES"/>
        </w:rPr>
        <w:pict>
          <v:shapetype id="_x0000_t202" coordsize="21600,21600" o:spt="202" path="m,l,21600r21600,l21600,xe">
            <v:stroke joinstyle="miter"/>
            <v:path gradientshapeok="t" o:connecttype="rect"/>
          </v:shapetype>
          <v:shape id="Cuadro de texto 2" o:spid="_x0000_s1027" type="#_x0000_t202" style="position:absolute;left:0;text-align:left;margin-left:57.45pt;margin-top:124.65pt;width:209.55pt;height:145.5pt;z-index:25176268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" o:allowincell="f" fillcolor="#080e17 [487]" strokecolor="#39639d [3207]">
            <v:fill color2="#3d69a7 [3063]" rotate="t" angle="180" colors="0 #002252;.5 #0c3f86;45875f #1d4f98;1 #3c6bba" focus="100%" type="gradient">
              <o:fill v:ext="view" type="gradientUnscaled"/>
            </v:fill>
            <v:shadow on="t" color="black" opacity="22937f" origin=",.5" offset="0,3pt"/>
            <v:textbox inset="10.8pt,7.2pt,10.8pt,7.2pt">
              <w:txbxContent>
                <w:p w:rsidR="005A7AEE" w:rsidRPr="005933F2" w:rsidRDefault="005A7AEE" w:rsidP="005933F2">
                  <w:pPr>
                    <w:spacing w:after="0" w:line="360" w:lineRule="auto"/>
                    <w:rPr>
                      <w:rFonts w:ascii="Arial Narrow" w:eastAsiaTheme="majorEastAsia" w:hAnsi="Arial Narrow" w:cstheme="majorBidi"/>
                      <w:b/>
                      <w:iCs/>
                      <w:szCs w:val="24"/>
                    </w:rPr>
                  </w:pPr>
                  <w:r w:rsidRPr="005933F2">
                    <w:rPr>
                      <w:rFonts w:ascii="Arial Narrow" w:eastAsiaTheme="majorEastAsia" w:hAnsi="Arial Narrow" w:cstheme="majorBidi"/>
                      <w:b/>
                      <w:iCs/>
                      <w:szCs w:val="24"/>
                    </w:rPr>
                    <w:t>PRINCIPIOS METODOLÓGICOS</w:t>
                  </w:r>
                </w:p>
                <w:p w:rsidR="005A7AEE" w:rsidRPr="005933F2" w:rsidRDefault="005A7AEE" w:rsidP="005933F2">
                  <w:pPr>
                    <w:pStyle w:val="Prrafodelista"/>
                    <w:numPr>
                      <w:ilvl w:val="0"/>
                      <w:numId w:val="62"/>
                    </w:numPr>
                    <w:spacing w:line="360" w:lineRule="auto"/>
                    <w:rPr>
                      <w:rFonts w:ascii="Arial Narrow" w:eastAsiaTheme="majorEastAsia" w:hAnsi="Arial Narrow" w:cstheme="majorBidi"/>
                      <w:b/>
                      <w:iCs/>
                      <w:szCs w:val="24"/>
                    </w:rPr>
                  </w:pPr>
                  <w:r w:rsidRPr="005933F2">
                    <w:rPr>
                      <w:rFonts w:ascii="Arial Narrow" w:eastAsiaTheme="majorEastAsia" w:hAnsi="Arial Narrow" w:cstheme="majorBidi"/>
                      <w:b/>
                      <w:iCs/>
                      <w:szCs w:val="24"/>
                    </w:rPr>
                    <w:t>Cronograma</w:t>
                  </w:r>
                </w:p>
                <w:p w:rsidR="005A7AEE" w:rsidRPr="005933F2" w:rsidRDefault="005A7AEE" w:rsidP="005933F2">
                  <w:pPr>
                    <w:pStyle w:val="Prrafodelista"/>
                    <w:numPr>
                      <w:ilvl w:val="0"/>
                      <w:numId w:val="62"/>
                    </w:numPr>
                    <w:spacing w:line="360" w:lineRule="auto"/>
                    <w:rPr>
                      <w:rFonts w:ascii="Arial Narrow" w:eastAsiaTheme="majorEastAsia" w:hAnsi="Arial Narrow" w:cstheme="majorBidi"/>
                      <w:b/>
                      <w:iCs/>
                      <w:szCs w:val="24"/>
                    </w:rPr>
                  </w:pPr>
                  <w:r w:rsidRPr="005933F2">
                    <w:rPr>
                      <w:rFonts w:ascii="Arial Narrow" w:eastAsiaTheme="majorEastAsia" w:hAnsi="Arial Narrow" w:cstheme="majorBidi"/>
                      <w:b/>
                      <w:iCs/>
                      <w:szCs w:val="24"/>
                    </w:rPr>
                    <w:t>Información globalizada</w:t>
                  </w:r>
                </w:p>
                <w:p w:rsidR="005A7AEE" w:rsidRPr="005933F2" w:rsidRDefault="005A7AEE" w:rsidP="005933F2">
                  <w:pPr>
                    <w:pStyle w:val="Prrafodelista"/>
                    <w:numPr>
                      <w:ilvl w:val="0"/>
                      <w:numId w:val="62"/>
                    </w:numPr>
                    <w:spacing w:line="360" w:lineRule="auto"/>
                    <w:rPr>
                      <w:rFonts w:ascii="Arial Narrow" w:eastAsiaTheme="majorEastAsia" w:hAnsi="Arial Narrow" w:cstheme="majorBidi"/>
                      <w:b/>
                      <w:iCs/>
                      <w:szCs w:val="24"/>
                    </w:rPr>
                  </w:pPr>
                  <w:r w:rsidRPr="005933F2">
                    <w:rPr>
                      <w:rFonts w:ascii="Arial Narrow" w:eastAsiaTheme="majorEastAsia" w:hAnsi="Arial Narrow" w:cstheme="majorBidi"/>
                      <w:b/>
                      <w:iCs/>
                      <w:szCs w:val="24"/>
                    </w:rPr>
                    <w:t>Mediciones de cumplimiento</w:t>
                  </w:r>
                </w:p>
                <w:p w:rsidR="005A7AEE" w:rsidRPr="005933F2" w:rsidRDefault="005A7AEE" w:rsidP="005933F2">
                  <w:pPr>
                    <w:pStyle w:val="Prrafodelista"/>
                    <w:numPr>
                      <w:ilvl w:val="0"/>
                      <w:numId w:val="62"/>
                    </w:numPr>
                    <w:spacing w:line="360" w:lineRule="auto"/>
                    <w:rPr>
                      <w:rFonts w:ascii="Arial Narrow" w:eastAsiaTheme="majorEastAsia" w:hAnsi="Arial Narrow" w:cstheme="majorBidi"/>
                      <w:b/>
                      <w:iCs/>
                      <w:szCs w:val="24"/>
                    </w:rPr>
                  </w:pPr>
                  <w:r w:rsidRPr="005933F2">
                    <w:rPr>
                      <w:rFonts w:ascii="Arial Narrow" w:eastAsiaTheme="majorEastAsia" w:hAnsi="Arial Narrow" w:cstheme="majorBidi"/>
                      <w:b/>
                      <w:iCs/>
                      <w:szCs w:val="24"/>
                    </w:rPr>
                    <w:t>Cumplimientos</w:t>
                  </w:r>
                </w:p>
                <w:p w:rsidR="005A7AEE" w:rsidRPr="005933F2" w:rsidRDefault="005A7AEE" w:rsidP="005933F2">
                  <w:pPr>
                    <w:pStyle w:val="Prrafodelista"/>
                    <w:numPr>
                      <w:ilvl w:val="0"/>
                      <w:numId w:val="62"/>
                    </w:numPr>
                    <w:spacing w:line="360" w:lineRule="auto"/>
                    <w:rPr>
                      <w:rFonts w:ascii="Arial Narrow" w:eastAsiaTheme="majorEastAsia" w:hAnsi="Arial Narrow" w:cstheme="majorBidi"/>
                      <w:b/>
                      <w:iCs/>
                      <w:szCs w:val="24"/>
                    </w:rPr>
                  </w:pPr>
                  <w:r w:rsidRPr="005933F2">
                    <w:rPr>
                      <w:rFonts w:ascii="Arial Narrow" w:eastAsiaTheme="majorEastAsia" w:hAnsi="Arial Narrow" w:cstheme="majorBidi"/>
                      <w:b/>
                      <w:iCs/>
                      <w:szCs w:val="24"/>
                    </w:rPr>
                    <w:t>Acceso a la información</w:t>
                  </w:r>
                </w:p>
              </w:txbxContent>
            </v:textbox>
            <w10:wrap type="square" anchorx="page" anchory="page"/>
          </v:shape>
        </w:pict>
      </w:r>
      <w:bookmarkStart w:id="30" w:name="_Toc501110659"/>
      <w:r w:rsidR="006935B4" w:rsidRPr="005A6843">
        <w:t>Principios metodológicos</w:t>
      </w:r>
      <w:bookmarkEnd w:id="25"/>
      <w:bookmarkEnd w:id="26"/>
      <w:bookmarkEnd w:id="27"/>
      <w:bookmarkEnd w:id="28"/>
      <w:bookmarkEnd w:id="29"/>
      <w:bookmarkEnd w:id="30"/>
    </w:p>
    <w:p w:rsidR="004E5EA3" w:rsidRPr="005A6843" w:rsidRDefault="004E5EA3" w:rsidP="00AA712B">
      <w:pPr>
        <w:jc w:val="both"/>
      </w:pPr>
      <w:r w:rsidRPr="005A6843">
        <w:t xml:space="preserve">La aplicación de MESTA a la evaluación del cumplimiento </w:t>
      </w:r>
      <w:r w:rsidR="00DF1B57" w:rsidRPr="005A6843">
        <w:t xml:space="preserve">en el ejercicio 2016 </w:t>
      </w:r>
      <w:r w:rsidRPr="005A6843">
        <w:t xml:space="preserve">de </w:t>
      </w:r>
      <w:r w:rsidR="00DF1B57" w:rsidRPr="005A6843">
        <w:t xml:space="preserve">las  </w:t>
      </w:r>
      <w:r w:rsidRPr="005A6843">
        <w:t xml:space="preserve">obligaciones </w:t>
      </w:r>
      <w:r w:rsidR="00DF1B57" w:rsidRPr="005A6843">
        <w:t xml:space="preserve">de la AGE </w:t>
      </w:r>
      <w:r w:rsidR="00876E32" w:rsidRPr="005A6843">
        <w:t>en relación con el Portal de la T</w:t>
      </w:r>
      <w:r w:rsidRPr="005A6843">
        <w:t xml:space="preserve">ransparencia </w:t>
      </w:r>
      <w:r w:rsidR="00DF1B57" w:rsidRPr="005A6843">
        <w:t>s</w:t>
      </w:r>
      <w:r w:rsidR="00876E32" w:rsidRPr="005A6843">
        <w:t xml:space="preserve">e </w:t>
      </w:r>
      <w:r w:rsidRPr="005A6843">
        <w:t xml:space="preserve">ha </w:t>
      </w:r>
      <w:r w:rsidR="00DF1B57" w:rsidRPr="005A6843">
        <w:t xml:space="preserve">realizado en base </w:t>
      </w:r>
      <w:r w:rsidR="00876E32" w:rsidRPr="005A6843">
        <w:t xml:space="preserve">a </w:t>
      </w:r>
      <w:r w:rsidRPr="005A6843">
        <w:t>los siguientes p</w:t>
      </w:r>
      <w:r w:rsidR="006935B4" w:rsidRPr="005A6843">
        <w:t>rincipios</w:t>
      </w:r>
      <w:r w:rsidRPr="005A6843">
        <w:t>:</w:t>
      </w:r>
    </w:p>
    <w:p w:rsidR="002420B8" w:rsidRDefault="002420B8" w:rsidP="002420B8">
      <w:bookmarkStart w:id="31" w:name="_Toc489351985"/>
      <w:bookmarkStart w:id="32" w:name="_Toc498345365"/>
      <w:bookmarkStart w:id="33" w:name="_Toc500414717"/>
      <w:bookmarkStart w:id="34" w:name="_Toc500416450"/>
      <w:bookmarkStart w:id="35" w:name="_Toc500416508"/>
    </w:p>
    <w:p w:rsidR="00FC1022" w:rsidRPr="005A6843" w:rsidRDefault="00FC1022" w:rsidP="002420B8">
      <w:pPr>
        <w:pStyle w:val="Ttulo3"/>
      </w:pPr>
      <w:bookmarkStart w:id="36" w:name="_Toc501110660"/>
      <w:r w:rsidRPr="005A6843">
        <w:t>Crono</w:t>
      </w:r>
      <w:r w:rsidR="006246C8" w:rsidRPr="005A6843">
        <w:t>grama</w:t>
      </w:r>
      <w:bookmarkEnd w:id="31"/>
      <w:bookmarkEnd w:id="32"/>
      <w:bookmarkEnd w:id="33"/>
      <w:bookmarkEnd w:id="34"/>
      <w:bookmarkEnd w:id="35"/>
      <w:bookmarkEnd w:id="36"/>
    </w:p>
    <w:p w:rsidR="00492A15" w:rsidRPr="005A6843" w:rsidRDefault="004050DC" w:rsidP="00AA712B">
      <w:pPr>
        <w:jc w:val="both"/>
      </w:pPr>
      <w:r w:rsidRPr="005A6843">
        <w:t>Como se ha indicado, la evaluación contenida en el presente documento está destinada a ser incluida en la Memoria de Actividades de este CTBG para 2016 y debe recoger</w:t>
      </w:r>
      <w:r w:rsidR="00492A15" w:rsidRPr="005A6843">
        <w:t xml:space="preserve">, en consecuencia, </w:t>
      </w:r>
      <w:r w:rsidRPr="005A6843">
        <w:t xml:space="preserve">la situación del Portal AGE desde la perspectiva del cumplimiento de la </w:t>
      </w:r>
      <w:r w:rsidR="001D3E3D">
        <w:t>l</w:t>
      </w:r>
      <w:r w:rsidR="001C41A6">
        <w:t>ey</w:t>
      </w:r>
      <w:r w:rsidR="00E768A4">
        <w:t xml:space="preserve"> de transparencia</w:t>
      </w:r>
      <w:r w:rsidRPr="005A6843">
        <w:t xml:space="preserve"> a 31 de diciembre de 2016</w:t>
      </w:r>
      <w:r w:rsidR="00492A15" w:rsidRPr="005A6843">
        <w:t>.</w:t>
      </w:r>
    </w:p>
    <w:p w:rsidR="00CE43D0" w:rsidRPr="005A6843" w:rsidRDefault="00492A15" w:rsidP="00AA712B">
      <w:pPr>
        <w:jc w:val="both"/>
      </w:pPr>
      <w:r w:rsidRPr="005A6843">
        <w:t>E</w:t>
      </w:r>
      <w:r w:rsidR="00C53059" w:rsidRPr="005A6843">
        <w:t xml:space="preserve">n este sentido, </w:t>
      </w:r>
      <w:r w:rsidR="00651C21" w:rsidRPr="005A6843">
        <w:t xml:space="preserve">y teniendo en cuenta que la realización de la evaluación implica un cierto período de tiempo, el cumplimiento de estas directrices metodológicas sitúa el final de la evaluación y la redacción de la Memoria en el segundo trimestre de 2017. Es obvio que para cubrir el cumplimiento de la </w:t>
      </w:r>
      <w:r w:rsidR="001D3E3D">
        <w:t>l</w:t>
      </w:r>
      <w:r w:rsidR="001C41A6">
        <w:t>ey</w:t>
      </w:r>
      <w:r w:rsidR="00651C21" w:rsidRPr="005A6843">
        <w:t xml:space="preserve"> durante el ejercicio 2016 los datos de partida han de corresponder exactamente a 31 de diciembre de dicho año y que no pueden anticiparse con anterioridad a esta fecha. Por lo tanto, las tareas de relevamiento de los datos no pueden iniciarse antes de enero de 2017. Como </w:t>
      </w:r>
      <w:r w:rsidR="00FC1022" w:rsidRPr="005A6843">
        <w:t xml:space="preserve">tampoco </w:t>
      </w:r>
      <w:r w:rsidR="00CE43D0" w:rsidRPr="005A6843">
        <w:t xml:space="preserve">es posible iniciar </w:t>
      </w:r>
      <w:r w:rsidR="00651C21" w:rsidRPr="005A6843">
        <w:t xml:space="preserve">las tareas de medición </w:t>
      </w:r>
      <w:r w:rsidR="00FC1022" w:rsidRPr="005A6843">
        <w:t>y aplicación de indicadores y criterios de valoración</w:t>
      </w:r>
      <w:r w:rsidR="00651C21" w:rsidRPr="005A6843">
        <w:t xml:space="preserve"> </w:t>
      </w:r>
      <w:r w:rsidR="00FC1022" w:rsidRPr="005A6843">
        <w:t xml:space="preserve">hasta que se cuenta con los datos de partida, en una aproximación realista </w:t>
      </w:r>
      <w:r w:rsidR="00CE43D0" w:rsidRPr="005A6843">
        <w:t xml:space="preserve">parece lógico situar la conclusión de </w:t>
      </w:r>
      <w:r w:rsidR="00FC1022" w:rsidRPr="005A6843">
        <w:t xml:space="preserve">la evaluación y </w:t>
      </w:r>
      <w:r w:rsidR="00CE43D0" w:rsidRPr="005A6843">
        <w:t>d</w:t>
      </w:r>
      <w:r w:rsidR="00FC1022" w:rsidRPr="005A6843">
        <w:t xml:space="preserve">el informe correspondiente </w:t>
      </w:r>
      <w:r w:rsidR="00CE43D0" w:rsidRPr="005A6843">
        <w:t xml:space="preserve">en las últimas fechas </w:t>
      </w:r>
      <w:r w:rsidR="00FC1022" w:rsidRPr="005A6843">
        <w:t>del primer trimestre de</w:t>
      </w:r>
      <w:r w:rsidR="00CE43D0" w:rsidRPr="005A6843">
        <w:t>l año.</w:t>
      </w:r>
    </w:p>
    <w:p w:rsidR="00CE43D0" w:rsidRPr="005A6843" w:rsidRDefault="00CE43D0" w:rsidP="00AA712B">
      <w:pPr>
        <w:jc w:val="both"/>
      </w:pPr>
      <w:r w:rsidRPr="005A6843">
        <w:t xml:space="preserve">En el caso concreto de esta evaluación, hay que tener en cuenta, además, una doble circunstancia: la limitación de los medios personales y materiales del CTBG y </w:t>
      </w:r>
      <w:r w:rsidR="00FC1022" w:rsidRPr="005A6843">
        <w:t>la</w:t>
      </w:r>
      <w:r w:rsidRPr="005A6843">
        <w:t xml:space="preserve"> no disponibilidad del aplicativo informático que soportará el uso de MESTA una vez que el sistema de información propio de ésta se encuentre en pleno funcionamiento. Así, la evaluación y el informe no han podido concluirse en la práctica hasta fechas muy avanzadas del segundo trimestre de 2017.</w:t>
      </w:r>
    </w:p>
    <w:p w:rsidR="00E50294" w:rsidRPr="005A6843" w:rsidRDefault="008C0F4A" w:rsidP="00AA712B">
      <w:pPr>
        <w:jc w:val="both"/>
      </w:pPr>
      <w:r w:rsidRPr="005A6843">
        <w:t>H</w:t>
      </w:r>
      <w:r w:rsidR="00E50294" w:rsidRPr="005A6843">
        <w:t xml:space="preserve">ay que destacar también en este apartado una circunstancia de interés metodológico, relacionada con la evolución </w:t>
      </w:r>
      <w:r w:rsidR="006246C8" w:rsidRPr="005A6843">
        <w:t>permanente</w:t>
      </w:r>
      <w:r w:rsidR="00E50294" w:rsidRPr="005A6843">
        <w:t xml:space="preserve"> del Portal de Transparencia. Como la práctica totalidad de los sistemas informáticos, el Portal AGE se desarrolla en función de su uso, detectando factores de mejora a medida que va recibiendo visitas y sugerencias de funcionamiento y evolucionando permanentemente para introducir estas mejoras y cualquier nuevo desarrollo técnico que pueda incrementar sus funcionalidades. Por eso, los datos de cumplimiento del Portal se han tenido que ir actualizando a lo largo de la evaluación, prácticamente hasta el último día, y las mediciones iniciales se han debido ir rectificando hasta el momento de cierre de los trabajos.</w:t>
      </w:r>
    </w:p>
    <w:p w:rsidR="006935B4" w:rsidRPr="005A6843" w:rsidRDefault="00834C5B" w:rsidP="002420B8">
      <w:pPr>
        <w:pStyle w:val="Ttulo3"/>
      </w:pPr>
      <w:bookmarkStart w:id="37" w:name="_Toc489351986"/>
      <w:bookmarkStart w:id="38" w:name="_Toc498345366"/>
      <w:bookmarkStart w:id="39" w:name="_Toc500414718"/>
      <w:bookmarkStart w:id="40" w:name="_Toc500416451"/>
      <w:bookmarkStart w:id="41" w:name="_Toc500416509"/>
      <w:bookmarkStart w:id="42" w:name="_Toc501110661"/>
      <w:r w:rsidRPr="005A6843">
        <w:t>Información “globalizada” e información “departamentalizada”</w:t>
      </w:r>
      <w:bookmarkEnd w:id="37"/>
      <w:bookmarkEnd w:id="38"/>
      <w:bookmarkEnd w:id="39"/>
      <w:bookmarkEnd w:id="40"/>
      <w:bookmarkEnd w:id="41"/>
      <w:bookmarkEnd w:id="42"/>
    </w:p>
    <w:p w:rsidR="006246C8" w:rsidRPr="005A6843" w:rsidRDefault="00DF0E4B" w:rsidP="00AA712B">
      <w:pPr>
        <w:jc w:val="both"/>
      </w:pPr>
      <w:r>
        <w:rPr>
          <w:noProof/>
          <w:lang w:eastAsia="es-ES"/>
        </w:rPr>
        <w:pict>
          <v:shape id="Text Box 6" o:spid="_x0000_s1028" type="#_x0000_t202" style="position:absolute;left:0;text-align:left;margin-left:6.65pt;margin-top:3.35pt;width:251.4pt;height:105.5pt;z-index:-251547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" fillcolor="#918348" strokecolor="#763945 [3049]">
            <v:fill color2="#c1ae5f" rotate="t" angle="180" colors="0 #918348;52429f #beac61;1 #c1ae5f" focus="100%" type="gradient">
              <o:fill v:ext="view" type="gradientUnscaled"/>
            </v:fill>
            <v:shadow on="t" color="black" opacity="22936f" origin=",.5" offset="0,.63889mm"/>
            <v:textbox>
              <w:txbxContent>
                <w:p w:rsidR="005A7AEE" w:rsidRPr="000933DE" w:rsidRDefault="005A7AEE" w:rsidP="000933DE">
                  <w:pPr>
                    <w:jc w:val="both"/>
                    <w:rPr>
                      <w:rFonts w:ascii="Arial Narrow" w:hAnsi="Arial Narrow"/>
                      <w:b/>
                    </w:rPr>
                  </w:pPr>
                  <w:r w:rsidRPr="000933DE">
                    <w:rPr>
                      <w:rFonts w:ascii="Arial Narrow" w:hAnsi="Arial Narrow"/>
                      <w:b/>
                    </w:rPr>
                    <w:t xml:space="preserve">La unidad de análisis empleada en la evaluación es la información publicada en el Portal AGE, tanto en concepto de información obligatoria de los arts. 6 a 8 de la </w:t>
                  </w:r>
                  <w:r>
                    <w:rPr>
                      <w:rFonts w:ascii="Arial Narrow" w:hAnsi="Arial Narrow"/>
                      <w:b/>
                    </w:rPr>
                    <w:t>Ley de transparencia</w:t>
                  </w:r>
                  <w:r w:rsidRPr="000933DE">
                    <w:rPr>
                      <w:rFonts w:ascii="Arial Narrow" w:hAnsi="Arial Narrow"/>
                      <w:b/>
                    </w:rPr>
                    <w:t xml:space="preserve"> como de información de relevancia del art. 5.</w:t>
                  </w:r>
                </w:p>
              </w:txbxContent>
            </v:textbox>
            <w10:wrap type="square"/>
          </v:shape>
        </w:pict>
      </w:r>
      <w:r w:rsidR="00290D3C" w:rsidRPr="005A6843">
        <w:t>A este efecto</w:t>
      </w:r>
      <w:r w:rsidR="00292CA0" w:rsidRPr="005A6843">
        <w:t xml:space="preserve"> -</w:t>
      </w:r>
      <w:r w:rsidR="00290D3C" w:rsidRPr="005A6843">
        <w:t xml:space="preserve">y sin perjuicio de que </w:t>
      </w:r>
      <w:r w:rsidR="00E36086" w:rsidRPr="005A6843">
        <w:t xml:space="preserve">esta misma cuestión se analice detalladamente </w:t>
      </w:r>
      <w:r w:rsidR="00290D3C" w:rsidRPr="005A6843">
        <w:t xml:space="preserve">en el </w:t>
      </w:r>
      <w:r w:rsidR="00E50294" w:rsidRPr="005A6843">
        <w:t xml:space="preserve">cuerpo </w:t>
      </w:r>
      <w:r w:rsidR="00290D3C" w:rsidRPr="005A6843">
        <w:t>de este informe</w:t>
      </w:r>
      <w:r w:rsidR="00292CA0" w:rsidRPr="005A6843">
        <w:t>-</w:t>
      </w:r>
      <w:r w:rsidR="00290D3C" w:rsidRPr="005A6843">
        <w:t xml:space="preserve"> hay que tener en cuenta que la información publicada en el Portal se organiza según dos esquemas o modelos diferentes: </w:t>
      </w:r>
    </w:p>
    <w:p w:rsidR="006246C8" w:rsidRDefault="00E36086" w:rsidP="00FC4B2E">
      <w:pPr>
        <w:pStyle w:val="Prrafodelista"/>
        <w:numPr>
          <w:ilvl w:val="0"/>
          <w:numId w:val="16"/>
        </w:numPr>
        <w:spacing w:line="276" w:lineRule="auto"/>
        <w:ind w:left="714" w:hanging="357"/>
        <w:jc w:val="both"/>
      </w:pPr>
      <w:r w:rsidRPr="005A6843">
        <w:t>U</w:t>
      </w:r>
      <w:r w:rsidR="00290D3C" w:rsidRPr="005A6843">
        <w:t xml:space="preserve">n modelo "departamentalizado", en que los datos e informaciones se presentan agrupadas por Departamentos ministeriales, y </w:t>
      </w:r>
    </w:p>
    <w:p w:rsidR="00FC4B2E" w:rsidRPr="005A6843" w:rsidRDefault="00FC4B2E" w:rsidP="00FC4B2E">
      <w:pPr>
        <w:pStyle w:val="Prrafodelista"/>
        <w:spacing w:line="276" w:lineRule="auto"/>
        <w:ind w:left="714"/>
        <w:jc w:val="both"/>
      </w:pPr>
    </w:p>
    <w:p w:rsidR="006246C8" w:rsidRDefault="00E36086" w:rsidP="00FC4B2E">
      <w:pPr>
        <w:pStyle w:val="Prrafodelista"/>
        <w:numPr>
          <w:ilvl w:val="0"/>
          <w:numId w:val="16"/>
        </w:numPr>
        <w:spacing w:line="276" w:lineRule="auto"/>
        <w:ind w:left="714" w:hanging="357"/>
        <w:jc w:val="both"/>
      </w:pPr>
      <w:r w:rsidRPr="005A6843">
        <w:t>U</w:t>
      </w:r>
      <w:r w:rsidR="00290D3C" w:rsidRPr="005A6843">
        <w:t xml:space="preserve">n modelo "globalizado", en que la información se presenta de forma agregada. </w:t>
      </w:r>
    </w:p>
    <w:p w:rsidR="001C6355" w:rsidRPr="005A6843" w:rsidRDefault="001C6355" w:rsidP="001C6355">
      <w:pPr>
        <w:pStyle w:val="Prrafodelista"/>
        <w:jc w:val="both"/>
      </w:pPr>
    </w:p>
    <w:p w:rsidR="00292CA0" w:rsidRPr="005A6843" w:rsidRDefault="00292CA0" w:rsidP="00AA712B">
      <w:pPr>
        <w:jc w:val="both"/>
      </w:pPr>
      <w:r w:rsidRPr="005A6843">
        <w:t xml:space="preserve">Desde el punto de vista metodológico, esta circunstancia no tendría mayores consecuencias si no fuera por dos motivos: el primero es que la información a que se accede siguiendo un modelo u otro no tiene el mismo contenido diferente –el modelo “ministerializado” recoge 13 sub-categorías o elementos informativos menos que el modelo globalizado- y el segundo que, de acuerdo con las fichas de datos publicadas en el Portal, la información departamentalizada ha sido seleccionada y remitida por los distintos Ministerios. </w:t>
      </w:r>
    </w:p>
    <w:p w:rsidR="006E0367" w:rsidRPr="005A6843" w:rsidRDefault="006E0367" w:rsidP="00AA712B">
      <w:pPr>
        <w:jc w:val="both"/>
      </w:pPr>
      <w:r w:rsidRPr="005A6843">
        <w:t xml:space="preserve">Teniendo en cuenta lo dicho, </w:t>
      </w:r>
      <w:r w:rsidR="006B611A" w:rsidRPr="005A6843">
        <w:t xml:space="preserve">se ha </w:t>
      </w:r>
      <w:r w:rsidR="00C04161" w:rsidRPr="005A6843">
        <w:t xml:space="preserve">optado por </w:t>
      </w:r>
      <w:r w:rsidR="00C46D30" w:rsidRPr="005A6843">
        <w:t>manten</w:t>
      </w:r>
      <w:r w:rsidR="00C04161" w:rsidRPr="005A6843">
        <w:t>er</w:t>
      </w:r>
      <w:r w:rsidR="00C46D30" w:rsidRPr="005A6843">
        <w:t xml:space="preserve"> la unidad de análisis en la evaluación </w:t>
      </w:r>
      <w:r w:rsidR="00C04161" w:rsidRPr="005A6843">
        <w:t xml:space="preserve">y </w:t>
      </w:r>
      <w:r w:rsidRPr="005A6843">
        <w:t xml:space="preserve">por </w:t>
      </w:r>
      <w:r w:rsidR="00C04161" w:rsidRPr="005A6843">
        <w:t>evalua</w:t>
      </w:r>
      <w:r w:rsidRPr="005A6843">
        <w:t>r</w:t>
      </w:r>
      <w:r w:rsidR="00C04161" w:rsidRPr="005A6843">
        <w:t xml:space="preserve"> de forma conjunta ambos modelos de datos en una única valoración del sistema</w:t>
      </w:r>
      <w:r w:rsidRPr="005A6843">
        <w:t>,</w:t>
      </w:r>
      <w:r w:rsidR="00C04161" w:rsidRPr="005A6843">
        <w:t xml:space="preserve"> </w:t>
      </w:r>
      <w:r w:rsidR="00C46D30" w:rsidRPr="005A6843">
        <w:t xml:space="preserve">pero </w:t>
      </w:r>
      <w:r w:rsidR="00C04161" w:rsidRPr="005A6843">
        <w:t>se ha considerado conveniente efectuar también un análisis individualizado por Ministerios con sus correspondientes evaluaciones individuales</w:t>
      </w:r>
      <w:r w:rsidR="009907E4" w:rsidRPr="005A6843">
        <w:t>, que aparece como anexo al presente informe</w:t>
      </w:r>
      <w:r w:rsidRPr="005A6843">
        <w:t>. Y ello,</w:t>
      </w:r>
      <w:r w:rsidR="00C04161" w:rsidRPr="005A6843">
        <w:t xml:space="preserve"> tanto a efectos informativos</w:t>
      </w:r>
      <w:r w:rsidRPr="005A6843">
        <w:t>,</w:t>
      </w:r>
      <w:r w:rsidR="00C04161" w:rsidRPr="005A6843">
        <w:t xml:space="preserve"> como pensando en la utilidad práctica de esta información complementaria</w:t>
      </w:r>
      <w:r w:rsidRPr="005A6843">
        <w:t xml:space="preserve"> a la hora de recabar de los distintos Departamentos la aportación de nuevos datos o la revisión de la información facilitada</w:t>
      </w:r>
      <w:r w:rsidR="00C04161" w:rsidRPr="005A6843">
        <w:t>.</w:t>
      </w:r>
    </w:p>
    <w:p w:rsidR="001576AB" w:rsidRPr="005A6843" w:rsidRDefault="001576AB" w:rsidP="002420B8">
      <w:pPr>
        <w:pStyle w:val="Ttulo3"/>
      </w:pPr>
      <w:bookmarkStart w:id="43" w:name="_Toc489351987"/>
      <w:bookmarkStart w:id="44" w:name="_Toc498345367"/>
      <w:bookmarkStart w:id="45" w:name="_Toc500414719"/>
      <w:bookmarkStart w:id="46" w:name="_Toc500416452"/>
      <w:bookmarkStart w:id="47" w:name="_Toc500416510"/>
      <w:bookmarkStart w:id="48" w:name="_Toc501110662"/>
      <w:r w:rsidRPr="005A6843">
        <w:t>Mediciones e índices de cumplimiento</w:t>
      </w:r>
      <w:bookmarkEnd w:id="43"/>
      <w:bookmarkEnd w:id="44"/>
      <w:bookmarkEnd w:id="45"/>
      <w:bookmarkEnd w:id="46"/>
      <w:bookmarkEnd w:id="47"/>
      <w:bookmarkEnd w:id="48"/>
    </w:p>
    <w:p w:rsidR="00BA65A4" w:rsidRPr="005A6843" w:rsidRDefault="00BA65A4" w:rsidP="00AA712B">
      <w:pPr>
        <w:jc w:val="both"/>
      </w:pPr>
      <w:r w:rsidRPr="005A6843">
        <w:t xml:space="preserve">Para </w:t>
      </w:r>
      <w:r w:rsidR="000F4DC7" w:rsidRPr="005A6843">
        <w:t>la</w:t>
      </w:r>
      <w:r w:rsidRPr="005A6843">
        <w:t xml:space="preserve"> medición de la</w:t>
      </w:r>
      <w:r w:rsidR="000F4DC7" w:rsidRPr="005A6843">
        <w:t xml:space="preserve">s obligaciones </w:t>
      </w:r>
      <w:r w:rsidRPr="005A6843">
        <w:t xml:space="preserve">relacionadas con la </w:t>
      </w:r>
      <w:r w:rsidR="000F4DC7" w:rsidRPr="005A6843">
        <w:t>publica</w:t>
      </w:r>
      <w:r w:rsidRPr="005A6843">
        <w:t xml:space="preserve">ción de </w:t>
      </w:r>
      <w:r w:rsidR="000F4DC7" w:rsidRPr="005A6843">
        <w:t>los datos e informaciones de carácter institucional, jurídico y económico</w:t>
      </w:r>
      <w:r w:rsidRPr="005A6843">
        <w:t xml:space="preserve"> de los arts. 6, 7 y 8 de la </w:t>
      </w:r>
      <w:r w:rsidR="001D3E3D">
        <w:t>l</w:t>
      </w:r>
      <w:r w:rsidR="001C41A6">
        <w:t>ey</w:t>
      </w:r>
      <w:r w:rsidR="00E768A4">
        <w:t xml:space="preserve"> de transparencia</w:t>
      </w:r>
      <w:r w:rsidR="000F4DC7" w:rsidRPr="005A6843">
        <w:t xml:space="preserve">, </w:t>
      </w:r>
      <w:r w:rsidRPr="005A6843">
        <w:t xml:space="preserve">la evaluación, de acuerdo con </w:t>
      </w:r>
      <w:r w:rsidR="00420824" w:rsidRPr="005A6843">
        <w:t>MESTA</w:t>
      </w:r>
      <w:r w:rsidRPr="005A6843">
        <w:t xml:space="preserve">, ha </w:t>
      </w:r>
      <w:r w:rsidR="00420824" w:rsidRPr="005A6843">
        <w:t>considera</w:t>
      </w:r>
      <w:r w:rsidRPr="005A6843">
        <w:t>do</w:t>
      </w:r>
      <w:r w:rsidR="00420824" w:rsidRPr="005A6843">
        <w:t xml:space="preserve"> separadamente </w:t>
      </w:r>
      <w:r w:rsidR="000F4DC7" w:rsidRPr="005A6843">
        <w:t>la obligación de publicar y l</w:t>
      </w:r>
      <w:r w:rsidRPr="005A6843">
        <w:t>as obligaciones de realizar esta publicación con los r</w:t>
      </w:r>
      <w:r w:rsidR="000F4DC7" w:rsidRPr="005A6843">
        <w:t xml:space="preserve">equisitos </w:t>
      </w:r>
      <w:r w:rsidR="00675F96" w:rsidRPr="005A6843">
        <w:t xml:space="preserve">técnicos </w:t>
      </w:r>
      <w:r w:rsidRPr="005A6843">
        <w:t xml:space="preserve">establecidos en la </w:t>
      </w:r>
      <w:r w:rsidR="001D3E3D">
        <w:t>l</w:t>
      </w:r>
      <w:r w:rsidR="001C41A6">
        <w:t>ey</w:t>
      </w:r>
      <w:r w:rsidRPr="005A6843">
        <w:t xml:space="preserve"> (art. 5).</w:t>
      </w:r>
    </w:p>
    <w:p w:rsidR="00BA65A4" w:rsidRPr="005A6843" w:rsidRDefault="00675F96" w:rsidP="00AA712B">
      <w:pPr>
        <w:jc w:val="both"/>
      </w:pPr>
      <w:r w:rsidRPr="005A6843">
        <w:t xml:space="preserve">Así, </w:t>
      </w:r>
      <w:r w:rsidR="00BA65A4" w:rsidRPr="005A6843">
        <w:t xml:space="preserve">se ha utilizado una matriz que clasifica los datos e informaciones en sendas obligaciones e </w:t>
      </w:r>
      <w:r w:rsidR="00420824" w:rsidRPr="005A6843">
        <w:t>ítems de información</w:t>
      </w:r>
      <w:r w:rsidR="00BA65A4" w:rsidRPr="005A6843">
        <w:t xml:space="preserve"> </w:t>
      </w:r>
      <w:r w:rsidR="00420824" w:rsidRPr="005A6843">
        <w:t>-</w:t>
      </w:r>
      <w:r w:rsidR="00BA65A4" w:rsidRPr="005A6843">
        <w:t xml:space="preserve">“mapa de obligaciones”, con 60 entradas- y aplica a cada uno de ellos una misma serie de </w:t>
      </w:r>
      <w:r w:rsidR="00420824" w:rsidRPr="005A6843">
        <w:t xml:space="preserve">criterios de valoración </w:t>
      </w:r>
      <w:r w:rsidR="009B3692" w:rsidRPr="005A6843">
        <w:t>(11</w:t>
      </w:r>
      <w:r w:rsidR="00BA65A4" w:rsidRPr="005A6843">
        <w:t xml:space="preserve"> en total) que responden a los diferentes requisitos de calidad exigidos (estructuración, claridad, actualización, reutilización, </w:t>
      </w:r>
      <w:r w:rsidR="00235F53">
        <w:t>etc.</w:t>
      </w:r>
      <w:r w:rsidR="00BA65A4" w:rsidRPr="005A6843">
        <w:t xml:space="preserve">) y se expresan en valores de 0 a 100. </w:t>
      </w:r>
    </w:p>
    <w:p w:rsidR="00761F42" w:rsidRDefault="00BA65A4" w:rsidP="00AA712B">
      <w:pPr>
        <w:jc w:val="both"/>
      </w:pPr>
      <w:r w:rsidRPr="005A6843">
        <w:t>De este modo, se realizan 11 mediciones por cada uno de los 60 ítems del mapa de obligaciones</w:t>
      </w:r>
      <w:r w:rsidR="00C44995" w:rsidRPr="005A6843">
        <w:t xml:space="preserve">, 660 mediciones en total. El valor medio </w:t>
      </w:r>
      <w:r w:rsidRPr="005A6843">
        <w:t xml:space="preserve">de </w:t>
      </w:r>
      <w:r w:rsidR="00C44995" w:rsidRPr="005A6843">
        <w:t xml:space="preserve">las 660 mediciones (la </w:t>
      </w:r>
      <w:r w:rsidR="001D3E3D">
        <w:t>l</w:t>
      </w:r>
      <w:r w:rsidR="001C41A6">
        <w:t>ey</w:t>
      </w:r>
      <w:r w:rsidR="00C44995" w:rsidRPr="005A6843">
        <w:t xml:space="preserve"> no establece elementos de ponderación de unas obligaciones o criterios sobre otros) constituye el índice de cumplimiento de la información obligatoria del Ministerio u órgano evaluado</w:t>
      </w:r>
      <w:r w:rsidR="00675F96" w:rsidRPr="005A6843">
        <w:t xml:space="preserve"> </w:t>
      </w:r>
      <w:r w:rsidR="007C0ABB" w:rsidRPr="005A6843">
        <w:t>(</w:t>
      </w:r>
      <w:r w:rsidR="00675F96" w:rsidRPr="005A6843">
        <w:t>ICIO</w:t>
      </w:r>
      <w:r w:rsidR="007C0ABB" w:rsidRPr="005A6843">
        <w:t>)</w:t>
      </w:r>
      <w:r w:rsidR="00C44995" w:rsidRPr="005A6843">
        <w:t xml:space="preserve"> que viene expresado en base 100 pero que se reduce a base 10 para la elaboración de</w:t>
      </w:r>
      <w:r w:rsidR="007C0ABB" w:rsidRPr="005A6843">
        <w:t xml:space="preserve"> </w:t>
      </w:r>
      <w:r w:rsidR="00C44995" w:rsidRPr="005A6843">
        <w:t>ranking</w:t>
      </w:r>
      <w:r w:rsidR="007C0ABB" w:rsidRPr="005A6843">
        <w:t>s</w:t>
      </w:r>
      <w:r w:rsidR="00C44995" w:rsidRPr="005A6843">
        <w:t>.</w:t>
      </w:r>
    </w:p>
    <w:p w:rsidR="00DF6B09" w:rsidRPr="005A6843" w:rsidRDefault="00DF6B09" w:rsidP="002420B8">
      <w:pPr>
        <w:pStyle w:val="Ttulo3"/>
      </w:pPr>
      <w:bookmarkStart w:id="49" w:name="_Toc489351988"/>
      <w:bookmarkStart w:id="50" w:name="_Toc498345368"/>
      <w:bookmarkStart w:id="51" w:name="_Toc500414720"/>
      <w:bookmarkStart w:id="52" w:name="_Toc500416453"/>
      <w:bookmarkStart w:id="53" w:name="_Toc500416511"/>
      <w:bookmarkStart w:id="54" w:name="_Toc501110663"/>
      <w:r w:rsidRPr="005A6843">
        <w:t>Cumplimiento obligatorio y cumplimiento voluntario</w:t>
      </w:r>
      <w:bookmarkEnd w:id="49"/>
      <w:bookmarkEnd w:id="50"/>
      <w:bookmarkEnd w:id="51"/>
      <w:bookmarkEnd w:id="52"/>
      <w:bookmarkEnd w:id="53"/>
      <w:bookmarkEnd w:id="54"/>
    </w:p>
    <w:p w:rsidR="007C0ABB" w:rsidRPr="005A6843" w:rsidRDefault="00DF6B09" w:rsidP="00FC4B2E">
      <w:pPr>
        <w:jc w:val="both"/>
      </w:pPr>
      <w:r w:rsidRPr="005A6843">
        <w:t xml:space="preserve">La evaluación realizada ha operado en dos niveles diferentes: </w:t>
      </w:r>
    </w:p>
    <w:p w:rsidR="007C0ABB" w:rsidRDefault="00DF0E4B" w:rsidP="00FC4B2E">
      <w:pPr>
        <w:pStyle w:val="Prrafodelista"/>
        <w:numPr>
          <w:ilvl w:val="0"/>
          <w:numId w:val="5"/>
        </w:numPr>
        <w:spacing w:line="276" w:lineRule="auto"/>
        <w:ind w:left="426"/>
        <w:jc w:val="both"/>
      </w:pPr>
      <w:r>
        <w:rPr>
          <w:noProof/>
          <w:lang w:eastAsia="es-ES"/>
        </w:rPr>
        <w:pict>
          <v:shape id="Text Box 7" o:spid="_x0000_s1029" type="#_x0000_t202" style="position:absolute;left:0;text-align:left;margin-left:-.75pt;margin-top:20.7pt;width:166.5pt;height:33.0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" strokecolor="#1c314d [1607]">
            <v:shadow on="t" color="black" opacity="26213f" origin=".5,.5" offset="-.74836mm,-.74836mm"/>
            <v:textbox>
              <w:txbxContent>
                <w:p w:rsidR="005A7AEE" w:rsidRPr="001B3597" w:rsidRDefault="005A7AEE" w:rsidP="00221415">
                  <w:pPr>
                    <w:jc w:val="center"/>
                    <w:rPr>
                      <w:i/>
                      <w:color w:val="1C314E" w:themeColor="accent4" w:themeShade="80"/>
                      <w:sz w:val="28"/>
                      <w:szCs w:val="28"/>
                    </w:rPr>
                  </w:pPr>
                  <w:r w:rsidRPr="001B3597">
                    <w:rPr>
                      <w:i/>
                      <w:color w:val="1C314E" w:themeColor="accent4" w:themeShade="80"/>
                      <w:sz w:val="28"/>
                      <w:szCs w:val="28"/>
                    </w:rPr>
                    <w:t>Cumplimiento obligatorio</w:t>
                  </w:r>
                </w:p>
              </w:txbxContent>
            </v:textbox>
            <w10:wrap type="square"/>
          </v:shape>
        </w:pict>
      </w:r>
      <w:r w:rsidR="00DF6B09" w:rsidRPr="005A6843">
        <w:t xml:space="preserve">Un nivel de cumplimiento obligatorio, en el que se ha valorado el cumplimiento de las obligaciones de publicidad activa señaladas por la </w:t>
      </w:r>
      <w:r w:rsidR="001D3E3D">
        <w:t>l</w:t>
      </w:r>
      <w:r w:rsidR="001C41A6">
        <w:t>ey</w:t>
      </w:r>
      <w:r w:rsidR="00E768A4">
        <w:t xml:space="preserve"> de transparencia</w:t>
      </w:r>
      <w:r w:rsidR="00DF6B09" w:rsidRPr="005A6843">
        <w:t xml:space="preserve"> como obligatorias –arts. 6, 7 y 8- por los órganos y entidades examinados,</w:t>
      </w:r>
    </w:p>
    <w:p w:rsidR="000D513D" w:rsidRPr="005A6843" w:rsidRDefault="000D513D" w:rsidP="00FC4B2E">
      <w:pPr>
        <w:pStyle w:val="Prrafodelista"/>
        <w:spacing w:line="276" w:lineRule="auto"/>
        <w:ind w:left="426"/>
        <w:jc w:val="both"/>
      </w:pPr>
    </w:p>
    <w:p w:rsidR="00DF6B09" w:rsidRDefault="00DF0E4B" w:rsidP="00FC4B2E">
      <w:pPr>
        <w:pStyle w:val="Prrafodelista"/>
        <w:numPr>
          <w:ilvl w:val="0"/>
          <w:numId w:val="5"/>
        </w:numPr>
        <w:spacing w:line="276" w:lineRule="auto"/>
        <w:ind w:left="426"/>
        <w:jc w:val="both"/>
      </w:pPr>
      <w:r>
        <w:rPr>
          <w:noProof/>
          <w:lang w:eastAsia="es-ES"/>
        </w:rPr>
        <w:pict>
          <v:shape id="Text Box 10" o:spid="_x0000_s1030" type="#_x0000_t202" style="position:absolute;left:0;text-align:left;margin-left:-.75pt;margin-top:22.1pt;width:166.5pt;height:33.05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" strokecolor="#1c314d [1607]">
            <v:shadow on="t" color="black" opacity="26213f" origin=".5,.5" offset="-.74836mm,-.74836mm"/>
            <v:textbox>
              <w:txbxContent>
                <w:p w:rsidR="005A7AEE" w:rsidRPr="001B3597" w:rsidRDefault="005A7AEE" w:rsidP="001B3597">
                  <w:pPr>
                    <w:jc w:val="center"/>
                    <w:rPr>
                      <w:i/>
                      <w:color w:val="1C314E" w:themeColor="accent4" w:themeShade="80"/>
                      <w:sz w:val="28"/>
                      <w:szCs w:val="28"/>
                    </w:rPr>
                  </w:pPr>
                  <w:r w:rsidRPr="001B3597">
                    <w:rPr>
                      <w:i/>
                      <w:color w:val="1C314E" w:themeColor="accent4" w:themeShade="80"/>
                      <w:sz w:val="28"/>
                      <w:szCs w:val="28"/>
                    </w:rPr>
                    <w:t xml:space="preserve">Cumplimiento </w:t>
                  </w:r>
                  <w:r>
                    <w:rPr>
                      <w:i/>
                      <w:color w:val="1C314E" w:themeColor="accent4" w:themeShade="80"/>
                      <w:sz w:val="28"/>
                      <w:szCs w:val="28"/>
                    </w:rPr>
                    <w:t>voluntario</w:t>
                  </w:r>
                </w:p>
              </w:txbxContent>
            </v:textbox>
            <w10:wrap type="square"/>
          </v:shape>
        </w:pict>
      </w:r>
      <w:r w:rsidR="00DF6B09" w:rsidRPr="005A6843">
        <w:t xml:space="preserve">Un nivel de cumplimiento voluntario, en el que se ha valorado el cumplimiento dado por dichos órganos y entes a la obligación genérica establecida en el art. 5.2 de la </w:t>
      </w:r>
      <w:r w:rsidR="001D3E3D">
        <w:t>l</w:t>
      </w:r>
      <w:r w:rsidR="001C41A6">
        <w:t>ey</w:t>
      </w:r>
      <w:r w:rsidR="00DF6B09" w:rsidRPr="005A6843">
        <w:t xml:space="preserve"> de publicar de forma periódica y actualizada la información relevante para garantizar la transparencia de su actividad, sin perjuicio de hacerlo, en todo caso, con la considerada información obligatoria.</w:t>
      </w:r>
    </w:p>
    <w:p w:rsidR="000D513D" w:rsidRDefault="000D513D" w:rsidP="00FC4B2E">
      <w:pPr>
        <w:pStyle w:val="Prrafodelista"/>
        <w:spacing w:line="276" w:lineRule="auto"/>
      </w:pPr>
    </w:p>
    <w:p w:rsidR="00DF6B09" w:rsidRPr="005A6843" w:rsidRDefault="007C0ABB" w:rsidP="00FC4B2E">
      <w:pPr>
        <w:jc w:val="both"/>
      </w:pPr>
      <w:r w:rsidRPr="005A6843">
        <w:t>E</w:t>
      </w:r>
      <w:r w:rsidR="00DF6B09" w:rsidRPr="005A6843">
        <w:t>n cada uno de estos niveles, se han utilizado diferentes indicadores.</w:t>
      </w:r>
    </w:p>
    <w:p w:rsidR="00DF6B09" w:rsidRDefault="00DF6B09" w:rsidP="00FC4B2E">
      <w:pPr>
        <w:pStyle w:val="Prrafodelista"/>
        <w:numPr>
          <w:ilvl w:val="0"/>
          <w:numId w:val="6"/>
        </w:numPr>
        <w:spacing w:line="276" w:lineRule="auto"/>
        <w:ind w:left="426"/>
        <w:jc w:val="both"/>
      </w:pPr>
      <w:r w:rsidRPr="005A6843">
        <w:t xml:space="preserve">En el nivel de </w:t>
      </w:r>
      <w:r w:rsidRPr="001C6355">
        <w:rPr>
          <w:u w:val="single"/>
        </w:rPr>
        <w:t>cumplimiento obligatorio</w:t>
      </w:r>
      <w:r w:rsidRPr="005A6843">
        <w:t xml:space="preserve">, se han utilizado como indicadores los datos e informaciones que, por mandato expreso de la </w:t>
      </w:r>
      <w:r w:rsidR="001D3E3D">
        <w:t>l</w:t>
      </w:r>
      <w:r w:rsidR="001C41A6">
        <w:t>ey</w:t>
      </w:r>
      <w:r w:rsidRPr="005A6843">
        <w:t>, el órgano, organismo o institución viene obligado a publicar proactivamente en</w:t>
      </w:r>
      <w:r w:rsidR="000D513D">
        <w:t xml:space="preserve"> su portal </w:t>
      </w:r>
      <w:r w:rsidR="00FC4B2E" w:rsidRPr="00FC4B2E">
        <w:rPr>
          <w:i/>
        </w:rPr>
        <w:t>web</w:t>
      </w:r>
      <w:r w:rsidR="000D513D">
        <w:t>.</w:t>
      </w:r>
    </w:p>
    <w:p w:rsidR="000D513D" w:rsidRPr="005A6843" w:rsidRDefault="000D513D" w:rsidP="00FC4B2E">
      <w:pPr>
        <w:pStyle w:val="Prrafodelista"/>
        <w:spacing w:line="276" w:lineRule="auto"/>
        <w:ind w:left="426"/>
        <w:jc w:val="both"/>
      </w:pPr>
    </w:p>
    <w:p w:rsidR="00DF6B09" w:rsidRDefault="00DF6B09" w:rsidP="00FC4B2E">
      <w:pPr>
        <w:pStyle w:val="Prrafodelista"/>
        <w:numPr>
          <w:ilvl w:val="0"/>
          <w:numId w:val="6"/>
        </w:numPr>
        <w:spacing w:line="276" w:lineRule="auto"/>
        <w:ind w:left="426"/>
        <w:jc w:val="both"/>
      </w:pPr>
      <w:r w:rsidRPr="005A6843">
        <w:t xml:space="preserve">En el nivel de </w:t>
      </w:r>
      <w:r w:rsidRPr="001C6355">
        <w:rPr>
          <w:u w:val="single"/>
        </w:rPr>
        <w:t>cumplimiento voluntario</w:t>
      </w:r>
      <w:r w:rsidRPr="005A6843">
        <w:t xml:space="preserve"> se han utilizado para la evaluación determinados indicadores considerados relevantes para la transparencia y el conocimiento ciudadano de la actividad de los organismos públicos tanto por este CTBG y ¿Hay Derecho?, como por otras organizaciones y asociaciones de la sociedad civil y por las leyes autonómicas de transparencia de las distintas Comunidades Autónomas (CCAA). </w:t>
      </w:r>
    </w:p>
    <w:p w:rsidR="000D513D" w:rsidRDefault="000D513D" w:rsidP="00FC4B2E">
      <w:pPr>
        <w:pStyle w:val="Prrafodelista"/>
        <w:spacing w:line="276" w:lineRule="auto"/>
      </w:pPr>
    </w:p>
    <w:p w:rsidR="00DF6B09" w:rsidRPr="005A6843" w:rsidRDefault="00DF6B09" w:rsidP="000D513D">
      <w:pPr>
        <w:ind w:left="426"/>
        <w:jc w:val="both"/>
      </w:pPr>
      <w:r w:rsidRPr="005A6843">
        <w:t xml:space="preserve">Estos indicadores son los siguientes a) Publicación de la Agenda del Presidente, </w:t>
      </w:r>
      <w:r w:rsidR="00887DD9" w:rsidRPr="005A6843">
        <w:t xml:space="preserve">Altos Cargos </w:t>
      </w:r>
      <w:r w:rsidRPr="005A6843">
        <w:t>y máximos responsables del organismo o institución; b) Publicación del orden del día y acuerdos de los órganos de gobierno del organismo o institución; c</w:t>
      </w:r>
      <w:r w:rsidR="00992608" w:rsidRPr="005A6843">
        <w:t xml:space="preserve">) Publicación de los datos de </w:t>
      </w:r>
      <w:r w:rsidRPr="005A6843">
        <w:t>identi</w:t>
      </w:r>
      <w:r w:rsidR="00992608" w:rsidRPr="005A6843">
        <w:t xml:space="preserve">dad y trayectoria </w:t>
      </w:r>
      <w:r w:rsidRPr="005A6843">
        <w:t>profesional del personal eventual “de confianza” del organismo o institución</w:t>
      </w:r>
      <w:r w:rsidR="00992608" w:rsidRPr="005A6843">
        <w:t>; d) Publicación de los datos correspondientes a las i</w:t>
      </w:r>
      <w:r w:rsidRPr="005A6843">
        <w:t xml:space="preserve">ndemnizaciones devengadas y percibidas por el Presidente, los </w:t>
      </w:r>
      <w:r w:rsidR="00887DD9" w:rsidRPr="005A6843">
        <w:t>A</w:t>
      </w:r>
      <w:r w:rsidRPr="005A6843">
        <w:t xml:space="preserve">ltos </w:t>
      </w:r>
      <w:r w:rsidR="00887DD9" w:rsidRPr="005A6843">
        <w:t>C</w:t>
      </w:r>
      <w:r w:rsidRPr="005A6843">
        <w:t xml:space="preserve">argos y los máximos responsables del organismo o institución en concepto de viajes, manutención, alojamiento y asistencia a órganos colegiados o </w:t>
      </w:r>
      <w:r w:rsidR="00887DD9" w:rsidRPr="005A6843">
        <w:t xml:space="preserve">atenciones </w:t>
      </w:r>
      <w:r w:rsidRPr="005A6843">
        <w:t>sociales</w:t>
      </w:r>
      <w:r w:rsidR="00992608" w:rsidRPr="005A6843">
        <w:t xml:space="preserve">; </w:t>
      </w:r>
      <w:r w:rsidR="00D20A23" w:rsidRPr="005A6843">
        <w:t xml:space="preserve"> e) Publicación de bienes muebles de interés general, cultural o artístico propiedad del organismo o institución; f</w:t>
      </w:r>
      <w:r w:rsidR="00992608" w:rsidRPr="005A6843">
        <w:t xml:space="preserve">) Publicación de una relación de vehículos oficiales a disposición del organismo o institución y </w:t>
      </w:r>
      <w:r w:rsidR="00D20A23" w:rsidRPr="005A6843">
        <w:t>g</w:t>
      </w:r>
      <w:r w:rsidR="00992608" w:rsidRPr="005A6843">
        <w:t>) Publicación de una relación de los obsequios recibidos por el Presidente</w:t>
      </w:r>
      <w:r w:rsidR="00887DD9" w:rsidRPr="005A6843">
        <w:t>,</w:t>
      </w:r>
      <w:r w:rsidR="00992608" w:rsidRPr="005A6843">
        <w:t xml:space="preserve"> </w:t>
      </w:r>
      <w:r w:rsidR="00887DD9" w:rsidRPr="005A6843">
        <w:t xml:space="preserve">Altos Cargos y máximos responsables </w:t>
      </w:r>
      <w:r w:rsidR="00992608" w:rsidRPr="005A6843">
        <w:t>del organismo o institución por razón del cargo</w:t>
      </w:r>
    </w:p>
    <w:p w:rsidR="00992608" w:rsidRPr="005A6843" w:rsidRDefault="00992608" w:rsidP="00AA712B">
      <w:pPr>
        <w:jc w:val="both"/>
      </w:pPr>
      <w:r w:rsidRPr="005A6843">
        <w:t xml:space="preserve">No se han incluido entre los indicadores la publicación de información acerca de los bienes patrimoniales del organismo o institución o la publicación de información sobre el funcionamiento y los servicios del organismo o institución, que sí que se han tenido en cuenta por este Consejo para la evaluación del cumplimiento voluntario de la </w:t>
      </w:r>
      <w:r w:rsidR="001D3E3D">
        <w:t>l</w:t>
      </w:r>
      <w:r w:rsidR="001C41A6">
        <w:t>ey</w:t>
      </w:r>
      <w:r w:rsidRPr="005A6843">
        <w:t xml:space="preserve"> por los órganos constitucionales y los entes reguladores. El motivo es que en el caso de la AGE, conceptuada por la </w:t>
      </w:r>
      <w:r w:rsidR="001D3E3D">
        <w:t>l</w:t>
      </w:r>
      <w:r w:rsidR="001C41A6">
        <w:t>ey</w:t>
      </w:r>
      <w:r w:rsidR="00E768A4">
        <w:t xml:space="preserve"> de transparencia</w:t>
      </w:r>
      <w:r w:rsidRPr="005A6843">
        <w:t xml:space="preserve"> como una de las AAPP, esta información es de contenido obligatorio.</w:t>
      </w:r>
    </w:p>
    <w:p w:rsidR="00DF6B09" w:rsidRPr="005A6843" w:rsidRDefault="00DF6B09" w:rsidP="00AA712B">
      <w:pPr>
        <w:jc w:val="both"/>
      </w:pPr>
      <w:r w:rsidRPr="005A6843">
        <w:t xml:space="preserve">Adicionalmente, la evaluación del cumplimiento voluntario de la </w:t>
      </w:r>
      <w:r w:rsidR="001D3E3D">
        <w:t>l</w:t>
      </w:r>
      <w:r w:rsidR="001C41A6">
        <w:t>ey</w:t>
      </w:r>
      <w:r w:rsidRPr="005A6843">
        <w:t xml:space="preserve"> ha tenido en cuenta también como indicadores las demás informaciones vinculadas con la transparencia y la rendición de cuentas que ha publicado </w:t>
      </w:r>
      <w:r w:rsidR="00992608" w:rsidRPr="005A6843">
        <w:t>el Portal en línea de compromiso voluntario con la Transparencia.</w:t>
      </w:r>
      <w:r w:rsidRPr="005A6843">
        <w:t xml:space="preserve"> </w:t>
      </w:r>
    </w:p>
    <w:p w:rsidR="00CB3D0A" w:rsidRPr="005A6843" w:rsidRDefault="00CB3D0A" w:rsidP="00AA712B">
      <w:pPr>
        <w:jc w:val="both"/>
      </w:pPr>
      <w:r w:rsidRPr="005A6843">
        <w:t xml:space="preserve">Para finalizar, y en relación a los dos niveles de cumplimiento que acaban de describirse, hay que tener en cuenta -especialmente a la hora de analizar los resultados de las evaluaciones- que se trata de dos niveles complementarios. </w:t>
      </w:r>
    </w:p>
    <w:p w:rsidR="00CB3D0A" w:rsidRPr="005A6843" w:rsidRDefault="00CB3D0A" w:rsidP="00AA712B">
      <w:pPr>
        <w:jc w:val="both"/>
      </w:pPr>
      <w:r w:rsidRPr="005A6843">
        <w:t xml:space="preserve">El primer nivel, obligatorio, mide el cumplimiento estricto de la </w:t>
      </w:r>
      <w:r w:rsidR="001D3E3D">
        <w:t>l</w:t>
      </w:r>
      <w:r w:rsidR="001C41A6">
        <w:t>ey</w:t>
      </w:r>
      <w:r w:rsidRPr="005A6843">
        <w:t>; el segundo, voluntario, mide un cumplimiento de mayor nivel y cuantifica el grado de compromiso del organismo con los principios propios de la transparencia, que le lleva a avanzar un paso más allá del cumplimiento estricto de sus obligaciones legales. Ambos niveles, sumados, vendrían a expresar la posición relativa del sujeto evaluado respecto de los estándares de transparencia fijados como meta o nivel ideal por las diferentes legislaciones, las organizaciones especializadas de la sociedad civil y los expertos y especialistas en la materia.</w:t>
      </w:r>
    </w:p>
    <w:p w:rsidR="00E5440B" w:rsidRPr="005A6843" w:rsidRDefault="00E5440B" w:rsidP="002420B8">
      <w:pPr>
        <w:pStyle w:val="Ttulo3"/>
      </w:pPr>
      <w:bookmarkStart w:id="55" w:name="_Toc489351989"/>
      <w:bookmarkStart w:id="56" w:name="_Toc498345369"/>
      <w:bookmarkStart w:id="57" w:name="_Toc500414721"/>
      <w:bookmarkStart w:id="58" w:name="_Toc500416454"/>
      <w:bookmarkStart w:id="59" w:name="_Toc500416512"/>
      <w:bookmarkStart w:id="60" w:name="_Toc501110664"/>
      <w:r w:rsidRPr="005A6843">
        <w:t>Acceso a la información</w:t>
      </w:r>
      <w:bookmarkEnd w:id="55"/>
      <w:bookmarkEnd w:id="56"/>
      <w:bookmarkEnd w:id="57"/>
      <w:bookmarkEnd w:id="58"/>
      <w:bookmarkEnd w:id="59"/>
      <w:bookmarkEnd w:id="60"/>
    </w:p>
    <w:p w:rsidR="00351135" w:rsidRPr="005A6843" w:rsidRDefault="00E5440B" w:rsidP="00AA712B">
      <w:pPr>
        <w:jc w:val="both"/>
      </w:pPr>
      <w:r w:rsidRPr="005A6843">
        <w:t>Si bien el Portal AGE incorpora entre sus contenidos un acceso a la presentación telemática de solicitudes de acceso a la información p</w:t>
      </w:r>
      <w:r w:rsidR="00F51E2D" w:rsidRPr="005A6843">
        <w:t>ú</w:t>
      </w:r>
      <w:r w:rsidRPr="005A6843">
        <w:t>blica</w:t>
      </w:r>
      <w:r w:rsidR="00F51E2D" w:rsidRPr="005A6843">
        <w:t>, la evaluación se ha limitado a las cuestiones rela</w:t>
      </w:r>
      <w:r w:rsidR="00351135" w:rsidRPr="005A6843">
        <w:t xml:space="preserve">cionadas con </w:t>
      </w:r>
      <w:r w:rsidR="00F51E2D" w:rsidRPr="005A6843">
        <w:t>publicidad activa</w:t>
      </w:r>
      <w:r w:rsidR="00351135" w:rsidRPr="005A6843">
        <w:t xml:space="preserve"> pues, de acuerdo con la </w:t>
      </w:r>
      <w:r w:rsidR="001D3E3D">
        <w:t>l</w:t>
      </w:r>
      <w:r w:rsidR="001C41A6">
        <w:t>ey</w:t>
      </w:r>
      <w:r w:rsidR="00E768A4">
        <w:t xml:space="preserve"> de transparencia</w:t>
      </w:r>
      <w:r w:rsidR="00351135" w:rsidRPr="005A6843">
        <w:t>, el acceso a la información pública no entra en el ámbito de las obligaciones que debe cumplir la AGE a través del Portal.</w:t>
      </w:r>
    </w:p>
    <w:p w:rsidR="002B2245" w:rsidRDefault="00351135" w:rsidP="00AA712B">
      <w:pPr>
        <w:jc w:val="both"/>
      </w:pPr>
      <w:r w:rsidRPr="005A6843">
        <w:t xml:space="preserve">Ello no obstante, la abundante información sobre el ejercicio de derecho de acceso y la Guía que contiene el Portal sí se han valorado entre los contenidos </w:t>
      </w:r>
      <w:r w:rsidR="00126DF6" w:rsidRPr="005A6843">
        <w:t>informativos de cumplimiento voluntario del mismo.</w:t>
      </w:r>
      <w:r w:rsidR="00F51E2D" w:rsidRPr="005A6843">
        <w:t xml:space="preserve"> </w:t>
      </w:r>
    </w:p>
    <w:p w:rsidR="003316F3" w:rsidRPr="005A6843" w:rsidRDefault="00B10A1E" w:rsidP="0016665B">
      <w:pPr>
        <w:pStyle w:val="Ttulo1"/>
      </w:pPr>
      <w:bookmarkStart w:id="61" w:name="_Toc498345370"/>
      <w:bookmarkStart w:id="62" w:name="_Toc500414722"/>
      <w:bookmarkStart w:id="63" w:name="_Toc500416455"/>
      <w:bookmarkStart w:id="64" w:name="_Toc500416513"/>
      <w:bookmarkStart w:id="65" w:name="_Toc501110665"/>
      <w:r w:rsidRPr="005A6843">
        <w:t>VALORACIÓN DEL PORTAL AGE</w:t>
      </w:r>
      <w:bookmarkEnd w:id="61"/>
      <w:bookmarkEnd w:id="62"/>
      <w:bookmarkEnd w:id="63"/>
      <w:bookmarkEnd w:id="64"/>
      <w:bookmarkEnd w:id="65"/>
    </w:p>
    <w:p w:rsidR="003316F3" w:rsidRPr="005A6843" w:rsidRDefault="00B10A1E" w:rsidP="002420B8">
      <w:pPr>
        <w:pStyle w:val="Ttulo2"/>
      </w:pPr>
      <w:bookmarkStart w:id="66" w:name="_Toc489351991"/>
      <w:bookmarkStart w:id="67" w:name="_Toc498345371"/>
      <w:bookmarkStart w:id="68" w:name="_Toc500414723"/>
      <w:bookmarkStart w:id="69" w:name="_Toc500416456"/>
      <w:bookmarkStart w:id="70" w:name="_Toc500416514"/>
      <w:bookmarkStart w:id="71" w:name="_Toc501110666"/>
      <w:r w:rsidRPr="005A6843">
        <w:t>Consideraciones generales</w:t>
      </w:r>
      <w:bookmarkEnd w:id="66"/>
      <w:bookmarkEnd w:id="67"/>
      <w:bookmarkEnd w:id="68"/>
      <w:bookmarkEnd w:id="69"/>
      <w:bookmarkEnd w:id="70"/>
      <w:bookmarkEnd w:id="71"/>
    </w:p>
    <w:p w:rsidR="00B10A1E" w:rsidRPr="005A6843" w:rsidRDefault="00B10A1E" w:rsidP="002420B8">
      <w:pPr>
        <w:pStyle w:val="Ttulo3"/>
      </w:pPr>
      <w:bookmarkStart w:id="72" w:name="_Toc498345372"/>
      <w:bookmarkStart w:id="73" w:name="_Toc500414724"/>
      <w:bookmarkStart w:id="74" w:name="_Toc500416457"/>
      <w:bookmarkStart w:id="75" w:name="_Toc500416515"/>
      <w:bookmarkStart w:id="76" w:name="_Toc501110667"/>
      <w:r w:rsidRPr="005A6843">
        <w:t>Denominación</w:t>
      </w:r>
      <w:bookmarkEnd w:id="72"/>
      <w:bookmarkEnd w:id="73"/>
      <w:bookmarkEnd w:id="74"/>
      <w:bookmarkEnd w:id="75"/>
      <w:bookmarkEnd w:id="76"/>
    </w:p>
    <w:p w:rsidR="003316F3" w:rsidRPr="005A6843" w:rsidRDefault="003316F3" w:rsidP="00AA712B">
      <w:pPr>
        <w:jc w:val="both"/>
      </w:pPr>
      <w:r w:rsidRPr="005A6843">
        <w:t xml:space="preserve">Cuando se accede al Portal, en la parte superior de la página home o de inicio, tanto el logotipo elegido como la bienvenida al visitante y la imagen institucional incorporada, hacen referencia al </w:t>
      </w:r>
      <w:r w:rsidRPr="001C6355">
        <w:rPr>
          <w:i/>
        </w:rPr>
        <w:t>“Portal de la Transparencia del Gobierno de España”</w:t>
      </w:r>
      <w:r w:rsidRPr="005A6843">
        <w:t>.</w:t>
      </w:r>
    </w:p>
    <w:p w:rsidR="00B91F4E" w:rsidRPr="005A6843" w:rsidRDefault="00B91F4E" w:rsidP="005C3513">
      <w:pPr>
        <w:jc w:val="center"/>
      </w:pPr>
      <w:r w:rsidRPr="005A6843">
        <w:rPr>
          <w:noProof/>
          <w:lang w:eastAsia="es-ES"/>
        </w:rPr>
        <w:drawing>
          <wp:inline distT="0" distB="0" distL="0" distR="0">
            <wp:extent cx="5760085" cy="753110"/>
            <wp:effectExtent l="19050" t="0" r="0" b="0"/>
            <wp:docPr id="11" name="10 Imagen" descr="Captura 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PP.PNG"/>
                    <pic:cNvPicPr/>
                  </pic:nvPicPr>
                  <pic:blipFill>
                    <a:blip r:embed="rId21" cstate="print"/>
                    <a:stretch>
                      <a:fillRect/>
                    </a:stretch>
                  </pic:blipFill>
                  <pic:spPr>
                    <a:xfrm>
                      <a:off x="0" y="0"/>
                      <a:ext cx="5760085" cy="753110"/>
                    </a:xfrm>
                    <a:prstGeom prst="rect">
                      <a:avLst/>
                    </a:prstGeom>
                  </pic:spPr>
                </pic:pic>
              </a:graphicData>
            </a:graphic>
          </wp:inline>
        </w:drawing>
      </w:r>
    </w:p>
    <w:p w:rsidR="003316F3" w:rsidRPr="005A6843" w:rsidRDefault="003316F3" w:rsidP="00AA712B">
      <w:pPr>
        <w:jc w:val="both"/>
      </w:pPr>
      <w:r w:rsidRPr="005A6843">
        <w:t xml:space="preserve">Esto </w:t>
      </w:r>
      <w:r w:rsidR="004F73D4" w:rsidRPr="005A6843">
        <w:t xml:space="preserve">introduce </w:t>
      </w:r>
      <w:r w:rsidRPr="005A6843">
        <w:t xml:space="preserve">una </w:t>
      </w:r>
      <w:r w:rsidR="004F73D4" w:rsidRPr="005A6843">
        <w:t>diferencia</w:t>
      </w:r>
      <w:r w:rsidRPr="005A6843">
        <w:t xml:space="preserve"> con el art.</w:t>
      </w:r>
      <w:r w:rsidR="004F73D4" w:rsidRPr="005A6843">
        <w:t xml:space="preserve"> </w:t>
      </w:r>
      <w:r w:rsidRPr="005A6843">
        <w:t xml:space="preserve">10 de la </w:t>
      </w:r>
      <w:r w:rsidR="001C41A6">
        <w:t>Ley</w:t>
      </w:r>
      <w:r w:rsidR="00E768A4">
        <w:t xml:space="preserve"> de transparencia</w:t>
      </w:r>
      <w:r w:rsidRPr="005A6843">
        <w:t xml:space="preserve"> que, como ya se ha visto, se refiere al </w:t>
      </w:r>
      <w:r w:rsidRPr="001C6355">
        <w:rPr>
          <w:i/>
        </w:rPr>
        <w:t>“Portal de la Transparencia de la AGE”</w:t>
      </w:r>
      <w:r w:rsidRPr="005A6843">
        <w:t xml:space="preserve"> puesto que, en el ordenamiento jurídico español Gobierno y Administración son órganos diferenciados y regulados por leyes separadas: la </w:t>
      </w:r>
      <w:r w:rsidR="001C41A6">
        <w:t>Ley</w:t>
      </w:r>
      <w:r w:rsidRPr="005A6843">
        <w:t xml:space="preserve"> 50/1997, de 27 de noviembre, del Gobierno (en adelante LGOB) y la </w:t>
      </w:r>
      <w:r w:rsidR="001C41A6">
        <w:t>Ley</w:t>
      </w:r>
      <w:r w:rsidRPr="005A6843">
        <w:t xml:space="preserve"> 40/2015, de 1 de octubre, de Régimen Jurídico del Sector Público (LRJSP). </w:t>
      </w:r>
    </w:p>
    <w:p w:rsidR="003316F3" w:rsidRPr="005A6843" w:rsidRDefault="00DF0E4B" w:rsidP="00AA712B">
      <w:pPr>
        <w:jc w:val="both"/>
      </w:pPr>
      <w:r>
        <w:rPr>
          <w:noProof/>
          <w:lang w:eastAsia="es-ES"/>
        </w:rPr>
        <w:pict>
          <v:rect id="Rectángulo 387" o:spid="_x0000_s1031" style="position:absolute;left:0;text-align:left;margin-left:-20.5pt;margin-top:360.65pt;width:192.55pt;height:146.1pt;z-index:251766784;visibility:visible;mso-width-percent:400;mso-position-horizontal-relative:margin;mso-position-vertic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" o:allowincell="f" filled="f" fillcolor="#4f81bd" stroked="f">
            <v:shadow color="#2f4d71" offset="1pt,1pt"/>
            <v:textbox inset="18pt,0,0,0">
              <w:txbxContent>
                <w:p w:rsidR="005A7AEE" w:rsidRPr="00407DE5" w:rsidRDefault="005A7AEE" w:rsidP="00407DE5">
                  <w:pPr>
                    <w:pBdr>
                      <w:top w:val="single" w:sz="8" w:space="10" w:color="2DA2BF" w:themeColor="accent1"/>
                      <w:bottom w:val="single" w:sz="8" w:space="1" w:color="2DA2BF" w:themeColor="accent1"/>
                      <w:between w:val="dotted" w:sz="4" w:space="10" w:color="90D4E5" w:themeColor="accent1" w:themeTint="7F"/>
                    </w:pBdr>
                    <w:rPr>
                      <w:b/>
                      <w:iCs/>
                      <w:color w:val="78310A" w:themeColor="accent3" w:themeShade="80"/>
                      <w:sz w:val="26"/>
                      <w:szCs w:val="26"/>
                    </w:rPr>
                  </w:pPr>
                  <w:r w:rsidRPr="00407DE5">
                    <w:rPr>
                      <w:b/>
                      <w:iCs/>
                      <w:color w:val="78310A" w:themeColor="accent3" w:themeShade="80"/>
                      <w:sz w:val="26"/>
                      <w:szCs w:val="26"/>
                    </w:rPr>
                    <w:t>Consideraciones generales</w:t>
                  </w:r>
                </w:p>
                <w:p w:rsidR="005A7AEE" w:rsidRPr="00407DE5" w:rsidRDefault="005A7AEE" w:rsidP="00407DE5">
                  <w:pPr>
                    <w:pStyle w:val="Prrafodelista"/>
                    <w:numPr>
                      <w:ilvl w:val="0"/>
                      <w:numId w:val="63"/>
                    </w:numPr>
                    <w:pBdr>
                      <w:top w:val="single" w:sz="8" w:space="10" w:color="2DA2BF" w:themeColor="accent1"/>
                      <w:bottom w:val="single" w:sz="8" w:space="1" w:color="2DA2BF" w:themeColor="accent1"/>
                      <w:between w:val="dotted" w:sz="4" w:space="10" w:color="90D4E5" w:themeColor="accent1" w:themeTint="7F"/>
                    </w:pBdr>
                    <w:rPr>
                      <w:b/>
                      <w:iCs/>
                      <w:color w:val="78310A" w:themeColor="accent3" w:themeShade="80"/>
                    </w:rPr>
                  </w:pPr>
                  <w:r w:rsidRPr="00407DE5">
                    <w:rPr>
                      <w:b/>
                      <w:iCs/>
                      <w:color w:val="78310A" w:themeColor="accent3" w:themeShade="80"/>
                    </w:rPr>
                    <w:t>Denominación</w:t>
                  </w:r>
                </w:p>
                <w:p w:rsidR="005A7AEE" w:rsidRPr="00407DE5" w:rsidRDefault="005A7AEE" w:rsidP="00407DE5">
                  <w:pPr>
                    <w:pStyle w:val="Prrafodelista"/>
                    <w:numPr>
                      <w:ilvl w:val="0"/>
                      <w:numId w:val="63"/>
                    </w:numPr>
                    <w:pBdr>
                      <w:top w:val="single" w:sz="8" w:space="10" w:color="2DA2BF" w:themeColor="accent1"/>
                      <w:bottom w:val="single" w:sz="8" w:space="1" w:color="2DA2BF" w:themeColor="accent1"/>
                      <w:between w:val="dotted" w:sz="4" w:space="10" w:color="90D4E5" w:themeColor="accent1" w:themeTint="7F"/>
                    </w:pBdr>
                    <w:rPr>
                      <w:b/>
                      <w:iCs/>
                      <w:color w:val="78310A" w:themeColor="accent3" w:themeShade="80"/>
                    </w:rPr>
                  </w:pPr>
                  <w:r w:rsidRPr="00407DE5">
                    <w:rPr>
                      <w:b/>
                      <w:iCs/>
                      <w:color w:val="78310A" w:themeColor="accent3" w:themeShade="80"/>
                    </w:rPr>
                    <w:t>Aspectos técnicos</w:t>
                  </w:r>
                </w:p>
                <w:p w:rsidR="005A7AEE" w:rsidRPr="00407DE5" w:rsidRDefault="005A7AEE" w:rsidP="00407DE5">
                  <w:pPr>
                    <w:pStyle w:val="Prrafodelista"/>
                    <w:numPr>
                      <w:ilvl w:val="0"/>
                      <w:numId w:val="63"/>
                    </w:numPr>
                    <w:pBdr>
                      <w:top w:val="single" w:sz="8" w:space="10" w:color="2DA2BF" w:themeColor="accent1"/>
                      <w:bottom w:val="single" w:sz="8" w:space="1" w:color="2DA2BF" w:themeColor="accent1"/>
                      <w:between w:val="dotted" w:sz="4" w:space="10" w:color="90D4E5" w:themeColor="accent1" w:themeTint="7F"/>
                    </w:pBdr>
                    <w:rPr>
                      <w:b/>
                      <w:iCs/>
                      <w:color w:val="78310A" w:themeColor="accent3" w:themeShade="80"/>
                    </w:rPr>
                  </w:pPr>
                  <w:r w:rsidRPr="00407DE5">
                    <w:rPr>
                      <w:b/>
                      <w:iCs/>
                      <w:color w:val="78310A" w:themeColor="accent3" w:themeShade="80"/>
                    </w:rPr>
                    <w:t>Referencia al buscador</w:t>
                  </w:r>
                </w:p>
              </w:txbxContent>
            </v:textbox>
            <w10:wrap type="square" anchorx="margin" anchory="margin"/>
          </v:rect>
        </w:pict>
      </w:r>
      <w:r w:rsidR="003316F3" w:rsidRPr="005A6843">
        <w:t xml:space="preserve">El art. 1.1 de la LGOB –que no ha sido derogada sino modificada por la LRJSP- establece que </w:t>
      </w:r>
      <w:r w:rsidR="003316F3" w:rsidRPr="001C6355">
        <w:rPr>
          <w:i/>
        </w:rPr>
        <w:t>“El Gobierno dirige la política interior y exterior, la Administración civil y militar y la defensa del Estado. Ejerce la función ejecutiva y la potestad reglamentaria de acuerdo con la Constitución y las leyes”</w:t>
      </w:r>
      <w:r w:rsidR="003316F3" w:rsidRPr="005A6843">
        <w:t xml:space="preserve">. </w:t>
      </w:r>
      <w:r w:rsidR="004F73D4" w:rsidRPr="005A6843">
        <w:t xml:space="preserve">Resulta pues, de acuerdo con esta norma, que </w:t>
      </w:r>
      <w:r w:rsidR="003316F3" w:rsidRPr="005A6843">
        <w:t>Gobierno y Administración, son sujetos distintos, correspondiendo al primero la dirección de la segunda tanto en su aspecto civil como militar.</w:t>
      </w:r>
    </w:p>
    <w:p w:rsidR="003316F3" w:rsidRPr="005A6843" w:rsidRDefault="003316F3" w:rsidP="00AA712B">
      <w:pPr>
        <w:jc w:val="both"/>
      </w:pPr>
      <w:r w:rsidRPr="005A6843">
        <w:t xml:space="preserve">Por su parte, la LRJSP, tras señalar en el art. 2.3 que </w:t>
      </w:r>
      <w:r w:rsidRPr="001C6355">
        <w:rPr>
          <w:i/>
        </w:rPr>
        <w:t>“tienen la consideración de Administraciones Públicas la Administración General del Estado, las Administraciones de las Comunidades Autónomas, las Entidades que integran la Administración Local, así como los organismos públicos y entidades de derecho público previstos en la letra a) del apartado 2</w:t>
      </w:r>
      <w:r w:rsidRPr="005A6843">
        <w:t xml:space="preserve"> -esto es, el denominado por la </w:t>
      </w:r>
      <w:r w:rsidR="00052FF3">
        <w:t>l</w:t>
      </w:r>
      <w:r w:rsidR="001C41A6">
        <w:t>ey</w:t>
      </w:r>
      <w:r w:rsidRPr="005A6843">
        <w:t xml:space="preserve"> “sector público institucional</w:t>
      </w:r>
      <w:r w:rsidR="00E8060C" w:rsidRPr="005A6843">
        <w:t>, constituido por los organismos y entidades vinculados o dependientes de las AAPP, incluidas las Universidades públicas</w:t>
      </w:r>
      <w:r w:rsidR="004F73D4" w:rsidRPr="005A6843">
        <w:t>-</w:t>
      </w:r>
      <w:r w:rsidRPr="005A6843">
        <w:t xml:space="preserve"> especifica en el art. 3.3 que </w:t>
      </w:r>
      <w:r w:rsidRPr="001C6355">
        <w:rPr>
          <w:i/>
        </w:rPr>
        <w:t>“Bajo la dirección del Gobierno de la Nación, de los órganos de gobierno de las Comunidades Autónomas y de los correspondientes de las Entidades Locales, la actuación de la Administración Pública respectiva se desarrolla para alcanzar los objetivos que establecen las leyes y el resto del ordenamiento jurídico”.</w:t>
      </w:r>
      <w:r w:rsidR="004F73D4" w:rsidRPr="001C6355">
        <w:rPr>
          <w:i/>
        </w:rPr>
        <w:t xml:space="preserve">  </w:t>
      </w:r>
      <w:r w:rsidR="004F73D4" w:rsidRPr="005A6843">
        <w:t>(art. 2.3)</w:t>
      </w:r>
    </w:p>
    <w:p w:rsidR="003316F3" w:rsidRPr="005A6843" w:rsidRDefault="003316F3" w:rsidP="00AA712B">
      <w:pPr>
        <w:jc w:val="both"/>
      </w:pPr>
      <w:r w:rsidRPr="005A6843">
        <w:t xml:space="preserve">De este modo, la LRJSP </w:t>
      </w:r>
      <w:r w:rsidR="008137F6" w:rsidRPr="005A6843">
        <w:t>incorpora</w:t>
      </w:r>
      <w:r w:rsidRPr="005A6843">
        <w:t xml:space="preserve"> la regulación de la LGOB</w:t>
      </w:r>
      <w:r w:rsidR="008137F6" w:rsidRPr="005A6843">
        <w:t xml:space="preserve"> con una referencia expresa a los tres niveles de Administración Pública existentes en el sistema jurídico español. L</w:t>
      </w:r>
      <w:r w:rsidRPr="005A6843">
        <w:t xml:space="preserve">as tres AAPP –estatal, autonómica y local- son organizaciones distintas </w:t>
      </w:r>
      <w:r w:rsidR="008137F6" w:rsidRPr="005A6843">
        <w:t xml:space="preserve">de los titulares del poder ejecutivo en cada uno de territorios </w:t>
      </w:r>
      <w:r w:rsidRPr="005A6843">
        <w:t xml:space="preserve">y están situadas bajo </w:t>
      </w:r>
      <w:r w:rsidR="009723BC" w:rsidRPr="005A6843">
        <w:t xml:space="preserve">su </w:t>
      </w:r>
      <w:r w:rsidRPr="005A6843">
        <w:t>superior dirección.</w:t>
      </w:r>
    </w:p>
    <w:p w:rsidR="009723BC" w:rsidRPr="005A6843" w:rsidRDefault="009723BC" w:rsidP="00AA712B">
      <w:pPr>
        <w:jc w:val="both"/>
      </w:pPr>
      <w:r w:rsidRPr="005A6843">
        <w:t>En todo caso, t</w:t>
      </w:r>
      <w:r w:rsidR="003316F3" w:rsidRPr="005A6843">
        <w:t xml:space="preserve">eniendo en cuenta que, tanto </w:t>
      </w:r>
      <w:r w:rsidRPr="005A6843">
        <w:t xml:space="preserve">de acuerdo </w:t>
      </w:r>
      <w:r w:rsidR="003316F3" w:rsidRPr="005A6843">
        <w:t xml:space="preserve">con la LGOB como con la LRJSP, la AGE es una organización subordinada al Gobierno y situada bajo la dirección de éste, la importancia práctica de </w:t>
      </w:r>
      <w:r w:rsidRPr="005A6843">
        <w:t xml:space="preserve">la </w:t>
      </w:r>
      <w:r w:rsidR="003316F3" w:rsidRPr="005A6843">
        <w:t xml:space="preserve">discrepancia entre la </w:t>
      </w:r>
      <w:r w:rsidR="00052FF3">
        <w:t>l</w:t>
      </w:r>
      <w:r w:rsidR="001C41A6">
        <w:t>ey</w:t>
      </w:r>
      <w:r w:rsidR="00E768A4">
        <w:t xml:space="preserve"> de transparencia</w:t>
      </w:r>
      <w:r w:rsidR="003316F3" w:rsidRPr="005A6843">
        <w:t xml:space="preserve"> y la denominación del Portal es relativa</w:t>
      </w:r>
      <w:r w:rsidRPr="005A6843">
        <w:t>. C</w:t>
      </w:r>
      <w:r w:rsidR="003316F3" w:rsidRPr="005A6843">
        <w:t xml:space="preserve">omo se verá enseguida, </w:t>
      </w:r>
      <w:r w:rsidRPr="005A6843">
        <w:t xml:space="preserve">éste último </w:t>
      </w:r>
      <w:r w:rsidR="003316F3" w:rsidRPr="005A6843">
        <w:t>incorpora</w:t>
      </w:r>
      <w:r w:rsidRPr="005A6843">
        <w:t xml:space="preserve">, además de otros contenidos, </w:t>
      </w:r>
      <w:r w:rsidR="003316F3" w:rsidRPr="005A6843">
        <w:t xml:space="preserve"> los datos e informaciones relativas a la actividad de la AGE que la </w:t>
      </w:r>
      <w:r w:rsidR="00052FF3">
        <w:t>l</w:t>
      </w:r>
      <w:r w:rsidR="001C41A6">
        <w:t>ey</w:t>
      </w:r>
      <w:r w:rsidR="003316F3" w:rsidRPr="005A6843">
        <w:t xml:space="preserve"> obliga a someter al régimen de publicidad activa. </w:t>
      </w:r>
    </w:p>
    <w:p w:rsidR="003316F3" w:rsidRPr="005A6843" w:rsidRDefault="009723BC" w:rsidP="00AA712B">
      <w:pPr>
        <w:jc w:val="both"/>
      </w:pPr>
      <w:r w:rsidRPr="005A6843">
        <w:t>Ello n</w:t>
      </w:r>
      <w:r w:rsidR="003316F3" w:rsidRPr="005A6843">
        <w:t xml:space="preserve">o obstante, desde el punto de vista de la claridad requerida por el art. 5 de la </w:t>
      </w:r>
      <w:r w:rsidR="00052FF3">
        <w:t>l</w:t>
      </w:r>
      <w:r w:rsidR="001C41A6">
        <w:t>ey</w:t>
      </w:r>
      <w:r w:rsidR="00E768A4">
        <w:t xml:space="preserve"> de transparencia</w:t>
      </w:r>
      <w:r w:rsidR="003316F3" w:rsidRPr="005A6843">
        <w:t xml:space="preserve"> y del uso del portal por ciudadanos no expertos en derecho público y organización administrativa, tal vez fuera aconsejable modificar la denominación del Portal. Máxime cuando en Internet ya existe un </w:t>
      </w:r>
      <w:hyperlink r:id="rId22" w:history="1">
        <w:r w:rsidR="003316F3" w:rsidRPr="0069620D">
          <w:rPr>
            <w:rStyle w:val="Hipervnculo"/>
          </w:rPr>
          <w:t>portal institucional del Gobierno</w:t>
        </w:r>
      </w:hyperlink>
      <w:r w:rsidR="0069620D">
        <w:t>.</w:t>
      </w:r>
    </w:p>
    <w:p w:rsidR="003316F3" w:rsidRPr="005A6843" w:rsidRDefault="003316F3" w:rsidP="00AA712B">
      <w:pPr>
        <w:jc w:val="both"/>
      </w:pPr>
      <w:r w:rsidRPr="005A6843">
        <w:t xml:space="preserve">Igualmente, a criterio de este CTBG y teniendo en cuenta que además del Portal gubernamental y del Portal de la Transparencia, existen también otros dos portales generalistas de la Administración del Estado, el </w:t>
      </w:r>
      <w:r w:rsidR="004F73D4" w:rsidRPr="005A6843">
        <w:t>“</w:t>
      </w:r>
      <w:hyperlink r:id="rId23" w:history="1">
        <w:r w:rsidRPr="0069620D">
          <w:rPr>
            <w:rStyle w:val="Hipervnculo"/>
          </w:rPr>
          <w:t>Portal de Datos Abiertos</w:t>
        </w:r>
      </w:hyperlink>
      <w:r w:rsidR="004F73D4" w:rsidRPr="005A6843">
        <w:t>”</w:t>
      </w:r>
      <w:r w:rsidRPr="005A6843">
        <w:t xml:space="preserve"> y el </w:t>
      </w:r>
      <w:r w:rsidR="004F73D4" w:rsidRPr="005A6843">
        <w:t>“</w:t>
      </w:r>
      <w:hyperlink r:id="rId24" w:history="1">
        <w:r w:rsidRPr="0069620D">
          <w:rPr>
            <w:rStyle w:val="Hipervnculo"/>
          </w:rPr>
          <w:t>Punto de Acceso General (PAG)</w:t>
        </w:r>
      </w:hyperlink>
      <w:r w:rsidR="004F73D4" w:rsidRPr="005A6843">
        <w:t>”</w:t>
      </w:r>
      <w:r w:rsidRPr="005A6843">
        <w:t xml:space="preserve">, una mayor precisión en la denominación e identificación de los portales sería una valiosa contribución a la claridad de los contenidos y a la usabilidad de las </w:t>
      </w:r>
      <w:r w:rsidR="00FC4B2E" w:rsidRPr="00FC4B2E">
        <w:rPr>
          <w:i/>
        </w:rPr>
        <w:t>web</w:t>
      </w:r>
      <w:r w:rsidRPr="005A6843">
        <w:t>.</w:t>
      </w:r>
    </w:p>
    <w:p w:rsidR="003316F3" w:rsidRPr="005A6843" w:rsidRDefault="003316F3" w:rsidP="002420B8">
      <w:pPr>
        <w:pStyle w:val="Ttulo3"/>
      </w:pPr>
      <w:bookmarkStart w:id="77" w:name="_Toc489351992"/>
      <w:bookmarkStart w:id="78" w:name="_Toc498345373"/>
      <w:bookmarkStart w:id="79" w:name="_Toc500414725"/>
      <w:bookmarkStart w:id="80" w:name="_Toc500416458"/>
      <w:bookmarkStart w:id="81" w:name="_Toc500416516"/>
      <w:bookmarkStart w:id="82" w:name="_Toc501110668"/>
      <w:r w:rsidRPr="005A6843">
        <w:t>Aspectos técnicos</w:t>
      </w:r>
      <w:bookmarkEnd w:id="77"/>
      <w:bookmarkEnd w:id="78"/>
      <w:bookmarkEnd w:id="79"/>
      <w:bookmarkEnd w:id="80"/>
      <w:bookmarkEnd w:id="81"/>
      <w:bookmarkEnd w:id="82"/>
    </w:p>
    <w:p w:rsidR="009723BC" w:rsidRPr="005A6843" w:rsidRDefault="003316F3" w:rsidP="00AA712B">
      <w:pPr>
        <w:jc w:val="both"/>
      </w:pPr>
      <w:r w:rsidRPr="005A6843">
        <w:t xml:space="preserve">Si bien, como se verá a lo largo de este informe, el Portal AGE presenta un margen de mejora en sus contenidos informativos y, especialmente, en la estructura y organización de éstos, no sucede lo mismo con sus aspectos técnicos. </w:t>
      </w:r>
    </w:p>
    <w:p w:rsidR="003316F3" w:rsidRPr="005A6843" w:rsidRDefault="003316F3" w:rsidP="00AA712B">
      <w:pPr>
        <w:jc w:val="both"/>
      </w:pPr>
      <w:r w:rsidRPr="005A6843">
        <w:t xml:space="preserve">Desde el punto de vista de su calidad como soporte </w:t>
      </w:r>
      <w:r w:rsidR="00FC4B2E" w:rsidRPr="00FC4B2E">
        <w:rPr>
          <w:i/>
        </w:rPr>
        <w:t>web</w:t>
      </w:r>
      <w:r w:rsidRPr="005A6843">
        <w:t>, el sitio cumple adecuadamente los estándares marcados por las normas</w:t>
      </w:r>
      <w:r w:rsidR="004F73D4" w:rsidRPr="005A6843">
        <w:t xml:space="preserve"> </w:t>
      </w:r>
      <w:r w:rsidRPr="005A6843">
        <w:t xml:space="preserve"> técnicas y de otra índole</w:t>
      </w:r>
      <w:r w:rsidR="0027275C">
        <w:t>,</w:t>
      </w:r>
      <w:r w:rsidRPr="005A6843">
        <w:t xml:space="preserve"> aplicables a los sistemas y aplicaciones de Administración Digital de la AGE y con los parámetros del Observatorio Nacional de las Telecomunicaciones y la Sociedad de la Información (ONTSI).</w:t>
      </w:r>
    </w:p>
    <w:p w:rsidR="003316F3" w:rsidRPr="005A6843" w:rsidRDefault="003316F3" w:rsidP="00AA712B">
      <w:pPr>
        <w:jc w:val="both"/>
      </w:pPr>
      <w:r w:rsidRPr="005A6843">
        <w:t xml:space="preserve">Desde el punto de vista de los requisitos técnicos de publicidad activa establecidos por los arts. 5 y 10  de la </w:t>
      </w:r>
      <w:r w:rsidR="00052FF3">
        <w:t>l</w:t>
      </w:r>
      <w:r w:rsidR="001C41A6">
        <w:t>ey</w:t>
      </w:r>
      <w:r w:rsidR="00E768A4">
        <w:t xml:space="preserve"> de transparencia</w:t>
      </w:r>
      <w:r w:rsidRPr="005A6843">
        <w:t xml:space="preserve">, que constituyen el único ámbito de actuación del CTBG en esta materia, debe ponerse especialmente de relieve el cumplimiento por el Portal de los requisitos de accesibilidad universal, interoperabilidad, reutilización de la información y actualización de los datos incorporados. La mayor parte de sus contenidos informativos están “locutados” y son accesibles en forma de audio para las personas con discapacidad visual; una buena parte de sus contenidos textuales están traducidos a las lenguas co-oficiales de España y al idioma inglés; casi todas las informaciones pueden ser compartidas o comentadas en las redes sociales (Facebook, Twitter, </w:t>
      </w:r>
      <w:r w:rsidR="00FC4B2E" w:rsidRPr="00664963">
        <w:t>Link</w:t>
      </w:r>
      <w:r w:rsidRPr="005A6843">
        <w:t xml:space="preserve">edin, Google) y presentan un menú desplegable de commodities (acceso a Internet, acceso correo electrónico, impresión, </w:t>
      </w:r>
      <w:r w:rsidR="00235F53">
        <w:t>etc.</w:t>
      </w:r>
      <w:r w:rsidRPr="005A6843">
        <w:t>). Finalmente, la mayor parte de los contenidos se publican en formatos reutilizables de acuerdo con los parámetros fijados por el ONTSI y están sometidos a actualización permanente o incorporan una fecha o una data que permite situarlos en el tiempo.</w:t>
      </w:r>
    </w:p>
    <w:p w:rsidR="003316F3" w:rsidRPr="005A6843" w:rsidRDefault="003316F3" w:rsidP="00AA712B">
      <w:pPr>
        <w:jc w:val="both"/>
      </w:pPr>
      <w:r w:rsidRPr="005A6843">
        <w:t>Referente a la navegación, y sin perjuicio de lo que luego se dirá acerca de la organización de la información de publicidad activa -que es muy mejorable-, en general es sencilla e intuitiva y cuenta con algunos elementos que la facilitan (p. ej. la posibilidad de ver la información estructurada en su totalidad accionando un solo botón al final de la página</w:t>
      </w:r>
      <w:r w:rsidR="00C633A5" w:rsidRPr="005A6843">
        <w:t xml:space="preserve">, </w:t>
      </w:r>
      <w:r w:rsidRPr="005A6843">
        <w:t>el despliegue inmediato de los menús de opciones con solo situar el mouse sobre las pestañas del menú principal</w:t>
      </w:r>
      <w:r w:rsidR="00C633A5" w:rsidRPr="005A6843">
        <w:t xml:space="preserve"> o la opción de aumentar o disminuir el número de resultados visibles en </w:t>
      </w:r>
      <w:r w:rsidR="006124D9" w:rsidRPr="005A6843">
        <w:t>los listados o relaciones</w:t>
      </w:r>
      <w:r w:rsidRPr="005A6843">
        <w:t xml:space="preserve">). Únicamente cabe señalar, como </w:t>
      </w:r>
      <w:r w:rsidR="008C31F5" w:rsidRPr="005A6843">
        <w:t>aspecto susceptible de mejora</w:t>
      </w:r>
      <w:r w:rsidRPr="005A6843">
        <w:t xml:space="preserve">, la </w:t>
      </w:r>
      <w:r w:rsidR="004F73D4" w:rsidRPr="005A6843">
        <w:t xml:space="preserve">dificultad </w:t>
      </w:r>
      <w:r w:rsidR="008C31F5" w:rsidRPr="005A6843">
        <w:t xml:space="preserve">existente </w:t>
      </w:r>
      <w:r w:rsidR="004F73D4" w:rsidRPr="005A6843">
        <w:t>para continuar navegando por un determinado menú ministerial de transparencia cuando se cambia de una sub-categoría de información a otra</w:t>
      </w:r>
      <w:r w:rsidR="008C31F5" w:rsidRPr="005A6843">
        <w:t xml:space="preserve"> puesto que el sistema obliga por defecto al visitante a reiniciar la navegación desde el menú general por Ministerios.</w:t>
      </w:r>
    </w:p>
    <w:p w:rsidR="003316F3" w:rsidRPr="005A6843" w:rsidRDefault="004D0A16" w:rsidP="00AA712B">
      <w:pPr>
        <w:jc w:val="both"/>
      </w:pPr>
      <w:r w:rsidRPr="005A6843">
        <w:t xml:space="preserve">Para finalizar hay que decir que </w:t>
      </w:r>
      <w:r w:rsidR="009723BC" w:rsidRPr="005A6843">
        <w:t xml:space="preserve">este sucinto recorrido por los aspectos técnicos del Portal no quedaría completo sin </w:t>
      </w:r>
      <w:r w:rsidR="003316F3" w:rsidRPr="005A6843">
        <w:t xml:space="preserve">poner </w:t>
      </w:r>
      <w:r w:rsidR="008C31F5" w:rsidRPr="005A6843">
        <w:t xml:space="preserve">de relieve la potencia del sistema, que gobierna y administra un </w:t>
      </w:r>
      <w:r w:rsidR="003316F3" w:rsidRPr="005A6843">
        <w:t xml:space="preserve">número </w:t>
      </w:r>
      <w:r w:rsidR="008C31F5" w:rsidRPr="005A6843">
        <w:t xml:space="preserve">más que considerable </w:t>
      </w:r>
      <w:r w:rsidR="003316F3" w:rsidRPr="005A6843">
        <w:t>de datos y registros informativos -como se ha dicho, más de 1,5 millones a 31 de diciembre de 2016-,</w:t>
      </w:r>
      <w:r w:rsidR="008C31F5" w:rsidRPr="005A6843">
        <w:t xml:space="preserve"> y </w:t>
      </w:r>
      <w:r w:rsidR="00E8060C" w:rsidRPr="005A6843">
        <w:t xml:space="preserve">sin </w:t>
      </w:r>
      <w:r w:rsidR="008C31F5" w:rsidRPr="005A6843">
        <w:t xml:space="preserve">poner en valor el </w:t>
      </w:r>
      <w:r w:rsidR="003316F3" w:rsidRPr="005A6843">
        <w:t xml:space="preserve">esfuerzo </w:t>
      </w:r>
      <w:r w:rsidR="008C31F5" w:rsidRPr="005A6843">
        <w:t xml:space="preserve">realizado por </w:t>
      </w:r>
      <w:r w:rsidR="003316F3" w:rsidRPr="005A6843">
        <w:t xml:space="preserve">sus responsables y los distintos Departamentos Ministeriales </w:t>
      </w:r>
      <w:r w:rsidR="008C31F5" w:rsidRPr="005A6843">
        <w:t xml:space="preserve">para configurar y poner en funcionamiento un </w:t>
      </w:r>
      <w:r w:rsidR="003316F3" w:rsidRPr="005A6843">
        <w:t xml:space="preserve">sistema de información de </w:t>
      </w:r>
      <w:r w:rsidR="008C31F5" w:rsidRPr="005A6843">
        <w:t>ta</w:t>
      </w:r>
      <w:r w:rsidR="00E8060C" w:rsidRPr="005A6843">
        <w:t xml:space="preserve">les </w:t>
      </w:r>
      <w:r w:rsidR="003316F3" w:rsidRPr="005A6843">
        <w:t>magnitud y complejidad</w:t>
      </w:r>
      <w:r w:rsidR="008C31F5" w:rsidRPr="005A6843">
        <w:t>.</w:t>
      </w:r>
      <w:r w:rsidR="003316F3" w:rsidRPr="005A6843">
        <w:t xml:space="preserve">  </w:t>
      </w:r>
    </w:p>
    <w:p w:rsidR="003316F3" w:rsidRPr="005A6843" w:rsidRDefault="003316F3" w:rsidP="002420B8">
      <w:pPr>
        <w:pStyle w:val="Ttulo3"/>
      </w:pPr>
      <w:bookmarkStart w:id="83" w:name="_Toc489351993"/>
      <w:bookmarkStart w:id="84" w:name="_Toc498345374"/>
      <w:bookmarkStart w:id="85" w:name="_Toc500414726"/>
      <w:bookmarkStart w:id="86" w:name="_Toc500416459"/>
      <w:bookmarkStart w:id="87" w:name="_Toc500416517"/>
      <w:bookmarkStart w:id="88" w:name="_Toc501110669"/>
      <w:r w:rsidRPr="005A6843">
        <w:t xml:space="preserve">Referencia al </w:t>
      </w:r>
      <w:r w:rsidR="004D0A16" w:rsidRPr="005A6843">
        <w:t>“B</w:t>
      </w:r>
      <w:r w:rsidRPr="005A6843">
        <w:t>uscador</w:t>
      </w:r>
      <w:r w:rsidR="004D0A16" w:rsidRPr="005A6843">
        <w:t>”</w:t>
      </w:r>
      <w:r w:rsidRPr="005A6843">
        <w:t xml:space="preserve"> del Portal</w:t>
      </w:r>
      <w:bookmarkEnd w:id="83"/>
      <w:bookmarkEnd w:id="84"/>
      <w:bookmarkEnd w:id="85"/>
      <w:bookmarkEnd w:id="86"/>
      <w:bookmarkEnd w:id="87"/>
      <w:bookmarkEnd w:id="88"/>
    </w:p>
    <w:p w:rsidR="003316F3" w:rsidRPr="005A6843" w:rsidRDefault="005C3513" w:rsidP="00AA712B">
      <w:pPr>
        <w:jc w:val="both"/>
      </w:pPr>
      <w:r>
        <w:rPr>
          <w:noProof/>
          <w:lang w:eastAsia="es-ES"/>
        </w:rPr>
        <w:drawing>
          <wp:anchor distT="0" distB="0" distL="114300" distR="114300" simplePos="0" relativeHeight="251770880" behindDoc="0" locked="0" layoutInCell="1" allowOverlap="1">
            <wp:simplePos x="0" y="0"/>
            <wp:positionH relativeFrom="column">
              <wp:posOffset>2786380</wp:posOffset>
            </wp:positionH>
            <wp:positionV relativeFrom="paragraph">
              <wp:posOffset>31115</wp:posOffset>
            </wp:positionV>
            <wp:extent cx="3319145" cy="1711325"/>
            <wp:effectExtent l="19050" t="0" r="0" b="0"/>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1.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681" b="9939"/>
                    <a:stretch/>
                  </pic:blipFill>
                  <pic:spPr bwMode="auto">
                    <a:xfrm>
                      <a:off x="0" y="0"/>
                      <a:ext cx="3319145" cy="1711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316F3" w:rsidRPr="005A6843">
        <w:t>Como se ha visto, el Portal incorpora un gran volumen de datos y, frecuentemente, en algunos de los contenidos informativos más extensos, la búsqueda secuencial de la información que se desea es imposible sin el recurso a un motor de búsqueda con mecanismos de filtrado de los datos.</w:t>
      </w:r>
    </w:p>
    <w:p w:rsidR="008C31F5" w:rsidRPr="005A6843" w:rsidRDefault="003316F3" w:rsidP="00AA712B">
      <w:pPr>
        <w:jc w:val="both"/>
      </w:pPr>
      <w:r w:rsidRPr="005A6843">
        <w:t xml:space="preserve"> El Portal AGE ofrece el acceso al buscador ya desde la página de inicio, pudiendo el visitante teclear libremente la información que desea. </w:t>
      </w:r>
      <w:r w:rsidR="00E8060C" w:rsidRPr="005A6843">
        <w:t>Ahora bien: en esta primera opción, la eficacia del buscador es muy relativa. S</w:t>
      </w:r>
      <w:r w:rsidRPr="005A6843">
        <w:t xml:space="preserve">egún los datos </w:t>
      </w:r>
      <w:r w:rsidR="00E8060C" w:rsidRPr="005A6843">
        <w:t>que se requieran</w:t>
      </w:r>
      <w:r w:rsidRPr="005A6843">
        <w:t xml:space="preserve">, los resultados pueden llegar a sumar decenas de miles de registros, incluso un centenar, pero las únicas opciones de filtrado que ofrece el buscador en esta versión simplificada es ordenarlas por </w:t>
      </w:r>
      <w:r w:rsidRPr="001C6355">
        <w:rPr>
          <w:i/>
        </w:rPr>
        <w:t>“Fecha”</w:t>
      </w:r>
      <w:r w:rsidRPr="005A6843">
        <w:t xml:space="preserve"> o por </w:t>
      </w:r>
      <w:r w:rsidRPr="001C6355">
        <w:rPr>
          <w:i/>
        </w:rPr>
        <w:t>“Relevancia”</w:t>
      </w:r>
      <w:r w:rsidRPr="005A6843">
        <w:t>.</w:t>
      </w:r>
      <w:r w:rsidR="00E8060C" w:rsidRPr="005A6843">
        <w:t xml:space="preserve"> De este modo, </w:t>
      </w:r>
      <w:r w:rsidRPr="005A6843">
        <w:t>fácilmente se comprende, e</w:t>
      </w:r>
      <w:r w:rsidR="00E8060C" w:rsidRPr="005A6843">
        <w:t xml:space="preserve">l usuario se </w:t>
      </w:r>
      <w:r w:rsidR="00B55D3C" w:rsidRPr="005A6843">
        <w:t>ve</w:t>
      </w:r>
      <w:r w:rsidR="00E8060C" w:rsidRPr="005A6843">
        <w:t xml:space="preserve"> forzado a </w:t>
      </w:r>
      <w:r w:rsidRPr="005A6843">
        <w:t>acudir a</w:t>
      </w:r>
      <w:r w:rsidR="00E8060C" w:rsidRPr="005A6843">
        <w:t xml:space="preserve"> la segunda opción de búsqueda, el</w:t>
      </w:r>
      <w:r w:rsidRPr="005A6843">
        <w:t xml:space="preserve"> </w:t>
      </w:r>
      <w:r w:rsidRPr="001C6355">
        <w:rPr>
          <w:i/>
        </w:rPr>
        <w:t>“</w:t>
      </w:r>
      <w:r w:rsidR="00E8060C" w:rsidRPr="001C6355">
        <w:rPr>
          <w:i/>
        </w:rPr>
        <w:t>B</w:t>
      </w:r>
      <w:r w:rsidRPr="001C6355">
        <w:rPr>
          <w:i/>
        </w:rPr>
        <w:t>uscador avanzado”</w:t>
      </w:r>
      <w:r w:rsidRPr="005A6843">
        <w:t xml:space="preserve"> para </w:t>
      </w:r>
      <w:r w:rsidR="00E8060C" w:rsidRPr="005A6843">
        <w:t>obtener la información que necesita. Desde este punto de vista, tal vez fuera aconsejable suprimir el acceso a la primera versión del buscador y ofrecer directamente un acceso a la segunda.</w:t>
      </w:r>
      <w:r w:rsidRPr="005A6843">
        <w:t xml:space="preserve"> </w:t>
      </w:r>
    </w:p>
    <w:p w:rsidR="003316F3" w:rsidRPr="005A6843" w:rsidRDefault="008C31F5" w:rsidP="00AA712B">
      <w:pPr>
        <w:jc w:val="both"/>
      </w:pPr>
      <w:r w:rsidRPr="005A6843">
        <w:t xml:space="preserve">La </w:t>
      </w:r>
      <w:r w:rsidR="003316F3" w:rsidRPr="005A6843">
        <w:t xml:space="preserve">versión avanzada del buscador ofrece la misma entrada con texto libre que la versión simplificada más la posibilidad de filtrar la información por </w:t>
      </w:r>
      <w:r w:rsidR="003316F3" w:rsidRPr="001C6355">
        <w:rPr>
          <w:i/>
        </w:rPr>
        <w:t>“Categoría”</w:t>
      </w:r>
      <w:r w:rsidR="003316F3" w:rsidRPr="005A6843">
        <w:t xml:space="preserve"> –institucional, normativa, contratos, presupuestos-, </w:t>
      </w:r>
      <w:r w:rsidR="003316F3" w:rsidRPr="001C6355">
        <w:rPr>
          <w:i/>
        </w:rPr>
        <w:t>“Elementos de Información”</w:t>
      </w:r>
      <w:r w:rsidR="003316F3" w:rsidRPr="005A6843">
        <w:t xml:space="preserve"> –sub-categorías- o </w:t>
      </w:r>
      <w:r w:rsidR="003316F3" w:rsidRPr="001C6355">
        <w:rPr>
          <w:i/>
        </w:rPr>
        <w:t>“Departamentos”</w:t>
      </w:r>
      <w:r w:rsidR="003316F3" w:rsidRPr="005A6843">
        <w:t xml:space="preserve"> –el Ministerio a que corresponde la información buscada- o mediante una combinación de todos estos filtros. En la mayoría de las sub-categorías hay además una opción -</w:t>
      </w:r>
      <w:r w:rsidR="003316F3" w:rsidRPr="001C6355">
        <w:rPr>
          <w:i/>
        </w:rPr>
        <w:t>“Más Filtros”</w:t>
      </w:r>
      <w:r w:rsidR="003316F3" w:rsidRPr="005A6843">
        <w:t xml:space="preserve">- que ofrece posibilidades adicionales: </w:t>
      </w:r>
    </w:p>
    <w:p w:rsidR="003316F3" w:rsidRDefault="003316F3" w:rsidP="00CD1B61">
      <w:pPr>
        <w:pStyle w:val="Prrafodelista"/>
        <w:numPr>
          <w:ilvl w:val="0"/>
          <w:numId w:val="7"/>
        </w:numPr>
        <w:spacing w:line="276" w:lineRule="auto"/>
        <w:ind w:left="426"/>
        <w:jc w:val="both"/>
      </w:pPr>
      <w:r w:rsidRPr="005A6843">
        <w:t xml:space="preserve">Así, las sub-categorías de la categoría de información </w:t>
      </w:r>
      <w:r w:rsidRPr="001C6355">
        <w:rPr>
          <w:i/>
        </w:rPr>
        <w:t>“Institucional”</w:t>
      </w:r>
      <w:r w:rsidRPr="005A6843">
        <w:t>, proporcionan al usuario del Portal l</w:t>
      </w:r>
      <w:r w:rsidR="00E8060C" w:rsidRPr="005A6843">
        <w:t xml:space="preserve">os </w:t>
      </w:r>
      <w:r w:rsidRPr="005A6843">
        <w:t xml:space="preserve">siguientes </w:t>
      </w:r>
      <w:r w:rsidR="00E8060C" w:rsidRPr="001C6355">
        <w:rPr>
          <w:i/>
        </w:rPr>
        <w:t>“filtros”</w:t>
      </w:r>
      <w:r w:rsidR="00E8060C" w:rsidRPr="005A6843">
        <w:t xml:space="preserve"> adicionales:</w:t>
      </w:r>
    </w:p>
    <w:p w:rsidR="000D513D" w:rsidRPr="005A6843" w:rsidRDefault="000D513D" w:rsidP="00AC59E7">
      <w:pPr>
        <w:pStyle w:val="Prrafodelista"/>
        <w:spacing w:line="276" w:lineRule="auto"/>
        <w:ind w:left="426"/>
        <w:jc w:val="both"/>
      </w:pPr>
    </w:p>
    <w:p w:rsidR="003316F3" w:rsidRDefault="003316F3" w:rsidP="00CD1B61">
      <w:pPr>
        <w:pStyle w:val="Prrafodelista"/>
        <w:numPr>
          <w:ilvl w:val="0"/>
          <w:numId w:val="8"/>
        </w:numPr>
        <w:spacing w:line="276" w:lineRule="auto"/>
        <w:ind w:left="709"/>
        <w:jc w:val="both"/>
      </w:pPr>
      <w:r w:rsidRPr="001C6355">
        <w:rPr>
          <w:i/>
        </w:rPr>
        <w:t>“Estructura”</w:t>
      </w:r>
      <w:r w:rsidRPr="005A6843">
        <w:t xml:space="preserve"> y </w:t>
      </w:r>
      <w:r w:rsidRPr="001C6355">
        <w:rPr>
          <w:i/>
        </w:rPr>
        <w:t>“Funciones”</w:t>
      </w:r>
      <w:r w:rsidRPr="005A6843">
        <w:t xml:space="preserve">: El buscador ofrece la opción de filtrar por </w:t>
      </w:r>
      <w:r w:rsidRPr="001C6355">
        <w:rPr>
          <w:i/>
        </w:rPr>
        <w:t>“Año”</w:t>
      </w:r>
      <w:r w:rsidRPr="005A6843">
        <w:t xml:space="preserve">, con cinco alternativas: </w:t>
      </w:r>
      <w:r w:rsidRPr="001C6355">
        <w:rPr>
          <w:i/>
        </w:rPr>
        <w:t>“2014 /  2015 / 2016 / 2017 / Todos”</w:t>
      </w:r>
      <w:r w:rsidRPr="005A6843">
        <w:t xml:space="preserve">. </w:t>
      </w:r>
    </w:p>
    <w:p w:rsidR="000D513D" w:rsidRPr="005A6843" w:rsidRDefault="000D513D" w:rsidP="00AC59E7">
      <w:pPr>
        <w:pStyle w:val="Prrafodelista"/>
        <w:spacing w:line="276" w:lineRule="auto"/>
        <w:ind w:left="709"/>
        <w:jc w:val="both"/>
      </w:pPr>
    </w:p>
    <w:p w:rsidR="003316F3" w:rsidRDefault="003316F3" w:rsidP="00CD1B61">
      <w:pPr>
        <w:pStyle w:val="Prrafodelista"/>
        <w:numPr>
          <w:ilvl w:val="0"/>
          <w:numId w:val="8"/>
        </w:numPr>
        <w:spacing w:line="276" w:lineRule="auto"/>
        <w:ind w:left="709"/>
        <w:jc w:val="both"/>
      </w:pPr>
      <w:r w:rsidRPr="001C6355">
        <w:rPr>
          <w:i/>
        </w:rPr>
        <w:t>“Planes de Objetivos”</w:t>
      </w:r>
      <w:r w:rsidRPr="005A6843">
        <w:t xml:space="preserve">: El buscador ofrece tres posibilidades adicionales de filtrar la información: 1º.- Por la vigencia o no del Plan en el momento en que se hace la consulta, con tres alternativas: </w:t>
      </w:r>
      <w:r w:rsidRPr="001C6355">
        <w:rPr>
          <w:i/>
        </w:rPr>
        <w:t>“Vigente: Sí / No / Todos”</w:t>
      </w:r>
      <w:r w:rsidRPr="005A6843">
        <w:t xml:space="preserve"> ; 2º.- Por la naturaleza o contenido del Plan, también con tres alternativas: </w:t>
      </w:r>
      <w:r w:rsidRPr="001C6355">
        <w:rPr>
          <w:i/>
        </w:rPr>
        <w:t>“Planes de objetivos / Cartas de servicio / Todos”</w:t>
      </w:r>
      <w:r w:rsidRPr="005A6843">
        <w:t xml:space="preserve"> y 3º.- Por el </w:t>
      </w:r>
      <w:r w:rsidRPr="001C6355">
        <w:rPr>
          <w:i/>
        </w:rPr>
        <w:t>“Año”</w:t>
      </w:r>
      <w:r w:rsidRPr="005A6843">
        <w:t xml:space="preserve"> de aprobación del Plan, con cinco alternativas: </w:t>
      </w:r>
      <w:r w:rsidRPr="001C6355">
        <w:rPr>
          <w:i/>
        </w:rPr>
        <w:t>“2014 /  2015 / 2016 / 2017 / Todos”</w:t>
      </w:r>
      <w:r w:rsidRPr="005A6843">
        <w:t xml:space="preserve">. </w:t>
      </w:r>
    </w:p>
    <w:p w:rsidR="000D513D" w:rsidRDefault="000D513D" w:rsidP="00AC59E7">
      <w:pPr>
        <w:pStyle w:val="Prrafodelista"/>
        <w:spacing w:line="276" w:lineRule="auto"/>
      </w:pPr>
    </w:p>
    <w:p w:rsidR="003316F3" w:rsidRDefault="003316F3" w:rsidP="00CD1B61">
      <w:pPr>
        <w:pStyle w:val="Prrafodelista"/>
        <w:numPr>
          <w:ilvl w:val="0"/>
          <w:numId w:val="8"/>
        </w:numPr>
        <w:spacing w:line="276" w:lineRule="auto"/>
        <w:ind w:left="709"/>
        <w:jc w:val="both"/>
      </w:pPr>
      <w:r w:rsidRPr="001C6355">
        <w:rPr>
          <w:i/>
        </w:rPr>
        <w:t>“Retribuciones de Altos Cargos”</w:t>
      </w:r>
      <w:r w:rsidRPr="005A6843">
        <w:t>: Se p</w:t>
      </w:r>
      <w:r w:rsidR="001C6355">
        <w:t xml:space="preserve">uede filtrar la información por </w:t>
      </w:r>
      <w:r w:rsidRPr="001C6355">
        <w:rPr>
          <w:i/>
        </w:rPr>
        <w:t>”Año”</w:t>
      </w:r>
      <w:r w:rsidRPr="005A6843">
        <w:t xml:space="preserve"> con cinco alternativas: </w:t>
      </w:r>
      <w:r w:rsidRPr="001C6355">
        <w:rPr>
          <w:i/>
        </w:rPr>
        <w:t>“2014 /  2015 / 2016 / 2017 / Todos”</w:t>
      </w:r>
      <w:r w:rsidRPr="005A6843">
        <w:t xml:space="preserve">. </w:t>
      </w:r>
    </w:p>
    <w:p w:rsidR="000D513D" w:rsidRDefault="000D513D" w:rsidP="00AC59E7">
      <w:pPr>
        <w:pStyle w:val="Prrafodelista"/>
        <w:spacing w:line="276" w:lineRule="auto"/>
      </w:pPr>
    </w:p>
    <w:p w:rsidR="003316F3" w:rsidRDefault="003316F3" w:rsidP="00CD1B61">
      <w:pPr>
        <w:pStyle w:val="Prrafodelista"/>
        <w:numPr>
          <w:ilvl w:val="0"/>
          <w:numId w:val="8"/>
        </w:numPr>
        <w:spacing w:line="276" w:lineRule="auto"/>
        <w:ind w:left="709"/>
        <w:jc w:val="both"/>
      </w:pPr>
      <w:r w:rsidRPr="001C6355">
        <w:rPr>
          <w:i/>
        </w:rPr>
        <w:t>“Currículos de Altos Cargos”</w:t>
      </w:r>
      <w:r w:rsidRPr="005A6843">
        <w:t>: Se puede filtrar por: 1º.- Vigencia del cargo, con tres alterna</w:t>
      </w:r>
      <w:r w:rsidR="001C6355">
        <w:t xml:space="preserve">tivas: </w:t>
      </w:r>
      <w:r w:rsidR="001C6355" w:rsidRPr="001C6355">
        <w:rPr>
          <w:i/>
        </w:rPr>
        <w:t>“Vigente Si / No / Todos</w:t>
      </w:r>
      <w:r w:rsidRPr="001C6355">
        <w:rPr>
          <w:i/>
        </w:rPr>
        <w:t>“</w:t>
      </w:r>
      <w:r w:rsidRPr="005A6843">
        <w:t xml:space="preserve"> –se entiende que la </w:t>
      </w:r>
      <w:r w:rsidRPr="001C6355">
        <w:rPr>
          <w:i/>
        </w:rPr>
        <w:t xml:space="preserve">“vigencia” </w:t>
      </w:r>
      <w:r w:rsidRPr="005A6843">
        <w:t xml:space="preserve">del cargo se refiere a si se requiere el currículo del titular del cargo en el momento en que se hace la consulta o de algún titular anterior--; 2º.- </w:t>
      </w:r>
      <w:r w:rsidRPr="001C6355">
        <w:rPr>
          <w:i/>
        </w:rPr>
        <w:t>“Nombre”</w:t>
      </w:r>
      <w:r w:rsidRPr="005A6843">
        <w:t xml:space="preserve"> del titular de currículo, sin opciones prefijadas (texto libre) y 3º.- </w:t>
      </w:r>
      <w:r w:rsidRPr="001C6355">
        <w:rPr>
          <w:i/>
        </w:rPr>
        <w:t>“Cargo”</w:t>
      </w:r>
      <w:r w:rsidRPr="005A6843">
        <w:t xml:space="preserve"> del titular de currículo, igualmente sin opciones prefijadas (texto libre).</w:t>
      </w:r>
    </w:p>
    <w:p w:rsidR="000D513D" w:rsidRDefault="000D513D" w:rsidP="00AC59E7">
      <w:pPr>
        <w:pStyle w:val="Prrafodelista"/>
        <w:spacing w:line="276" w:lineRule="auto"/>
      </w:pPr>
    </w:p>
    <w:p w:rsidR="003316F3" w:rsidRDefault="003316F3" w:rsidP="00CD1B61">
      <w:pPr>
        <w:pStyle w:val="Prrafodelista"/>
        <w:numPr>
          <w:ilvl w:val="0"/>
          <w:numId w:val="8"/>
        </w:numPr>
        <w:spacing w:line="276" w:lineRule="auto"/>
        <w:ind w:left="709"/>
        <w:jc w:val="both"/>
      </w:pPr>
      <w:r w:rsidRPr="001C6355">
        <w:rPr>
          <w:i/>
        </w:rPr>
        <w:t>“Autorizaciones de compatibilidad de los empleados públicos”</w:t>
      </w:r>
      <w:r w:rsidRPr="005A6843">
        <w:t xml:space="preserve">: El buscador proporciona cinco posibilidades de filtrar la información: 1º.- Por la naturaleza de la actividad autorizada, con dos alternativas prefijadas: </w:t>
      </w:r>
      <w:r w:rsidRPr="001C6355">
        <w:rPr>
          <w:i/>
        </w:rPr>
        <w:t>“Actividad pública / actividad privada”</w:t>
      </w:r>
      <w:r w:rsidRPr="005A6843">
        <w:t xml:space="preserve">;  2º.- Por la </w:t>
      </w:r>
      <w:r w:rsidRPr="001C6355">
        <w:rPr>
          <w:i/>
        </w:rPr>
        <w:t xml:space="preserve">“Actividad principal” </w:t>
      </w:r>
      <w:r w:rsidRPr="005A6843">
        <w:t xml:space="preserve">del titular de la autorización, esto es, la desempeñada cuando se solicita ésta (texto libre); 3ª.- Por el </w:t>
      </w:r>
      <w:r w:rsidRPr="001C6355">
        <w:rPr>
          <w:i/>
        </w:rPr>
        <w:t>“Organismo principal”</w:t>
      </w:r>
      <w:r w:rsidRPr="005A6843">
        <w:t xml:space="preserve"> en que presta servicios el titular, esto es, aquel a que figura adscrito el empleado cuando se solicita la autorización (texto libre); 4º.- </w:t>
      </w:r>
      <w:r w:rsidRPr="001C6355">
        <w:rPr>
          <w:i/>
        </w:rPr>
        <w:t>“Provincia principal”</w:t>
      </w:r>
      <w:r w:rsidRPr="005A6843">
        <w:t xml:space="preserve"> en que presta servicio el titular de la autorización en el momento en que la solicita, con un catálogo prefijado de provincias para seleccionar, y 5º.- </w:t>
      </w:r>
      <w:r w:rsidRPr="001C6355">
        <w:rPr>
          <w:i/>
        </w:rPr>
        <w:t>“Fecha de resolución”</w:t>
      </w:r>
      <w:r w:rsidRPr="005A6843">
        <w:t xml:space="preserve"> de la solicitud de compatibilidad, con una horquilla o intervalo: </w:t>
      </w:r>
      <w:r w:rsidRPr="001C6355">
        <w:rPr>
          <w:i/>
        </w:rPr>
        <w:t>“Desde</w:t>
      </w:r>
      <w:r w:rsidRPr="005A6843">
        <w:t xml:space="preserve"> (fecha libre) / </w:t>
      </w:r>
      <w:r w:rsidRPr="001C6355">
        <w:rPr>
          <w:i/>
        </w:rPr>
        <w:t>hasta</w:t>
      </w:r>
      <w:r w:rsidRPr="005A6843">
        <w:t xml:space="preserve"> (fecha libre)”.</w:t>
      </w:r>
    </w:p>
    <w:p w:rsidR="000D513D" w:rsidRDefault="000D513D" w:rsidP="00AC59E7">
      <w:pPr>
        <w:pStyle w:val="Prrafodelista"/>
        <w:spacing w:line="276" w:lineRule="auto"/>
      </w:pPr>
    </w:p>
    <w:p w:rsidR="003316F3" w:rsidRDefault="003316F3" w:rsidP="00CD1B61">
      <w:pPr>
        <w:pStyle w:val="Prrafodelista"/>
        <w:numPr>
          <w:ilvl w:val="0"/>
          <w:numId w:val="8"/>
        </w:numPr>
        <w:spacing w:line="276" w:lineRule="auto"/>
        <w:ind w:left="709"/>
        <w:jc w:val="both"/>
      </w:pPr>
      <w:r w:rsidRPr="001C6355">
        <w:rPr>
          <w:i/>
        </w:rPr>
        <w:t>“Indemnizaciones percibidas por Altos Cargos con ocasión del cese”</w:t>
      </w:r>
      <w:r w:rsidRPr="005A6843">
        <w:t xml:space="preserve">: El buscador permite filtrar la información de tres maneras: 1º.- Por el </w:t>
      </w:r>
      <w:r w:rsidRPr="001C6355">
        <w:rPr>
          <w:i/>
        </w:rPr>
        <w:t>“Nombre”</w:t>
      </w:r>
      <w:r w:rsidRPr="005A6843">
        <w:t xml:space="preserve"> del Alto Cargo (texto libre); 2º.- Por el </w:t>
      </w:r>
      <w:r w:rsidRPr="001C6355">
        <w:rPr>
          <w:i/>
        </w:rPr>
        <w:t>“Cargo”</w:t>
      </w:r>
      <w:r w:rsidRPr="005A6843">
        <w:t xml:space="preserve">, esto es, por el nombre del puesto ocupado por el Alto Cargo al momento del cese (texto libre) y 3º.- Por la </w:t>
      </w:r>
      <w:r w:rsidRPr="002F2A4C">
        <w:rPr>
          <w:i/>
        </w:rPr>
        <w:t>“Fecha de Cese”</w:t>
      </w:r>
      <w:r w:rsidRPr="005A6843">
        <w:t xml:space="preserve"> del Alto Cargo, con una horquilla o intervalo: </w:t>
      </w:r>
      <w:r w:rsidRPr="002F2A4C">
        <w:rPr>
          <w:i/>
        </w:rPr>
        <w:t>“Desde</w:t>
      </w:r>
      <w:r w:rsidRPr="005A6843">
        <w:t xml:space="preserve"> (fecha libre) / </w:t>
      </w:r>
      <w:r w:rsidRPr="002F2A4C">
        <w:rPr>
          <w:i/>
        </w:rPr>
        <w:t>hasta</w:t>
      </w:r>
      <w:r w:rsidRPr="005A6843">
        <w:t xml:space="preserve"> (fecha libre)”.</w:t>
      </w:r>
    </w:p>
    <w:p w:rsidR="000D513D" w:rsidRDefault="000D513D" w:rsidP="00AC59E7">
      <w:pPr>
        <w:pStyle w:val="Prrafodelista"/>
        <w:spacing w:line="276" w:lineRule="auto"/>
      </w:pPr>
    </w:p>
    <w:p w:rsidR="003316F3" w:rsidRDefault="003316F3" w:rsidP="00CD1B61">
      <w:pPr>
        <w:pStyle w:val="Prrafodelista"/>
        <w:numPr>
          <w:ilvl w:val="0"/>
          <w:numId w:val="8"/>
        </w:numPr>
        <w:spacing w:line="276" w:lineRule="auto"/>
        <w:ind w:left="709"/>
        <w:jc w:val="both"/>
      </w:pPr>
      <w:r w:rsidRPr="005A6843">
        <w:t>“</w:t>
      </w:r>
      <w:r w:rsidRPr="002F2A4C">
        <w:rPr>
          <w:i/>
        </w:rPr>
        <w:t>Autorizaciones de actividad privada de Altos Cargos”</w:t>
      </w:r>
      <w:r w:rsidRPr="005A6843">
        <w:t xml:space="preserve">: El buscador ofrece tres filtros o posibilidades de filtrar la información: 1º.- Por el </w:t>
      </w:r>
      <w:r w:rsidRPr="002F2A4C">
        <w:rPr>
          <w:i/>
        </w:rPr>
        <w:t>“Nombre”</w:t>
      </w:r>
      <w:r w:rsidRPr="005A6843">
        <w:t xml:space="preserve"> del Alto Cargo beneficiario (texto libre); 2º.- 2º.- Por el </w:t>
      </w:r>
      <w:r w:rsidRPr="002F2A4C">
        <w:rPr>
          <w:i/>
        </w:rPr>
        <w:t>“Cargo”</w:t>
      </w:r>
      <w:r w:rsidRPr="005A6843">
        <w:t>, esto es, por el nombre del puesto ocupado por el Alto Cargo beneficiario al momento del cese (texto libre); 3º.- Por la vigencia o no de la autorización, con tres alternativas: “</w:t>
      </w:r>
      <w:r w:rsidRPr="002F2A4C">
        <w:rPr>
          <w:i/>
        </w:rPr>
        <w:t>Vigencia Si / No / Todos”</w:t>
      </w:r>
      <w:r w:rsidRPr="005A6843">
        <w:t xml:space="preserve">; 4º.- Por la </w:t>
      </w:r>
      <w:r w:rsidRPr="002F2A4C">
        <w:rPr>
          <w:i/>
        </w:rPr>
        <w:t>“Empresa/Actividad autorizada”</w:t>
      </w:r>
      <w:r w:rsidRPr="005A6843">
        <w:t xml:space="preserve"> (texto libre); 4º.-  Por la fecha de cese del Alto Cargo, con una horquilla o intervalo: “</w:t>
      </w:r>
      <w:r w:rsidRPr="002F2A4C">
        <w:rPr>
          <w:i/>
        </w:rPr>
        <w:t>Fecha de Cese:  Desde</w:t>
      </w:r>
      <w:r w:rsidRPr="005A6843">
        <w:t xml:space="preserve"> (fecha libre) / </w:t>
      </w:r>
      <w:r w:rsidRPr="002F2A4C">
        <w:rPr>
          <w:i/>
        </w:rPr>
        <w:t>hasta</w:t>
      </w:r>
      <w:r w:rsidRPr="005A6843">
        <w:t xml:space="preserve"> (fecha libre)”.</w:t>
      </w:r>
    </w:p>
    <w:p w:rsidR="000D513D" w:rsidRDefault="000D513D" w:rsidP="00AC59E7">
      <w:pPr>
        <w:pStyle w:val="Prrafodelista"/>
        <w:spacing w:line="276" w:lineRule="auto"/>
      </w:pPr>
    </w:p>
    <w:p w:rsidR="003316F3" w:rsidRDefault="003316F3" w:rsidP="00CD1B61">
      <w:pPr>
        <w:pStyle w:val="Prrafodelista"/>
        <w:numPr>
          <w:ilvl w:val="0"/>
          <w:numId w:val="8"/>
        </w:numPr>
        <w:spacing w:line="276" w:lineRule="auto"/>
        <w:ind w:left="709"/>
        <w:jc w:val="both"/>
      </w:pPr>
      <w:r w:rsidRPr="002F2A4C">
        <w:rPr>
          <w:i/>
        </w:rPr>
        <w:t>“Información sobre Relaciones de Puestos de Trabajo (RPT)”</w:t>
      </w:r>
      <w:r w:rsidRPr="005A6843">
        <w:t xml:space="preserve">: Se ofrece un filtro por el </w:t>
      </w:r>
      <w:r w:rsidRPr="002F2A4C">
        <w:rPr>
          <w:i/>
        </w:rPr>
        <w:t>“Año”</w:t>
      </w:r>
      <w:r w:rsidRPr="005A6843">
        <w:t xml:space="preserve"> de la RPT que se quiere consultar, con cinco alternativas prefijadas: </w:t>
      </w:r>
      <w:r w:rsidRPr="002F2A4C">
        <w:rPr>
          <w:i/>
        </w:rPr>
        <w:t>“2014 /  2015 / 2016 / 2017 / Todos”.</w:t>
      </w:r>
      <w:r w:rsidRPr="005A6843">
        <w:t xml:space="preserve"> </w:t>
      </w:r>
    </w:p>
    <w:p w:rsidR="000D513D" w:rsidRDefault="000D513D" w:rsidP="00AC59E7">
      <w:pPr>
        <w:pStyle w:val="Prrafodelista"/>
        <w:spacing w:line="276" w:lineRule="auto"/>
      </w:pPr>
    </w:p>
    <w:p w:rsidR="003316F3" w:rsidRDefault="003316F3" w:rsidP="00CD1B61">
      <w:pPr>
        <w:pStyle w:val="Prrafodelista"/>
        <w:numPr>
          <w:ilvl w:val="0"/>
          <w:numId w:val="7"/>
        </w:numPr>
        <w:spacing w:line="276" w:lineRule="auto"/>
        <w:ind w:left="426"/>
        <w:jc w:val="both"/>
      </w:pPr>
      <w:r w:rsidRPr="005A6843">
        <w:t>Así también, las sub-categorías de información de la categoría “</w:t>
      </w:r>
      <w:r w:rsidRPr="002F2A4C">
        <w:rPr>
          <w:i/>
        </w:rPr>
        <w:t xml:space="preserve">Normativa” </w:t>
      </w:r>
      <w:r w:rsidRPr="005A6843">
        <w:t>ofrecen las siguientes formas adicionales de filtrar la información:</w:t>
      </w:r>
    </w:p>
    <w:p w:rsidR="000D513D" w:rsidRDefault="000D513D" w:rsidP="00AC59E7">
      <w:pPr>
        <w:pStyle w:val="Prrafodelista"/>
        <w:spacing w:line="276" w:lineRule="auto"/>
        <w:ind w:left="426"/>
        <w:jc w:val="both"/>
      </w:pPr>
    </w:p>
    <w:p w:rsidR="003316F3" w:rsidRDefault="003316F3" w:rsidP="00CD1B61">
      <w:pPr>
        <w:pStyle w:val="Prrafodelista"/>
        <w:numPr>
          <w:ilvl w:val="0"/>
          <w:numId w:val="9"/>
        </w:numPr>
        <w:spacing w:line="276" w:lineRule="auto"/>
        <w:jc w:val="both"/>
      </w:pPr>
      <w:r w:rsidRPr="002F2A4C">
        <w:rPr>
          <w:i/>
        </w:rPr>
        <w:t>“Normativa destacada”</w:t>
      </w:r>
      <w:r w:rsidRPr="005A6843">
        <w:t>: Ofrece c</w:t>
      </w:r>
      <w:r w:rsidR="005112CA" w:rsidRPr="005A6843">
        <w:t>uatro</w:t>
      </w:r>
      <w:r w:rsidRPr="005A6843">
        <w:t xml:space="preserve"> opciones para filtrar la información: 1º.- Por la </w:t>
      </w:r>
      <w:r w:rsidRPr="002F2A4C">
        <w:rPr>
          <w:i/>
        </w:rPr>
        <w:t>“Vigencia”</w:t>
      </w:r>
      <w:r w:rsidRPr="005A6843">
        <w:t xml:space="preserve"> de la norma, con tres alternativas </w:t>
      </w:r>
      <w:r w:rsidRPr="002F2A4C">
        <w:rPr>
          <w:i/>
        </w:rPr>
        <w:t>“Vigente: Si / No / Todas”</w:t>
      </w:r>
      <w:r w:rsidRPr="005A6843">
        <w:t xml:space="preserve">; 2º.- Por el </w:t>
      </w:r>
      <w:r w:rsidRPr="002F2A4C">
        <w:rPr>
          <w:i/>
        </w:rPr>
        <w:t>“Tipo de norma”</w:t>
      </w:r>
      <w:r w:rsidRPr="005A6843">
        <w:t xml:space="preserve">, con cinco opciones prefijadas; </w:t>
      </w:r>
      <w:r w:rsidRPr="002F2A4C">
        <w:rPr>
          <w:i/>
        </w:rPr>
        <w:t>“Leyes orgánicas / Leyes / Reales Decretos Leyes / Reales Decretos / Normativa destacada del Departamento”</w:t>
      </w:r>
      <w:r w:rsidRPr="005A6843">
        <w:t>; 3º.- Por la “</w:t>
      </w:r>
      <w:r w:rsidRPr="002F2A4C">
        <w:rPr>
          <w:i/>
        </w:rPr>
        <w:t>Fecha de Publicación”</w:t>
      </w:r>
      <w:r w:rsidRPr="005A6843">
        <w:t xml:space="preserve"> de la norma,  con una horquilla o intervalo: “</w:t>
      </w:r>
      <w:r w:rsidRPr="002F2A4C">
        <w:rPr>
          <w:i/>
        </w:rPr>
        <w:t>Desde</w:t>
      </w:r>
      <w:r w:rsidRPr="005A6843">
        <w:t xml:space="preserve"> (fecha libre) / </w:t>
      </w:r>
      <w:r w:rsidRPr="002F2A4C">
        <w:rPr>
          <w:i/>
        </w:rPr>
        <w:t>hasta</w:t>
      </w:r>
      <w:r w:rsidRPr="005A6843">
        <w:t xml:space="preserve"> (fecha libre)”; 4º.- Por </w:t>
      </w:r>
      <w:r w:rsidRPr="002F2A4C">
        <w:rPr>
          <w:i/>
        </w:rPr>
        <w:t>“Áreas Temáticas”</w:t>
      </w:r>
      <w:r w:rsidRPr="005A6843">
        <w:t xml:space="preserve">, con dos opciones: </w:t>
      </w:r>
      <w:r w:rsidRPr="002F2A4C">
        <w:rPr>
          <w:i/>
        </w:rPr>
        <w:t>“Temática Principal”</w:t>
      </w:r>
      <w:r w:rsidRPr="005A6843">
        <w:t xml:space="preserve"> y </w:t>
      </w:r>
      <w:r w:rsidRPr="002F2A4C">
        <w:rPr>
          <w:i/>
        </w:rPr>
        <w:t>“Temática</w:t>
      </w:r>
      <w:r w:rsidRPr="005A6843">
        <w:t xml:space="preserve"> </w:t>
      </w:r>
      <w:r w:rsidRPr="002F2A4C">
        <w:rPr>
          <w:i/>
        </w:rPr>
        <w:t>Secundaria”.</w:t>
      </w:r>
      <w:r w:rsidRPr="005A6843">
        <w:t xml:space="preserve"> La primera ofrece un catálogo de 24 opciones prefijadas que coinciden con las áreas temáticas estándar de la normativa europea e interna sobre reutilización de la información del sector público (RISP): </w:t>
      </w:r>
      <w:r w:rsidRPr="002F2A4C">
        <w:rPr>
          <w:i/>
        </w:rPr>
        <w:t>“Ciencia y tecnología”; “Comercio”; “Cultura y ocio”; “Demografía”; “Deporte”; “Economía”; “Educación”; “Empleo”; “Energía”; “Hacienda”; “Industria”; “Legislación y justicia”; “Medio ambiente”; “Medio rural y pesca”; “Salud”; “Sector público”; “Seguridad Sociedad y bienestar”; “Transporte”; “Turismo”; “Urbanismo e infraestructuras” y “Vivienda</w:t>
      </w:r>
      <w:r w:rsidRPr="005A6843">
        <w:t>”. El filtro de “</w:t>
      </w:r>
      <w:r w:rsidRPr="002F2A4C">
        <w:rPr>
          <w:i/>
        </w:rPr>
        <w:t>Temática Secundaria”</w:t>
      </w:r>
      <w:r w:rsidRPr="005A6843">
        <w:t>, a día de hoy, no presenta opciones.</w:t>
      </w:r>
    </w:p>
    <w:p w:rsidR="00F04990" w:rsidRDefault="00F04990" w:rsidP="00F04990">
      <w:pPr>
        <w:pStyle w:val="Prrafodelista"/>
        <w:spacing w:line="276" w:lineRule="auto"/>
        <w:jc w:val="both"/>
      </w:pPr>
    </w:p>
    <w:p w:rsidR="003316F3" w:rsidRDefault="003316F3" w:rsidP="00CD1B61">
      <w:pPr>
        <w:pStyle w:val="Prrafodelista"/>
        <w:numPr>
          <w:ilvl w:val="0"/>
          <w:numId w:val="9"/>
        </w:numPr>
        <w:spacing w:line="276" w:lineRule="auto"/>
        <w:jc w:val="both"/>
      </w:pPr>
      <w:r w:rsidRPr="002F2A4C">
        <w:rPr>
          <w:i/>
        </w:rPr>
        <w:t>“Normativa en elaboración”</w:t>
      </w:r>
      <w:r w:rsidRPr="005A6843">
        <w:t xml:space="preserve">: Ofrece una única posibilidad de filtrar la información: por </w:t>
      </w:r>
      <w:r w:rsidRPr="002F2A4C">
        <w:rPr>
          <w:i/>
        </w:rPr>
        <w:t>“Tipo de norma”</w:t>
      </w:r>
      <w:r w:rsidRPr="005A6843">
        <w:t xml:space="preserve">, con cuatro alternativas prefijadas: </w:t>
      </w:r>
      <w:r w:rsidRPr="002F2A4C">
        <w:rPr>
          <w:i/>
        </w:rPr>
        <w:t xml:space="preserve">“Anteproyectos de </w:t>
      </w:r>
      <w:r w:rsidR="00052FF3">
        <w:rPr>
          <w:i/>
        </w:rPr>
        <w:t>l</w:t>
      </w:r>
      <w:r w:rsidR="001C41A6">
        <w:rPr>
          <w:i/>
        </w:rPr>
        <w:t>ey</w:t>
      </w:r>
      <w:r w:rsidRPr="002F2A4C">
        <w:rPr>
          <w:i/>
        </w:rPr>
        <w:t>”</w:t>
      </w:r>
      <w:r w:rsidRPr="005A6843">
        <w:t xml:space="preserve">, </w:t>
      </w:r>
      <w:r w:rsidRPr="002F2A4C">
        <w:rPr>
          <w:i/>
        </w:rPr>
        <w:t xml:space="preserve">“Proyectos de </w:t>
      </w:r>
      <w:r w:rsidR="00052FF3">
        <w:rPr>
          <w:i/>
        </w:rPr>
        <w:t>l</w:t>
      </w:r>
      <w:r w:rsidR="001C41A6">
        <w:rPr>
          <w:i/>
        </w:rPr>
        <w:t>ey</w:t>
      </w:r>
      <w:r w:rsidRPr="002F2A4C">
        <w:rPr>
          <w:i/>
        </w:rPr>
        <w:t>”, “Proyectos de Reales Decretos Legislativos”</w:t>
      </w:r>
      <w:r w:rsidRPr="005A6843">
        <w:t xml:space="preserve"> y </w:t>
      </w:r>
      <w:r w:rsidRPr="002F2A4C">
        <w:rPr>
          <w:i/>
        </w:rPr>
        <w:t>“Proyectos de Reales  Decretos”</w:t>
      </w:r>
      <w:r w:rsidRPr="005A6843">
        <w:t>.</w:t>
      </w:r>
    </w:p>
    <w:p w:rsidR="000D513D" w:rsidRDefault="000D513D" w:rsidP="00AC59E7">
      <w:pPr>
        <w:pStyle w:val="Prrafodelista"/>
        <w:spacing w:line="276" w:lineRule="auto"/>
      </w:pPr>
    </w:p>
    <w:p w:rsidR="003316F3" w:rsidRDefault="003316F3" w:rsidP="00CD1B61">
      <w:pPr>
        <w:pStyle w:val="Prrafodelista"/>
        <w:numPr>
          <w:ilvl w:val="0"/>
          <w:numId w:val="9"/>
        </w:numPr>
        <w:spacing w:line="276" w:lineRule="auto"/>
        <w:jc w:val="both"/>
      </w:pPr>
      <w:r w:rsidRPr="002F2A4C">
        <w:rPr>
          <w:i/>
        </w:rPr>
        <w:t>“Normativa vigente”</w:t>
      </w:r>
      <w:r w:rsidRPr="005A6843">
        <w:t xml:space="preserve">: Se puede filtrar la información a través de dos filtros: 1º.- Por </w:t>
      </w:r>
      <w:r w:rsidRPr="002F2A4C">
        <w:rPr>
          <w:i/>
        </w:rPr>
        <w:t>“Tipo de norma”,</w:t>
      </w:r>
      <w:r w:rsidRPr="005A6843">
        <w:t xml:space="preserve"> con cuatro opciones pre-seteadas; </w:t>
      </w:r>
      <w:r w:rsidRPr="002F2A4C">
        <w:rPr>
          <w:i/>
        </w:rPr>
        <w:t>“</w:t>
      </w:r>
      <w:r w:rsidR="001C41A6">
        <w:rPr>
          <w:i/>
        </w:rPr>
        <w:t>Ley</w:t>
      </w:r>
      <w:r w:rsidRPr="002F2A4C">
        <w:rPr>
          <w:i/>
        </w:rPr>
        <w:t xml:space="preserve"> orgánica”, “</w:t>
      </w:r>
      <w:r w:rsidR="001C41A6">
        <w:rPr>
          <w:i/>
        </w:rPr>
        <w:t>Ley</w:t>
      </w:r>
      <w:r w:rsidRPr="002F2A4C">
        <w:rPr>
          <w:i/>
        </w:rPr>
        <w:t>”, “Real Decreto Legislativo”</w:t>
      </w:r>
      <w:r w:rsidRPr="005A6843">
        <w:t xml:space="preserve"> y </w:t>
      </w:r>
      <w:r w:rsidRPr="002F2A4C">
        <w:rPr>
          <w:i/>
        </w:rPr>
        <w:t>“Real  Decreto”</w:t>
      </w:r>
      <w:r w:rsidRPr="005A6843">
        <w:t xml:space="preserve"> y 2º.- Por “</w:t>
      </w:r>
      <w:r w:rsidRPr="002F2A4C">
        <w:rPr>
          <w:i/>
        </w:rPr>
        <w:t>Fecha de publicación  en el «BOE»”</w:t>
      </w:r>
      <w:r w:rsidRPr="005A6843">
        <w:t xml:space="preserve"> de la norma, con un intervalo u horquilla: “</w:t>
      </w:r>
      <w:r w:rsidRPr="002F2A4C">
        <w:rPr>
          <w:i/>
        </w:rPr>
        <w:t>Desde</w:t>
      </w:r>
      <w:r w:rsidRPr="005A6843">
        <w:t xml:space="preserve"> (fecha libre) / </w:t>
      </w:r>
      <w:r w:rsidRPr="002F2A4C">
        <w:rPr>
          <w:i/>
        </w:rPr>
        <w:t>hasta</w:t>
      </w:r>
      <w:r w:rsidRPr="005A6843">
        <w:t xml:space="preserve"> (fecha libre)”.</w:t>
      </w:r>
    </w:p>
    <w:p w:rsidR="000D513D" w:rsidRPr="005A6843" w:rsidRDefault="000D513D" w:rsidP="00AC59E7">
      <w:pPr>
        <w:pStyle w:val="Prrafodelista"/>
        <w:spacing w:line="276" w:lineRule="auto"/>
        <w:jc w:val="both"/>
      </w:pPr>
    </w:p>
    <w:p w:rsidR="003316F3" w:rsidRDefault="003316F3" w:rsidP="00CD1B61">
      <w:pPr>
        <w:pStyle w:val="Prrafodelista"/>
        <w:numPr>
          <w:ilvl w:val="0"/>
          <w:numId w:val="9"/>
        </w:numPr>
        <w:spacing w:line="276" w:lineRule="auto"/>
        <w:jc w:val="both"/>
      </w:pPr>
      <w:r w:rsidRPr="005A6843">
        <w:t>“</w:t>
      </w:r>
      <w:r w:rsidRPr="002F2A4C">
        <w:rPr>
          <w:i/>
        </w:rPr>
        <w:t>Otras disposiciones”</w:t>
      </w:r>
      <w:r w:rsidRPr="005A6843">
        <w:t xml:space="preserve">: Ofrece cuatro posibilidades para filtrar la información: 1º.- Por la </w:t>
      </w:r>
      <w:r w:rsidRPr="002F2A4C">
        <w:rPr>
          <w:i/>
        </w:rPr>
        <w:t>“Vigencia”</w:t>
      </w:r>
      <w:r w:rsidRPr="005A6843">
        <w:t xml:space="preserve"> o no de la disposición, con tres opciones prefijadas: </w:t>
      </w:r>
      <w:r w:rsidRPr="002F2A4C">
        <w:rPr>
          <w:i/>
        </w:rPr>
        <w:t>“Normativa vigente, Si / No / Todos”</w:t>
      </w:r>
      <w:r w:rsidRPr="005A6843">
        <w:t>; 2º.- Por “</w:t>
      </w:r>
      <w:r w:rsidRPr="002F2A4C">
        <w:rPr>
          <w:i/>
        </w:rPr>
        <w:t>Tipo de norma”</w:t>
      </w:r>
      <w:r w:rsidRPr="005A6843">
        <w:t>, esta vez con ocho alternativas preestablecidas: “</w:t>
      </w:r>
      <w:r w:rsidRPr="002F2A4C">
        <w:rPr>
          <w:i/>
        </w:rPr>
        <w:t>Acuerdo”, “Circular”, “Directriz”, “Documentos que se someten a información pública”, “Instrucción”, “Orden ministerial”, “Resolución de carácter normativo”</w:t>
      </w:r>
      <w:r w:rsidRPr="005A6843">
        <w:t xml:space="preserve"> y </w:t>
      </w:r>
      <w:r w:rsidRPr="002F2A4C">
        <w:rPr>
          <w:i/>
        </w:rPr>
        <w:t>“Respuesta a consultas”</w:t>
      </w:r>
      <w:r w:rsidRPr="005A6843">
        <w:t xml:space="preserve">; 3º.- Por </w:t>
      </w:r>
      <w:r w:rsidRPr="002F2A4C">
        <w:rPr>
          <w:i/>
        </w:rPr>
        <w:t>“Fecha de publicación”</w:t>
      </w:r>
      <w:r w:rsidRPr="005A6843">
        <w:t xml:space="preserve"> de la norma, con un intervalo u horquilla: </w:t>
      </w:r>
      <w:r w:rsidRPr="002F2A4C">
        <w:rPr>
          <w:i/>
        </w:rPr>
        <w:t>“Desde</w:t>
      </w:r>
      <w:r w:rsidRPr="005A6843">
        <w:t xml:space="preserve"> (fecha libre) / </w:t>
      </w:r>
      <w:r w:rsidRPr="002F2A4C">
        <w:rPr>
          <w:i/>
        </w:rPr>
        <w:t>hasta</w:t>
      </w:r>
      <w:r w:rsidRPr="005A6843">
        <w:t xml:space="preserve"> (fecha libre)” y 4º.- Por </w:t>
      </w:r>
      <w:r w:rsidRPr="002F2A4C">
        <w:rPr>
          <w:i/>
        </w:rPr>
        <w:t>“Áreas Temáticas”</w:t>
      </w:r>
      <w:r w:rsidRPr="005A6843">
        <w:t xml:space="preserve">, con dos opciones: </w:t>
      </w:r>
      <w:r w:rsidRPr="002F2A4C">
        <w:rPr>
          <w:i/>
        </w:rPr>
        <w:t>“Temática Principal”</w:t>
      </w:r>
      <w:r w:rsidRPr="005A6843">
        <w:t xml:space="preserve"> y </w:t>
      </w:r>
      <w:r w:rsidRPr="002F2A4C">
        <w:rPr>
          <w:i/>
        </w:rPr>
        <w:t>“Temática Secundaria”</w:t>
      </w:r>
      <w:r w:rsidRPr="005A6843">
        <w:t>. La primera ofrece un catálogo de opciones prefijadas con las 24 categorías RISP que se han señalado más arriba. La segunda todavía no ofrece opciones.</w:t>
      </w:r>
    </w:p>
    <w:p w:rsidR="000D513D" w:rsidRDefault="000D513D" w:rsidP="00AC59E7">
      <w:pPr>
        <w:pStyle w:val="Prrafodelista"/>
        <w:spacing w:line="276" w:lineRule="auto"/>
      </w:pPr>
    </w:p>
    <w:p w:rsidR="003316F3" w:rsidRDefault="003316F3" w:rsidP="00CD1B61">
      <w:pPr>
        <w:pStyle w:val="Prrafodelista"/>
        <w:numPr>
          <w:ilvl w:val="0"/>
          <w:numId w:val="7"/>
        </w:numPr>
        <w:spacing w:line="276" w:lineRule="auto"/>
        <w:ind w:left="426"/>
        <w:jc w:val="both"/>
      </w:pPr>
      <w:r w:rsidRPr="005A6843">
        <w:t xml:space="preserve">Igualmente, dentro de la categoría </w:t>
      </w:r>
      <w:r w:rsidRPr="002F2A4C">
        <w:rPr>
          <w:i/>
        </w:rPr>
        <w:t>“Contratos, Convenios, Subvenciones e Inmuebles”</w:t>
      </w:r>
      <w:r w:rsidRPr="005A6843">
        <w:t>, las siguientes sub-categorías ofrecen filtros adicionales:</w:t>
      </w:r>
    </w:p>
    <w:p w:rsidR="000D513D" w:rsidRPr="005A6843" w:rsidRDefault="000D513D" w:rsidP="00AC59E7">
      <w:pPr>
        <w:pStyle w:val="Prrafodelista"/>
        <w:spacing w:line="276" w:lineRule="auto"/>
        <w:ind w:left="426"/>
        <w:jc w:val="both"/>
      </w:pPr>
    </w:p>
    <w:p w:rsidR="003316F3" w:rsidRDefault="003316F3" w:rsidP="00CD1B61">
      <w:pPr>
        <w:pStyle w:val="Prrafodelista"/>
        <w:numPr>
          <w:ilvl w:val="0"/>
          <w:numId w:val="9"/>
        </w:numPr>
        <w:spacing w:line="276" w:lineRule="auto"/>
        <w:jc w:val="both"/>
      </w:pPr>
      <w:r w:rsidRPr="002F2A4C">
        <w:rPr>
          <w:i/>
        </w:rPr>
        <w:t>“Contratos”</w:t>
      </w:r>
      <w:r w:rsidRPr="005A6843">
        <w:t xml:space="preserve">: Se ofrecen siete posibilidades adicionales para filtrar la información: 1º.- Por </w:t>
      </w:r>
      <w:r w:rsidRPr="002F2A4C">
        <w:rPr>
          <w:i/>
        </w:rPr>
        <w:t>“Organismo contratante”</w:t>
      </w:r>
      <w:r w:rsidRPr="005A6843">
        <w:t xml:space="preserve"> (texto libre); 2º.- Por </w:t>
      </w:r>
      <w:r w:rsidRPr="002F2A4C">
        <w:rPr>
          <w:i/>
        </w:rPr>
        <w:t>“Importe de Licitación”,</w:t>
      </w:r>
      <w:r w:rsidRPr="005A6843">
        <w:t xml:space="preserve"> con un intervalo u horquilla: “</w:t>
      </w:r>
      <w:r w:rsidRPr="002F2A4C">
        <w:rPr>
          <w:i/>
        </w:rPr>
        <w:t xml:space="preserve">De ----euros </w:t>
      </w:r>
      <w:r w:rsidRPr="005A6843">
        <w:t xml:space="preserve">(importe libre) / </w:t>
      </w:r>
      <w:r w:rsidRPr="002F2A4C">
        <w:rPr>
          <w:i/>
        </w:rPr>
        <w:t>hasta ---- euros</w:t>
      </w:r>
      <w:r w:rsidRPr="005A6843">
        <w:t xml:space="preserve"> (importe libre)”; 3º.- Por </w:t>
      </w:r>
      <w:r w:rsidRPr="002F2A4C">
        <w:rPr>
          <w:i/>
        </w:rPr>
        <w:t>“Importe de Adjudicación”,</w:t>
      </w:r>
      <w:r w:rsidRPr="005A6843">
        <w:t xml:space="preserve"> con un intervalo u horquilla: “</w:t>
      </w:r>
      <w:r w:rsidRPr="002F2A4C">
        <w:rPr>
          <w:i/>
        </w:rPr>
        <w:t>De ----euros</w:t>
      </w:r>
      <w:r w:rsidRPr="005A6843">
        <w:t xml:space="preserve"> (importe libre) / </w:t>
      </w:r>
      <w:r w:rsidRPr="002F2A4C">
        <w:rPr>
          <w:i/>
        </w:rPr>
        <w:t>hasta ---- euros</w:t>
      </w:r>
      <w:r w:rsidRPr="005A6843">
        <w:t xml:space="preserve"> (importe libre)” 4º.- Por </w:t>
      </w:r>
      <w:r w:rsidRPr="002F2A4C">
        <w:rPr>
          <w:i/>
        </w:rPr>
        <w:t xml:space="preserve">“Adjudicatario” </w:t>
      </w:r>
      <w:r w:rsidRPr="005A6843">
        <w:t xml:space="preserve">(texto libre); 5º.- Por el fraccionamiento o no del contrato en lotes, con tres posibilidades prefijadas: </w:t>
      </w:r>
      <w:r w:rsidRPr="002F2A4C">
        <w:rPr>
          <w:i/>
        </w:rPr>
        <w:t>“Lotes: Sí / No / Todos”</w:t>
      </w:r>
      <w:r w:rsidRPr="005A6843">
        <w:t xml:space="preserve">; 6º.- Por </w:t>
      </w:r>
      <w:r w:rsidRPr="002F2A4C">
        <w:rPr>
          <w:i/>
        </w:rPr>
        <w:t>“Procedimiento de contratación”</w:t>
      </w:r>
      <w:r w:rsidRPr="005A6843">
        <w:t xml:space="preserve">, con alternativas prefijadas. </w:t>
      </w:r>
      <w:r w:rsidRPr="002F2A4C">
        <w:rPr>
          <w:i/>
        </w:rPr>
        <w:t>“Abierto”, “Negociado sin publicidad”, “Negociado con publicidad”, “Diálogo competitivo”, “Contrato menor”, “Derivados de Acuerdos marco”, “Concurso de proyectos”, “Normas internas”</w:t>
      </w:r>
      <w:r w:rsidRPr="005A6843">
        <w:t xml:space="preserve"> y </w:t>
      </w:r>
      <w:r w:rsidRPr="002F2A4C">
        <w:rPr>
          <w:i/>
        </w:rPr>
        <w:t>“Otros”</w:t>
      </w:r>
      <w:r w:rsidRPr="005A6843">
        <w:t xml:space="preserve">, y 7º.- Por </w:t>
      </w:r>
      <w:r w:rsidRPr="002F2A4C">
        <w:rPr>
          <w:i/>
        </w:rPr>
        <w:t>“Fecha de adjudicación”,</w:t>
      </w:r>
      <w:r w:rsidRPr="005A6843">
        <w:t xml:space="preserve"> con un intervalo </w:t>
      </w:r>
      <w:r w:rsidRPr="002F2A4C">
        <w:rPr>
          <w:i/>
        </w:rPr>
        <w:t xml:space="preserve">“Desde </w:t>
      </w:r>
      <w:r w:rsidRPr="005A6843">
        <w:t xml:space="preserve">(fecha libre) / </w:t>
      </w:r>
      <w:r w:rsidRPr="002F2A4C">
        <w:rPr>
          <w:i/>
        </w:rPr>
        <w:t>hasta</w:t>
      </w:r>
      <w:r w:rsidRPr="005A6843">
        <w:t xml:space="preserve"> (fecha libre)”.</w:t>
      </w:r>
    </w:p>
    <w:p w:rsidR="000D513D" w:rsidRPr="005A6843" w:rsidRDefault="000D513D" w:rsidP="00AC59E7">
      <w:pPr>
        <w:pStyle w:val="Prrafodelista"/>
        <w:spacing w:line="276" w:lineRule="auto"/>
        <w:jc w:val="both"/>
      </w:pPr>
    </w:p>
    <w:p w:rsidR="003316F3" w:rsidRDefault="003316F3" w:rsidP="00CD1B61">
      <w:pPr>
        <w:pStyle w:val="Prrafodelista"/>
        <w:numPr>
          <w:ilvl w:val="0"/>
          <w:numId w:val="9"/>
        </w:numPr>
        <w:spacing w:line="276" w:lineRule="auto"/>
        <w:jc w:val="both"/>
      </w:pPr>
      <w:r w:rsidRPr="002F2A4C">
        <w:rPr>
          <w:i/>
        </w:rPr>
        <w:t>“Contratos basados en Acuerdos marco”</w:t>
      </w:r>
      <w:r w:rsidRPr="005A6843">
        <w:t xml:space="preserve">: La opción </w:t>
      </w:r>
      <w:r w:rsidRPr="002F2A4C">
        <w:rPr>
          <w:i/>
        </w:rPr>
        <w:t>“Más filtros”</w:t>
      </w:r>
      <w:r w:rsidRPr="005A6843">
        <w:t xml:space="preserve"> proporciona tres filtros adicionales: 1º.- Por </w:t>
      </w:r>
      <w:r w:rsidRPr="002F2A4C">
        <w:rPr>
          <w:i/>
        </w:rPr>
        <w:t>“Adjudicatario”</w:t>
      </w:r>
      <w:r w:rsidRPr="005A6843">
        <w:t xml:space="preserve"> (texto libre); 2º.- Por </w:t>
      </w:r>
      <w:r w:rsidRPr="002F2A4C">
        <w:rPr>
          <w:i/>
        </w:rPr>
        <w:t>“Fecha de adjudicación”</w:t>
      </w:r>
      <w:r w:rsidRPr="005A6843">
        <w:t xml:space="preserve">, con un intervalo  </w:t>
      </w:r>
      <w:r w:rsidRPr="002F2A4C">
        <w:rPr>
          <w:i/>
        </w:rPr>
        <w:t>“Desde</w:t>
      </w:r>
      <w:r w:rsidRPr="005A6843">
        <w:t xml:space="preserve"> (fecha libre) / </w:t>
      </w:r>
      <w:r w:rsidRPr="002F2A4C">
        <w:rPr>
          <w:i/>
        </w:rPr>
        <w:t>hasta</w:t>
      </w:r>
      <w:r w:rsidRPr="005A6843">
        <w:t xml:space="preserve"> (fecha libre)”, y 3º.- Por </w:t>
      </w:r>
      <w:r w:rsidRPr="002F2A4C">
        <w:rPr>
          <w:i/>
        </w:rPr>
        <w:t>“Importe de Adjudicación”</w:t>
      </w:r>
      <w:r w:rsidRPr="005A6843">
        <w:t xml:space="preserve">, con un intervalo u horquilla: </w:t>
      </w:r>
      <w:r w:rsidRPr="002F2A4C">
        <w:rPr>
          <w:i/>
        </w:rPr>
        <w:t>“De ----euros</w:t>
      </w:r>
      <w:r w:rsidRPr="005A6843">
        <w:t xml:space="preserve"> (importe libre) / </w:t>
      </w:r>
      <w:r w:rsidRPr="002F2A4C">
        <w:rPr>
          <w:i/>
        </w:rPr>
        <w:t>hasta ---- euros</w:t>
      </w:r>
      <w:r w:rsidRPr="005A6843">
        <w:t xml:space="preserve"> (importe libre)”.</w:t>
      </w:r>
    </w:p>
    <w:p w:rsidR="000D513D" w:rsidRDefault="000D513D" w:rsidP="00AC59E7">
      <w:pPr>
        <w:pStyle w:val="Prrafodelista"/>
        <w:spacing w:line="276" w:lineRule="auto"/>
      </w:pPr>
    </w:p>
    <w:p w:rsidR="003316F3" w:rsidRDefault="003316F3" w:rsidP="00CD1B61">
      <w:pPr>
        <w:pStyle w:val="Prrafodelista"/>
        <w:numPr>
          <w:ilvl w:val="0"/>
          <w:numId w:val="9"/>
        </w:numPr>
        <w:spacing w:line="276" w:lineRule="auto"/>
        <w:jc w:val="both"/>
      </w:pPr>
      <w:r w:rsidRPr="002F2A4C">
        <w:rPr>
          <w:i/>
        </w:rPr>
        <w:t>“Convenios y Encomiendas”</w:t>
      </w:r>
      <w:r w:rsidRPr="005A6843">
        <w:t xml:space="preserve">: Presenta los siguientes filtros adicionales: 1º.- Por </w:t>
      </w:r>
      <w:r w:rsidRPr="002F2A4C">
        <w:rPr>
          <w:i/>
        </w:rPr>
        <w:t>“Tipología”</w:t>
      </w:r>
      <w:r w:rsidRPr="005A6843">
        <w:t xml:space="preserve">, con tres opciones preestablecidas: </w:t>
      </w:r>
      <w:r w:rsidRPr="002F2A4C">
        <w:rPr>
          <w:i/>
        </w:rPr>
        <w:t>“Convenio / Encomienda de gestión / Convenio con encomienda de gestión”</w:t>
      </w:r>
      <w:r w:rsidRPr="005A6843">
        <w:t xml:space="preserve">; 2º.- Por </w:t>
      </w:r>
      <w:r w:rsidRPr="002F2A4C">
        <w:rPr>
          <w:i/>
        </w:rPr>
        <w:t>“</w:t>
      </w:r>
      <w:r w:rsidR="002F2A4C" w:rsidRPr="002F2A4C">
        <w:rPr>
          <w:i/>
        </w:rPr>
        <w:t>Área</w:t>
      </w:r>
      <w:r w:rsidRPr="002F2A4C">
        <w:rPr>
          <w:i/>
        </w:rPr>
        <w:t xml:space="preserve"> sectorial”</w:t>
      </w:r>
      <w:r w:rsidRPr="005A6843">
        <w:t xml:space="preserve">, con 60 alternativas prefijadas: </w:t>
      </w:r>
      <w:r w:rsidRPr="002F2A4C">
        <w:rPr>
          <w:i/>
        </w:rPr>
        <w:t>“Acción cultural”, “Administración de justicia”, “Administración Pública”, “Agricultura y ganadería”, “Agua y obras hidráulicas”, “Artes escénicas, musicales y audiovisuales”, “Asuntos Exteriores”, “Bibliotecas”, “Cartografía y asistencia técnica”, “Obras públicas”, “Comercio”, “Comunicaciones postales y telegráficas”, “Comunicaciones y sociedad de la información”, “Consumo”, “Cooperación Internacional”, “Costas”, “Defensa”, “Deporte”, “Drogodependencias”, “Economía y empresa”, “Educación”, “Empleo”, “Energía”, “Estadística”, “Farmacia”, “Gestión catastral”, “Hacienda”, “Igualdad”, “Industria y empresa”, “Infraestructuras y acción territorial”, “Instituciones financieras y de seguro”, “Instituciones penitenciarias, “Intervención y contabilidad”, “Investigación”, “Investigación en defensa”, “Investigación política y social”, “Juventud”, “Medios de comunicación social”, “Migraciones”, “Participaciones industriales”, “Patrimonio histórico-artístico”, “Patrimonio y medios”, “Pesca”, “Política interior”, “Presidencia”, “Presupuestos y gastos”, “Protección civil”, “Protección del medio ambiente”, “Registros y notariado”, “Relaciones laborales”, “Sanidad y salud pública”, “Seguridad”, “Seguridad social”, “Servicio jurídico”, “Servicios sociales”, “Tráfico”, “Transportes” , “Turismo”, “Unión Europea”, “Universidades”</w:t>
      </w:r>
      <w:r w:rsidRPr="005A6843">
        <w:t xml:space="preserve"> y </w:t>
      </w:r>
      <w:r w:rsidRPr="002F2A4C">
        <w:rPr>
          <w:i/>
        </w:rPr>
        <w:t>“Vivienda y urbanismo”</w:t>
      </w:r>
      <w:r w:rsidRPr="005A6843">
        <w:t xml:space="preserve">. Este catálogo de materias responde a la catalogación de los datos en la Base de Datos Nacional de Convenios (BDNC) y constituye una alternativa, con mayor grado de desglose, de la tipología RISP utilizada en la categoría de </w:t>
      </w:r>
      <w:r w:rsidRPr="002F2A4C">
        <w:rPr>
          <w:i/>
        </w:rPr>
        <w:t>“Normativa”</w:t>
      </w:r>
      <w:r w:rsidRPr="005A6843">
        <w:t xml:space="preserve"> – ver más arriba-; 3º.- Por la financiación del convenio o la encomienda -esto es, si el convenio o la encomienda tienen financiación por parte del Ministerio que los formaliza-, con tres alternativas prefijadas: </w:t>
      </w:r>
      <w:r w:rsidRPr="002F2A4C">
        <w:rPr>
          <w:i/>
        </w:rPr>
        <w:t>“¿Tiene financiación? Si / No / Todas”</w:t>
      </w:r>
      <w:r w:rsidRPr="005A6843">
        <w:t xml:space="preserve">; 4º.- Por la vigencia del convenio al momento de la consulta, con tres alternativas también: </w:t>
      </w:r>
      <w:r w:rsidRPr="002F2A4C">
        <w:rPr>
          <w:i/>
        </w:rPr>
        <w:t>“Convenio vigente: Si / No / Todos”</w:t>
      </w:r>
      <w:r w:rsidRPr="005A6843">
        <w:t xml:space="preserve">, y 5º-. Por </w:t>
      </w:r>
      <w:r w:rsidRPr="002F2A4C">
        <w:rPr>
          <w:i/>
        </w:rPr>
        <w:t>“Fecha de vigencia”</w:t>
      </w:r>
      <w:r w:rsidRPr="005A6843">
        <w:t xml:space="preserve"> del convenio o la encomienda, con un intervalo  </w:t>
      </w:r>
      <w:r w:rsidRPr="002F2A4C">
        <w:rPr>
          <w:i/>
        </w:rPr>
        <w:t>“Desde</w:t>
      </w:r>
      <w:r w:rsidRPr="005A6843">
        <w:t xml:space="preserve"> (fech</w:t>
      </w:r>
      <w:r w:rsidR="000D513D">
        <w:t xml:space="preserve">a libre) / </w:t>
      </w:r>
      <w:r w:rsidR="000D513D" w:rsidRPr="002F2A4C">
        <w:rPr>
          <w:i/>
        </w:rPr>
        <w:t>hasta</w:t>
      </w:r>
      <w:r w:rsidR="000D513D">
        <w:t xml:space="preserve"> (fecha libre)”.</w:t>
      </w:r>
    </w:p>
    <w:p w:rsidR="000D513D" w:rsidRPr="005A6843" w:rsidRDefault="000D513D" w:rsidP="00AC59E7">
      <w:pPr>
        <w:pStyle w:val="Prrafodelista"/>
        <w:spacing w:line="276" w:lineRule="auto"/>
        <w:jc w:val="both"/>
      </w:pPr>
    </w:p>
    <w:p w:rsidR="003316F3" w:rsidRDefault="003316F3" w:rsidP="00CD1B61">
      <w:pPr>
        <w:pStyle w:val="Prrafodelista"/>
        <w:numPr>
          <w:ilvl w:val="0"/>
          <w:numId w:val="9"/>
        </w:numPr>
        <w:spacing w:line="276" w:lineRule="auto"/>
        <w:jc w:val="both"/>
      </w:pPr>
      <w:r w:rsidRPr="002F2A4C">
        <w:rPr>
          <w:i/>
        </w:rPr>
        <w:t>“Bienes Inmuebles”</w:t>
      </w:r>
      <w:r w:rsidRPr="005A6843">
        <w:t xml:space="preserve">: Presenta las siguientes opciones para filtrar la información: 1º.- Por </w:t>
      </w:r>
      <w:r w:rsidRPr="00114A07">
        <w:rPr>
          <w:i/>
        </w:rPr>
        <w:t>“Tipo de inmueble”</w:t>
      </w:r>
      <w:r w:rsidRPr="005A6843">
        <w:t xml:space="preserve">, con el siguiente catálogo de opciones: </w:t>
      </w:r>
      <w:r w:rsidRPr="00114A07">
        <w:rPr>
          <w:i/>
        </w:rPr>
        <w:t>“Edificio”, “Solar”, “Local”, “Rústico”, “Plaza de garaje”, “Nave”, “Finca rústica”</w:t>
      </w:r>
      <w:r w:rsidRPr="005A6843">
        <w:t xml:space="preserve"> ó </w:t>
      </w:r>
      <w:r w:rsidRPr="00114A07">
        <w:rPr>
          <w:i/>
        </w:rPr>
        <w:t>“Vivienda”</w:t>
      </w:r>
      <w:r w:rsidRPr="005A6843">
        <w:t xml:space="preserve">; 2º.- Por </w:t>
      </w:r>
      <w:r w:rsidRPr="00114A07">
        <w:rPr>
          <w:i/>
        </w:rPr>
        <w:t>“Localización”</w:t>
      </w:r>
      <w:r w:rsidRPr="005A6843">
        <w:t xml:space="preserve"> del inmueble, con un desplegable por localidades, y 3º.- Por </w:t>
      </w:r>
      <w:r w:rsidRPr="00114A07">
        <w:rPr>
          <w:i/>
        </w:rPr>
        <w:t>“Superficie”,</w:t>
      </w:r>
      <w:r w:rsidRPr="005A6843">
        <w:t xml:space="preserve">  con un intervalo u horquilla: </w:t>
      </w:r>
      <w:r w:rsidRPr="00114A07">
        <w:rPr>
          <w:i/>
        </w:rPr>
        <w:t>“Desde</w:t>
      </w:r>
      <w:r w:rsidRPr="005A6843">
        <w:t xml:space="preserve"> (número libre de m2) / </w:t>
      </w:r>
      <w:r w:rsidRPr="00114A07">
        <w:rPr>
          <w:i/>
        </w:rPr>
        <w:t>hasta</w:t>
      </w:r>
      <w:r w:rsidRPr="005A6843">
        <w:t xml:space="preserve"> (número libre de m2)”.</w:t>
      </w:r>
    </w:p>
    <w:p w:rsidR="000D513D" w:rsidRDefault="000D513D" w:rsidP="00AC59E7">
      <w:pPr>
        <w:pStyle w:val="Prrafodelista"/>
        <w:spacing w:line="276" w:lineRule="auto"/>
      </w:pPr>
    </w:p>
    <w:p w:rsidR="003316F3" w:rsidRDefault="003316F3" w:rsidP="00CD1B61">
      <w:pPr>
        <w:pStyle w:val="Prrafodelista"/>
        <w:numPr>
          <w:ilvl w:val="0"/>
          <w:numId w:val="7"/>
        </w:numPr>
        <w:spacing w:line="276" w:lineRule="auto"/>
        <w:ind w:left="426"/>
        <w:jc w:val="both"/>
      </w:pPr>
      <w:r w:rsidRPr="005A6843">
        <w:t>Finalmente, las siguientes sub-categorías informativas de la categoría “</w:t>
      </w:r>
      <w:r w:rsidRPr="00114A07">
        <w:rPr>
          <w:i/>
        </w:rPr>
        <w:t>Presupuestos, Fiscalización e Informes”</w:t>
      </w:r>
      <w:r w:rsidRPr="005A6843">
        <w:t>, ofrecen filtros de búsqueda adicionales:</w:t>
      </w:r>
    </w:p>
    <w:p w:rsidR="000D513D" w:rsidRPr="005A6843" w:rsidRDefault="000D513D" w:rsidP="00AC59E7">
      <w:pPr>
        <w:pStyle w:val="Prrafodelista"/>
        <w:spacing w:line="276" w:lineRule="auto"/>
        <w:ind w:left="426"/>
        <w:jc w:val="both"/>
      </w:pPr>
    </w:p>
    <w:p w:rsidR="003316F3" w:rsidRDefault="003316F3" w:rsidP="00CD1B61">
      <w:pPr>
        <w:pStyle w:val="Prrafodelista"/>
        <w:numPr>
          <w:ilvl w:val="0"/>
          <w:numId w:val="10"/>
        </w:numPr>
        <w:spacing w:line="276" w:lineRule="auto"/>
        <w:jc w:val="both"/>
      </w:pPr>
      <w:r w:rsidRPr="00114A07">
        <w:rPr>
          <w:i/>
        </w:rPr>
        <w:t>“Presupuestos”</w:t>
      </w:r>
      <w:r w:rsidRPr="005A6843">
        <w:t xml:space="preserve">: 1º.- Por  </w:t>
      </w:r>
      <w:r w:rsidRPr="00114A07">
        <w:rPr>
          <w:i/>
        </w:rPr>
        <w:t>“Gastos / Ingresos”</w:t>
      </w:r>
      <w:r w:rsidRPr="005A6843">
        <w:t xml:space="preserve">, según el estado contable que se desee consultar ; 2º.- Para la opción </w:t>
      </w:r>
      <w:r w:rsidRPr="00114A07">
        <w:rPr>
          <w:i/>
        </w:rPr>
        <w:t>“Gastos”</w:t>
      </w:r>
      <w:r w:rsidRPr="005A6843">
        <w:t xml:space="preserve">:  a) Por </w:t>
      </w:r>
      <w:r w:rsidRPr="00114A07">
        <w:rPr>
          <w:i/>
        </w:rPr>
        <w:t>“Año”</w:t>
      </w:r>
      <w:r w:rsidRPr="005A6843">
        <w:t xml:space="preserve"> o ejercicio económico que se desea consultar, con cinco alternativas prefijadas: </w:t>
      </w:r>
      <w:r w:rsidRPr="00114A07">
        <w:rPr>
          <w:i/>
        </w:rPr>
        <w:t>“2014 /  2015 / 2016 / 2017 / Todos”;</w:t>
      </w:r>
      <w:r w:rsidRPr="005A6843">
        <w:t xml:space="preserve"> b) Por </w:t>
      </w:r>
      <w:r w:rsidRPr="00114A07">
        <w:rPr>
          <w:i/>
        </w:rPr>
        <w:t>“Tipo de organismo”</w:t>
      </w:r>
      <w:r w:rsidRPr="005A6843">
        <w:t xml:space="preserve"> al que corresponde el Presupuesto, con las siguientes opciones preestablecidas: </w:t>
      </w:r>
      <w:r w:rsidRPr="00114A07">
        <w:rPr>
          <w:i/>
        </w:rPr>
        <w:t>“Estado”, “Organismos Autónomos”, “Agencias Estatales”, “Otros organismos públicos”, “Entidades del sector publico administrativo”, “Entidades de crédito”, “Entidades no financieras”, “Entidades de seguros”, “Fondos con operaciones de seguros”, “Fondos estatales”, “Fondos públicos”</w:t>
      </w:r>
      <w:r w:rsidRPr="005A6843">
        <w:t xml:space="preserve"> y</w:t>
      </w:r>
      <w:r w:rsidRPr="00114A07">
        <w:rPr>
          <w:i/>
        </w:rPr>
        <w:t xml:space="preserve"> “Fundaciones estatales”</w:t>
      </w:r>
      <w:r w:rsidRPr="005A6843">
        <w:t xml:space="preserve">; c) Por </w:t>
      </w:r>
      <w:r w:rsidRPr="00114A07">
        <w:rPr>
          <w:i/>
        </w:rPr>
        <w:t>“Sector”</w:t>
      </w:r>
      <w:r w:rsidRPr="005A6843">
        <w:t xml:space="preserve"> –se entiende que dentro del sector público y en términos de Contabilidad Nacional-, con tres alternativas: </w:t>
      </w:r>
      <w:r w:rsidRPr="00114A07">
        <w:rPr>
          <w:i/>
        </w:rPr>
        <w:t>“Sector administrativo estimativo / Sector administrativo limitativo / Sector empresarial y fundacional”</w:t>
      </w:r>
      <w:r w:rsidRPr="005A6843">
        <w:t>.</w:t>
      </w:r>
    </w:p>
    <w:p w:rsidR="000D513D" w:rsidRPr="005A6843" w:rsidRDefault="000D513D" w:rsidP="00AC59E7">
      <w:pPr>
        <w:pStyle w:val="Prrafodelista"/>
        <w:spacing w:line="276" w:lineRule="auto"/>
        <w:jc w:val="both"/>
      </w:pPr>
    </w:p>
    <w:p w:rsidR="003316F3" w:rsidRDefault="003316F3" w:rsidP="00CD1B61">
      <w:pPr>
        <w:pStyle w:val="Prrafodelista"/>
        <w:numPr>
          <w:ilvl w:val="0"/>
          <w:numId w:val="10"/>
        </w:numPr>
        <w:spacing w:line="276" w:lineRule="auto"/>
        <w:jc w:val="both"/>
      </w:pPr>
      <w:r w:rsidRPr="005A6843">
        <w:t>“</w:t>
      </w:r>
      <w:r w:rsidRPr="00114A07">
        <w:rPr>
          <w:i/>
        </w:rPr>
        <w:t>Informes y estadísticas relevantes”</w:t>
      </w:r>
      <w:r w:rsidRPr="005A6843">
        <w:t xml:space="preserve">: Permite filtrar la información por </w:t>
      </w:r>
      <w:r w:rsidRPr="00114A07">
        <w:rPr>
          <w:i/>
        </w:rPr>
        <w:t>“Áreas Temáticas”</w:t>
      </w:r>
      <w:r w:rsidRPr="005A6843">
        <w:t xml:space="preserve">, con dos opciones: </w:t>
      </w:r>
      <w:r w:rsidRPr="00114A07">
        <w:rPr>
          <w:i/>
        </w:rPr>
        <w:t>“Temática Principal”</w:t>
      </w:r>
      <w:r w:rsidRPr="005A6843">
        <w:t xml:space="preserve"> y </w:t>
      </w:r>
      <w:r w:rsidRPr="00114A07">
        <w:rPr>
          <w:i/>
        </w:rPr>
        <w:t>“Temática Secundaria”</w:t>
      </w:r>
      <w:r w:rsidRPr="005A6843">
        <w:t>. La primera ofrece un catálogo de opciones prefijadas con las 24 categorías RISP que se han señalado más arriba. La segunda, aún, a día de hoy, no ofrece opciones.</w:t>
      </w:r>
    </w:p>
    <w:p w:rsidR="000D513D" w:rsidRDefault="000D513D" w:rsidP="00AC59E7">
      <w:pPr>
        <w:pStyle w:val="Prrafodelista"/>
        <w:spacing w:line="276" w:lineRule="auto"/>
      </w:pPr>
    </w:p>
    <w:p w:rsidR="003316F3" w:rsidRPr="005A6843" w:rsidRDefault="003316F3" w:rsidP="00AC59E7">
      <w:pPr>
        <w:jc w:val="both"/>
      </w:pPr>
      <w:r w:rsidRPr="005A6843">
        <w:t xml:space="preserve">Viendo esta considerable relación de filtros y de alternativas, parece claro que los responsables del Portal, conscientes del gran volumen de datos a disposición del usuario,  han hecho un esfuerzo para facilitar las búsquedas y el filtrado de la información. A juicio de este CTBG, se trata de un esfuerzo cuyos resultados deben valorarse positivamente, aunque, desde el punto de vista de la transparencia y la accesibilidad de la información, existan algunos aspectos necesitados de mejora: </w:t>
      </w:r>
    </w:p>
    <w:p w:rsidR="003316F3" w:rsidRPr="005A6843" w:rsidRDefault="003316F3" w:rsidP="00CD1B61">
      <w:pPr>
        <w:pStyle w:val="Prrafodelista"/>
        <w:numPr>
          <w:ilvl w:val="0"/>
          <w:numId w:val="11"/>
        </w:numPr>
        <w:spacing w:line="276" w:lineRule="auto"/>
        <w:ind w:left="426"/>
        <w:jc w:val="both"/>
      </w:pPr>
      <w:r w:rsidRPr="005A6843">
        <w:t xml:space="preserve">La búsqueda por textos libres resulta, a veces, dificultosa al ser el buscador un buscador alfabético y excesivamente apegado a la terminología burocrática. Así, si, p. ej., a día de hoy, se teclea </w:t>
      </w:r>
      <w:r w:rsidRPr="00114A07">
        <w:rPr>
          <w:i/>
        </w:rPr>
        <w:t>“inversión en carreteras 2016”</w:t>
      </w:r>
      <w:r w:rsidRPr="005A6843">
        <w:t xml:space="preserve">, se obtienen 25 resultados, comenzando por el currículo de D.  Manuel Niño González, Secretario General de Infraestructuras, y finalizando con un </w:t>
      </w:r>
      <w:r w:rsidRPr="00114A07">
        <w:rPr>
          <w:i/>
        </w:rPr>
        <w:t>Estudio y Guía Metodológica sobre Ciudades Inteligentes</w:t>
      </w:r>
      <w:r w:rsidRPr="005A6843">
        <w:t xml:space="preserve">, pasando por un informe sobre </w:t>
      </w:r>
      <w:r w:rsidRPr="00114A07">
        <w:rPr>
          <w:i/>
        </w:rPr>
        <w:t>El deporte femenino español en los Juegos Olímpicos en 2016</w:t>
      </w:r>
      <w:r w:rsidRPr="005A6843">
        <w:t xml:space="preserve"> o el </w:t>
      </w:r>
      <w:r w:rsidRPr="00114A07">
        <w:rPr>
          <w:i/>
        </w:rPr>
        <w:t>Informe trimestral de seguimiento 2015-06 de la Comisión para la Reforma de las AAPP (CORA)</w:t>
      </w:r>
      <w:r w:rsidRPr="005A6843">
        <w:t>. Así también, si, p. ej., se teclea a día de hoy “Consejo de Transparencia” se obtienen 122.000 resultados, la sume de todos los documentos o registros de datos del Portal donde se mencionan ambas pa</w:t>
      </w:r>
      <w:r w:rsidR="009C2B02" w:rsidRPr="005A6843">
        <w:t>labras aunque nada tengan que v</w:t>
      </w:r>
      <w:r w:rsidRPr="005A6843">
        <w:t xml:space="preserve">er con el organismo. Así, finalmente, si se teclea p. ej. </w:t>
      </w:r>
      <w:r w:rsidRPr="00114A07">
        <w:rPr>
          <w:i/>
        </w:rPr>
        <w:t>“gastos de luz Ministerio del Interior”</w:t>
      </w:r>
      <w:r w:rsidRPr="005A6843">
        <w:t xml:space="preserve"> o </w:t>
      </w:r>
      <w:r w:rsidRPr="00114A07">
        <w:rPr>
          <w:i/>
        </w:rPr>
        <w:t>“gastos de teléfono Ministerio de Fomento”</w:t>
      </w:r>
      <w:r w:rsidRPr="005A6843">
        <w:t xml:space="preserve"> no se obtiene ningún resultado.</w:t>
      </w:r>
    </w:p>
    <w:p w:rsidR="00B872F3" w:rsidRDefault="003316F3" w:rsidP="00CD1B61">
      <w:pPr>
        <w:pStyle w:val="Prrafodelista"/>
        <w:numPr>
          <w:ilvl w:val="0"/>
          <w:numId w:val="11"/>
        </w:numPr>
        <w:spacing w:line="276" w:lineRule="auto"/>
        <w:ind w:left="426"/>
        <w:jc w:val="both"/>
      </w:pPr>
      <w:r w:rsidRPr="005A6843">
        <w:t>El Portal abusa de filtros “formales”, que requieren un conocimiento previo de la materia que se consulta (jerarquía normativa, procedimientos de contratación</w:t>
      </w:r>
      <w:r w:rsidR="00DA7AA0" w:rsidRPr="005A6843">
        <w:t>, normativa presupuestaria</w:t>
      </w:r>
      <w:r w:rsidRPr="005A6843">
        <w:t xml:space="preserve">) o de ciertos detalles (fecha, vigencia, rango) del objeto o dato que se quiere conocer. Sería necesario incorporar más filtros “materiales” -del tipo </w:t>
      </w:r>
      <w:r w:rsidRPr="00114A07">
        <w:rPr>
          <w:i/>
        </w:rPr>
        <w:t>“Temática Principal”</w:t>
      </w:r>
      <w:r w:rsidRPr="005A6843">
        <w:t xml:space="preserve"> o </w:t>
      </w:r>
      <w:r w:rsidRPr="00114A07">
        <w:rPr>
          <w:i/>
        </w:rPr>
        <w:t>“Área Sectorial”</w:t>
      </w:r>
      <w:r w:rsidRPr="005A6843">
        <w:t xml:space="preserve"> que hemos visto se ofrecen en las sub-categorías de información de normativa o convenios y encomiendas- que permiten al consultante buscar por los asuntos, temas o materias que le interesan.</w:t>
      </w:r>
    </w:p>
    <w:p w:rsidR="002F5831" w:rsidRPr="005A6843" w:rsidRDefault="002F5831" w:rsidP="00AC59E7">
      <w:pPr>
        <w:pStyle w:val="Prrafodelista"/>
        <w:spacing w:line="276" w:lineRule="auto"/>
        <w:ind w:left="426"/>
        <w:jc w:val="both"/>
      </w:pPr>
    </w:p>
    <w:p w:rsidR="00B872F3" w:rsidRDefault="00DA7AA0" w:rsidP="00CD1B61">
      <w:pPr>
        <w:pStyle w:val="Prrafodelista"/>
        <w:numPr>
          <w:ilvl w:val="0"/>
          <w:numId w:val="11"/>
        </w:numPr>
        <w:spacing w:line="276" w:lineRule="auto"/>
        <w:ind w:left="426"/>
        <w:jc w:val="both"/>
      </w:pPr>
      <w:r w:rsidRPr="005A6843">
        <w:t xml:space="preserve">Los filtros “materiales” -temática y área sectorial- deberían ser explicados o “tutorizados” para optimizar su uso. Los numerosos ítem o categorías que integran se presentan al usuario en un menú desplegable que se abre solamente cuando se “clica” el acceso, lo que resulta incómodo y escasamente práctico. Sería conveniente introducir una explicación o nota previa, enumerando las diferentes categorías y poniendo algunos ejemplos de los datos o informaciones comprendidos en cada una de ellas. Por otra parte, la existencia de dos filtros materiales diferentes </w:t>
      </w:r>
      <w:r w:rsidR="00B872F3" w:rsidRPr="005A6843">
        <w:t>–el correspondiente a las categorías RISP y el de áreas sectoriales de la base de datos de convenios- introduce una cierta complejidad en la cuestión e imposibilita que el usuario reiterado se familiarice con una determinada clasificación. Teniendo en cuenta que el filtro “</w:t>
      </w:r>
      <w:r w:rsidR="009C2B02" w:rsidRPr="005A6843">
        <w:t>Áreas</w:t>
      </w:r>
      <w:r w:rsidR="00B872F3" w:rsidRPr="005A6843">
        <w:t xml:space="preserve"> Sectoriales” presenta 60 categorías mientras que el de categorías RISP únicamente 24, sería aconsejable, a juicio de este CTBG, limitar las opciones al segundo, que tiene, además, la ventaja de constituir un estándar internacional.</w:t>
      </w:r>
    </w:p>
    <w:p w:rsidR="002F5831" w:rsidRDefault="002F5831" w:rsidP="00AC59E7">
      <w:pPr>
        <w:pStyle w:val="Prrafodelista"/>
        <w:spacing w:line="276" w:lineRule="auto"/>
      </w:pPr>
    </w:p>
    <w:p w:rsidR="00DF5068" w:rsidRDefault="00DF5068" w:rsidP="00CD1B61">
      <w:pPr>
        <w:pStyle w:val="Prrafodelista"/>
        <w:numPr>
          <w:ilvl w:val="0"/>
          <w:numId w:val="11"/>
        </w:numPr>
        <w:spacing w:line="276" w:lineRule="auto"/>
        <w:ind w:left="426"/>
        <w:jc w:val="both"/>
      </w:pPr>
      <w:r w:rsidRPr="005A6843">
        <w:t xml:space="preserve">En la sub-categoría de información sobre </w:t>
      </w:r>
      <w:r w:rsidRPr="00114A07">
        <w:rPr>
          <w:i/>
        </w:rPr>
        <w:t>“Contratos”</w:t>
      </w:r>
      <w:r w:rsidRPr="005A6843">
        <w:t>, tal vez la que mayor volumen de datos incorpora de todo el Portal -147.127 registros a día de hoy-, no existe posibilidad de filtrar los datos por materias. Tampoco se incorporan filtros que, a</w:t>
      </w:r>
      <w:r w:rsidR="009C2B02" w:rsidRPr="005A6843">
        <w:t xml:space="preserve"> </w:t>
      </w:r>
      <w:r w:rsidRPr="005A6843">
        <w:t>criterio de este Consejo, podrían ser potencialmente muy útiles como cualquiera que permitiera filtrar por tipos de contratos</w:t>
      </w:r>
      <w:r w:rsidR="00023EB6" w:rsidRPr="005A6843">
        <w:t xml:space="preserve"> -</w:t>
      </w:r>
      <w:r w:rsidRPr="005A6843">
        <w:t xml:space="preserve">suministros, obras, servicios, </w:t>
      </w:r>
      <w:r w:rsidR="00235F53">
        <w:t>etc.</w:t>
      </w:r>
      <w:r w:rsidR="00023EB6" w:rsidRPr="005A6843">
        <w:t>-.</w:t>
      </w:r>
    </w:p>
    <w:p w:rsidR="002F5831" w:rsidRDefault="002F5831" w:rsidP="00AC59E7">
      <w:pPr>
        <w:pStyle w:val="Prrafodelista"/>
        <w:spacing w:line="276" w:lineRule="auto"/>
      </w:pPr>
    </w:p>
    <w:p w:rsidR="00DF5068" w:rsidRPr="005A6843" w:rsidRDefault="00DA7AA0" w:rsidP="00CD1B61">
      <w:pPr>
        <w:pStyle w:val="Prrafodelista"/>
        <w:numPr>
          <w:ilvl w:val="0"/>
          <w:numId w:val="11"/>
        </w:numPr>
        <w:spacing w:line="276" w:lineRule="auto"/>
        <w:ind w:left="426"/>
        <w:jc w:val="both"/>
      </w:pPr>
      <w:r w:rsidRPr="005A6843">
        <w:t xml:space="preserve">Algunos filtros resultan </w:t>
      </w:r>
      <w:r w:rsidR="003316F3" w:rsidRPr="005A6843">
        <w:t>incongruen</w:t>
      </w:r>
      <w:r w:rsidR="00B872F3" w:rsidRPr="005A6843">
        <w:t xml:space="preserve">tes con la propia </w:t>
      </w:r>
      <w:r w:rsidR="00052FF3">
        <w:t>l</w:t>
      </w:r>
      <w:r w:rsidR="001C41A6">
        <w:t>ey</w:t>
      </w:r>
      <w:r w:rsidR="00E768A4">
        <w:t xml:space="preserve"> de transparencia</w:t>
      </w:r>
      <w:r w:rsidR="00B872F3" w:rsidRPr="005A6843">
        <w:t xml:space="preserve"> e introducen complicaciones innecesarias ven la búsqueda. Sucede así con varios filtros por anualidades. El sentido de la publicidad activa es ofrecer al consultante información actual y vigente, no información histórica o correspondiente al pasado, que puede obtenerse, en su caso, a través del acceso a la información. </w:t>
      </w:r>
      <w:r w:rsidR="00DF5068" w:rsidRPr="005A6843">
        <w:t>En todo caso, si se desea ofrecer información histórica en régimen de publicidad activa, debería estructurarse en un apartado específico y con una indicación expresa.</w:t>
      </w:r>
    </w:p>
    <w:p w:rsidR="00AC59E7" w:rsidRDefault="00DF5068" w:rsidP="00CD1B61">
      <w:pPr>
        <w:pStyle w:val="Prrafodelista"/>
        <w:numPr>
          <w:ilvl w:val="0"/>
          <w:numId w:val="11"/>
        </w:numPr>
        <w:spacing w:line="276" w:lineRule="auto"/>
        <w:ind w:left="426"/>
        <w:jc w:val="both"/>
      </w:pPr>
      <w:r w:rsidRPr="005A6843">
        <w:t xml:space="preserve">Finalmente, algunos filtros resultan incongruentes con la propia estructura del Portal. Así, en la categoría de información </w:t>
      </w:r>
      <w:r w:rsidRPr="00114A07">
        <w:rPr>
          <w:i/>
        </w:rPr>
        <w:t>“</w:t>
      </w:r>
      <w:r w:rsidR="003316F3" w:rsidRPr="00114A07">
        <w:rPr>
          <w:i/>
        </w:rPr>
        <w:t>Normativa</w:t>
      </w:r>
      <w:r w:rsidRPr="00114A07">
        <w:rPr>
          <w:i/>
        </w:rPr>
        <w:t>”</w:t>
      </w:r>
      <w:r w:rsidRPr="005A6843">
        <w:t xml:space="preserve">, </w:t>
      </w:r>
      <w:r w:rsidR="003316F3" w:rsidRPr="005A6843">
        <w:t xml:space="preserve">en la </w:t>
      </w:r>
      <w:r w:rsidRPr="005A6843">
        <w:t xml:space="preserve">sub-categoría </w:t>
      </w:r>
      <w:r w:rsidRPr="00114A07">
        <w:rPr>
          <w:i/>
        </w:rPr>
        <w:t>“Normativa Destacada”</w:t>
      </w:r>
      <w:r w:rsidRPr="005A6843">
        <w:t xml:space="preserve"> se incluye en </w:t>
      </w:r>
      <w:r w:rsidR="003316F3" w:rsidRPr="005A6843">
        <w:t xml:space="preserve">los filtros usados en el buscador una clase específica de información, denominada </w:t>
      </w:r>
      <w:r w:rsidRPr="005A6843">
        <w:t xml:space="preserve">justamente </w:t>
      </w:r>
      <w:r w:rsidR="003316F3" w:rsidRPr="00114A07">
        <w:t>“normativa destacada del Departamento”</w:t>
      </w:r>
      <w:r w:rsidR="00AC59E7">
        <w:t>.</w:t>
      </w:r>
    </w:p>
    <w:p w:rsidR="006B1C20" w:rsidRPr="005A6843" w:rsidRDefault="00B10A1E" w:rsidP="002420B8">
      <w:pPr>
        <w:pStyle w:val="Ttulo2"/>
      </w:pPr>
      <w:bookmarkStart w:id="89" w:name="_Toc489351994"/>
      <w:bookmarkStart w:id="90" w:name="_Toc498345375"/>
      <w:bookmarkStart w:id="91" w:name="_Toc500414727"/>
      <w:bookmarkStart w:id="92" w:name="_Toc500416460"/>
      <w:bookmarkStart w:id="93" w:name="_Toc500416518"/>
      <w:bookmarkStart w:id="94" w:name="_Toc501110670"/>
      <w:r w:rsidRPr="005A6843">
        <w:t>Publicidad Activa</w:t>
      </w:r>
      <w:bookmarkEnd w:id="89"/>
      <w:bookmarkEnd w:id="90"/>
      <w:bookmarkEnd w:id="91"/>
      <w:bookmarkEnd w:id="92"/>
      <w:bookmarkEnd w:id="93"/>
      <w:bookmarkEnd w:id="94"/>
    </w:p>
    <w:p w:rsidR="00170C26" w:rsidRPr="005A6843" w:rsidRDefault="00B10A1E" w:rsidP="002420B8">
      <w:pPr>
        <w:pStyle w:val="Ttulo3"/>
      </w:pPr>
      <w:bookmarkStart w:id="95" w:name="_Toc489351995"/>
      <w:bookmarkStart w:id="96" w:name="_Toc498345376"/>
      <w:r w:rsidRPr="005A6843">
        <w:t xml:space="preserve"> </w:t>
      </w:r>
      <w:bookmarkStart w:id="97" w:name="_Toc500414728"/>
      <w:bookmarkStart w:id="98" w:name="_Toc500416461"/>
      <w:bookmarkStart w:id="99" w:name="_Toc500416519"/>
      <w:bookmarkStart w:id="100" w:name="_Toc501110671"/>
      <w:r w:rsidR="00FC1022" w:rsidRPr="005A6843">
        <w:t>Aspectos genéricos</w:t>
      </w:r>
      <w:bookmarkEnd w:id="95"/>
      <w:bookmarkEnd w:id="96"/>
      <w:bookmarkEnd w:id="97"/>
      <w:bookmarkEnd w:id="98"/>
      <w:bookmarkEnd w:id="99"/>
      <w:bookmarkEnd w:id="100"/>
    </w:p>
    <w:p w:rsidR="008339A9" w:rsidRPr="009B77A6" w:rsidRDefault="00B532DD" w:rsidP="00CD1B61">
      <w:pPr>
        <w:pStyle w:val="Prrafodelista"/>
        <w:numPr>
          <w:ilvl w:val="0"/>
          <w:numId w:val="12"/>
        </w:numPr>
        <w:ind w:left="426"/>
        <w:jc w:val="both"/>
        <w:rPr>
          <w:b/>
          <w:color w:val="1C314E" w:themeColor="accent4" w:themeShade="80"/>
          <w:u w:val="single"/>
        </w:rPr>
      </w:pPr>
      <w:r>
        <w:rPr>
          <w:b/>
          <w:color w:val="1C314E" w:themeColor="accent4" w:themeShade="80"/>
          <w:u w:val="single"/>
        </w:rPr>
        <w:t>PLURALIDAD DE CONTENIDOS</w:t>
      </w:r>
    </w:p>
    <w:p w:rsidR="002F5831" w:rsidRPr="002F5831" w:rsidRDefault="002F5831" w:rsidP="002F5831">
      <w:pPr>
        <w:pStyle w:val="Prrafodelista"/>
        <w:ind w:left="426"/>
        <w:jc w:val="both"/>
        <w:rPr>
          <w:b/>
          <w:u w:val="single"/>
        </w:rPr>
      </w:pPr>
    </w:p>
    <w:p w:rsidR="000A0664" w:rsidRPr="005A6843" w:rsidRDefault="000A0664" w:rsidP="00AA712B">
      <w:pPr>
        <w:jc w:val="both"/>
      </w:pPr>
      <w:r w:rsidRPr="005A6843">
        <w:t xml:space="preserve">Como se ha visto, el art. 10 de la </w:t>
      </w:r>
      <w:r w:rsidR="00052FF3">
        <w:t>l</w:t>
      </w:r>
      <w:r w:rsidR="001C41A6">
        <w:t>ey</w:t>
      </w:r>
      <w:r w:rsidR="00E768A4">
        <w:t xml:space="preserve"> de transparencia</w:t>
      </w:r>
      <w:r w:rsidRPr="005A6843">
        <w:t xml:space="preserve"> señala como único objetivo del Portal AGE facilitar el </w:t>
      </w:r>
      <w:r w:rsidRPr="00044902">
        <w:rPr>
          <w:i/>
        </w:rPr>
        <w:t>“acceso de los ciudadanos a toda la información a que se refieren los artículos anteriores relativa a su ámbito de actuación”</w:t>
      </w:r>
      <w:r w:rsidRPr="005A6843">
        <w:t xml:space="preserve">. Así, entendiendo -como no puede ser de otro modo- que la referencia del precepto a los “artículos anteriores” se dirige a los arts. 5, 6, 7 y 8 de la </w:t>
      </w:r>
      <w:r w:rsidR="00052FF3">
        <w:t>l</w:t>
      </w:r>
      <w:r w:rsidR="001C41A6">
        <w:t>ey</w:t>
      </w:r>
      <w:r w:rsidR="00B91F4E" w:rsidRPr="005A6843">
        <w:t>,</w:t>
      </w:r>
      <w:r w:rsidRPr="005A6843">
        <w:t xml:space="preserve"> parece evidente que el objetivo del Portal es facilitar el acceso de los ciudadanos a la información de publicidad activa del ámbito de la AGE.  </w:t>
      </w:r>
    </w:p>
    <w:p w:rsidR="000A0664" w:rsidRPr="005A6843" w:rsidRDefault="000A0664" w:rsidP="00AA712B">
      <w:pPr>
        <w:jc w:val="both"/>
      </w:pPr>
      <w:r w:rsidRPr="005A6843">
        <w:t>Ello no obstante, cuando el visitante accede a la página home del Portal se encuentra ante una pluralidad de accesos a contenidos informativos que no solo no incorporan la noción o el término “publicidad activa” a su etiqueta” o rótulo identificativo sino que, en ocasiones, n</w:t>
      </w:r>
      <w:r w:rsidR="000F1317" w:rsidRPr="005A6843">
        <w:t>o</w:t>
      </w:r>
      <w:r w:rsidRPr="005A6843">
        <w:t xml:space="preserve"> parecen </w:t>
      </w:r>
      <w:r w:rsidR="000F1317" w:rsidRPr="005A6843">
        <w:t xml:space="preserve">guardar </w:t>
      </w:r>
      <w:r w:rsidRPr="005A6843">
        <w:t>relaci</w:t>
      </w:r>
      <w:r w:rsidR="000F1317" w:rsidRPr="005A6843">
        <w:t>ón</w:t>
      </w:r>
      <w:r w:rsidRPr="005A6843">
        <w:t xml:space="preserve"> con los datos o informaciones sometidos por la </w:t>
      </w:r>
      <w:r w:rsidR="00052FF3">
        <w:t>l</w:t>
      </w:r>
      <w:r w:rsidR="001C41A6">
        <w:t>ey</w:t>
      </w:r>
      <w:r w:rsidRPr="005A6843">
        <w:t xml:space="preserve"> a publicación proactiva. </w:t>
      </w:r>
    </w:p>
    <w:p w:rsidR="00B91F4E" w:rsidRPr="005A6843" w:rsidRDefault="000A0664" w:rsidP="00AA712B">
      <w:pPr>
        <w:jc w:val="both"/>
      </w:pPr>
      <w:r w:rsidRPr="005A6843">
        <w:t xml:space="preserve">Así, </w:t>
      </w:r>
      <w:r w:rsidR="00B91F4E" w:rsidRPr="005A6843">
        <w:t xml:space="preserve">a fecha de hoy (julio de 2017), </w:t>
      </w:r>
      <w:r w:rsidR="007C2C57" w:rsidRPr="005A6843">
        <w:t>a</w:t>
      </w:r>
      <w:r w:rsidR="00B91F4E" w:rsidRPr="005A6843">
        <w:t xml:space="preserve">cudiendo al menú de navegación de la parte inferior de la </w:t>
      </w:r>
      <w:r w:rsidR="00FC4B2E" w:rsidRPr="00FC4B2E">
        <w:rPr>
          <w:i/>
        </w:rPr>
        <w:t>web</w:t>
      </w:r>
      <w:r w:rsidR="00B91F4E" w:rsidRPr="005A6843">
        <w:t xml:space="preserve"> </w:t>
      </w:r>
      <w:r w:rsidR="000F1317" w:rsidRPr="005A6843">
        <w:t>–ver imagen- nos</w:t>
      </w:r>
      <w:r w:rsidR="00B91F4E" w:rsidRPr="005A6843">
        <w:t xml:space="preserve"> encontramos con los siguientes contenidos:</w:t>
      </w:r>
    </w:p>
    <w:p w:rsidR="00052FF3" w:rsidRDefault="00052FF3" w:rsidP="00052FF3">
      <w:pPr>
        <w:jc w:val="both"/>
        <w:rPr>
          <w:b/>
          <w:color w:val="1C314E" w:themeColor="accent4" w:themeShade="80"/>
          <w:u w:val="single"/>
        </w:rPr>
      </w:pPr>
      <w:r>
        <w:rPr>
          <w:b/>
          <w:noProof/>
          <w:color w:val="1C314E" w:themeColor="accent4" w:themeShade="80"/>
          <w:u w:val="single"/>
          <w:lang w:eastAsia="es-ES"/>
        </w:rPr>
        <w:drawing>
          <wp:inline distT="0" distB="0" distL="0" distR="0">
            <wp:extent cx="6067852" cy="2810538"/>
            <wp:effectExtent l="19050" t="0" r="9098"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t="19337" r="923" b="25147"/>
                    <a:stretch>
                      <a:fillRect/>
                    </a:stretch>
                  </pic:blipFill>
                  <pic:spPr bwMode="auto">
                    <a:xfrm>
                      <a:off x="0" y="0"/>
                      <a:ext cx="6067852" cy="2810538"/>
                    </a:xfrm>
                    <a:prstGeom prst="rect">
                      <a:avLst/>
                    </a:prstGeom>
                    <a:noFill/>
                    <a:ln w="9525">
                      <a:noFill/>
                      <a:miter lim="800000"/>
                      <a:headEnd/>
                      <a:tailEnd/>
                    </a:ln>
                  </pic:spPr>
                </pic:pic>
              </a:graphicData>
            </a:graphic>
          </wp:inline>
        </w:drawing>
      </w:r>
    </w:p>
    <w:p w:rsidR="007021C3" w:rsidRPr="009B77A6" w:rsidRDefault="00B91F4E" w:rsidP="00052FF3">
      <w:pPr>
        <w:jc w:val="both"/>
        <w:rPr>
          <w:b/>
          <w:color w:val="1C314E" w:themeColor="accent4" w:themeShade="80"/>
          <w:u w:val="single"/>
        </w:rPr>
      </w:pPr>
      <w:r w:rsidRPr="009B77A6">
        <w:rPr>
          <w:b/>
          <w:color w:val="1C314E" w:themeColor="accent4" w:themeShade="80"/>
          <w:u w:val="single"/>
        </w:rPr>
        <w:t>Categorías de información</w:t>
      </w:r>
    </w:p>
    <w:p w:rsidR="002F5831" w:rsidRDefault="002F5831" w:rsidP="002F5831">
      <w:pPr>
        <w:pStyle w:val="Prrafodelista"/>
        <w:ind w:left="426"/>
        <w:jc w:val="both"/>
        <w:rPr>
          <w:b/>
          <w:u w:val="single"/>
        </w:rPr>
      </w:pPr>
    </w:p>
    <w:p w:rsidR="00B91F4E" w:rsidRPr="005A6843" w:rsidRDefault="007021C3" w:rsidP="002F5831">
      <w:pPr>
        <w:ind w:left="426"/>
        <w:jc w:val="both"/>
      </w:pPr>
      <w:r w:rsidRPr="005A6843">
        <w:t xml:space="preserve">Presenta </w:t>
      </w:r>
      <w:r w:rsidR="000F1317" w:rsidRPr="005A6843">
        <w:t xml:space="preserve">las siguientes entradas: </w:t>
      </w:r>
      <w:r w:rsidR="000F1317" w:rsidRPr="00044902">
        <w:rPr>
          <w:i/>
        </w:rPr>
        <w:t>“</w:t>
      </w:r>
      <w:r w:rsidR="00B91F4E" w:rsidRPr="00044902">
        <w:rPr>
          <w:i/>
        </w:rPr>
        <w:t>Institucional</w:t>
      </w:r>
      <w:r w:rsidR="000F1317" w:rsidRPr="00044902">
        <w:rPr>
          <w:i/>
        </w:rPr>
        <w:t>”, “</w:t>
      </w:r>
      <w:r w:rsidR="00B91F4E" w:rsidRPr="00044902">
        <w:rPr>
          <w:i/>
        </w:rPr>
        <w:t>Normativa</w:t>
      </w:r>
      <w:r w:rsidR="000F1317" w:rsidRPr="00044902">
        <w:rPr>
          <w:i/>
        </w:rPr>
        <w:t>”, “</w:t>
      </w:r>
      <w:r w:rsidR="00B91F4E" w:rsidRPr="00044902">
        <w:rPr>
          <w:i/>
        </w:rPr>
        <w:t>Contratos, convenios, subvenciones y bienes inmuebles</w:t>
      </w:r>
      <w:r w:rsidR="000F1317" w:rsidRPr="00044902">
        <w:rPr>
          <w:i/>
        </w:rPr>
        <w:t>”, “P</w:t>
      </w:r>
      <w:r w:rsidR="00B91F4E" w:rsidRPr="00044902">
        <w:rPr>
          <w:i/>
        </w:rPr>
        <w:t>resupuestos, fiscalización e informes</w:t>
      </w:r>
      <w:r w:rsidR="000F1317" w:rsidRPr="00044902">
        <w:rPr>
          <w:i/>
        </w:rPr>
        <w:t>”</w:t>
      </w:r>
      <w:r w:rsidR="000F1317" w:rsidRPr="005A6843">
        <w:t xml:space="preserve"> e </w:t>
      </w:r>
      <w:r w:rsidR="000F1317" w:rsidRPr="00044902">
        <w:rPr>
          <w:i/>
        </w:rPr>
        <w:t>“</w:t>
      </w:r>
      <w:r w:rsidR="00B91F4E" w:rsidRPr="00044902">
        <w:rPr>
          <w:i/>
        </w:rPr>
        <w:t>Información por Ministerios</w:t>
      </w:r>
      <w:r w:rsidR="000F1317" w:rsidRPr="00044902">
        <w:rPr>
          <w:i/>
        </w:rPr>
        <w:t>”</w:t>
      </w:r>
      <w:r w:rsidR="00D54244" w:rsidRPr="00044902">
        <w:rPr>
          <w:i/>
        </w:rPr>
        <w:t>.</w:t>
      </w:r>
    </w:p>
    <w:p w:rsidR="0086294E" w:rsidRPr="005A6843" w:rsidRDefault="0086294E" w:rsidP="002F5831">
      <w:pPr>
        <w:ind w:left="426"/>
        <w:jc w:val="both"/>
      </w:pPr>
      <w:r w:rsidRPr="005A6843">
        <w:t>N</w:t>
      </w:r>
      <w:r w:rsidR="00D54244" w:rsidRPr="005A6843">
        <w:t xml:space="preserve">inguna de estas etiquetas </w:t>
      </w:r>
      <w:r w:rsidRPr="005A6843">
        <w:t xml:space="preserve">introduce </w:t>
      </w:r>
      <w:r w:rsidR="00D54244" w:rsidRPr="005A6843">
        <w:t>el término</w:t>
      </w:r>
      <w:r w:rsidRPr="005A6843">
        <w:t xml:space="preserve"> “publicidad activa”. Tampoco la </w:t>
      </w:r>
      <w:r w:rsidR="00D54244" w:rsidRPr="005A6843">
        <w:t>terminología empleada en su redacción coincid</w:t>
      </w:r>
      <w:r w:rsidRPr="005A6843">
        <w:t>e</w:t>
      </w:r>
      <w:r w:rsidR="00D54244" w:rsidRPr="005A6843">
        <w:t xml:space="preserve"> exactamente con la usada por los arts. 6, 7 y 8 de la </w:t>
      </w:r>
      <w:r w:rsidR="00052FF3">
        <w:t>l</w:t>
      </w:r>
      <w:r w:rsidR="001C41A6">
        <w:t>ey</w:t>
      </w:r>
      <w:r w:rsidR="00E768A4">
        <w:t xml:space="preserve"> de transparencia</w:t>
      </w:r>
      <w:r w:rsidR="00D54244" w:rsidRPr="005A6843">
        <w:t xml:space="preserve"> para establecer la tipología de los datos o informaciones sujetos a pub</w:t>
      </w:r>
      <w:r w:rsidRPr="005A6843">
        <w:t>l</w:t>
      </w:r>
      <w:r w:rsidR="00D54244" w:rsidRPr="005A6843">
        <w:t>i</w:t>
      </w:r>
      <w:r w:rsidRPr="005A6843">
        <w:t xml:space="preserve">cación proactiva por los sujetos obligados por la </w:t>
      </w:r>
      <w:r w:rsidR="00052FF3">
        <w:t>l</w:t>
      </w:r>
      <w:r w:rsidR="001C41A6">
        <w:t>ey</w:t>
      </w:r>
      <w:r w:rsidR="00D54244" w:rsidRPr="005A6843">
        <w:t xml:space="preserve"> (</w:t>
      </w:r>
      <w:r w:rsidR="00D54244" w:rsidRPr="00044902">
        <w:rPr>
          <w:i/>
        </w:rPr>
        <w:t>“información institucional, organizativa y de planificación”, “Información de relevancia jurídica” e “Información económica, presupuestaria y estadística”</w:t>
      </w:r>
      <w:r w:rsidRPr="005A6843">
        <w:t xml:space="preserve">). No obstante, existe la suficiente proximidad entre el texto de las etiquetas y el de la </w:t>
      </w:r>
      <w:r w:rsidR="00052FF3">
        <w:t>l</w:t>
      </w:r>
      <w:r w:rsidR="001C41A6">
        <w:t>ey</w:t>
      </w:r>
      <w:r w:rsidRPr="005A6843">
        <w:t xml:space="preserve"> para que el usuario familiarizado con las disposiciones de ésta pueda identificar este contenido con el de las informaciones de publicidad activa. </w:t>
      </w:r>
    </w:p>
    <w:p w:rsidR="00867CCB" w:rsidRPr="005A6843" w:rsidRDefault="0086294E" w:rsidP="002F5831">
      <w:pPr>
        <w:ind w:left="426"/>
        <w:jc w:val="both"/>
      </w:pPr>
      <w:r w:rsidRPr="005A6843">
        <w:t xml:space="preserve">Por otra parte, tanto el documento </w:t>
      </w:r>
      <w:r w:rsidRPr="00044902">
        <w:rPr>
          <w:i/>
        </w:rPr>
        <w:t>“Conozca el Portal de Transparencia”</w:t>
      </w:r>
      <w:r w:rsidRPr="005A6843">
        <w:t xml:space="preserve"> –al que se accede únicamente a través de la entrada “Conozca el Portal” del contenido </w:t>
      </w:r>
      <w:r w:rsidRPr="00044902">
        <w:rPr>
          <w:i/>
        </w:rPr>
        <w:t>“Más sobre la Transparencia”</w:t>
      </w:r>
      <w:r w:rsidRPr="005A6843">
        <w:t xml:space="preserve">- como la </w:t>
      </w:r>
      <w:r w:rsidRPr="00044902">
        <w:rPr>
          <w:i/>
        </w:rPr>
        <w:t>“Guía de Navegación”</w:t>
      </w:r>
      <w:r w:rsidRPr="005A6843">
        <w:t xml:space="preserve"> por el Portal, asocian </w:t>
      </w:r>
      <w:r w:rsidR="00867CCB" w:rsidRPr="005A6843">
        <w:t xml:space="preserve">las informaciones de publicidad activa con las contenidas en las denominadas por los diseñadores del sitio </w:t>
      </w:r>
      <w:r w:rsidR="00867CCB" w:rsidRPr="00044902">
        <w:rPr>
          <w:i/>
        </w:rPr>
        <w:t>“categorías”</w:t>
      </w:r>
      <w:r w:rsidR="00867CCB" w:rsidRPr="005A6843">
        <w:t xml:space="preserve"> o </w:t>
      </w:r>
      <w:r w:rsidR="00867CCB" w:rsidRPr="00044902">
        <w:rPr>
          <w:i/>
        </w:rPr>
        <w:t>“categorías de información”</w:t>
      </w:r>
      <w:r w:rsidR="00867CCB" w:rsidRPr="005A6843">
        <w:t xml:space="preserve">. Así, el documento </w:t>
      </w:r>
      <w:r w:rsidR="00867CCB" w:rsidRPr="00044902">
        <w:rPr>
          <w:i/>
        </w:rPr>
        <w:t>“Conozca el Portal de Transparencia”</w:t>
      </w:r>
      <w:r w:rsidR="00867CCB" w:rsidRPr="005A6843">
        <w:t>, que acaba de citarse, define a la publicidad activa como:</w:t>
      </w:r>
    </w:p>
    <w:p w:rsidR="00D54244" w:rsidRPr="00044902" w:rsidRDefault="00867CCB" w:rsidP="002F5831">
      <w:pPr>
        <w:ind w:left="708"/>
        <w:jc w:val="both"/>
        <w:rPr>
          <w:i/>
        </w:rPr>
      </w:pPr>
      <w:r w:rsidRPr="00044902">
        <w:rPr>
          <w:i/>
        </w:rPr>
        <w:t>“</w:t>
      </w:r>
      <w:r w:rsidR="00D54244" w:rsidRPr="00044902">
        <w:rPr>
          <w:i/>
        </w:rPr>
        <w:t xml:space="preserve">Es una información agrupada en las categorías definidas en la </w:t>
      </w:r>
      <w:r w:rsidR="001C41A6">
        <w:rPr>
          <w:i/>
        </w:rPr>
        <w:t>ley</w:t>
      </w:r>
      <w:r w:rsidR="00D54244" w:rsidRPr="00044902">
        <w:rPr>
          <w:i/>
        </w:rPr>
        <w:t xml:space="preserve">, que las administraciones públicas deberán publicar de forma periódica y actualizada para garantizar la transparencia de su actividad. </w:t>
      </w:r>
    </w:p>
    <w:p w:rsidR="00D54244" w:rsidRPr="00044902" w:rsidRDefault="00D54244" w:rsidP="002F5831">
      <w:pPr>
        <w:ind w:left="708"/>
        <w:jc w:val="both"/>
        <w:rPr>
          <w:i/>
        </w:rPr>
      </w:pPr>
      <w:r w:rsidRPr="00044902">
        <w:rPr>
          <w:i/>
        </w:rPr>
        <w:t xml:space="preserve">En este Portal de la Transparencia del Gobierno de España se facilita el acceso de los ciudadanos a toda la información institucional, organizativa, de planificación, de relevancia jurídica, económica, presupuestaria y estadística prevista en la </w:t>
      </w:r>
      <w:r w:rsidR="00052FF3">
        <w:rPr>
          <w:i/>
        </w:rPr>
        <w:t>l</w:t>
      </w:r>
      <w:r w:rsidR="001C41A6">
        <w:rPr>
          <w:i/>
        </w:rPr>
        <w:t>ey</w:t>
      </w:r>
      <w:r w:rsidRPr="00044902">
        <w:rPr>
          <w:i/>
        </w:rPr>
        <w:t xml:space="preserve"> correspondiente a los Ministerios, organismos autónomos, entidades públicas empresariales, agencias estatales y entidades de Derecho público</w:t>
      </w:r>
      <w:r w:rsidR="00867CCB" w:rsidRPr="00044902">
        <w:rPr>
          <w:i/>
        </w:rPr>
        <w:t>”</w:t>
      </w:r>
      <w:r w:rsidRPr="00044902">
        <w:rPr>
          <w:i/>
        </w:rPr>
        <w:t xml:space="preserve">. </w:t>
      </w:r>
    </w:p>
    <w:p w:rsidR="007021C3" w:rsidRPr="009B77A6" w:rsidRDefault="00B91F4E" w:rsidP="00CD1B61">
      <w:pPr>
        <w:pStyle w:val="Prrafodelista"/>
        <w:numPr>
          <w:ilvl w:val="0"/>
          <w:numId w:val="13"/>
        </w:numPr>
        <w:ind w:left="426"/>
        <w:jc w:val="both"/>
        <w:rPr>
          <w:b/>
          <w:color w:val="1C314E" w:themeColor="accent4" w:themeShade="80"/>
          <w:u w:val="single"/>
        </w:rPr>
      </w:pPr>
      <w:r w:rsidRPr="009B77A6">
        <w:rPr>
          <w:b/>
          <w:color w:val="1C314E" w:themeColor="accent4" w:themeShade="80"/>
          <w:u w:val="single"/>
        </w:rPr>
        <w:t xml:space="preserve">Derecho de acceso a la </w:t>
      </w:r>
      <w:r w:rsidR="00A96376" w:rsidRPr="009B77A6">
        <w:rPr>
          <w:b/>
          <w:color w:val="1C314E" w:themeColor="accent4" w:themeShade="80"/>
          <w:u w:val="single"/>
        </w:rPr>
        <w:t>I</w:t>
      </w:r>
      <w:r w:rsidRPr="009B77A6">
        <w:rPr>
          <w:b/>
          <w:color w:val="1C314E" w:themeColor="accent4" w:themeShade="80"/>
          <w:u w:val="single"/>
        </w:rPr>
        <w:t>nformación Pública</w:t>
      </w:r>
    </w:p>
    <w:p w:rsidR="002F5831" w:rsidRPr="002F5831" w:rsidRDefault="005C3513" w:rsidP="002F5831">
      <w:pPr>
        <w:pStyle w:val="Prrafodelista"/>
        <w:ind w:left="426"/>
        <w:jc w:val="both"/>
        <w:rPr>
          <w:b/>
          <w:u w:val="single"/>
        </w:rPr>
      </w:pPr>
      <w:r>
        <w:rPr>
          <w:b/>
          <w:noProof/>
          <w:u w:val="single"/>
          <w:lang w:eastAsia="es-ES"/>
        </w:rPr>
        <w:drawing>
          <wp:anchor distT="0" distB="0" distL="114300" distR="114300" simplePos="0" relativeHeight="251773952" behindDoc="0" locked="0" layoutInCell="1" allowOverlap="1">
            <wp:simplePos x="0" y="0"/>
            <wp:positionH relativeFrom="column">
              <wp:posOffset>4348480</wp:posOffset>
            </wp:positionH>
            <wp:positionV relativeFrom="paragraph">
              <wp:posOffset>72390</wp:posOffset>
            </wp:positionV>
            <wp:extent cx="1700530" cy="1268730"/>
            <wp:effectExtent l="19050" t="0" r="0" b="0"/>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idad activa.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0530" cy="1268730"/>
                    </a:xfrm>
                    <a:prstGeom prst="rect">
                      <a:avLst/>
                    </a:prstGeom>
                  </pic:spPr>
                </pic:pic>
              </a:graphicData>
            </a:graphic>
          </wp:anchor>
        </w:drawing>
      </w:r>
    </w:p>
    <w:p w:rsidR="00B91F4E" w:rsidRPr="005A6843" w:rsidRDefault="007021C3" w:rsidP="002F5831">
      <w:pPr>
        <w:ind w:left="426"/>
        <w:jc w:val="both"/>
      </w:pPr>
      <w:r w:rsidRPr="005A6843">
        <w:t>Contiene</w:t>
      </w:r>
      <w:r w:rsidR="000F1317" w:rsidRPr="005A6843">
        <w:t xml:space="preserve"> las siguientes entradas: </w:t>
      </w:r>
      <w:r w:rsidR="000F1317" w:rsidRPr="00044902">
        <w:rPr>
          <w:i/>
        </w:rPr>
        <w:t>“</w:t>
      </w:r>
      <w:r w:rsidR="00B91F4E" w:rsidRPr="00044902">
        <w:rPr>
          <w:i/>
        </w:rPr>
        <w:t>Derecho de acceso</w:t>
      </w:r>
      <w:r w:rsidR="000F1317" w:rsidRPr="00044902">
        <w:rPr>
          <w:i/>
        </w:rPr>
        <w:t>”, “</w:t>
      </w:r>
      <w:r w:rsidR="00B91F4E" w:rsidRPr="00044902">
        <w:rPr>
          <w:i/>
        </w:rPr>
        <w:t>Solicite información</w:t>
      </w:r>
      <w:r w:rsidR="000F1317" w:rsidRPr="00044902">
        <w:rPr>
          <w:i/>
        </w:rPr>
        <w:t>”, “</w:t>
      </w:r>
      <w:r w:rsidR="00B91F4E" w:rsidRPr="00044902">
        <w:rPr>
          <w:i/>
        </w:rPr>
        <w:t>Guía del ciudadano</w:t>
      </w:r>
      <w:r w:rsidR="000F1317" w:rsidRPr="00044902">
        <w:rPr>
          <w:i/>
        </w:rPr>
        <w:t>”, “</w:t>
      </w:r>
      <w:r w:rsidR="00B91F4E" w:rsidRPr="00044902">
        <w:rPr>
          <w:i/>
        </w:rPr>
        <w:t>Valide su documento</w:t>
      </w:r>
      <w:r w:rsidR="000F1317" w:rsidRPr="00044902">
        <w:rPr>
          <w:i/>
        </w:rPr>
        <w:t>”, “</w:t>
      </w:r>
      <w:r w:rsidR="00B91F4E" w:rsidRPr="00044902">
        <w:rPr>
          <w:i/>
        </w:rPr>
        <w:t>Datos del derecho de acceso</w:t>
      </w:r>
      <w:r w:rsidR="000F1317" w:rsidRPr="00044902">
        <w:rPr>
          <w:i/>
        </w:rPr>
        <w:t>”</w:t>
      </w:r>
      <w:r w:rsidR="000F1317" w:rsidRPr="005A6843">
        <w:t xml:space="preserve"> y </w:t>
      </w:r>
      <w:r w:rsidR="000F1317" w:rsidRPr="00044902">
        <w:rPr>
          <w:i/>
        </w:rPr>
        <w:t>“</w:t>
      </w:r>
      <w:r w:rsidR="00B91F4E" w:rsidRPr="00044902">
        <w:rPr>
          <w:i/>
        </w:rPr>
        <w:t>Resoluciones denegatorias</w:t>
      </w:r>
      <w:r w:rsidR="000F1317" w:rsidRPr="00044902">
        <w:rPr>
          <w:i/>
        </w:rPr>
        <w:t>”</w:t>
      </w:r>
      <w:r w:rsidR="000F1317" w:rsidRPr="005A6843">
        <w:t>.</w:t>
      </w:r>
      <w:r w:rsidR="00B91F4E" w:rsidRPr="005A6843">
        <w:t xml:space="preserve"> </w:t>
      </w:r>
    </w:p>
    <w:p w:rsidR="00A96376" w:rsidRPr="005A6843" w:rsidRDefault="000F1317" w:rsidP="002F5831">
      <w:pPr>
        <w:ind w:left="426"/>
        <w:jc w:val="both"/>
      </w:pPr>
      <w:r w:rsidRPr="005A6843">
        <w:t>Como su propio nombre i</w:t>
      </w:r>
      <w:r w:rsidR="00CD3C5F" w:rsidRPr="005A6843">
        <w:t>n</w:t>
      </w:r>
      <w:r w:rsidRPr="005A6843">
        <w:t xml:space="preserve">dica, se trata de un contenido dedicado al derecho de acceso a la información pública, regulado en los arts. 12 a 24 de la </w:t>
      </w:r>
      <w:r w:rsidR="00052FF3">
        <w:t>l</w:t>
      </w:r>
      <w:r w:rsidR="001C41A6">
        <w:t>ey</w:t>
      </w:r>
      <w:r w:rsidR="00E768A4">
        <w:t xml:space="preserve"> de transparencia</w:t>
      </w:r>
      <w:r w:rsidR="00CD3C5F" w:rsidRPr="005A6843">
        <w:t>. En sus distintas entradas proporciona información sobre: A) El derecho de acceso; la forma de ejercerlo, especialmente por vía electrónica; sus límites materiales y las limitaciones derivadas de la protección de datos de carácter personal; la resolución de las solicitudes, especialmente por silencio administrativo y los medios de impugnación de las mismas, incluida la reclamación ante el CTBG</w:t>
      </w:r>
      <w:r w:rsidR="00754701" w:rsidRPr="005A6843">
        <w:t xml:space="preserve"> –véanse las entradas </w:t>
      </w:r>
      <w:r w:rsidR="00CF29F7" w:rsidRPr="00044902">
        <w:rPr>
          <w:i/>
        </w:rPr>
        <w:t>“Derecho de acceso”, “Solicite información”</w:t>
      </w:r>
      <w:r w:rsidR="00754701" w:rsidRPr="00044902">
        <w:rPr>
          <w:i/>
        </w:rPr>
        <w:t xml:space="preserve"> y </w:t>
      </w:r>
      <w:r w:rsidR="00CF29F7" w:rsidRPr="00044902">
        <w:rPr>
          <w:i/>
        </w:rPr>
        <w:t>“Guía del ciudadano”</w:t>
      </w:r>
      <w:r w:rsidR="00754701" w:rsidRPr="005A6843">
        <w:t xml:space="preserve">-; </w:t>
      </w:r>
      <w:r w:rsidR="00CD3C5F" w:rsidRPr="005A6843">
        <w:t xml:space="preserve">B) Los principales datos de tramitación de las solicitudes de información presentadas a la AGE desde la puesta en funcionamiento del Portal </w:t>
      </w:r>
      <w:r w:rsidR="00754701" w:rsidRPr="005A6843">
        <w:t xml:space="preserve">–véase la entrada </w:t>
      </w:r>
      <w:r w:rsidR="00754701" w:rsidRPr="00044902">
        <w:rPr>
          <w:i/>
        </w:rPr>
        <w:t>“</w:t>
      </w:r>
      <w:r w:rsidR="00CF29F7" w:rsidRPr="00044902">
        <w:rPr>
          <w:i/>
        </w:rPr>
        <w:t>Datos del derecho de acceso”</w:t>
      </w:r>
      <w:r w:rsidR="00754701" w:rsidRPr="005A6843">
        <w:t>-</w:t>
      </w:r>
      <w:r w:rsidR="00CF29F7" w:rsidRPr="005A6843">
        <w:t xml:space="preserve"> </w:t>
      </w:r>
      <w:r w:rsidR="00CD3C5F" w:rsidRPr="005A6843">
        <w:t xml:space="preserve">y C) Las resoluciones denegatorias adoptadas por los distintos Ministerios con aplicación de los límites materiales del art. 14 </w:t>
      </w:r>
      <w:r w:rsidR="00CF29F7" w:rsidRPr="005A6843">
        <w:t xml:space="preserve">de la </w:t>
      </w:r>
      <w:r w:rsidR="00052FF3">
        <w:t>l</w:t>
      </w:r>
      <w:r w:rsidR="001C41A6">
        <w:t>ey</w:t>
      </w:r>
      <w:r w:rsidR="00E768A4">
        <w:t xml:space="preserve"> de transparencia</w:t>
      </w:r>
      <w:r w:rsidR="00754701" w:rsidRPr="005A6843">
        <w:t xml:space="preserve"> –véase </w:t>
      </w:r>
      <w:r w:rsidR="00CF29F7" w:rsidRPr="00044902">
        <w:rPr>
          <w:i/>
        </w:rPr>
        <w:t>“Resoluciones denegatorias”</w:t>
      </w:r>
      <w:r w:rsidR="00754701" w:rsidRPr="005A6843">
        <w:t>-</w:t>
      </w:r>
      <w:r w:rsidR="00CF29F7" w:rsidRPr="005A6843">
        <w:t xml:space="preserve">. </w:t>
      </w:r>
    </w:p>
    <w:p w:rsidR="00B91F4E" w:rsidRPr="005A6843" w:rsidRDefault="00CF29F7" w:rsidP="002F5831">
      <w:pPr>
        <w:ind w:left="426"/>
        <w:jc w:val="both"/>
      </w:pPr>
      <w:r w:rsidRPr="005A6843">
        <w:t>Además de esta información</w:t>
      </w:r>
      <w:r w:rsidR="00754701" w:rsidRPr="005A6843">
        <w:t>,</w:t>
      </w:r>
      <w:r w:rsidRPr="005A6843">
        <w:t xml:space="preserve"> ofrece al visitante un acceso electrónico a la Aplicación para la Gestión de las Solicitudes de Acceso (GESAT), desarrollada por los responsables del Portal para la tramitación electrónica de las solicitudes de acceso de la </w:t>
      </w:r>
      <w:r w:rsidR="00052FF3">
        <w:t>l</w:t>
      </w:r>
      <w:r w:rsidR="001C41A6">
        <w:t>ey</w:t>
      </w:r>
      <w:r w:rsidR="00E768A4">
        <w:t xml:space="preserve"> de transparencia</w:t>
      </w:r>
      <w:r w:rsidRPr="005A6843">
        <w:t xml:space="preserve"> </w:t>
      </w:r>
      <w:r w:rsidR="00754701" w:rsidRPr="005A6843">
        <w:t xml:space="preserve">–entrada </w:t>
      </w:r>
      <w:r w:rsidRPr="00044902">
        <w:rPr>
          <w:i/>
        </w:rPr>
        <w:t>“Solicite información”</w:t>
      </w:r>
      <w:r w:rsidR="00754701" w:rsidRPr="005A6843">
        <w:t>-</w:t>
      </w:r>
      <w:r w:rsidRPr="005A6843">
        <w:t xml:space="preserve"> y un segundo acceso a un servicio electrónico de validación </w:t>
      </w:r>
      <w:r w:rsidR="00754701" w:rsidRPr="005A6843">
        <w:t xml:space="preserve">los </w:t>
      </w:r>
      <w:r w:rsidR="00B91F4E" w:rsidRPr="005A6843">
        <w:t>códigos de verificación electrónicos</w:t>
      </w:r>
      <w:r w:rsidR="00754701" w:rsidRPr="005A6843">
        <w:t xml:space="preserve"> incluidos en las comunicaciones y notificaciones de GESAT –entrada </w:t>
      </w:r>
      <w:r w:rsidR="00754701" w:rsidRPr="00044902">
        <w:rPr>
          <w:i/>
        </w:rPr>
        <w:t>“Valide su documento”</w:t>
      </w:r>
      <w:r w:rsidR="00754701" w:rsidRPr="005A6843">
        <w:t>-.</w:t>
      </w:r>
    </w:p>
    <w:p w:rsidR="007021C3" w:rsidRPr="009B77A6" w:rsidRDefault="00B91F4E" w:rsidP="00CD1B61">
      <w:pPr>
        <w:pStyle w:val="Prrafodelista"/>
        <w:numPr>
          <w:ilvl w:val="0"/>
          <w:numId w:val="7"/>
        </w:numPr>
        <w:ind w:left="426"/>
        <w:jc w:val="both"/>
        <w:rPr>
          <w:b/>
          <w:color w:val="1C314E" w:themeColor="accent4" w:themeShade="80"/>
          <w:u w:val="single"/>
        </w:rPr>
      </w:pPr>
      <w:r w:rsidRPr="009B77A6">
        <w:rPr>
          <w:b/>
          <w:color w:val="1C314E" w:themeColor="accent4" w:themeShade="80"/>
          <w:u w:val="single"/>
        </w:rPr>
        <w:t>Gobierno Abierto y Participación</w:t>
      </w:r>
    </w:p>
    <w:p w:rsidR="002F5831" w:rsidRDefault="002F5831" w:rsidP="002F5831">
      <w:pPr>
        <w:pStyle w:val="Prrafodelista"/>
        <w:ind w:left="426"/>
        <w:jc w:val="both"/>
        <w:rPr>
          <w:b/>
          <w:u w:val="single"/>
        </w:rPr>
      </w:pPr>
    </w:p>
    <w:p w:rsidR="00B91F4E" w:rsidRPr="005A6843" w:rsidRDefault="007021C3" w:rsidP="005A1A2E">
      <w:pPr>
        <w:ind w:left="426"/>
        <w:jc w:val="both"/>
      </w:pPr>
      <w:r w:rsidRPr="005A6843">
        <w:t xml:space="preserve">Ofrece </w:t>
      </w:r>
      <w:r w:rsidR="00754701" w:rsidRPr="005A6843">
        <w:t>las siguientes entradas</w:t>
      </w:r>
      <w:r w:rsidRPr="005A6843">
        <w:t xml:space="preserve"> informativas</w:t>
      </w:r>
      <w:r w:rsidR="00754701" w:rsidRPr="005A6843">
        <w:t xml:space="preserve">: </w:t>
      </w:r>
      <w:r w:rsidR="00754701" w:rsidRPr="00044902">
        <w:rPr>
          <w:i/>
        </w:rPr>
        <w:t>“</w:t>
      </w:r>
      <w:r w:rsidR="00B91F4E" w:rsidRPr="00044902">
        <w:rPr>
          <w:i/>
        </w:rPr>
        <w:t>Gobierno abierto</w:t>
      </w:r>
      <w:r w:rsidR="00754701" w:rsidRPr="00044902">
        <w:rPr>
          <w:i/>
        </w:rPr>
        <w:t>”, “</w:t>
      </w:r>
      <w:r w:rsidR="00B91F4E" w:rsidRPr="00044902">
        <w:rPr>
          <w:i/>
        </w:rPr>
        <w:t>Participación pública en proyectos normativos</w:t>
      </w:r>
      <w:r w:rsidR="00754701" w:rsidRPr="00044902">
        <w:rPr>
          <w:i/>
        </w:rPr>
        <w:t>”</w:t>
      </w:r>
      <w:r w:rsidR="00B91F4E" w:rsidRPr="005A6843">
        <w:t xml:space="preserve"> </w:t>
      </w:r>
      <w:r w:rsidR="00754701" w:rsidRPr="005A6843">
        <w:t>y “</w:t>
      </w:r>
      <w:r w:rsidR="00B91F4E" w:rsidRPr="00044902">
        <w:rPr>
          <w:i/>
        </w:rPr>
        <w:t>Contacte con nosotros</w:t>
      </w:r>
      <w:r w:rsidR="00754701" w:rsidRPr="00044902">
        <w:rPr>
          <w:i/>
        </w:rPr>
        <w:t>”.</w:t>
      </w:r>
      <w:r w:rsidR="00B91F4E" w:rsidRPr="005A6843">
        <w:t xml:space="preserve"> </w:t>
      </w:r>
      <w:r w:rsidR="009300D4" w:rsidRPr="005A6843">
        <w:t>Cada una de las entradas tiene un contenido diferente.</w:t>
      </w:r>
    </w:p>
    <w:p w:rsidR="008F0476" w:rsidRPr="005A6843" w:rsidRDefault="009300D4" w:rsidP="005A1A2E">
      <w:pPr>
        <w:ind w:left="426"/>
        <w:jc w:val="both"/>
      </w:pPr>
      <w:r w:rsidRPr="005A6843">
        <w:t xml:space="preserve">La primera </w:t>
      </w:r>
      <w:r w:rsidRPr="00044902">
        <w:rPr>
          <w:i/>
        </w:rPr>
        <w:t>“Gobierno Abierto”</w:t>
      </w:r>
      <w:r w:rsidRPr="005A6843">
        <w:t xml:space="preserve"> proporciona información sobre la </w:t>
      </w:r>
      <w:r w:rsidR="00754701" w:rsidRPr="005A6843">
        <w:t>Alianza para el Gobierno Abierto (</w:t>
      </w:r>
      <w:r w:rsidR="00754701" w:rsidRPr="00044902">
        <w:rPr>
          <w:i/>
        </w:rPr>
        <w:t>Open Government Partne</w:t>
      </w:r>
      <w:r w:rsidR="00AD1791" w:rsidRPr="00044902">
        <w:rPr>
          <w:i/>
        </w:rPr>
        <w:t>r</w:t>
      </w:r>
      <w:r w:rsidR="00754701" w:rsidRPr="00044902">
        <w:rPr>
          <w:i/>
        </w:rPr>
        <w:t>ship</w:t>
      </w:r>
      <w:r w:rsidR="00754701" w:rsidRPr="005A6843">
        <w:t>), conocida por sus siglas en inglés –OGP-, alianza o</w:t>
      </w:r>
      <w:r w:rsidRPr="005A6843">
        <w:t xml:space="preserve"> </w:t>
      </w:r>
      <w:r w:rsidR="00754701" w:rsidRPr="005A6843">
        <w:t>partenariado internacional que engloba a 69 países compromet</w:t>
      </w:r>
      <w:r w:rsidRPr="005A6843">
        <w:t>idos en impulsar las reformas internas necesarias para que los G</w:t>
      </w:r>
      <w:r w:rsidR="00754701" w:rsidRPr="005A6843">
        <w:t xml:space="preserve">obiernos rindan cuentas, sean más abiertos y mejoren su capacidad de respuesta hacia sus ciudadanos. </w:t>
      </w:r>
      <w:r w:rsidRPr="005A6843">
        <w:t>España forma parte de la Alianza desde 2011 y ha ejecutado dos planes de reformas -el I y II Plan de Acción, correspondientes a los p</w:t>
      </w:r>
      <w:r w:rsidR="001310C9">
        <w:t xml:space="preserve">eríodos 2012-2014 y 2014-2016- </w:t>
      </w:r>
      <w:r w:rsidRPr="005A6843">
        <w:t xml:space="preserve">y ha aprobado un tercero –el III Plan de Acción 2017-2019-. La entrada ofrece enlaces a los distintos planes, su documentación anexa, y, en el caso de los dos primeros, los correspondientes informes de auto-evaluación. La aprobación de la </w:t>
      </w:r>
      <w:r w:rsidR="00052FF3">
        <w:t>l</w:t>
      </w:r>
      <w:r w:rsidR="001C41A6">
        <w:t>ey</w:t>
      </w:r>
      <w:r w:rsidR="00E768A4">
        <w:t xml:space="preserve"> de transparencia</w:t>
      </w:r>
      <w:r w:rsidRPr="005A6843">
        <w:t xml:space="preserve"> figuraba entre los objetivos del I Plan de Acción y la aprobación de su Reglamento de Desarrollo figura entre los objetivos del II</w:t>
      </w:r>
      <w:r w:rsidR="002064F8" w:rsidRPr="005A6843">
        <w:t>I</w:t>
      </w:r>
      <w:r w:rsidRPr="005A6843">
        <w:t xml:space="preserve">. </w:t>
      </w:r>
    </w:p>
    <w:p w:rsidR="008F0476" w:rsidRPr="005A6843" w:rsidRDefault="008F0476" w:rsidP="005A1A2E">
      <w:pPr>
        <w:ind w:left="426"/>
        <w:jc w:val="both"/>
      </w:pPr>
      <w:r w:rsidRPr="005A6843">
        <w:t xml:space="preserve">La segunda, </w:t>
      </w:r>
      <w:r w:rsidRPr="00044902">
        <w:rPr>
          <w:i/>
        </w:rPr>
        <w:t>“Participación pública en proyectos normativos”</w:t>
      </w:r>
      <w:r w:rsidRPr="005A6843">
        <w:t xml:space="preserve">, responde a las previsiones del </w:t>
      </w:r>
      <w:r w:rsidR="00597AFB" w:rsidRPr="005A6843">
        <w:t xml:space="preserve">artículo 133 de la </w:t>
      </w:r>
      <w:r w:rsidR="001C41A6">
        <w:t>Ley</w:t>
      </w:r>
      <w:r w:rsidRPr="005A6843">
        <w:t xml:space="preserve"> 39/2015, de 1 de octubre, del Procedimiento Administrativo Común de las Administraciones Públicas</w:t>
      </w:r>
      <w:r w:rsidR="00597AFB" w:rsidRPr="005A6843">
        <w:t xml:space="preserve"> </w:t>
      </w:r>
      <w:r w:rsidRPr="005A6843">
        <w:t>(LPACAP) y en el artículo 26</w:t>
      </w:r>
      <w:r w:rsidR="00597AFB" w:rsidRPr="005A6843">
        <w:t xml:space="preserve"> </w:t>
      </w:r>
      <w:r w:rsidRPr="005A6843">
        <w:t>de la</w:t>
      </w:r>
      <w:r w:rsidR="00597AFB" w:rsidRPr="005A6843">
        <w:t xml:space="preserve"> </w:t>
      </w:r>
      <w:r w:rsidR="001C41A6">
        <w:t>Ley</w:t>
      </w:r>
      <w:r w:rsidRPr="005A6843">
        <w:t xml:space="preserve"> 50/1997, de 27 de noviembre, del Gobierno</w:t>
      </w:r>
      <w:r w:rsidR="002B2EA7" w:rsidRPr="005A6843">
        <w:t xml:space="preserve"> (LGOB)</w:t>
      </w:r>
      <w:r w:rsidRPr="005A6843">
        <w:t>, así como en la</w:t>
      </w:r>
      <w:r w:rsidR="00597AFB" w:rsidRPr="005A6843">
        <w:t xml:space="preserve"> </w:t>
      </w:r>
      <w:r w:rsidRPr="005A6843">
        <w:t xml:space="preserve">Orden PRE/1590/2016, de 3 de octubre, por la que se publica el Acuerdo del Consejo de Ministros de 30 de septiembre de 2016, por el que se dictan instrucciones para habilitar la participación pública en el proceso de elaboración normativa a través de los portales </w:t>
      </w:r>
      <w:r w:rsidR="00FC4B2E" w:rsidRPr="00FC4B2E">
        <w:rPr>
          <w:i/>
        </w:rPr>
        <w:t>web</w:t>
      </w:r>
      <w:r w:rsidRPr="005A6843">
        <w:t xml:space="preserve"> de los departamentos ministeriales. En este sentido, además de la necesaria información, proporciona a los visitantes del Portal un espacio participativo para intervenir electrónicamente en la consulta pública previa de los proyectos normativos o en el trámite de audiencia e información pública correspondientes al proceso de elaboración de normas de la AGE</w:t>
      </w:r>
      <w:r w:rsidR="001310C9">
        <w:t>.</w:t>
      </w:r>
    </w:p>
    <w:p w:rsidR="004B249C" w:rsidRDefault="00A96376" w:rsidP="005E3C29">
      <w:pPr>
        <w:ind w:left="426"/>
        <w:jc w:val="both"/>
      </w:pPr>
      <w:r w:rsidRPr="005A6843">
        <w:t>L</w:t>
      </w:r>
      <w:r w:rsidR="00C20502" w:rsidRPr="005A6843">
        <w:t xml:space="preserve">a última entrada </w:t>
      </w:r>
      <w:r w:rsidR="00C20502" w:rsidRPr="00044902">
        <w:rPr>
          <w:i/>
        </w:rPr>
        <w:t>“Contacte con nosotros”</w:t>
      </w:r>
      <w:r w:rsidR="00C20502" w:rsidRPr="005A6843">
        <w:t xml:space="preserve"> ofrece al visitante del Portal dos vías electrónicas para </w:t>
      </w:r>
      <w:r w:rsidR="008F0476" w:rsidRPr="005A6843">
        <w:t>comunicar incidencia</w:t>
      </w:r>
      <w:r w:rsidR="00C20502" w:rsidRPr="005A6843">
        <w:t>s</w:t>
      </w:r>
      <w:r w:rsidR="008F0476" w:rsidRPr="005A6843">
        <w:t xml:space="preserve"> sobre el funcionamiento del Portal de la Transparencia del Gobierno de España </w:t>
      </w:r>
      <w:r w:rsidR="00C20502" w:rsidRPr="005A6843">
        <w:t>–</w:t>
      </w:r>
      <w:r w:rsidR="008F0476" w:rsidRPr="005A6843">
        <w:t>formulario</w:t>
      </w:r>
      <w:r w:rsidR="00C20502" w:rsidRPr="005A6843">
        <w:t xml:space="preserve"> electrónico </w:t>
      </w:r>
      <w:r w:rsidR="00C20502" w:rsidRPr="00044902">
        <w:rPr>
          <w:i/>
        </w:rPr>
        <w:t>“Ayúdenos a mejorar”</w:t>
      </w:r>
      <w:r w:rsidR="00C20502" w:rsidRPr="005A6843">
        <w:t xml:space="preserve">- o </w:t>
      </w:r>
      <w:r w:rsidR="008F0476" w:rsidRPr="005A6843">
        <w:t>realizar consulta</w:t>
      </w:r>
      <w:r w:rsidR="00C20502" w:rsidRPr="005A6843">
        <w:t>s</w:t>
      </w:r>
      <w:r w:rsidR="008F0476" w:rsidRPr="005A6843">
        <w:t xml:space="preserve"> </w:t>
      </w:r>
      <w:r w:rsidR="00C20502" w:rsidRPr="005A6843">
        <w:t xml:space="preserve">o comentarios </w:t>
      </w:r>
      <w:r w:rsidR="008F0476" w:rsidRPr="005A6843">
        <w:t>con e</w:t>
      </w:r>
      <w:r w:rsidR="00C20502" w:rsidRPr="005A6843">
        <w:t xml:space="preserve">l mismo </w:t>
      </w:r>
      <w:r w:rsidR="008F0476" w:rsidRPr="005A6843">
        <w:t xml:space="preserve">o </w:t>
      </w:r>
      <w:r w:rsidR="00C20502" w:rsidRPr="005A6843">
        <w:t>con la AGE -b</w:t>
      </w:r>
      <w:r w:rsidR="008F0476" w:rsidRPr="005A6843">
        <w:t>uzones del ciudadano de la Administración General del Estado</w:t>
      </w:r>
      <w:r w:rsidR="00C20502" w:rsidRPr="005A6843">
        <w:t>-</w:t>
      </w:r>
      <w:r w:rsidR="008F0476" w:rsidRPr="005A6843">
        <w:t>.</w:t>
      </w:r>
    </w:p>
    <w:p w:rsidR="007021C3" w:rsidRPr="009B77A6" w:rsidRDefault="00C20502" w:rsidP="00CD1B61">
      <w:pPr>
        <w:pStyle w:val="Prrafodelista"/>
        <w:numPr>
          <w:ilvl w:val="0"/>
          <w:numId w:val="7"/>
        </w:numPr>
        <w:ind w:left="426"/>
        <w:jc w:val="both"/>
        <w:rPr>
          <w:b/>
          <w:color w:val="1C314E" w:themeColor="accent4" w:themeShade="80"/>
          <w:u w:val="single"/>
        </w:rPr>
      </w:pPr>
      <w:r w:rsidRPr="009B77A6">
        <w:rPr>
          <w:b/>
          <w:color w:val="1C314E" w:themeColor="accent4" w:themeShade="80"/>
          <w:u w:val="single"/>
        </w:rPr>
        <w:t>Redes sociales</w:t>
      </w:r>
    </w:p>
    <w:p w:rsidR="005A1A2E" w:rsidRPr="005A1A2E" w:rsidRDefault="005A1A2E" w:rsidP="005A1A2E">
      <w:pPr>
        <w:pStyle w:val="Prrafodelista"/>
        <w:ind w:left="426"/>
        <w:jc w:val="both"/>
        <w:rPr>
          <w:b/>
          <w:u w:val="single"/>
        </w:rPr>
      </w:pPr>
    </w:p>
    <w:p w:rsidR="00C20502" w:rsidRPr="005A6843" w:rsidRDefault="007021C3" w:rsidP="005A1A2E">
      <w:pPr>
        <w:ind w:left="426"/>
        <w:jc w:val="both"/>
      </w:pPr>
      <w:r w:rsidRPr="005A6843">
        <w:t xml:space="preserve">Contiene </w:t>
      </w:r>
      <w:r w:rsidR="00C20502" w:rsidRPr="005A6843">
        <w:t xml:space="preserve">dos entradas </w:t>
      </w:r>
      <w:r w:rsidR="00C20502" w:rsidRPr="00044902">
        <w:rPr>
          <w:i/>
        </w:rPr>
        <w:t xml:space="preserve">“Normas de uso de Twitter” </w:t>
      </w:r>
      <w:r w:rsidR="00C20502" w:rsidRPr="005A6843">
        <w:t xml:space="preserve">y </w:t>
      </w:r>
      <w:r w:rsidR="00C20502" w:rsidRPr="00AC59E7">
        <w:rPr>
          <w:i/>
        </w:rPr>
        <w:t>“Redes sociales de la Administración General del Estado”</w:t>
      </w:r>
      <w:r w:rsidR="00C20502" w:rsidRPr="005A6843">
        <w:t xml:space="preserve">. En la primera se proporciona información sobre la cuenta de </w:t>
      </w:r>
      <w:hyperlink r:id="rId28" w:history="1">
        <w:r w:rsidR="00C20502" w:rsidRPr="0011185E">
          <w:rPr>
            <w:rStyle w:val="Hipervnculo"/>
          </w:rPr>
          <w:t>Twitter del Portal de la Transparencia del Gobierno de España</w:t>
        </w:r>
      </w:hyperlink>
      <w:r w:rsidR="00C20502" w:rsidRPr="005A6843">
        <w:t>, destinada a dar información a los usuarios de esta red social, y se proponen unas normas básicas de participación. En la segunda, se ofrece un acceso a las redes sociales existentes en la AGE a través del Punto de Acceso General (administracion.gob.es).</w:t>
      </w:r>
    </w:p>
    <w:p w:rsidR="007021C3" w:rsidRPr="009B77A6" w:rsidRDefault="00B91F4E" w:rsidP="00CD1B61">
      <w:pPr>
        <w:pStyle w:val="Prrafodelista"/>
        <w:numPr>
          <w:ilvl w:val="0"/>
          <w:numId w:val="7"/>
        </w:numPr>
        <w:ind w:left="426"/>
        <w:jc w:val="both"/>
        <w:rPr>
          <w:b/>
          <w:color w:val="1C314E" w:themeColor="accent4" w:themeShade="80"/>
          <w:u w:val="single"/>
        </w:rPr>
      </w:pPr>
      <w:r w:rsidRPr="009B77A6">
        <w:rPr>
          <w:b/>
          <w:color w:val="1C314E" w:themeColor="accent4" w:themeShade="80"/>
          <w:u w:val="single"/>
        </w:rPr>
        <w:t>Más sobre la Transparencia</w:t>
      </w:r>
    </w:p>
    <w:p w:rsidR="005A1A2E" w:rsidRPr="005A1A2E" w:rsidRDefault="005A1A2E" w:rsidP="005A1A2E">
      <w:pPr>
        <w:pStyle w:val="Prrafodelista"/>
        <w:ind w:left="426"/>
        <w:jc w:val="both"/>
        <w:rPr>
          <w:b/>
          <w:u w:val="single"/>
        </w:rPr>
      </w:pPr>
    </w:p>
    <w:p w:rsidR="00210617" w:rsidRPr="005A6843" w:rsidRDefault="00210617" w:rsidP="00380627">
      <w:pPr>
        <w:ind w:left="426"/>
        <w:jc w:val="both"/>
      </w:pPr>
      <w:r w:rsidRPr="005A6843">
        <w:t xml:space="preserve">Este es el único elemento de la home del Portal, además del encabezamiento y la “bienvenida”, que hace mención al término </w:t>
      </w:r>
      <w:r w:rsidR="00AD1791" w:rsidRPr="005A6843">
        <w:t>“transparencia”</w:t>
      </w:r>
      <w:r w:rsidRPr="005A6843">
        <w:t xml:space="preserve">. Paradójicamente, </w:t>
      </w:r>
      <w:r w:rsidR="00AD1791" w:rsidRPr="005A6843">
        <w:t xml:space="preserve">conduce a un conjunto variopinto de </w:t>
      </w:r>
      <w:r w:rsidRPr="005A6843">
        <w:t>contenidos que, en ocasiones, ni siquiera guardan una relación directa con la transparencia y la rendición de cuentas.</w:t>
      </w:r>
    </w:p>
    <w:p w:rsidR="00B91F4E" w:rsidRPr="005A6843" w:rsidRDefault="007021C3" w:rsidP="00380627">
      <w:pPr>
        <w:ind w:left="426"/>
        <w:jc w:val="both"/>
      </w:pPr>
      <w:r w:rsidRPr="005A6843">
        <w:t xml:space="preserve">Presenta </w:t>
      </w:r>
      <w:r w:rsidR="00A96376" w:rsidRPr="005A6843">
        <w:t>las siguientes entradas</w:t>
      </w:r>
      <w:r w:rsidR="00BA656E" w:rsidRPr="005A6843">
        <w:t xml:space="preserve"> informativas</w:t>
      </w:r>
      <w:r w:rsidR="00A96376" w:rsidRPr="005A6843">
        <w:t xml:space="preserve">: </w:t>
      </w:r>
      <w:r w:rsidR="00A96376" w:rsidRPr="00AC59E7">
        <w:rPr>
          <w:i/>
        </w:rPr>
        <w:t>“</w:t>
      </w:r>
      <w:r w:rsidR="00B91F4E" w:rsidRPr="00AC59E7">
        <w:rPr>
          <w:i/>
        </w:rPr>
        <w:t>Final del formulario</w:t>
      </w:r>
      <w:r w:rsidR="00597AFB" w:rsidRPr="00AC59E7">
        <w:rPr>
          <w:i/>
        </w:rPr>
        <w:t xml:space="preserve">”, </w:t>
      </w:r>
      <w:r w:rsidR="00052FF3">
        <w:rPr>
          <w:i/>
        </w:rPr>
        <w:t>l</w:t>
      </w:r>
      <w:r w:rsidR="001C41A6">
        <w:rPr>
          <w:i/>
        </w:rPr>
        <w:t>ey</w:t>
      </w:r>
      <w:r w:rsidR="00E768A4">
        <w:rPr>
          <w:i/>
        </w:rPr>
        <w:t xml:space="preserve"> de transparencia</w:t>
      </w:r>
      <w:r w:rsidR="00A96376" w:rsidRPr="00AC59E7">
        <w:rPr>
          <w:i/>
        </w:rPr>
        <w:t>”, “</w:t>
      </w:r>
      <w:r w:rsidR="00B91F4E" w:rsidRPr="00AC59E7">
        <w:rPr>
          <w:i/>
        </w:rPr>
        <w:t>Conozca el Portal</w:t>
      </w:r>
      <w:r w:rsidR="00A96376" w:rsidRPr="00AC59E7">
        <w:rPr>
          <w:i/>
        </w:rPr>
        <w:t>”, “</w:t>
      </w:r>
      <w:r w:rsidR="00B91F4E" w:rsidRPr="00AC59E7">
        <w:rPr>
          <w:i/>
        </w:rPr>
        <w:t>Guía de navegación</w:t>
      </w:r>
      <w:r w:rsidR="00A96376" w:rsidRPr="00AC59E7">
        <w:rPr>
          <w:i/>
        </w:rPr>
        <w:t>”, “</w:t>
      </w:r>
      <w:r w:rsidR="00B91F4E" w:rsidRPr="00AC59E7">
        <w:rPr>
          <w:i/>
        </w:rPr>
        <w:t>El Portal en cifras</w:t>
      </w:r>
      <w:r w:rsidR="00A96376" w:rsidRPr="00AC59E7">
        <w:rPr>
          <w:i/>
        </w:rPr>
        <w:t>”, “</w:t>
      </w:r>
      <w:r w:rsidR="00B91F4E" w:rsidRPr="00AC59E7">
        <w:rPr>
          <w:i/>
        </w:rPr>
        <w:t>Novedades</w:t>
      </w:r>
      <w:r w:rsidR="00A96376" w:rsidRPr="00AC59E7">
        <w:rPr>
          <w:i/>
        </w:rPr>
        <w:t>”, “</w:t>
      </w:r>
      <w:r w:rsidR="00B91F4E" w:rsidRPr="00AC59E7">
        <w:rPr>
          <w:i/>
        </w:rPr>
        <w:t>Informes de interés</w:t>
      </w:r>
      <w:r w:rsidR="00A96376" w:rsidRPr="00AC59E7">
        <w:rPr>
          <w:i/>
        </w:rPr>
        <w:t>”, “</w:t>
      </w:r>
      <w:r w:rsidR="00B91F4E" w:rsidRPr="00AC59E7">
        <w:rPr>
          <w:i/>
        </w:rPr>
        <w:t>Instituciones públicas</w:t>
      </w:r>
      <w:r w:rsidR="00A96376" w:rsidRPr="00AC59E7">
        <w:rPr>
          <w:i/>
        </w:rPr>
        <w:t>”, “</w:t>
      </w:r>
      <w:r w:rsidR="00B91F4E" w:rsidRPr="00AC59E7">
        <w:rPr>
          <w:i/>
        </w:rPr>
        <w:t>Comunidades Autónomas</w:t>
      </w:r>
      <w:r w:rsidR="00A96376" w:rsidRPr="00AC59E7">
        <w:rPr>
          <w:i/>
        </w:rPr>
        <w:t>”, “</w:t>
      </w:r>
      <w:r w:rsidR="00B91F4E" w:rsidRPr="00AC59E7">
        <w:rPr>
          <w:i/>
        </w:rPr>
        <w:t>Comisión para la Reforma de las Administraciones Públicas (CORA)</w:t>
      </w:r>
      <w:r w:rsidR="00A96376" w:rsidRPr="00AC59E7">
        <w:rPr>
          <w:i/>
        </w:rPr>
        <w:t>” y “</w:t>
      </w:r>
      <w:r w:rsidR="00B91F4E" w:rsidRPr="00AC59E7">
        <w:rPr>
          <w:i/>
        </w:rPr>
        <w:t>Agenda</w:t>
      </w:r>
      <w:r w:rsidR="00A96376" w:rsidRPr="00AC59E7">
        <w:rPr>
          <w:i/>
        </w:rPr>
        <w:t>”</w:t>
      </w:r>
      <w:r w:rsidR="00A96376" w:rsidRPr="005A6843">
        <w:t>.</w:t>
      </w:r>
    </w:p>
    <w:p w:rsidR="00A96376" w:rsidRPr="005A6843" w:rsidRDefault="00A96376" w:rsidP="00AC59E7">
      <w:pPr>
        <w:ind w:left="426"/>
        <w:jc w:val="both"/>
      </w:pPr>
      <w:r w:rsidRPr="005A6843">
        <w:t xml:space="preserve">Como en el apartado de </w:t>
      </w:r>
      <w:r w:rsidRPr="00AC59E7">
        <w:rPr>
          <w:i/>
        </w:rPr>
        <w:t>“Gobierno Abierto y Participación Pública”</w:t>
      </w:r>
      <w:r w:rsidRPr="005A6843">
        <w:t xml:space="preserve"> cada entrada tiene un contenido diferente, </w:t>
      </w:r>
      <w:r w:rsidR="00210617" w:rsidRPr="005A6843">
        <w:t xml:space="preserve">en cada caso </w:t>
      </w:r>
      <w:r w:rsidRPr="005A6843">
        <w:t>más heterogéneo que el anterior.</w:t>
      </w:r>
    </w:p>
    <w:p w:rsidR="00210617" w:rsidRDefault="00210617" w:rsidP="00CD1B61">
      <w:pPr>
        <w:pStyle w:val="Prrafodelista"/>
        <w:numPr>
          <w:ilvl w:val="0"/>
          <w:numId w:val="14"/>
        </w:numPr>
        <w:spacing w:line="276" w:lineRule="auto"/>
        <w:jc w:val="both"/>
      </w:pPr>
      <w:r w:rsidRPr="005A6843">
        <w:t xml:space="preserve">La entrada </w:t>
      </w:r>
      <w:r w:rsidRPr="00AC59E7">
        <w:rPr>
          <w:i/>
        </w:rPr>
        <w:t>“</w:t>
      </w:r>
      <w:r w:rsidR="00052FF3">
        <w:rPr>
          <w:i/>
        </w:rPr>
        <w:t>l</w:t>
      </w:r>
      <w:r w:rsidR="001C41A6">
        <w:rPr>
          <w:i/>
        </w:rPr>
        <w:t>ey</w:t>
      </w:r>
      <w:r w:rsidR="00E768A4">
        <w:rPr>
          <w:i/>
        </w:rPr>
        <w:t xml:space="preserve"> de transparencia</w:t>
      </w:r>
      <w:r w:rsidRPr="00AC59E7">
        <w:rPr>
          <w:i/>
        </w:rPr>
        <w:t>”</w:t>
      </w:r>
      <w:r w:rsidRPr="005A6843">
        <w:t xml:space="preserve"> debería conducir al texto de la </w:t>
      </w:r>
      <w:r w:rsidR="00052FF3">
        <w:t>l</w:t>
      </w:r>
      <w:r w:rsidR="001C41A6">
        <w:t>ey</w:t>
      </w:r>
      <w:r w:rsidRPr="005A6843">
        <w:t xml:space="preserve"> y sus disposiciones complementarias y de desarrollo -tal vez también a las principales normas de transparencia de los países de nuestro entorno y del ámbito autonómico-.  </w:t>
      </w:r>
      <w:r w:rsidR="005A7088" w:rsidRPr="005A6843">
        <w:t xml:space="preserve">En realidad, por un error en el enlace, conduce al contenido de </w:t>
      </w:r>
      <w:r w:rsidR="005A7088" w:rsidRPr="00AC59E7">
        <w:rPr>
          <w:i/>
        </w:rPr>
        <w:t>“Gobierno Abierto”</w:t>
      </w:r>
      <w:r w:rsidR="005A7088" w:rsidRPr="005A6843">
        <w:t>.</w:t>
      </w:r>
    </w:p>
    <w:p w:rsidR="00380627" w:rsidRDefault="00380627" w:rsidP="00AC59E7">
      <w:pPr>
        <w:pStyle w:val="Prrafodelista"/>
        <w:spacing w:line="276" w:lineRule="auto"/>
        <w:jc w:val="both"/>
      </w:pPr>
    </w:p>
    <w:p w:rsidR="00A96376" w:rsidRDefault="005A7088" w:rsidP="00CD1B61">
      <w:pPr>
        <w:pStyle w:val="Prrafodelista"/>
        <w:numPr>
          <w:ilvl w:val="0"/>
          <w:numId w:val="14"/>
        </w:numPr>
        <w:spacing w:line="276" w:lineRule="auto"/>
        <w:jc w:val="both"/>
      </w:pPr>
      <w:r w:rsidRPr="005A6843">
        <w:t>L</w:t>
      </w:r>
      <w:r w:rsidR="00A96376" w:rsidRPr="005A6843">
        <w:t xml:space="preserve">as entradas </w:t>
      </w:r>
      <w:r w:rsidR="00A96376" w:rsidRPr="00AC59E7">
        <w:rPr>
          <w:i/>
        </w:rPr>
        <w:t>“Conozca el Portal”, “Guía de navegación”</w:t>
      </w:r>
      <w:r w:rsidR="00A96376" w:rsidRPr="005A6843">
        <w:t xml:space="preserve"> y </w:t>
      </w:r>
      <w:r w:rsidR="00A96376" w:rsidRPr="00AC59E7">
        <w:rPr>
          <w:i/>
        </w:rPr>
        <w:t>“El Portal en cifras”</w:t>
      </w:r>
      <w:r w:rsidR="00A96376" w:rsidRPr="005A6843">
        <w:t xml:space="preserve"> proporcionan al usuario del Portal información interna de este</w:t>
      </w:r>
      <w:r w:rsidR="00822883" w:rsidRPr="005A6843">
        <w:t xml:space="preserve">, tanto sobre su organización y contenido informativo  como sobre la forma de navegación y </w:t>
      </w:r>
    </w:p>
    <w:p w:rsidR="00380627" w:rsidRDefault="00380627" w:rsidP="00AC59E7">
      <w:pPr>
        <w:pStyle w:val="Prrafodelista"/>
        <w:spacing w:line="276" w:lineRule="auto"/>
      </w:pPr>
    </w:p>
    <w:p w:rsidR="00822883" w:rsidRDefault="005A7088" w:rsidP="00CD1B61">
      <w:pPr>
        <w:pStyle w:val="Prrafodelista"/>
        <w:numPr>
          <w:ilvl w:val="0"/>
          <w:numId w:val="14"/>
        </w:numPr>
        <w:spacing w:line="276" w:lineRule="auto"/>
        <w:jc w:val="both"/>
      </w:pPr>
      <w:r w:rsidRPr="005A6843">
        <w:t>L</w:t>
      </w:r>
      <w:r w:rsidR="00822883" w:rsidRPr="005A6843">
        <w:t xml:space="preserve">a entrada </w:t>
      </w:r>
      <w:r w:rsidR="00822883" w:rsidRPr="00AC59E7">
        <w:rPr>
          <w:i/>
        </w:rPr>
        <w:t>“Novedades de Transparencia”</w:t>
      </w:r>
      <w:r w:rsidR="00822883" w:rsidRPr="005A6843">
        <w:t xml:space="preserve"> pretende dar acceso al visitante del Portal </w:t>
      </w:r>
      <w:r w:rsidR="007C22D5" w:rsidRPr="005A6843">
        <w:t xml:space="preserve">a </w:t>
      </w:r>
      <w:r w:rsidR="007C22D5" w:rsidRPr="00AC59E7">
        <w:rPr>
          <w:i/>
        </w:rPr>
        <w:t>“</w:t>
      </w:r>
      <w:r w:rsidR="00822883" w:rsidRPr="00AC59E7">
        <w:rPr>
          <w:i/>
        </w:rPr>
        <w:t>las novedades que se vayan publicando en relación con la transparencia</w:t>
      </w:r>
      <w:r w:rsidR="007C22D5" w:rsidRPr="00AC59E7">
        <w:rPr>
          <w:i/>
        </w:rPr>
        <w:t>”</w:t>
      </w:r>
      <w:r w:rsidR="00822883" w:rsidRPr="005A6843">
        <w:t>.</w:t>
      </w:r>
      <w:r w:rsidR="007C22D5" w:rsidRPr="005A6843">
        <w:t xml:space="preserve"> En realidad, </w:t>
      </w:r>
      <w:r w:rsidR="00F4463E" w:rsidRPr="005A6843">
        <w:t xml:space="preserve">la mayor parte de las informaciones se refieren a </w:t>
      </w:r>
      <w:r w:rsidR="007C22D5" w:rsidRPr="005A6843">
        <w:t>las novedades introducidas en el propio Portal</w:t>
      </w:r>
      <w:r w:rsidR="00F4463E" w:rsidRPr="005A6843">
        <w:t xml:space="preserve">: Solo </w:t>
      </w:r>
      <w:r w:rsidR="007C22D5" w:rsidRPr="005A6843">
        <w:t>en las primeras 1</w:t>
      </w:r>
      <w:r w:rsidR="0007485C" w:rsidRPr="005A6843">
        <w:t>2</w:t>
      </w:r>
      <w:r w:rsidR="007C22D5" w:rsidRPr="005A6843">
        <w:t xml:space="preserve"> informaciones se incluyen s</w:t>
      </w:r>
      <w:r w:rsidR="0007485C" w:rsidRPr="005A6843">
        <w:t xml:space="preserve">iete </w:t>
      </w:r>
      <w:r w:rsidR="007C22D5" w:rsidRPr="005A6843">
        <w:t xml:space="preserve">novedades relacionadas con el Portal: posibilidad de </w:t>
      </w:r>
      <w:r w:rsidR="00822883" w:rsidRPr="005A6843">
        <w:t xml:space="preserve">descargar la mayoría de la información </w:t>
      </w:r>
      <w:r w:rsidR="007C22D5" w:rsidRPr="005A6843">
        <w:t xml:space="preserve">del Portal </w:t>
      </w:r>
      <w:r w:rsidR="00822883" w:rsidRPr="005A6843">
        <w:t>en formato CSV</w:t>
      </w:r>
      <w:r w:rsidR="007C22D5" w:rsidRPr="005A6843">
        <w:t xml:space="preserve">; posibilidad de suscribirse electrónicamente a las </w:t>
      </w:r>
      <w:r w:rsidR="00822883" w:rsidRPr="005A6843">
        <w:t>novedades e informes de interés</w:t>
      </w:r>
      <w:r w:rsidR="007C22D5" w:rsidRPr="005A6843">
        <w:t xml:space="preserve"> del Portal; inclusión de MINDEF y MPREAT en el espacio de participación pública del Portal; publicación de las estadísticas del Portal del mes junio de 2017</w:t>
      </w:r>
      <w:r w:rsidR="0084478B" w:rsidRPr="005A6843">
        <w:t xml:space="preserve">; </w:t>
      </w:r>
      <w:r w:rsidR="007C22D5" w:rsidRPr="005A6843">
        <w:t xml:space="preserve">incorporación al Portal de </w:t>
      </w:r>
      <w:r w:rsidR="0084478B" w:rsidRPr="005A6843">
        <w:t xml:space="preserve">un formulario para las </w:t>
      </w:r>
      <w:r w:rsidR="00822883" w:rsidRPr="005A6843">
        <w:t>aportaciones a</w:t>
      </w:r>
      <w:r w:rsidR="0084478B" w:rsidRPr="005A6843">
        <w:t xml:space="preserve"> la consulta pública previa sobre el </w:t>
      </w:r>
      <w:r w:rsidR="00822883" w:rsidRPr="005A6843">
        <w:t xml:space="preserve">proyecto de decreto de desarrollo de la </w:t>
      </w:r>
      <w:r w:rsidR="00052FF3">
        <w:t>l</w:t>
      </w:r>
      <w:r w:rsidR="001C41A6">
        <w:t>ey</w:t>
      </w:r>
      <w:r w:rsidR="00E768A4">
        <w:t xml:space="preserve"> de transparencia</w:t>
      </w:r>
      <w:r w:rsidR="0084478B" w:rsidRPr="005A6843">
        <w:t>; actualización de la página de</w:t>
      </w:r>
      <w:r w:rsidR="00DB3C7B" w:rsidRPr="005A6843">
        <w:t xml:space="preserve"> </w:t>
      </w:r>
      <w:r w:rsidR="0084478B" w:rsidRPr="005A6843">
        <w:t xml:space="preserve">Declaraciones de Altos Cargos de la AGE en el Portal y actualización del vídeo </w:t>
      </w:r>
      <w:r w:rsidR="0084478B" w:rsidRPr="00AC59E7">
        <w:rPr>
          <w:i/>
        </w:rPr>
        <w:t>“Conozca el Portal de la Transparencia”</w:t>
      </w:r>
      <w:r w:rsidR="0084478B" w:rsidRPr="005A6843">
        <w:t xml:space="preserve"> de la Guía de Navegación del Portal-. Junto a estas se contienen otra serie de noticias y novedades, de contenido variado: apertura del </w:t>
      </w:r>
      <w:r w:rsidR="00822883" w:rsidRPr="005A6843">
        <w:t>período de consulta previa pública </w:t>
      </w:r>
      <w:r w:rsidR="0084478B" w:rsidRPr="005A6843">
        <w:t xml:space="preserve">del </w:t>
      </w:r>
      <w:r w:rsidR="00822883" w:rsidRPr="005A6843">
        <w:t xml:space="preserve">proyecto de decreto de desarrollo de la </w:t>
      </w:r>
      <w:r w:rsidR="00052FF3">
        <w:t>l</w:t>
      </w:r>
      <w:r w:rsidR="001C41A6">
        <w:t>ey</w:t>
      </w:r>
      <w:r w:rsidR="00E768A4">
        <w:t xml:space="preserve"> de transparencia</w:t>
      </w:r>
      <w:r w:rsidR="0084478B" w:rsidRPr="005A6843">
        <w:t xml:space="preserve">; publicación de </w:t>
      </w:r>
      <w:r w:rsidR="0007485C" w:rsidRPr="005A6843">
        <w:t xml:space="preserve">la </w:t>
      </w:r>
      <w:r w:rsidR="00822883" w:rsidRPr="005A6843">
        <w:t>Oferta de Empleo Público correspondiente al año 2017</w:t>
      </w:r>
      <w:r w:rsidR="0084478B" w:rsidRPr="005A6843">
        <w:t xml:space="preserve">; publicación de </w:t>
      </w:r>
      <w:r w:rsidR="00822883" w:rsidRPr="005A6843">
        <w:t>la nueva estructura orgánica del M</w:t>
      </w:r>
      <w:r w:rsidR="0084478B" w:rsidRPr="005A6843">
        <w:t>EYSS</w:t>
      </w:r>
      <w:r w:rsidR="0007485C" w:rsidRPr="005A6843">
        <w:t xml:space="preserve">; convocatoria de la </w:t>
      </w:r>
      <w:r w:rsidR="00822883" w:rsidRPr="005A6843">
        <w:t xml:space="preserve">1ª edición de los Premios </w:t>
      </w:r>
      <w:r w:rsidR="0007485C" w:rsidRPr="005A6843">
        <w:t xml:space="preserve">APORTA a la </w:t>
      </w:r>
      <w:r w:rsidR="00822883" w:rsidRPr="005A6843">
        <w:t>reutilización de conjuntos de</w:t>
      </w:r>
      <w:r w:rsidR="00DB3C7B" w:rsidRPr="005A6843">
        <w:t xml:space="preserve"> </w:t>
      </w:r>
      <w:r w:rsidR="00822883" w:rsidRPr="005A6843">
        <w:t>datos abiertos públicos</w:t>
      </w:r>
      <w:r w:rsidR="00DB3C7B" w:rsidRPr="005A6843">
        <w:t xml:space="preserve"> </w:t>
      </w:r>
      <w:r w:rsidR="00822883" w:rsidRPr="005A6843">
        <w:t>o privados en la búsqueda de soluciones innovadoras</w:t>
      </w:r>
      <w:r w:rsidR="0007485C" w:rsidRPr="005A6843">
        <w:t xml:space="preserve"> y presentación del III Plan de Acción de Gobierno Abierto.</w:t>
      </w:r>
    </w:p>
    <w:p w:rsidR="00380627" w:rsidRPr="005A6843" w:rsidRDefault="00380627" w:rsidP="00AC59E7">
      <w:pPr>
        <w:pStyle w:val="Prrafodelista"/>
        <w:spacing w:line="276" w:lineRule="auto"/>
        <w:jc w:val="both"/>
      </w:pPr>
    </w:p>
    <w:p w:rsidR="00671E15" w:rsidRDefault="00BA656E" w:rsidP="00CD1B61">
      <w:pPr>
        <w:pStyle w:val="Prrafodelista"/>
        <w:numPr>
          <w:ilvl w:val="0"/>
          <w:numId w:val="14"/>
        </w:numPr>
        <w:spacing w:line="276" w:lineRule="auto"/>
        <w:jc w:val="both"/>
      </w:pPr>
      <w:r w:rsidRPr="005A6843">
        <w:t xml:space="preserve">Por su parte el </w:t>
      </w:r>
      <w:r w:rsidR="00671E15" w:rsidRPr="005A6843">
        <w:t xml:space="preserve">epígrafe </w:t>
      </w:r>
      <w:r w:rsidR="00671E15" w:rsidRPr="00AC59E7">
        <w:rPr>
          <w:i/>
        </w:rPr>
        <w:t>“Informes de interés”</w:t>
      </w:r>
      <w:r w:rsidR="00671E15" w:rsidRPr="005A6843">
        <w:t xml:space="preserve"> ofrece a fecha de hoy 262 enlaces a otros tantos documentos de contenido variado, que aparecen relacionados y ordenados por un criterio temático (materias según las categorías de reutilización de información del sector público, RISP). Este mismo criterio permite al visitante “filtrar” los datos para la reali</w:t>
      </w:r>
      <w:r w:rsidR="00380627">
        <w:t>zación de búsquedas personales.</w:t>
      </w:r>
    </w:p>
    <w:p w:rsidR="00380627" w:rsidRDefault="00380627" w:rsidP="00AC59E7">
      <w:pPr>
        <w:pStyle w:val="Prrafodelista"/>
        <w:spacing w:line="276" w:lineRule="auto"/>
      </w:pPr>
    </w:p>
    <w:p w:rsidR="00671E15" w:rsidRDefault="00671E15" w:rsidP="00AC59E7">
      <w:pPr>
        <w:ind w:left="709"/>
        <w:jc w:val="both"/>
      </w:pPr>
      <w:r w:rsidRPr="005A6843">
        <w:t xml:space="preserve">Aparentemente, los documentos han sido seleccionados por su relevancia, aunque en ningún momento se hacen explícitos los elementos objetivos que determinan esta relevancia.  </w:t>
      </w:r>
      <w:r w:rsidR="007021C3" w:rsidRPr="005A6843">
        <w:t xml:space="preserve">Tampoco es sencillo deducirlos, analizando los documentos. P. ej. las 10 primeras entradas de la primera categoría RISP, </w:t>
      </w:r>
      <w:r w:rsidR="007021C3" w:rsidRPr="009B77A6">
        <w:rPr>
          <w:i/>
        </w:rPr>
        <w:t>“Ciencia y Tecnología</w:t>
      </w:r>
      <w:r w:rsidR="007021C3" w:rsidRPr="005A6843">
        <w:t xml:space="preserve">”, son las siguientes: </w:t>
      </w:r>
      <w:r w:rsidR="007021C3" w:rsidRPr="009B77A6">
        <w:rPr>
          <w:i/>
        </w:rPr>
        <w:t>“</w:t>
      </w:r>
      <w:r w:rsidRPr="009B77A6">
        <w:rPr>
          <w:i/>
        </w:rPr>
        <w:t>La Administración Electrónica en las Comunidades Autónomas. Informe CAE 2014</w:t>
      </w:r>
      <w:r w:rsidR="007021C3" w:rsidRPr="009B77A6">
        <w:rPr>
          <w:i/>
        </w:rPr>
        <w:t>”, “</w:t>
      </w:r>
      <w:r w:rsidRPr="009B77A6">
        <w:rPr>
          <w:i/>
        </w:rPr>
        <w:t>Dossier de indicadores del Índice de Economía y Sociedad Digital (DESI, marzo 2017)</w:t>
      </w:r>
      <w:r w:rsidR="007021C3" w:rsidRPr="009B77A6">
        <w:rPr>
          <w:i/>
        </w:rPr>
        <w:t>”, “</w:t>
      </w:r>
      <w:r w:rsidRPr="009B77A6">
        <w:rPr>
          <w:i/>
        </w:rPr>
        <w:t>Diccionario de términos y conceptos de la Administración Electrónica</w:t>
      </w:r>
      <w:r w:rsidR="007021C3" w:rsidRPr="009B77A6">
        <w:rPr>
          <w:i/>
        </w:rPr>
        <w:t>”, “</w:t>
      </w:r>
      <w:r w:rsidRPr="009B77A6">
        <w:rPr>
          <w:i/>
        </w:rPr>
        <w:t>Estudio sobre la ciberseguridad y confianza en los hogares españoles (abril 2017)​</w:t>
      </w:r>
      <w:r w:rsidR="007021C3" w:rsidRPr="009B77A6">
        <w:rPr>
          <w:i/>
        </w:rPr>
        <w:t>”, “</w:t>
      </w:r>
      <w:r w:rsidRPr="009B77A6">
        <w:rPr>
          <w:i/>
        </w:rPr>
        <w:t>Guía para uso seguro y responsable de internet por los menores</w:t>
      </w:r>
      <w:r w:rsidR="007021C3" w:rsidRPr="009B77A6">
        <w:rPr>
          <w:i/>
        </w:rPr>
        <w:t>”, “</w:t>
      </w:r>
      <w:r w:rsidRPr="009B77A6">
        <w:rPr>
          <w:i/>
        </w:rPr>
        <w:t>Guía de actuación contra el ciberacoso (padres y educadores)</w:t>
      </w:r>
      <w:r w:rsidR="007021C3" w:rsidRPr="009B77A6">
        <w:rPr>
          <w:i/>
        </w:rPr>
        <w:t>”, “</w:t>
      </w:r>
      <w:r w:rsidRPr="009B77A6">
        <w:rPr>
          <w:i/>
        </w:rPr>
        <w:t>Caracterización del sector infomediario en España (2016)</w:t>
      </w:r>
      <w:r w:rsidR="007021C3" w:rsidRPr="009B77A6">
        <w:rPr>
          <w:i/>
        </w:rPr>
        <w:t>”, “</w:t>
      </w:r>
      <w:r w:rsidRPr="009B77A6">
        <w:rPr>
          <w:i/>
        </w:rPr>
        <w:t>Perfil sociodemográfico de los internautas</w:t>
      </w:r>
      <w:r w:rsidR="007021C3" w:rsidRPr="009B77A6">
        <w:rPr>
          <w:i/>
        </w:rPr>
        <w:t>”, “</w:t>
      </w:r>
      <w:r w:rsidRPr="009B77A6">
        <w:rPr>
          <w:i/>
        </w:rPr>
        <w:t>Análisis de datos INE 2016</w:t>
      </w:r>
      <w:r w:rsidR="007021C3" w:rsidRPr="009B77A6">
        <w:rPr>
          <w:i/>
        </w:rPr>
        <w:t>”, “</w:t>
      </w:r>
      <w:r w:rsidRPr="009B77A6">
        <w:rPr>
          <w:i/>
        </w:rPr>
        <w:t>Estadísticas de la Oficina Española de Patentes y Marcas 2016</w:t>
      </w:r>
      <w:r w:rsidR="007021C3" w:rsidRPr="009B77A6">
        <w:rPr>
          <w:i/>
        </w:rPr>
        <w:t>” y “</w:t>
      </w:r>
      <w:r w:rsidRPr="009B77A6">
        <w:rPr>
          <w:i/>
        </w:rPr>
        <w:t>Las TIC en los hogares españoles (abril-junio 2016)</w:t>
      </w:r>
      <w:r w:rsidR="007021C3" w:rsidRPr="009B77A6">
        <w:rPr>
          <w:i/>
        </w:rPr>
        <w:t>”</w:t>
      </w:r>
      <w:r w:rsidR="007021C3" w:rsidRPr="005A6843">
        <w:t>. En cualquier caso, si el vis</w:t>
      </w:r>
      <w:r w:rsidR="00BA656E" w:rsidRPr="005A6843">
        <w:t>i</w:t>
      </w:r>
      <w:r w:rsidR="007021C3" w:rsidRPr="005A6843">
        <w:t xml:space="preserve">tante está interesado en recibir y consultar este tipo de documentación puede suscribirse en el propio Portal. </w:t>
      </w:r>
    </w:p>
    <w:p w:rsidR="00F4463E" w:rsidRDefault="00F4463E" w:rsidP="00CD1B61">
      <w:pPr>
        <w:pStyle w:val="Prrafodelista"/>
        <w:numPr>
          <w:ilvl w:val="0"/>
          <w:numId w:val="15"/>
        </w:numPr>
        <w:spacing w:line="276" w:lineRule="auto"/>
        <w:jc w:val="both"/>
      </w:pPr>
      <w:r w:rsidRPr="005A6843">
        <w:t xml:space="preserve">La entrada </w:t>
      </w:r>
      <w:r w:rsidRPr="009B77A6">
        <w:rPr>
          <w:i/>
        </w:rPr>
        <w:t>“Instituciones públicas”</w:t>
      </w:r>
      <w:r w:rsidRPr="005A6843">
        <w:t xml:space="preserve"> ofrece al visitante un acceso a las páginas de transparencia de distintas instituciones públicas: Casa de Su Majestad El Rey, Congreso de los Diputados</w:t>
      </w:r>
      <w:r w:rsidR="00671E15" w:rsidRPr="005A6843">
        <w:t xml:space="preserve">, </w:t>
      </w:r>
      <w:r w:rsidRPr="005A6843">
        <w:t>Senado, Tribunal Constitucional, Poder Judicial, Consejo de Estado, Defensor del Pueblo, Tribunal de Cuentas, Banco de España y Consejo Económico y Social. S</w:t>
      </w:r>
      <w:r w:rsidR="00671E15" w:rsidRPr="005A6843">
        <w:t>e</w:t>
      </w:r>
      <w:r w:rsidRPr="005A6843">
        <w:t xml:space="preserve"> trata de los órganos constitucionales, de relevancia constitucional y organismos independientes que enumera el art. 2.1 letra </w:t>
      </w:r>
      <w:r w:rsidR="00671E15" w:rsidRPr="005A6843">
        <w:t xml:space="preserve">f) </w:t>
      </w:r>
      <w:r w:rsidRPr="005A6843">
        <w:t xml:space="preserve">de la </w:t>
      </w:r>
      <w:r w:rsidR="00052FF3">
        <w:t>l</w:t>
      </w:r>
      <w:r w:rsidR="001C41A6">
        <w:t>ey</w:t>
      </w:r>
      <w:r w:rsidR="00E768A4">
        <w:t xml:space="preserve"> de transparencia</w:t>
      </w:r>
      <w:r w:rsidRPr="005A6843">
        <w:t>. Adicionalmente ofrece también un acceso a l Portal de la Comisión de la Unión Europea</w:t>
      </w:r>
      <w:r w:rsidR="004D0A16" w:rsidRPr="005A6843">
        <w:t>.</w:t>
      </w:r>
    </w:p>
    <w:p w:rsidR="00380627" w:rsidRPr="005A6843" w:rsidRDefault="00380627" w:rsidP="00AC59E7">
      <w:pPr>
        <w:pStyle w:val="Prrafodelista"/>
        <w:spacing w:line="276" w:lineRule="auto"/>
        <w:jc w:val="both"/>
      </w:pPr>
    </w:p>
    <w:p w:rsidR="00A96376" w:rsidRDefault="00F4463E" w:rsidP="00CD1B61">
      <w:pPr>
        <w:pStyle w:val="Prrafodelista"/>
        <w:numPr>
          <w:ilvl w:val="0"/>
          <w:numId w:val="15"/>
        </w:numPr>
        <w:spacing w:line="276" w:lineRule="auto"/>
        <w:jc w:val="both"/>
      </w:pPr>
      <w:r w:rsidRPr="005A6843">
        <w:t xml:space="preserve">La entrada </w:t>
      </w:r>
      <w:r w:rsidRPr="009B77A6">
        <w:rPr>
          <w:i/>
        </w:rPr>
        <w:t>“Comunidades Autónomas”</w:t>
      </w:r>
      <w:r w:rsidRPr="005A6843">
        <w:t xml:space="preserve"> permite al vis</w:t>
      </w:r>
      <w:r w:rsidR="00671E15" w:rsidRPr="005A6843">
        <w:t>it</w:t>
      </w:r>
      <w:r w:rsidRPr="005A6843">
        <w:t xml:space="preserve">ante obtener información básica sobre las </w:t>
      </w:r>
      <w:r w:rsidR="00671E15" w:rsidRPr="005A6843">
        <w:t>actuaciones de las CCAA en materia de transparencia, suministrando enlaces con las distintas l</w:t>
      </w:r>
      <w:r w:rsidRPr="005A6843">
        <w:t xml:space="preserve">eyes </w:t>
      </w:r>
      <w:r w:rsidR="00671E15" w:rsidRPr="005A6843">
        <w:t>o proyectos normativos de éstas y los diversos Portales autonómicos de Transparencia. También ofrece datos relativos a los Consejos de Transparencia, Comisiones de Acceso u organismos análogos de las distintas Comunidades.</w:t>
      </w:r>
    </w:p>
    <w:p w:rsidR="00380627" w:rsidRDefault="00380627" w:rsidP="00AC59E7">
      <w:pPr>
        <w:pStyle w:val="Prrafodelista"/>
        <w:spacing w:line="276" w:lineRule="auto"/>
      </w:pPr>
    </w:p>
    <w:p w:rsidR="00BA656E" w:rsidRDefault="00BA656E" w:rsidP="00CD1B61">
      <w:pPr>
        <w:pStyle w:val="Prrafodelista"/>
        <w:numPr>
          <w:ilvl w:val="0"/>
          <w:numId w:val="15"/>
        </w:numPr>
        <w:spacing w:line="276" w:lineRule="auto"/>
        <w:jc w:val="both"/>
      </w:pPr>
      <w:r w:rsidRPr="005A6843">
        <w:t xml:space="preserve">El epígrafe </w:t>
      </w:r>
      <w:r w:rsidRPr="009B77A6">
        <w:rPr>
          <w:i/>
        </w:rPr>
        <w:t>“Comisión para la Reforma de las Administraciones Públicas (CORA)”</w:t>
      </w:r>
      <w:r w:rsidRPr="005A6843">
        <w:t xml:space="preserve"> ofrece abundante información sobre la Comisión para la Reforma de las Administraciones Públicas, más conocida por el acrónimo CORA, que fuera creada en octubre de 2012 por la Vicepresidenta del Gobierno para dar cumplimiento a un acuerdo de la Conferencia de Presidentes de las CCAA. El acuerdo contenía el compromiso del Gobierno de efectuar un estudio integral del funcionamiento de las AAPP cuyos resultados permitieran elaborar un programa de racionalización administrativa para eliminar duplicidades entre el Estado y las Comunidades, reducir cargas burocráticas a los administrados, mejorar la eficacia en la gestión y analizar los entes administrativos para plantear las modificaciones necesarias en cuanto a su número y configuración jurídica. La Comisión CORA fue la encargada de elaborar el informe. El sitio proporciona accesos al documento y a los correspondientes informes de seguimiento.</w:t>
      </w:r>
    </w:p>
    <w:p w:rsidR="00380627" w:rsidRDefault="00380627" w:rsidP="00AC59E7">
      <w:pPr>
        <w:pStyle w:val="Prrafodelista"/>
        <w:spacing w:line="276" w:lineRule="auto"/>
      </w:pPr>
    </w:p>
    <w:p w:rsidR="00BA656E" w:rsidRDefault="00BA656E" w:rsidP="00CD1B61">
      <w:pPr>
        <w:pStyle w:val="Prrafodelista"/>
        <w:numPr>
          <w:ilvl w:val="0"/>
          <w:numId w:val="15"/>
        </w:numPr>
        <w:spacing w:line="276" w:lineRule="auto"/>
        <w:jc w:val="both"/>
      </w:pPr>
      <w:r w:rsidRPr="005A6843">
        <w:t xml:space="preserve">Finalmente, el apartado </w:t>
      </w:r>
      <w:r w:rsidRPr="009B77A6">
        <w:rPr>
          <w:i/>
        </w:rPr>
        <w:t>“Agendas”</w:t>
      </w:r>
      <w:r w:rsidRPr="005A6843">
        <w:t xml:space="preserve"> proporciona al visitante del Portal un acceso a las Agendas institucionales del Presidente del Gobierno y los Ministros</w:t>
      </w:r>
      <w:r w:rsidR="00D000C0" w:rsidRPr="005A6843">
        <w:t>,</w:t>
      </w:r>
      <w:r w:rsidRPr="005A6843">
        <w:t xml:space="preserve"> que</w:t>
      </w:r>
      <w:r w:rsidR="00D000C0" w:rsidRPr="005A6843">
        <w:t xml:space="preserve"> se publican en el Portal institucional del Gobierno</w:t>
      </w:r>
      <w:r w:rsidR="00867CCB" w:rsidRPr="005A6843">
        <w:t>.</w:t>
      </w:r>
    </w:p>
    <w:p w:rsidR="00380627" w:rsidRDefault="00380627" w:rsidP="00AC59E7">
      <w:pPr>
        <w:pStyle w:val="Prrafodelista"/>
        <w:spacing w:line="276" w:lineRule="auto"/>
      </w:pPr>
    </w:p>
    <w:p w:rsidR="00464262" w:rsidRPr="005A6843" w:rsidRDefault="00867CCB" w:rsidP="00AC59E7">
      <w:pPr>
        <w:jc w:val="both"/>
      </w:pPr>
      <w:r w:rsidRPr="005A6843">
        <w:t xml:space="preserve">Hasta aquí la descripción de los distintos contenidos del Portal. </w:t>
      </w:r>
      <w:r w:rsidR="00B22054" w:rsidRPr="005A6843">
        <w:t xml:space="preserve">Revisándola, parece </w:t>
      </w:r>
      <w:r w:rsidRPr="005A6843">
        <w:t>evidente que</w:t>
      </w:r>
      <w:r w:rsidR="00B22054" w:rsidRPr="005A6843">
        <w:t xml:space="preserve">, en general, </w:t>
      </w:r>
      <w:r w:rsidRPr="005A6843">
        <w:t xml:space="preserve">el contenido de </w:t>
      </w:r>
      <w:r w:rsidR="00B22054" w:rsidRPr="005A6843">
        <w:t>é</w:t>
      </w:r>
      <w:r w:rsidRPr="005A6843">
        <w:t xml:space="preserve">ste excede </w:t>
      </w:r>
      <w:r w:rsidR="00695A79" w:rsidRPr="005A6843">
        <w:t xml:space="preserve">del que le señala la </w:t>
      </w:r>
      <w:r w:rsidR="00052FF3">
        <w:t>l</w:t>
      </w:r>
      <w:r w:rsidR="001C41A6">
        <w:t>ey</w:t>
      </w:r>
      <w:r w:rsidR="00E768A4">
        <w:t xml:space="preserve"> de transparencia</w:t>
      </w:r>
      <w:r w:rsidR="00695A79" w:rsidRPr="005A6843">
        <w:t xml:space="preserve">, limitado a “facilitar” al ciudadano el acceso a las informaciones de publicidad activa que los órganos de la AGE hayan ido haciendo públicas en sus sedes electrónicas o páginas </w:t>
      </w:r>
      <w:r w:rsidR="00FC4B2E" w:rsidRPr="00FC4B2E">
        <w:rPr>
          <w:i/>
        </w:rPr>
        <w:t>web</w:t>
      </w:r>
      <w:r w:rsidR="00695A79" w:rsidRPr="005A6843">
        <w:t xml:space="preserve"> (</w:t>
      </w:r>
      <w:r w:rsidR="00695A79" w:rsidRPr="009B77A6">
        <w:rPr>
          <w:i/>
        </w:rPr>
        <w:t xml:space="preserve">art. 10 de la </w:t>
      </w:r>
      <w:r w:rsidR="00052FF3">
        <w:rPr>
          <w:i/>
        </w:rPr>
        <w:t>l</w:t>
      </w:r>
      <w:r w:rsidR="001C41A6">
        <w:rPr>
          <w:i/>
        </w:rPr>
        <w:t>ey</w:t>
      </w:r>
      <w:r w:rsidR="00695A79" w:rsidRPr="009B77A6">
        <w:rPr>
          <w:i/>
        </w:rPr>
        <w:t xml:space="preserve"> en relación con el 5</w:t>
      </w:r>
      <w:r w:rsidR="00695A79" w:rsidRPr="005A6843">
        <w:t>).</w:t>
      </w:r>
    </w:p>
    <w:p w:rsidR="0049228F" w:rsidRPr="005A6843" w:rsidRDefault="00653EF8" w:rsidP="00AC59E7">
      <w:pPr>
        <w:jc w:val="both"/>
      </w:pPr>
      <w:r w:rsidRPr="005A6843">
        <w:t xml:space="preserve">En efecto: </w:t>
      </w:r>
      <w:r w:rsidR="00695A79" w:rsidRPr="005A6843">
        <w:t xml:space="preserve">Además de incorporar </w:t>
      </w:r>
      <w:r w:rsidRPr="005A6843">
        <w:t xml:space="preserve">las </w:t>
      </w:r>
      <w:r w:rsidR="00695A79" w:rsidRPr="005A6843">
        <w:t xml:space="preserve">informaciones –de acuerdo con la </w:t>
      </w:r>
      <w:r w:rsidR="00052FF3">
        <w:t>l</w:t>
      </w:r>
      <w:r w:rsidR="001C41A6">
        <w:t>ey</w:t>
      </w:r>
      <w:r w:rsidR="00695A79" w:rsidRPr="005A6843">
        <w:t xml:space="preserve">, podría haberse limitado a ofrecer un acceso a las mismas-, el Portal de Transparencia de la AGE </w:t>
      </w:r>
      <w:r w:rsidRPr="005A6843">
        <w:t xml:space="preserve">recoge </w:t>
      </w:r>
      <w:r w:rsidR="00695A79" w:rsidRPr="005A6843">
        <w:t xml:space="preserve">información sobre los Planes </w:t>
      </w:r>
      <w:r w:rsidRPr="005A6843">
        <w:t xml:space="preserve">de Acción de </w:t>
      </w:r>
      <w:r w:rsidR="00695A79" w:rsidRPr="005A6843">
        <w:t xml:space="preserve">Gobierno Abierto, los procesos de participación pública en proyectos normativos abiertos a raíz de la publicación de la LPACAP y la reforma de la LGOB, </w:t>
      </w:r>
      <w:r w:rsidR="002B2EA7" w:rsidRPr="005A6843">
        <w:t>los trabajos de la Comisión CORA y otra serie de cuestiones</w:t>
      </w:r>
      <w:r w:rsidRPr="005A6843">
        <w:t>,</w:t>
      </w:r>
      <w:r w:rsidR="002B2EA7" w:rsidRPr="005A6843">
        <w:t xml:space="preserve"> </w:t>
      </w:r>
      <w:r w:rsidRPr="005A6843">
        <w:t xml:space="preserve">obviamente de interés </w:t>
      </w:r>
      <w:r w:rsidR="002B2EA7" w:rsidRPr="005A6843">
        <w:t xml:space="preserve">para </w:t>
      </w:r>
      <w:r w:rsidRPr="005A6843">
        <w:t xml:space="preserve">especialistas y sectores concretos de la ciudadanía </w:t>
      </w:r>
      <w:r w:rsidR="002B2EA7" w:rsidRPr="005A6843">
        <w:t>pero ajenas</w:t>
      </w:r>
      <w:r w:rsidRPr="005A6843">
        <w:t xml:space="preserve"> </w:t>
      </w:r>
      <w:r w:rsidR="002B2EA7" w:rsidRPr="005A6843">
        <w:t xml:space="preserve">a los contenidos de publicidad activa </w:t>
      </w:r>
      <w:r w:rsidRPr="005A6843">
        <w:t xml:space="preserve">establecidos en </w:t>
      </w:r>
      <w:r w:rsidR="002B2EA7" w:rsidRPr="005A6843">
        <w:t xml:space="preserve">la </w:t>
      </w:r>
      <w:r w:rsidR="00052FF3">
        <w:t>l</w:t>
      </w:r>
      <w:r w:rsidR="001C41A6">
        <w:t>ey</w:t>
      </w:r>
      <w:r w:rsidR="002B2EA7" w:rsidRPr="005A6843">
        <w:t xml:space="preserve">. También </w:t>
      </w:r>
      <w:r w:rsidRPr="005A6843">
        <w:t xml:space="preserve">proporciona </w:t>
      </w:r>
      <w:r w:rsidR="002B2EA7" w:rsidRPr="005A6843">
        <w:t>acceso a</w:t>
      </w:r>
      <w:r w:rsidRPr="005A6843">
        <w:t xml:space="preserve"> ciertos </w:t>
      </w:r>
      <w:r w:rsidR="002B2EA7" w:rsidRPr="005A6843">
        <w:t xml:space="preserve">buzones de quejas y </w:t>
      </w:r>
      <w:r w:rsidRPr="005A6843">
        <w:t xml:space="preserve">de </w:t>
      </w:r>
      <w:r w:rsidR="002B2EA7" w:rsidRPr="005A6843">
        <w:t>participación que no guardan</w:t>
      </w:r>
      <w:r w:rsidRPr="005A6843">
        <w:t>,</w:t>
      </w:r>
      <w:r w:rsidR="002B2EA7" w:rsidRPr="005A6843">
        <w:t xml:space="preserve"> en principio</w:t>
      </w:r>
      <w:r w:rsidRPr="005A6843">
        <w:t>,</w:t>
      </w:r>
      <w:r w:rsidR="002B2EA7" w:rsidRPr="005A6843">
        <w:t xml:space="preserve"> relación </w:t>
      </w:r>
      <w:r w:rsidRPr="005A6843">
        <w:t xml:space="preserve">directa alguna </w:t>
      </w:r>
      <w:r w:rsidR="002B2EA7" w:rsidRPr="005A6843">
        <w:t>con los aspectos propios de la transparencia</w:t>
      </w:r>
      <w:r w:rsidRPr="005A6843">
        <w:t xml:space="preserve">. Así mismo contiene </w:t>
      </w:r>
      <w:r w:rsidR="002B2EA7" w:rsidRPr="005A6843">
        <w:t xml:space="preserve">enlaces con </w:t>
      </w:r>
      <w:r w:rsidRPr="005A6843">
        <w:t>portales de transparencia</w:t>
      </w:r>
      <w:r w:rsidR="002B2EA7" w:rsidRPr="005A6843">
        <w:t xml:space="preserve"> </w:t>
      </w:r>
      <w:r w:rsidRPr="005A6843">
        <w:t xml:space="preserve">extraños </w:t>
      </w:r>
      <w:r w:rsidR="0049228F" w:rsidRPr="005A6843">
        <w:t xml:space="preserve">al </w:t>
      </w:r>
      <w:r w:rsidR="002B2EA7" w:rsidRPr="005A6843">
        <w:t xml:space="preserve">ámbito de la AGE (órganos constitucionales, CCAA, </w:t>
      </w:r>
      <w:r w:rsidR="00235F53">
        <w:t>etc.</w:t>
      </w:r>
      <w:r w:rsidR="002B2EA7" w:rsidRPr="005A6843">
        <w:t>)</w:t>
      </w:r>
      <w:r w:rsidR="002E5205" w:rsidRPr="005A6843">
        <w:t xml:space="preserve"> y también </w:t>
      </w:r>
      <w:r w:rsidR="0049228F" w:rsidRPr="005A6843">
        <w:t xml:space="preserve">información sobre </w:t>
      </w:r>
      <w:r w:rsidR="002E5205" w:rsidRPr="005A6843">
        <w:t xml:space="preserve">iniciativas varias </w:t>
      </w:r>
      <w:r w:rsidR="0049228F" w:rsidRPr="005A6843">
        <w:t xml:space="preserve">(convocatoria de la OEP, convocatoria de premios de reutilización, </w:t>
      </w:r>
      <w:r w:rsidR="00235F53">
        <w:t>etc.</w:t>
      </w:r>
      <w:r w:rsidR="0049228F" w:rsidRPr="005A6843">
        <w:t>) que tendrían m</w:t>
      </w:r>
      <w:r w:rsidR="002E5205" w:rsidRPr="005A6843">
        <w:t xml:space="preserve">ás </w:t>
      </w:r>
      <w:r w:rsidR="0049228F" w:rsidRPr="005A6843">
        <w:t xml:space="preserve">encaje en otros </w:t>
      </w:r>
      <w:r w:rsidR="002E5205" w:rsidRPr="005A6843">
        <w:t>p</w:t>
      </w:r>
      <w:r w:rsidR="0049228F" w:rsidRPr="005A6843">
        <w:t>ortales generalistas</w:t>
      </w:r>
      <w:r w:rsidR="002E5205" w:rsidRPr="005A6843">
        <w:t xml:space="preserve">, </w:t>
      </w:r>
      <w:r w:rsidR="0049228F" w:rsidRPr="005A6843">
        <w:t>como,</w:t>
      </w:r>
      <w:r w:rsidR="00CE03C4" w:rsidRPr="005A6843">
        <w:t xml:space="preserve"> </w:t>
      </w:r>
      <w:r w:rsidR="0049228F" w:rsidRPr="005A6843">
        <w:t>p. ej., el Punto de Acceso General a las AAPP (PAG</w:t>
      </w:r>
      <w:r w:rsidR="002E5205" w:rsidRPr="005A6843">
        <w:t>)</w:t>
      </w:r>
      <w:r w:rsidR="0049228F" w:rsidRPr="005A6843">
        <w:t>.</w:t>
      </w:r>
    </w:p>
    <w:p w:rsidR="00BC39A5" w:rsidRPr="005A6843" w:rsidRDefault="00D92CE9" w:rsidP="00AC59E7">
      <w:pPr>
        <w:jc w:val="both"/>
      </w:pPr>
      <w:r w:rsidRPr="005A6843">
        <w:t>Es cierto que</w:t>
      </w:r>
      <w:r w:rsidR="006A499F" w:rsidRPr="005A6843">
        <w:t>,</w:t>
      </w:r>
      <w:r w:rsidRPr="005A6843">
        <w:t xml:space="preserve"> de acuerdo con el art. 10</w:t>
      </w:r>
      <w:r w:rsidR="006A499F" w:rsidRPr="005A6843">
        <w:t xml:space="preserve">.2 de la </w:t>
      </w:r>
      <w:r w:rsidR="00052FF3">
        <w:t>l</w:t>
      </w:r>
      <w:r w:rsidR="001C41A6">
        <w:t>ey</w:t>
      </w:r>
      <w:r w:rsidR="00E768A4">
        <w:t xml:space="preserve"> de transparencia</w:t>
      </w:r>
      <w:r w:rsidR="006A499F" w:rsidRPr="005A6843">
        <w:t xml:space="preserve">, el Portal de la Transparencia, además de facilitar el acceso a las informaciones de publicidad activa de la AGE, </w:t>
      </w:r>
      <w:r w:rsidR="006A499F" w:rsidRPr="009B77A6">
        <w:rPr>
          <w:i/>
        </w:rPr>
        <w:t>“incluirá, en los términos que se establezcan reglamentariamente, la información de la Administración General del Estado, cuyo acceso se solicite con mayor frecuencia”</w:t>
      </w:r>
      <w:r w:rsidR="006A499F" w:rsidRPr="005A6843">
        <w:t xml:space="preserve"> y que, en este sentido, podría darse la circunstancia de que muchas de las informaciones incorporadas a sus contenidos hubieran sido solicitadas </w:t>
      </w:r>
      <w:r w:rsidR="00BC39A5" w:rsidRPr="005A6843">
        <w:t xml:space="preserve">por los ciudadanos por la vía </w:t>
      </w:r>
      <w:r w:rsidR="006A499F" w:rsidRPr="005A6843">
        <w:t>de</w:t>
      </w:r>
      <w:r w:rsidR="00BC39A5" w:rsidRPr="005A6843">
        <w:t xml:space="preserve">l derecho de acceso. No obstante, considerando los datos de seguimiento de las solicitudes de información que obran </w:t>
      </w:r>
      <w:r w:rsidR="006A499F" w:rsidRPr="005A6843">
        <w:t xml:space="preserve"> </w:t>
      </w:r>
      <w:r w:rsidR="00BC39A5" w:rsidRPr="005A6843">
        <w:t>en poder de este Consejo y los propios de las reclamaciones que resuelve, parece lo más probable que, en caso de haber sido solicitadas, las informaciones incluidas en el  Portal lo hayan sido, más que por vía de acceso, por vía de información general o de los servicios de atención al ciudadano.</w:t>
      </w:r>
    </w:p>
    <w:p w:rsidR="00D92CE9" w:rsidRPr="005A6843" w:rsidRDefault="00BC39A5" w:rsidP="00AC59E7">
      <w:pPr>
        <w:jc w:val="both"/>
      </w:pPr>
      <w:r w:rsidRPr="005A6843">
        <w:t xml:space="preserve">En todo caso, de haber sido objeto de solicitudes de información pública, deberían publicarse como tales, con las explicaciones necesarias respecto a la frecuencia requerida y a la falta de previsiones reglamentarias y la advertencia expresa de que el futuro Reglamento de desarrollo de la </w:t>
      </w:r>
      <w:r w:rsidR="00052FF3">
        <w:t>l</w:t>
      </w:r>
      <w:r w:rsidR="001C41A6">
        <w:t>ey</w:t>
      </w:r>
      <w:r w:rsidRPr="005A6843">
        <w:t xml:space="preserve"> podría muy bien cambiar las condiciones de publicación</w:t>
      </w:r>
      <w:r w:rsidR="006A499F" w:rsidRPr="005A6843">
        <w:t>.</w:t>
      </w:r>
    </w:p>
    <w:p w:rsidR="00911CF1" w:rsidRPr="005A6843" w:rsidRDefault="00D763B2" w:rsidP="00AC59E7">
      <w:pPr>
        <w:jc w:val="both"/>
      </w:pPr>
      <w:r w:rsidRPr="005A6843">
        <w:t xml:space="preserve">Respecto de las informaciones ajenas al ámbito de la publicidad activa que figuran en el Portal, este </w:t>
      </w:r>
      <w:r w:rsidR="00CE03C4" w:rsidRPr="005A6843">
        <w:t>CTBG, sin dejar de advertir la utilidad de todas estas informaciones y servicios</w:t>
      </w:r>
      <w:r w:rsidR="002E5205" w:rsidRPr="005A6843">
        <w:t xml:space="preserve">, </w:t>
      </w:r>
      <w:r w:rsidRPr="005A6843">
        <w:t xml:space="preserve">entiende que </w:t>
      </w:r>
      <w:r w:rsidR="00911CF1" w:rsidRPr="005A6843">
        <w:t xml:space="preserve">sería aconsejable desagregarlas del Portal de Transparencia y situarlas en otros </w:t>
      </w:r>
      <w:r w:rsidR="002E5205" w:rsidRPr="005A6843">
        <w:t>p</w:t>
      </w:r>
      <w:r w:rsidR="00911CF1" w:rsidRPr="005A6843">
        <w:t xml:space="preserve">ortales generalistas, gubernamentales o de las AAPP. La </w:t>
      </w:r>
      <w:r w:rsidR="001C41A6">
        <w:t>Ley</w:t>
      </w:r>
      <w:r w:rsidR="00E768A4">
        <w:t xml:space="preserve"> de transparencia</w:t>
      </w:r>
      <w:r w:rsidR="00911CF1" w:rsidRPr="005A6843">
        <w:t xml:space="preserve"> señala al Portal AGE un ámbito material y funcional muy específico, que puede quedar desnaturalizado o desdibujado ante la abundancia de datos o registros informativos extraños al mismo. Especialmente cuando</w:t>
      </w:r>
      <w:r w:rsidR="002E5205" w:rsidRPr="005A6843">
        <w:t>,</w:t>
      </w:r>
      <w:r w:rsidR="00911CF1" w:rsidRPr="005A6843">
        <w:t xml:space="preserve"> en la configuración actual del Portal</w:t>
      </w:r>
      <w:r w:rsidR="002E5205" w:rsidRPr="005A6843">
        <w:t>,</w:t>
      </w:r>
      <w:r w:rsidR="00911CF1" w:rsidRPr="005A6843">
        <w:t xml:space="preserve"> dichas informaciones o servicios aparecen más destacadas, mejor definidas, en sitios preponderantes o con acceso más </w:t>
      </w:r>
      <w:r w:rsidR="002E5205" w:rsidRPr="005A6843">
        <w:t xml:space="preserve">sencillo </w:t>
      </w:r>
      <w:r w:rsidR="00911CF1" w:rsidRPr="005A6843">
        <w:t>que las informaciones de publicidad activa –que, como se ha visto, ni siquiera aparecen propiamente des</w:t>
      </w:r>
      <w:r w:rsidR="006672EF" w:rsidRPr="005A6843">
        <w:t>i</w:t>
      </w:r>
      <w:r w:rsidR="00911CF1" w:rsidRPr="005A6843">
        <w:t>gnadas como tales-.</w:t>
      </w:r>
    </w:p>
    <w:p w:rsidR="001C61F4" w:rsidRPr="005A6843" w:rsidRDefault="00911CF1" w:rsidP="00AA712B">
      <w:pPr>
        <w:jc w:val="both"/>
      </w:pPr>
      <w:r w:rsidRPr="005A6843">
        <w:t xml:space="preserve">Si por razones prácticas o de oportunidad no se considerara conveniente </w:t>
      </w:r>
      <w:r w:rsidR="004218A7" w:rsidRPr="005A6843">
        <w:t xml:space="preserve">eliminar estas informaciones del Portal, sería necesario separarlas claramente de las informaciones de publicidad activa y destacar éstas de forma preponderante. </w:t>
      </w:r>
      <w:r w:rsidR="002E5205" w:rsidRPr="005A6843">
        <w:t xml:space="preserve">Los contenidos ligados a los principios de transparencia o de rendición de cuentas (Agendas, Gobierno abierto) podrían encuadrarse en una nueva categoría informativa de </w:t>
      </w:r>
      <w:r w:rsidR="002E5205" w:rsidRPr="009B77A6">
        <w:rPr>
          <w:i/>
        </w:rPr>
        <w:t>“Transparencia Voluntaria”</w:t>
      </w:r>
      <w:r w:rsidR="002E5205" w:rsidRPr="005A6843">
        <w:t xml:space="preserve">, en la medida que representan un impulso positivo para la implantación en España </w:t>
      </w:r>
      <w:r w:rsidR="00D92CE9" w:rsidRPr="005A6843">
        <w:t xml:space="preserve">de la cultura de la transparencia y </w:t>
      </w:r>
      <w:r w:rsidR="002E5205" w:rsidRPr="005A6843">
        <w:t>un decidido compromiso con la rendición de cuentas</w:t>
      </w:r>
      <w:r w:rsidR="00D92CE9" w:rsidRPr="005A6843">
        <w:t>. El resto de contenidos, informaciones y enlaces, deberían situarse en un plano más discreto, con un número más restringido de accesos.</w:t>
      </w:r>
      <w:r w:rsidR="001C61F4" w:rsidRPr="005A6843">
        <w:t xml:space="preserve"> </w:t>
      </w:r>
    </w:p>
    <w:p w:rsidR="009775E8" w:rsidRPr="005A6843" w:rsidRDefault="009775E8" w:rsidP="00AA712B">
      <w:pPr>
        <w:jc w:val="both"/>
      </w:pPr>
      <w:r w:rsidRPr="005A6843">
        <w:t xml:space="preserve">Es de advertir que, junto a las informaciones y servicios electrónicos ajenos a la publicidad activa, el Portal todavía incorpora otros dos grupos de informaciones y servicios: por un lado, una amplia información sobre el derecho de acceso a la información pública con una serie de servicios ligados al ejercicio electrónico del mismo –especialmente el acceso a GESAT- y, por otro, una no menos amplia información sobre el uso del Portal, las novedades concernientes al mismo, un buzón de sugerencias y varios tutoriales en video. </w:t>
      </w:r>
    </w:p>
    <w:p w:rsidR="009775E8" w:rsidRPr="005A6843" w:rsidRDefault="009775E8" w:rsidP="00AA712B">
      <w:pPr>
        <w:jc w:val="both"/>
      </w:pPr>
      <w:r w:rsidRPr="005A6843">
        <w:t xml:space="preserve">Evidentemente, en estos casos, aunque no se trata de informaciones o servicios vinculados con el acceso ciudadano a la publicidad activa, resulta aconsejable –siempre a criterio de este Consejo- mantenerlos en el ámbito del Portal. </w:t>
      </w:r>
    </w:p>
    <w:p w:rsidR="009775E8" w:rsidRPr="005A6843" w:rsidRDefault="009775E8" w:rsidP="00AA712B">
      <w:pPr>
        <w:jc w:val="both"/>
      </w:pPr>
      <w:r w:rsidRPr="005A6843">
        <w:t>En el primer caso porque, como se ha dicho muchas veces, publicidad activa y acceso a la información son dos caras de una misma moneda, siendo ambos realidades complementarias. Así, los datos que no se ofrecen vía publicidad activa pueden ser obtenidos vías derecho de acceso y los datos más frecuentemente solicitados por vía de acceso pasan a formar parte de los contenidos objeto de publicación proactiva. En este sentido, parece lógico ofrecer al consultante de publicidad activa un medio inmediato y simple de solicitar los datos que no ha logrado encontrar.</w:t>
      </w:r>
    </w:p>
    <w:p w:rsidR="009775E8" w:rsidRPr="005A6843" w:rsidRDefault="009775E8" w:rsidP="00AA712B">
      <w:pPr>
        <w:jc w:val="both"/>
      </w:pPr>
      <w:r w:rsidRPr="005A6843">
        <w:t xml:space="preserve">En el segundo caso -informaciones sobre el funcionamiento del Portal-, porque </w:t>
      </w:r>
      <w:r w:rsidR="00233418" w:rsidRPr="005A6843">
        <w:t>constituyen</w:t>
      </w:r>
      <w:r w:rsidRPr="005A6843">
        <w:t xml:space="preserve"> una valiosa ayuda para el usuario de publicidad activa, en la medida que contribuyen a dirigir y simplificar las búsquedas. Ahora bien, en todo caso y en opinión de este CTBG, sería necesario revisar y mejorar su contenido.</w:t>
      </w:r>
    </w:p>
    <w:p w:rsidR="008969D4" w:rsidRPr="005A6843" w:rsidRDefault="00D92CE9" w:rsidP="00AA712B">
      <w:pPr>
        <w:jc w:val="both"/>
      </w:pPr>
      <w:r w:rsidRPr="005A6843">
        <w:t xml:space="preserve">Finalmente, antes de cerrar este apartado, el CTBG considera necesario </w:t>
      </w:r>
      <w:r w:rsidR="00D763B2" w:rsidRPr="005A6843">
        <w:t xml:space="preserve">referirse a </w:t>
      </w:r>
      <w:r w:rsidRPr="005A6843">
        <w:t xml:space="preserve">un último aspecto, relacionado con el contenido del documento “Conozca Vd. el Portal de Transparencia” que se ha citado más arriba y al que se accede ingresando en el </w:t>
      </w:r>
      <w:r w:rsidR="008969D4" w:rsidRPr="005A6843">
        <w:t xml:space="preserve">elemento homónimo del </w:t>
      </w:r>
      <w:r w:rsidRPr="005A6843">
        <w:t>menú</w:t>
      </w:r>
      <w:r w:rsidR="008969D4" w:rsidRPr="005A6843">
        <w:t xml:space="preserve"> de navegación de la parte final de la home.</w:t>
      </w:r>
    </w:p>
    <w:p w:rsidR="00D92CE9" w:rsidRPr="005A6843" w:rsidRDefault="008969D4" w:rsidP="00AA712B">
      <w:pPr>
        <w:jc w:val="both"/>
      </w:pPr>
      <w:r w:rsidRPr="005A6843">
        <w:t xml:space="preserve">A la </w:t>
      </w:r>
      <w:r w:rsidR="00954A28" w:rsidRPr="005A6843">
        <w:t xml:space="preserve">pregunta </w:t>
      </w:r>
      <w:r w:rsidR="00954A28" w:rsidRPr="00380627">
        <w:rPr>
          <w:i/>
        </w:rPr>
        <w:t>“¿</w:t>
      </w:r>
      <w:r w:rsidRPr="00380627">
        <w:rPr>
          <w:i/>
        </w:rPr>
        <w:t>Qué es el Portal de la Transparencia del Gobierno de España?”</w:t>
      </w:r>
      <w:r w:rsidRPr="005A6843">
        <w:t>, el documento responde:</w:t>
      </w:r>
    </w:p>
    <w:p w:rsidR="00380627" w:rsidRDefault="008969D4" w:rsidP="00380627">
      <w:pPr>
        <w:ind w:left="1134"/>
        <w:jc w:val="both"/>
        <w:rPr>
          <w:i/>
        </w:rPr>
      </w:pPr>
      <w:r w:rsidRPr="00380627">
        <w:rPr>
          <w:i/>
        </w:rPr>
        <w:t>“</w:t>
      </w:r>
      <w:r w:rsidR="00D92CE9" w:rsidRPr="00380627">
        <w:rPr>
          <w:i/>
        </w:rPr>
        <w:t>Es la plataforma, dependiente del Ministerio de la Presidencia, por la que se podrá</w:t>
      </w:r>
      <w:r w:rsidRPr="00380627">
        <w:rPr>
          <w:i/>
        </w:rPr>
        <w:t xml:space="preserve"> </w:t>
      </w:r>
      <w:r w:rsidR="00D92CE9" w:rsidRPr="00380627">
        <w:rPr>
          <w:i/>
        </w:rPr>
        <w:t xml:space="preserve">acceder a la información de la Administración General del Estado prevista en la </w:t>
      </w:r>
      <w:r w:rsidR="00052FF3">
        <w:rPr>
          <w:i/>
        </w:rPr>
        <w:t>l</w:t>
      </w:r>
      <w:r w:rsidR="001C41A6">
        <w:rPr>
          <w:i/>
        </w:rPr>
        <w:t>ey</w:t>
      </w:r>
      <w:r w:rsidR="00D92CE9" w:rsidRPr="00380627">
        <w:rPr>
          <w:i/>
        </w:rPr>
        <w:t>,</w:t>
      </w:r>
      <w:r w:rsidRPr="00380627">
        <w:rPr>
          <w:i/>
        </w:rPr>
        <w:t xml:space="preserve"> </w:t>
      </w:r>
      <w:r w:rsidR="00D92CE9" w:rsidRPr="00380627">
        <w:rPr>
          <w:i/>
        </w:rPr>
        <w:t>cuyo conocimiento sea relevante para garantizar la transparencia de su actividad</w:t>
      </w:r>
      <w:r w:rsidRPr="00380627">
        <w:rPr>
          <w:i/>
        </w:rPr>
        <w:t xml:space="preserve"> </w:t>
      </w:r>
      <w:r w:rsidR="00D92CE9" w:rsidRPr="00380627">
        <w:rPr>
          <w:i/>
        </w:rPr>
        <w:t>relacionada con el funcionamiento y control de la actuación pública. También</w:t>
      </w:r>
      <w:r w:rsidRPr="00380627">
        <w:rPr>
          <w:i/>
        </w:rPr>
        <w:t xml:space="preserve"> </w:t>
      </w:r>
      <w:r w:rsidR="00D92CE9" w:rsidRPr="00380627">
        <w:rPr>
          <w:i/>
        </w:rPr>
        <w:t>contendrá la información que los ciudadanos soliciten con mayor frecuencia en</w:t>
      </w:r>
      <w:r w:rsidR="009775E8" w:rsidRPr="00380627">
        <w:rPr>
          <w:i/>
        </w:rPr>
        <w:t xml:space="preserve"> </w:t>
      </w:r>
      <w:r w:rsidR="00D92CE9" w:rsidRPr="00380627">
        <w:rPr>
          <w:i/>
        </w:rPr>
        <w:t>ejercicio del derecho de acceso a la información pública y las resoluciones</w:t>
      </w:r>
      <w:r w:rsidRPr="00380627">
        <w:rPr>
          <w:i/>
        </w:rPr>
        <w:t xml:space="preserve"> </w:t>
      </w:r>
      <w:r w:rsidR="00D92CE9" w:rsidRPr="00380627">
        <w:rPr>
          <w:i/>
        </w:rPr>
        <w:t>denegatorias del derecho de acceso, previamente anonimizadas</w:t>
      </w:r>
      <w:r w:rsidRPr="00380627">
        <w:rPr>
          <w:i/>
        </w:rPr>
        <w:t>”.</w:t>
      </w:r>
    </w:p>
    <w:p w:rsidR="00D92CE9" w:rsidRPr="005A6843" w:rsidRDefault="008969D4" w:rsidP="00AA712B">
      <w:pPr>
        <w:jc w:val="both"/>
      </w:pPr>
      <w:r w:rsidRPr="005A6843">
        <w:t xml:space="preserve">Y a la pregunta </w:t>
      </w:r>
      <w:r w:rsidRPr="00380627">
        <w:rPr>
          <w:i/>
        </w:rPr>
        <w:t>“¿</w:t>
      </w:r>
      <w:r w:rsidR="009775E8" w:rsidRPr="00380627">
        <w:rPr>
          <w:i/>
        </w:rPr>
        <w:t>Q</w:t>
      </w:r>
      <w:r w:rsidRPr="00380627">
        <w:rPr>
          <w:i/>
        </w:rPr>
        <w:t xml:space="preserve">ué contiene este </w:t>
      </w:r>
      <w:r w:rsidR="009775E8" w:rsidRPr="00380627">
        <w:rPr>
          <w:i/>
        </w:rPr>
        <w:t>P</w:t>
      </w:r>
      <w:r w:rsidRPr="00380627">
        <w:rPr>
          <w:i/>
        </w:rPr>
        <w:t>ortal?”</w:t>
      </w:r>
      <w:r w:rsidRPr="005A6843">
        <w:t xml:space="preserve"> responde lo siguiente.</w:t>
      </w:r>
    </w:p>
    <w:p w:rsidR="008969D4" w:rsidRPr="00380627" w:rsidRDefault="008969D4" w:rsidP="00380627">
      <w:pPr>
        <w:ind w:left="1134"/>
        <w:jc w:val="both"/>
        <w:rPr>
          <w:i/>
        </w:rPr>
      </w:pPr>
      <w:r w:rsidRPr="00380627">
        <w:rPr>
          <w:i/>
        </w:rPr>
        <w:t>“</w:t>
      </w:r>
      <w:r w:rsidR="00D92CE9" w:rsidRPr="00380627">
        <w:rPr>
          <w:i/>
        </w:rPr>
        <w:t xml:space="preserve">El Portal, de acuerdo con lo dispuesto por la </w:t>
      </w:r>
      <w:r w:rsidR="001C41A6">
        <w:rPr>
          <w:i/>
        </w:rPr>
        <w:t>Ley</w:t>
      </w:r>
      <w:r w:rsidR="00D92CE9" w:rsidRPr="00380627">
        <w:rPr>
          <w:i/>
        </w:rPr>
        <w:t xml:space="preserve"> 19/2013, de 9 de diciembre, de</w:t>
      </w:r>
      <w:r w:rsidRPr="00380627">
        <w:rPr>
          <w:i/>
        </w:rPr>
        <w:t xml:space="preserve"> </w:t>
      </w:r>
      <w:r w:rsidR="00D92CE9" w:rsidRPr="00380627">
        <w:rPr>
          <w:i/>
        </w:rPr>
        <w:t>Transparencia, Acceso a la Información Pública y Buen Gobierno, tiene por objeto</w:t>
      </w:r>
      <w:r w:rsidRPr="00380627">
        <w:rPr>
          <w:i/>
        </w:rPr>
        <w:t xml:space="preserve"> </w:t>
      </w:r>
      <w:r w:rsidR="00D92CE9" w:rsidRPr="00380627">
        <w:rPr>
          <w:i/>
        </w:rPr>
        <w:t>ampliar y reforzar la transparencia de la actividad pública, regular y garantizar el</w:t>
      </w:r>
      <w:r w:rsidRPr="00380627">
        <w:rPr>
          <w:i/>
        </w:rPr>
        <w:t xml:space="preserve"> </w:t>
      </w:r>
      <w:r w:rsidR="00D92CE9" w:rsidRPr="00380627">
        <w:rPr>
          <w:i/>
        </w:rPr>
        <w:t>derecho de acceso a la información relativa a aquella actividad y establecer las</w:t>
      </w:r>
      <w:r w:rsidRPr="00380627">
        <w:rPr>
          <w:i/>
        </w:rPr>
        <w:t xml:space="preserve"> </w:t>
      </w:r>
      <w:r w:rsidR="00D92CE9" w:rsidRPr="00380627">
        <w:rPr>
          <w:i/>
        </w:rPr>
        <w:t>obligaciones de buen gobierno que deben cumplir los responsables públicos.</w:t>
      </w:r>
      <w:r w:rsidR="009775E8" w:rsidRPr="00380627">
        <w:rPr>
          <w:i/>
        </w:rPr>
        <w:t>“</w:t>
      </w:r>
    </w:p>
    <w:p w:rsidR="0011185E" w:rsidRDefault="009775E8" w:rsidP="00AA712B">
      <w:pPr>
        <w:jc w:val="both"/>
        <w:rPr>
          <w:i/>
        </w:rPr>
      </w:pPr>
      <w:r w:rsidRPr="005A6843">
        <w:t>A juicio de este CTBG, esta información debería rectificarse. Si bien el primer párrafo es adecuado y explicita el contenido del Portal</w:t>
      </w:r>
      <w:r w:rsidR="006A499F" w:rsidRPr="005A6843">
        <w:t xml:space="preserve"> de forma clara y sencilla, el segundo es inadecuado y confuso y se aparta del contenido de la </w:t>
      </w:r>
      <w:r w:rsidR="00052FF3">
        <w:t>l</w:t>
      </w:r>
      <w:r w:rsidR="001C41A6">
        <w:t>ey</w:t>
      </w:r>
      <w:r w:rsidR="00E768A4">
        <w:t xml:space="preserve"> de transparencia</w:t>
      </w:r>
      <w:r w:rsidR="006A499F" w:rsidRPr="005A6843">
        <w:t xml:space="preserve">, en la medida en que atribuye al Portal AGE competencias y funciones que el art. 34 de la </w:t>
      </w:r>
      <w:r w:rsidR="00052FF3">
        <w:t>l</w:t>
      </w:r>
      <w:r w:rsidR="001C41A6">
        <w:t>ey</w:t>
      </w:r>
      <w:r w:rsidR="006A499F" w:rsidRPr="005A6843">
        <w:t xml:space="preserve"> atribuye expresamente a este CTBG: </w:t>
      </w:r>
      <w:r w:rsidR="006A499F" w:rsidRPr="009B77A6">
        <w:rPr>
          <w:i/>
        </w:rPr>
        <w:t>“El Consejo de Transparencia y Buen Gobierno tiene por finalidad promover la transparencia de la actividad pública, velar por el cumplimiento de las obligaciones de publicidad, salvaguardar el ejercicio de derecho de acceso a la información pública y garantizar la observancia de las disposiciones de buen gobierno”.</w:t>
      </w:r>
    </w:p>
    <w:p w:rsidR="0011185E" w:rsidRDefault="0011185E">
      <w:pPr>
        <w:rPr>
          <w:i/>
        </w:rPr>
      </w:pPr>
      <w:r>
        <w:rPr>
          <w:i/>
        </w:rPr>
        <w:br w:type="page"/>
      </w:r>
    </w:p>
    <w:p w:rsidR="009775E8" w:rsidRPr="005A6843" w:rsidRDefault="009775E8" w:rsidP="00AA712B">
      <w:pPr>
        <w:jc w:val="both"/>
      </w:pPr>
    </w:p>
    <w:p w:rsidR="008339A9" w:rsidRPr="009B77A6" w:rsidRDefault="00A330F1" w:rsidP="00CD1B61">
      <w:pPr>
        <w:pStyle w:val="Prrafodelista"/>
        <w:numPr>
          <w:ilvl w:val="0"/>
          <w:numId w:val="12"/>
        </w:numPr>
        <w:ind w:left="426"/>
        <w:jc w:val="both"/>
        <w:rPr>
          <w:b/>
          <w:color w:val="1C314E" w:themeColor="accent4" w:themeShade="80"/>
          <w:u w:val="single"/>
        </w:rPr>
      </w:pPr>
      <w:bookmarkStart w:id="101" w:name="_Toc489351997"/>
      <w:r>
        <w:rPr>
          <w:b/>
          <w:noProof/>
          <w:color w:val="1C314E" w:themeColor="accent4" w:themeShade="80"/>
          <w:u w:val="single"/>
          <w:lang w:eastAsia="es-ES"/>
        </w:rPr>
        <w:drawing>
          <wp:anchor distT="0" distB="0" distL="114300" distR="114300" simplePos="0" relativeHeight="251763712" behindDoc="1" locked="0" layoutInCell="1" allowOverlap="1">
            <wp:simplePos x="0" y="0"/>
            <wp:positionH relativeFrom="column">
              <wp:posOffset>74295</wp:posOffset>
            </wp:positionH>
            <wp:positionV relativeFrom="paragraph">
              <wp:posOffset>15240</wp:posOffset>
            </wp:positionV>
            <wp:extent cx="1522730" cy="1518285"/>
            <wp:effectExtent l="133350" t="76200" r="96520" b="81915"/>
            <wp:wrapTight wrapText="bothSides">
              <wp:wrapPolygon edited="0">
                <wp:start x="-1892" y="-1084"/>
                <wp:lineTo x="-1892" y="22765"/>
                <wp:lineTo x="22969" y="22765"/>
                <wp:lineTo x="22969" y="-1084"/>
                <wp:lineTo x="-1892" y="-1084"/>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rpuerta.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2730" cy="1518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532DD">
        <w:rPr>
          <w:b/>
          <w:color w:val="1C314E" w:themeColor="accent4" w:themeShade="80"/>
          <w:u w:val="single"/>
        </w:rPr>
        <w:t>ACCESO A LOS CONTENIDOS DE PUBLICIDAD ACTI</w:t>
      </w:r>
      <w:bookmarkEnd w:id="101"/>
      <w:r w:rsidR="00B532DD">
        <w:rPr>
          <w:b/>
          <w:color w:val="1C314E" w:themeColor="accent4" w:themeShade="80"/>
          <w:u w:val="single"/>
        </w:rPr>
        <w:t>VA</w:t>
      </w:r>
    </w:p>
    <w:p w:rsidR="00380627" w:rsidRPr="00380627" w:rsidRDefault="00380627" w:rsidP="00380627">
      <w:pPr>
        <w:pStyle w:val="Prrafodelista"/>
        <w:ind w:left="426"/>
        <w:jc w:val="both"/>
        <w:rPr>
          <w:b/>
          <w:u w:val="single"/>
        </w:rPr>
      </w:pPr>
    </w:p>
    <w:p w:rsidR="00DD6ED2" w:rsidRPr="005A6843" w:rsidRDefault="006672EF" w:rsidP="00AA712B">
      <w:pPr>
        <w:jc w:val="both"/>
      </w:pPr>
      <w:r w:rsidRPr="005A6843">
        <w:t xml:space="preserve">Como se ha visto en el apartado precedente, y puede comprobarse prácticamente accediendo a </w:t>
      </w:r>
      <w:r w:rsidR="003915F3" w:rsidRPr="005A6843">
        <w:t>el</w:t>
      </w:r>
      <w:r w:rsidRPr="005A6843">
        <w:t xml:space="preserve">la </w:t>
      </w:r>
      <w:r w:rsidR="006A5DB4" w:rsidRPr="005A6843">
        <w:t xml:space="preserve">–ver imagen en </w:t>
      </w:r>
      <w:r w:rsidR="003C06F6" w:rsidRPr="005A6843">
        <w:t xml:space="preserve">el </w:t>
      </w:r>
      <w:r w:rsidR="006A5DB4" w:rsidRPr="005A6843">
        <w:t>epígrafe</w:t>
      </w:r>
      <w:r w:rsidR="003C06F6" w:rsidRPr="005A6843">
        <w:t xml:space="preserve"> 2.3 de este informe</w:t>
      </w:r>
      <w:r w:rsidR="006A5DB4" w:rsidRPr="005A6843">
        <w:t>-</w:t>
      </w:r>
      <w:r w:rsidR="003915F3" w:rsidRPr="005A6843">
        <w:t>,</w:t>
      </w:r>
      <w:r w:rsidR="006A5DB4" w:rsidRPr="005A6843">
        <w:t xml:space="preserve"> no hay en la </w:t>
      </w:r>
      <w:r w:rsidR="003915F3" w:rsidRPr="005A6843">
        <w:t xml:space="preserve">home del Portal </w:t>
      </w:r>
      <w:r w:rsidR="006A5DB4" w:rsidRPr="005A6843">
        <w:t xml:space="preserve">una sola referencia a </w:t>
      </w:r>
      <w:r w:rsidR="00DD6ED2" w:rsidRPr="005A6843">
        <w:t xml:space="preserve">la </w:t>
      </w:r>
      <w:r w:rsidR="003C06F6" w:rsidRPr="005A6843">
        <w:t xml:space="preserve">información de </w:t>
      </w:r>
      <w:r w:rsidR="006A5DB4" w:rsidRPr="005A6843">
        <w:t xml:space="preserve">publicidad activa </w:t>
      </w:r>
      <w:r w:rsidR="003C06F6" w:rsidRPr="005A6843">
        <w:t xml:space="preserve">de la </w:t>
      </w:r>
      <w:r w:rsidR="00052FF3">
        <w:t>l</w:t>
      </w:r>
      <w:r w:rsidR="001C41A6">
        <w:t>ey</w:t>
      </w:r>
      <w:r w:rsidR="00E768A4">
        <w:t xml:space="preserve"> de transparencia</w:t>
      </w:r>
      <w:r w:rsidR="003C06F6" w:rsidRPr="005A6843">
        <w:t xml:space="preserve"> </w:t>
      </w:r>
      <w:r w:rsidR="006A5DB4" w:rsidRPr="005A6843">
        <w:t xml:space="preserve">ni </w:t>
      </w:r>
      <w:r w:rsidR="003C06F6" w:rsidRPr="005A6843">
        <w:t>una sola utilización expresa de los términos “publicidad activa”, “información obligatoria”, “transparencia activa” o similares.</w:t>
      </w:r>
      <w:r w:rsidR="006A5DB4" w:rsidRPr="005A6843">
        <w:t xml:space="preserve"> </w:t>
      </w:r>
    </w:p>
    <w:p w:rsidR="003C06F6" w:rsidRPr="005A6843" w:rsidRDefault="00DD6ED2" w:rsidP="00AA712B">
      <w:pPr>
        <w:jc w:val="both"/>
      </w:pPr>
      <w:r w:rsidRPr="005A6843">
        <w:t>Es evidente, como se ha adelantado</w:t>
      </w:r>
      <w:r w:rsidR="00F33646" w:rsidRPr="005A6843">
        <w:t xml:space="preserve"> en el epígrafe anterior</w:t>
      </w:r>
      <w:r w:rsidRPr="005A6843">
        <w:t xml:space="preserve">, que el visitante familiarizado con la </w:t>
      </w:r>
      <w:r w:rsidR="00052FF3">
        <w:t>l</w:t>
      </w:r>
      <w:r w:rsidR="001C41A6">
        <w:t>ey</w:t>
      </w:r>
      <w:r w:rsidR="00E768A4">
        <w:t xml:space="preserve"> de transparencia</w:t>
      </w:r>
      <w:r w:rsidRPr="005A6843">
        <w:t xml:space="preserve"> puede identificar intuitivamente el contenido de la información de publicidad activa con los cuatro iconos etiquetados </w:t>
      </w:r>
      <w:r w:rsidRPr="009B77A6">
        <w:rPr>
          <w:i/>
        </w:rPr>
        <w:t>“Institucional”, “Normativa”, “Contratos, convenios, subvenciones y bienes inmuebles”</w:t>
      </w:r>
      <w:r w:rsidRPr="005A6843">
        <w:t xml:space="preserve"> y </w:t>
      </w:r>
      <w:r w:rsidRPr="009B77A6">
        <w:rPr>
          <w:i/>
        </w:rPr>
        <w:t>“Presupuestos, fiscalización y estadísticas”</w:t>
      </w:r>
      <w:r w:rsidRPr="005A6843">
        <w:t xml:space="preserve"> en el menú de la parte superior de la página </w:t>
      </w:r>
      <w:r w:rsidR="00F33646" w:rsidRPr="005A6843">
        <w:t xml:space="preserve">o con los cuatro elementos del apartado “Categorías de Información” del menú de la parte final </w:t>
      </w:r>
      <w:r w:rsidRPr="005A6843">
        <w:t>y deducir que el acceso al mismo se verifica a través de éstos</w:t>
      </w:r>
      <w:r w:rsidR="00F33646" w:rsidRPr="005A6843">
        <w:t xml:space="preserve"> o de</w:t>
      </w:r>
      <w:r w:rsidR="00B318F3" w:rsidRPr="005A6843">
        <w:t xml:space="preserve">l botón </w:t>
      </w:r>
      <w:r w:rsidR="00F33646" w:rsidRPr="009B77A6">
        <w:rPr>
          <w:i/>
        </w:rPr>
        <w:t>“Categorías”</w:t>
      </w:r>
      <w:r w:rsidR="00F33646" w:rsidRPr="005A6843">
        <w:t xml:space="preserve"> de la barra de opciones del encabezamiento</w:t>
      </w:r>
      <w:r w:rsidRPr="005A6843">
        <w:t xml:space="preserve">. </w:t>
      </w:r>
      <w:r w:rsidR="003C06F6" w:rsidRPr="005A6843">
        <w:t xml:space="preserve">Pero también es evidente que esta identificación intuitiva –que se dificulta además porque tampoco existe una coincidencia terminológica exacta entre las etiquetas de los iconos o los elementos del menú de navegación de la parte final con las rúbricas de los arts. 6, 7 y 8 de la </w:t>
      </w:r>
      <w:r w:rsidR="00052FF3">
        <w:t>l</w:t>
      </w:r>
      <w:r w:rsidR="001C41A6">
        <w:t>ey</w:t>
      </w:r>
      <w:r w:rsidR="003C06F6" w:rsidRPr="005A6843">
        <w:t xml:space="preserve">- puede no estar fácilmente al alcance del visitante menos familiarizado con la textualidad de la </w:t>
      </w:r>
      <w:r w:rsidR="00052FF3">
        <w:t>l</w:t>
      </w:r>
      <w:r w:rsidR="001C41A6">
        <w:t>ey</w:t>
      </w:r>
      <w:r w:rsidR="003C06F6" w:rsidRPr="005A6843">
        <w:t>.</w:t>
      </w:r>
    </w:p>
    <w:p w:rsidR="006A5DB4" w:rsidRPr="005A6843" w:rsidRDefault="003C06F6" w:rsidP="00AA712B">
      <w:pPr>
        <w:jc w:val="both"/>
      </w:pPr>
      <w:r w:rsidRPr="005A6843">
        <w:t xml:space="preserve">En estos casos, los recursos que proporciona la página al visitante son únicamente dos: el </w:t>
      </w:r>
      <w:r w:rsidRPr="009B77A6">
        <w:rPr>
          <w:i/>
        </w:rPr>
        <w:t>“Buscador</w:t>
      </w:r>
      <w:r w:rsidRPr="005A6843">
        <w:t xml:space="preserve">” en su versión no avanzada o la </w:t>
      </w:r>
      <w:r w:rsidRPr="009B77A6">
        <w:rPr>
          <w:i/>
        </w:rPr>
        <w:t>“</w:t>
      </w:r>
      <w:r w:rsidR="006A5DB4" w:rsidRPr="009B77A6">
        <w:rPr>
          <w:i/>
        </w:rPr>
        <w:t>Guía de Navegación</w:t>
      </w:r>
      <w:r w:rsidRPr="009B77A6">
        <w:rPr>
          <w:i/>
        </w:rPr>
        <w:t>”</w:t>
      </w:r>
      <w:r w:rsidRPr="005A6843">
        <w:t xml:space="preserve"> del Portal</w:t>
      </w:r>
      <w:r w:rsidR="006A5DB4" w:rsidRPr="005A6843">
        <w:t xml:space="preserve">. </w:t>
      </w:r>
    </w:p>
    <w:p w:rsidR="006A5DB4" w:rsidRPr="005A6843" w:rsidRDefault="006A5DB4" w:rsidP="00AA712B">
      <w:pPr>
        <w:jc w:val="both"/>
      </w:pPr>
      <w:r w:rsidRPr="005A6843">
        <w:t xml:space="preserve">El recurso al </w:t>
      </w:r>
      <w:r w:rsidRPr="009B77A6">
        <w:rPr>
          <w:i/>
        </w:rPr>
        <w:t>"Buscador"</w:t>
      </w:r>
      <w:r w:rsidRPr="005A6843">
        <w:t xml:space="preserve">, en este punto, resulta escasamente útil. Si se teclea “publicidad activa” en el formulario, se obtienen a día de hoy 310 resultados correspondientes a registros textuales en que figuran ambos términos pero ningún enlace a ningún apartado o contenido del Portal relacionado con datos o informaciones sujetos a publicidad activa. Igualmente sucede si se teclea “información obligatoria”, esta vez con 1.140 resultados a fecha de hoy.  </w:t>
      </w:r>
    </w:p>
    <w:p w:rsidR="006A5DB4" w:rsidRPr="009B77A6" w:rsidRDefault="00F33646" w:rsidP="00AA712B">
      <w:pPr>
        <w:jc w:val="both"/>
        <w:rPr>
          <w:i/>
        </w:rPr>
      </w:pPr>
      <w:r w:rsidRPr="005A6843">
        <w:t xml:space="preserve">El recurso a </w:t>
      </w:r>
      <w:r w:rsidR="006A5DB4" w:rsidRPr="005A6843">
        <w:t xml:space="preserve">la </w:t>
      </w:r>
      <w:r w:rsidRPr="009B77A6">
        <w:rPr>
          <w:i/>
        </w:rPr>
        <w:t>“</w:t>
      </w:r>
      <w:r w:rsidR="006A5DB4" w:rsidRPr="009B77A6">
        <w:rPr>
          <w:i/>
        </w:rPr>
        <w:t>Guía</w:t>
      </w:r>
      <w:r w:rsidRPr="009B77A6">
        <w:rPr>
          <w:i/>
        </w:rPr>
        <w:t>”</w:t>
      </w:r>
      <w:r w:rsidRPr="005A6843">
        <w:t xml:space="preserve">, aunque no está configurado con </w:t>
      </w:r>
      <w:r w:rsidR="00C3329D" w:rsidRPr="005A6843">
        <w:t xml:space="preserve">la </w:t>
      </w:r>
      <w:r w:rsidRPr="005A6843">
        <w:t>claridad</w:t>
      </w:r>
      <w:r w:rsidR="00C3329D" w:rsidRPr="005A6843">
        <w:t xml:space="preserve"> que sería deseable. Es </w:t>
      </w:r>
      <w:r w:rsidRPr="005A6843">
        <w:t>mucho más eficiente. S</w:t>
      </w:r>
      <w:r w:rsidR="006A5DB4" w:rsidRPr="005A6843">
        <w:t xml:space="preserve">i se accede directamente </w:t>
      </w:r>
      <w:r w:rsidRPr="005A6843">
        <w:t xml:space="preserve">a ella, a través del acceso destacado del lateral derecho de la parte central de la home o del elemento homónimo del menú de navegación del final de la página, </w:t>
      </w:r>
      <w:r w:rsidR="006A5DB4" w:rsidRPr="005A6843">
        <w:t xml:space="preserve">ofrece al visitante cuatro breves videos explicativos, de formato amigable y con instrucciones de navegación: </w:t>
      </w:r>
      <w:r w:rsidR="006A5DB4" w:rsidRPr="009B77A6">
        <w:rPr>
          <w:i/>
        </w:rPr>
        <w:t>"Conozca el Portal de Transparencia"</w:t>
      </w:r>
      <w:r w:rsidR="006A5DB4" w:rsidRPr="005A6843">
        <w:t xml:space="preserve">; </w:t>
      </w:r>
      <w:r w:rsidR="006A5DB4" w:rsidRPr="009B77A6">
        <w:rPr>
          <w:i/>
        </w:rPr>
        <w:t>"Navegación por categorías o Ministerios"; "Navegación por el derecho de acceso a la información pública"</w:t>
      </w:r>
      <w:r w:rsidR="006A5DB4" w:rsidRPr="005A6843">
        <w:t xml:space="preserve"> y </w:t>
      </w:r>
      <w:r w:rsidR="006A5DB4" w:rsidRPr="009B77A6">
        <w:rPr>
          <w:i/>
        </w:rPr>
        <w:t xml:space="preserve">"Navegación por las otras secciones del Portal". </w:t>
      </w:r>
    </w:p>
    <w:p w:rsidR="00917B93" w:rsidRPr="005A6843" w:rsidRDefault="006A5DB4" w:rsidP="00AA712B">
      <w:pPr>
        <w:jc w:val="both"/>
      </w:pPr>
      <w:r w:rsidRPr="005A6843">
        <w:t>El primero proporciona las siguientes indicaciones textuales</w:t>
      </w:r>
      <w:r w:rsidR="00917B93" w:rsidRPr="005A6843">
        <w:t xml:space="preserve"> -que en el video aparecen </w:t>
      </w:r>
      <w:r w:rsidRPr="005A6843">
        <w:t>sobreimpresas</w:t>
      </w:r>
      <w:r w:rsidR="00917B93" w:rsidRPr="005A6843">
        <w:t xml:space="preserve">, </w:t>
      </w:r>
      <w:r w:rsidRPr="005A6843">
        <w:t>no locutadas</w:t>
      </w:r>
      <w:r w:rsidR="00917B93" w:rsidRPr="005A6843">
        <w:t>-:</w:t>
      </w:r>
    </w:p>
    <w:p w:rsidR="00917B93" w:rsidRPr="005A6843" w:rsidRDefault="006A5DB4" w:rsidP="009B77A6">
      <w:pPr>
        <w:ind w:left="1134"/>
        <w:jc w:val="both"/>
      </w:pPr>
      <w:r w:rsidRPr="009B77A6">
        <w:rPr>
          <w:i/>
        </w:rPr>
        <w:t>“Vamos a ver los distintos a</w:t>
      </w:r>
      <w:r w:rsidR="00917B93" w:rsidRPr="009B77A6">
        <w:rPr>
          <w:i/>
        </w:rPr>
        <w:t>p</w:t>
      </w:r>
      <w:r w:rsidRPr="009B77A6">
        <w:rPr>
          <w:i/>
        </w:rPr>
        <w:t>artados del Portal de Transparencia</w:t>
      </w:r>
      <w:r w:rsidR="00917B93" w:rsidRPr="009B77A6">
        <w:rPr>
          <w:i/>
        </w:rPr>
        <w:t>.</w:t>
      </w:r>
    </w:p>
    <w:p w:rsidR="00917B93" w:rsidRPr="009B77A6" w:rsidRDefault="006A5DB4" w:rsidP="009B77A6">
      <w:pPr>
        <w:ind w:left="1134"/>
        <w:jc w:val="both"/>
        <w:rPr>
          <w:i/>
        </w:rPr>
      </w:pPr>
      <w:r w:rsidRPr="009B77A6">
        <w:rPr>
          <w:i/>
        </w:rPr>
        <w:t xml:space="preserve">Acceda a la información </w:t>
      </w:r>
      <w:r w:rsidR="00917B93" w:rsidRPr="009B77A6">
        <w:rPr>
          <w:i/>
        </w:rPr>
        <w:t xml:space="preserve">(hay que entender que de publicidad activa) </w:t>
      </w:r>
      <w:r w:rsidRPr="009B77A6">
        <w:rPr>
          <w:i/>
        </w:rPr>
        <w:t>por las cuatro categorías del Portal</w:t>
      </w:r>
      <w:r w:rsidR="00917B93" w:rsidRPr="009B77A6">
        <w:rPr>
          <w:i/>
        </w:rPr>
        <w:t>.</w:t>
      </w:r>
    </w:p>
    <w:p w:rsidR="00917B93" w:rsidRPr="005A6843" w:rsidRDefault="006A5DB4" w:rsidP="009B77A6">
      <w:pPr>
        <w:ind w:left="1134"/>
        <w:jc w:val="both"/>
      </w:pPr>
      <w:r w:rsidRPr="009B77A6">
        <w:rPr>
          <w:i/>
        </w:rPr>
        <w:t>Si lo prefieres puedes ver la información distribuida por Ministerios”</w:t>
      </w:r>
      <w:r w:rsidR="00C3329D" w:rsidRPr="005A6843">
        <w:t xml:space="preserve">. </w:t>
      </w:r>
    </w:p>
    <w:p w:rsidR="006A5DB4" w:rsidRPr="005A6843" w:rsidRDefault="00C3329D" w:rsidP="00AA712B">
      <w:pPr>
        <w:jc w:val="both"/>
      </w:pPr>
      <w:r w:rsidRPr="005A6843">
        <w:t>El segundo proporciona las siguientes</w:t>
      </w:r>
      <w:r w:rsidR="00917B93" w:rsidRPr="005A6843">
        <w:t xml:space="preserve"> -también sobreimpresas-</w:t>
      </w:r>
      <w:r w:rsidRPr="005A6843">
        <w:t xml:space="preserve">: </w:t>
      </w:r>
    </w:p>
    <w:p w:rsidR="00C3329D" w:rsidRPr="009B77A6" w:rsidRDefault="00C3329D" w:rsidP="009B77A6">
      <w:pPr>
        <w:ind w:left="1134"/>
        <w:jc w:val="both"/>
        <w:rPr>
          <w:i/>
        </w:rPr>
      </w:pPr>
      <w:r w:rsidRPr="009B77A6">
        <w:rPr>
          <w:i/>
        </w:rPr>
        <w:t>“En el Portal, la información (nuevamente hay que entender que de publicidad activa) puede encontrarse ordenada por categorías o por Ministerios.</w:t>
      </w:r>
    </w:p>
    <w:p w:rsidR="00C3329D" w:rsidRPr="009B77A6" w:rsidRDefault="00C3329D" w:rsidP="009B77A6">
      <w:pPr>
        <w:ind w:left="1134"/>
        <w:jc w:val="both"/>
        <w:rPr>
          <w:i/>
        </w:rPr>
      </w:pPr>
      <w:r w:rsidRPr="009B77A6">
        <w:rPr>
          <w:i/>
        </w:rPr>
        <w:t>Hay informaciones filtradas por Ministerios o de acceso genérico, como subvenciones, indemnizaciones o incompatibilidades.</w:t>
      </w:r>
    </w:p>
    <w:p w:rsidR="00C3329D" w:rsidRPr="009B77A6" w:rsidRDefault="00C3329D" w:rsidP="009B77A6">
      <w:pPr>
        <w:ind w:left="1134"/>
        <w:jc w:val="both"/>
        <w:rPr>
          <w:i/>
        </w:rPr>
      </w:pPr>
      <w:r w:rsidRPr="009B77A6">
        <w:rPr>
          <w:i/>
        </w:rPr>
        <w:t>Veamos ejemplos de cómo se presenta la información</w:t>
      </w:r>
      <w:r w:rsidR="00917B93" w:rsidRPr="009B77A6">
        <w:rPr>
          <w:i/>
        </w:rPr>
        <w:t>.</w:t>
      </w:r>
    </w:p>
    <w:p w:rsidR="00917B93" w:rsidRDefault="00C3329D" w:rsidP="009B77A6">
      <w:pPr>
        <w:ind w:left="1134"/>
        <w:jc w:val="both"/>
        <w:rPr>
          <w:i/>
        </w:rPr>
      </w:pPr>
      <w:r w:rsidRPr="009B77A6">
        <w:rPr>
          <w:i/>
        </w:rPr>
        <w:t xml:space="preserve">Tenemos cuatro grandes categorías: información </w:t>
      </w:r>
      <w:r w:rsidR="00917B93" w:rsidRPr="009B77A6">
        <w:rPr>
          <w:i/>
        </w:rPr>
        <w:t>institucional, normativa, contratos, convenios, subvenciones y bienes inmuebles y presupuestos, fiscalización y estadísticas.</w:t>
      </w:r>
    </w:p>
    <w:p w:rsidR="009B77A6" w:rsidRPr="009B77A6" w:rsidRDefault="005E3C29" w:rsidP="009B77A6">
      <w:pPr>
        <w:ind w:left="1134"/>
        <w:jc w:val="both"/>
        <w:rPr>
          <w:i/>
        </w:rPr>
      </w:pPr>
      <w:r>
        <w:rPr>
          <w:i/>
        </w:rPr>
        <w:t>…</w:t>
      </w:r>
    </w:p>
    <w:p w:rsidR="00C3329D" w:rsidRPr="009B77A6" w:rsidRDefault="00C3329D" w:rsidP="009B77A6">
      <w:pPr>
        <w:ind w:left="1134"/>
        <w:jc w:val="both"/>
        <w:rPr>
          <w:i/>
        </w:rPr>
      </w:pPr>
      <w:r w:rsidRPr="009B77A6">
        <w:rPr>
          <w:i/>
        </w:rPr>
        <w:t xml:space="preserve">Una </w:t>
      </w:r>
      <w:r w:rsidR="00917B93" w:rsidRPr="009B77A6">
        <w:rPr>
          <w:i/>
        </w:rPr>
        <w:t xml:space="preserve">misma </w:t>
      </w:r>
      <w:r w:rsidRPr="009B77A6">
        <w:rPr>
          <w:i/>
        </w:rPr>
        <w:t xml:space="preserve">información </w:t>
      </w:r>
      <w:r w:rsidR="00917B93" w:rsidRPr="009B77A6">
        <w:rPr>
          <w:i/>
        </w:rPr>
        <w:t xml:space="preserve">se </w:t>
      </w:r>
      <w:r w:rsidRPr="009B77A6">
        <w:rPr>
          <w:i/>
        </w:rPr>
        <w:t xml:space="preserve">puede </w:t>
      </w:r>
      <w:r w:rsidR="00917B93" w:rsidRPr="009B77A6">
        <w:rPr>
          <w:i/>
        </w:rPr>
        <w:t xml:space="preserve">encontrar </w:t>
      </w:r>
      <w:r w:rsidRPr="009B77A6">
        <w:rPr>
          <w:i/>
        </w:rPr>
        <w:t>busca</w:t>
      </w:r>
      <w:r w:rsidR="00917B93" w:rsidRPr="009B77A6">
        <w:rPr>
          <w:i/>
        </w:rPr>
        <w:t>ndo</w:t>
      </w:r>
      <w:r w:rsidRPr="009B77A6">
        <w:rPr>
          <w:i/>
        </w:rPr>
        <w:t xml:space="preserve"> de distintas maneras</w:t>
      </w:r>
      <w:r w:rsidR="00917B93" w:rsidRPr="009B77A6">
        <w:rPr>
          <w:i/>
        </w:rPr>
        <w:t>”</w:t>
      </w:r>
    </w:p>
    <w:p w:rsidR="00D05F90" w:rsidRPr="005A6843" w:rsidRDefault="00917B93" w:rsidP="00AA712B">
      <w:pPr>
        <w:jc w:val="both"/>
      </w:pPr>
      <w:r w:rsidRPr="005A6843">
        <w:t xml:space="preserve">Así, es posible </w:t>
      </w:r>
      <w:r w:rsidR="008A3788" w:rsidRPr="005A6843">
        <w:t>identifica</w:t>
      </w:r>
      <w:r w:rsidRPr="005A6843">
        <w:t>r</w:t>
      </w:r>
      <w:r w:rsidR="008A3788" w:rsidRPr="005A6843">
        <w:t xml:space="preserve"> el contenido de publicidad activa del Portal con el que éste denomina </w:t>
      </w:r>
      <w:r w:rsidR="008A3788" w:rsidRPr="00F70951">
        <w:rPr>
          <w:i/>
        </w:rPr>
        <w:t>“Categorías de información”</w:t>
      </w:r>
      <w:r w:rsidR="008A3788" w:rsidRPr="005A6843">
        <w:t xml:space="preserve"> </w:t>
      </w:r>
      <w:r w:rsidRPr="005A6843">
        <w:t xml:space="preserve">y conocer que el acceso al mismo se produce por dos vías: A) La vía </w:t>
      </w:r>
      <w:r w:rsidRPr="00F70951">
        <w:rPr>
          <w:i/>
        </w:rPr>
        <w:t>“Categorías”</w:t>
      </w:r>
      <w:r w:rsidRPr="005A6843">
        <w:t xml:space="preserve">, con tres sistemas de acceso: </w:t>
      </w:r>
      <w:r w:rsidR="00B318F3" w:rsidRPr="005A6843">
        <w:t xml:space="preserve">el botón </w:t>
      </w:r>
      <w:r w:rsidRPr="005A6843">
        <w:t xml:space="preserve">del mismo nombre de la barra de opciones del encabezamiento </w:t>
      </w:r>
      <w:r w:rsidR="00D05F90" w:rsidRPr="005A6843">
        <w:t xml:space="preserve">de </w:t>
      </w:r>
      <w:r w:rsidRPr="005A6843">
        <w:t>la home; cualquiera de los cuatro iconos</w:t>
      </w:r>
      <w:r w:rsidR="00D05F90" w:rsidRPr="005A6843">
        <w:t xml:space="preserve"> </w:t>
      </w:r>
      <w:r w:rsidRPr="005A6843">
        <w:t>del menú h</w:t>
      </w:r>
      <w:r w:rsidR="00D05F90" w:rsidRPr="005A6843">
        <w:t>o</w:t>
      </w:r>
      <w:r w:rsidRPr="005A6843">
        <w:t>rizontal de la parte superior de ésta</w:t>
      </w:r>
      <w:r w:rsidR="00D05F90" w:rsidRPr="005A6843">
        <w:t xml:space="preserve"> -</w:t>
      </w:r>
      <w:r w:rsidR="00D05F90" w:rsidRPr="00F70951">
        <w:rPr>
          <w:i/>
        </w:rPr>
        <w:t>“Institucional”, “Normativa”</w:t>
      </w:r>
      <w:r w:rsidR="00D05F90" w:rsidRPr="005A6843">
        <w:t xml:space="preserve">, </w:t>
      </w:r>
      <w:r w:rsidR="00235F53">
        <w:t>etc.</w:t>
      </w:r>
      <w:r w:rsidR="00D05F90" w:rsidRPr="005A6843">
        <w:t xml:space="preserve">- </w:t>
      </w:r>
      <w:r w:rsidRPr="005A6843">
        <w:t>y cualquier</w:t>
      </w:r>
      <w:r w:rsidR="00D05F90" w:rsidRPr="005A6843">
        <w:t>a</w:t>
      </w:r>
      <w:r w:rsidRPr="005A6843">
        <w:t xml:space="preserve"> de los cuatro elementos homónimos de la columna </w:t>
      </w:r>
      <w:r w:rsidR="00D05F90" w:rsidRPr="00F70951">
        <w:rPr>
          <w:i/>
        </w:rPr>
        <w:t>“</w:t>
      </w:r>
      <w:r w:rsidRPr="00F70951">
        <w:rPr>
          <w:i/>
        </w:rPr>
        <w:t>Categorías de información”</w:t>
      </w:r>
      <w:r w:rsidRPr="005A6843">
        <w:t xml:space="preserve"> de</w:t>
      </w:r>
      <w:r w:rsidR="00D05F90" w:rsidRPr="005A6843">
        <w:t>l menú de navegación de la parte final,</w:t>
      </w:r>
      <w:r w:rsidRPr="005A6843">
        <w:t xml:space="preserve"> </w:t>
      </w:r>
      <w:r w:rsidR="006A5DB4" w:rsidRPr="005A6843">
        <w:t xml:space="preserve">y B) La vía </w:t>
      </w:r>
      <w:r w:rsidR="006A5DB4" w:rsidRPr="00F70951">
        <w:rPr>
          <w:i/>
        </w:rPr>
        <w:t>“Ministerios”</w:t>
      </w:r>
      <w:r w:rsidR="006A5DB4" w:rsidRPr="005A6843">
        <w:t>,</w:t>
      </w:r>
      <w:r w:rsidR="00D05F90" w:rsidRPr="005A6843">
        <w:t xml:space="preserve"> con dos sistemas: </w:t>
      </w:r>
      <w:r w:rsidR="00B318F3" w:rsidRPr="005A6843">
        <w:t>el botón homónimo</w:t>
      </w:r>
      <w:r w:rsidR="00D05F90" w:rsidRPr="005A6843">
        <w:t xml:space="preserve"> de la barra de opciones del encabezado y el elemento </w:t>
      </w:r>
      <w:r w:rsidR="00D05F90" w:rsidRPr="00F70951">
        <w:rPr>
          <w:i/>
        </w:rPr>
        <w:t>“Información por Ministerios”</w:t>
      </w:r>
      <w:r w:rsidR="00D05F90" w:rsidRPr="005A6843">
        <w:t xml:space="preserve"> de la columna </w:t>
      </w:r>
      <w:r w:rsidR="00D05F90" w:rsidRPr="00F70951">
        <w:rPr>
          <w:i/>
        </w:rPr>
        <w:t>“Categorías de información”</w:t>
      </w:r>
      <w:r w:rsidR="00D05F90" w:rsidRPr="005A6843">
        <w:t xml:space="preserve"> del menú final de navegación.</w:t>
      </w:r>
    </w:p>
    <w:p w:rsidR="00D05F90" w:rsidRPr="005A6843" w:rsidRDefault="00D05F90" w:rsidP="00AA712B">
      <w:pPr>
        <w:jc w:val="both"/>
      </w:pPr>
      <w:r w:rsidRPr="005A6843">
        <w:t xml:space="preserve">La </w:t>
      </w:r>
      <w:r w:rsidRPr="00F70951">
        <w:rPr>
          <w:i/>
        </w:rPr>
        <w:t>“Guía”</w:t>
      </w:r>
      <w:r w:rsidRPr="005A6843">
        <w:t xml:space="preserve"> no ofrece mayores explicaciones sobre los motivos que han movido a los responsables del Portal a establecer esta doble vía de acceso ni sobre el contenido o</w:t>
      </w:r>
      <w:r w:rsidR="00F94D90" w:rsidRPr="005A6843">
        <w:t xml:space="preserve"> </w:t>
      </w:r>
      <w:r w:rsidRPr="005A6843">
        <w:t xml:space="preserve">las ventajas relativas de una respecto de la otra. </w:t>
      </w:r>
      <w:r w:rsidR="00F94D90" w:rsidRPr="005A6843">
        <w:t>Parte de la base de que se trata de una cuestión de preferencia del interesado, de modo que debe entenderse que es, realmente, u</w:t>
      </w:r>
      <w:r w:rsidRPr="005A6843">
        <w:t xml:space="preserve">na commodity que ofrece el Portal </w:t>
      </w:r>
      <w:r w:rsidR="00F94D90" w:rsidRPr="005A6843">
        <w:t xml:space="preserve">a </w:t>
      </w:r>
      <w:r w:rsidRPr="005A6843">
        <w:t>los visitantes conocedores de la organización de la AGE</w:t>
      </w:r>
      <w:r w:rsidR="00F94D90" w:rsidRPr="005A6843">
        <w:t>,</w:t>
      </w:r>
      <w:r w:rsidRPr="005A6843">
        <w:t xml:space="preserve"> que saben a qué Ministerio corresponde la información que desean consultar </w:t>
      </w:r>
      <w:r w:rsidR="00F94D90" w:rsidRPr="005A6843">
        <w:t xml:space="preserve">y pueden ahorrarse así determinados pasos intermedios. No obstante, como se verá más adelante, no es una cuestión tan simple pues la información que se obtiene por una u otra vía no tiene el mismo contenido. </w:t>
      </w:r>
    </w:p>
    <w:p w:rsidR="008D69B4" w:rsidRPr="005A6843" w:rsidRDefault="00F94D90" w:rsidP="00AA712B">
      <w:pPr>
        <w:jc w:val="both"/>
      </w:pPr>
      <w:r w:rsidRPr="005A6843">
        <w:t xml:space="preserve">Es de destacar que la primera referencia expresa a la “publicidad activa” que contiene el Portal se encuentra una vez que se accede al menú de </w:t>
      </w:r>
      <w:r w:rsidR="008A3788" w:rsidRPr="00F70951">
        <w:rPr>
          <w:i/>
        </w:rPr>
        <w:t>“Categorías”</w:t>
      </w:r>
      <w:r w:rsidR="008A3788" w:rsidRPr="005A6843">
        <w:t xml:space="preserve"> </w:t>
      </w:r>
      <w:r w:rsidR="008D69B4" w:rsidRPr="005A6843">
        <w:t>a través de</w:t>
      </w:r>
      <w:r w:rsidR="00B318F3" w:rsidRPr="005A6843">
        <w:t xml:space="preserve">l botón </w:t>
      </w:r>
      <w:r w:rsidR="008D69B4" w:rsidRPr="005A6843">
        <w:t>homónim</w:t>
      </w:r>
      <w:r w:rsidR="00B318F3" w:rsidRPr="005A6843">
        <w:t>o</w:t>
      </w:r>
      <w:r w:rsidR="008D69B4" w:rsidRPr="005A6843">
        <w:t xml:space="preserve"> </w:t>
      </w:r>
      <w:r w:rsidR="008A3788" w:rsidRPr="005A6843">
        <w:t>de la barra de opciones de</w:t>
      </w:r>
      <w:r w:rsidR="008D69B4" w:rsidRPr="005A6843">
        <w:t xml:space="preserve">l encabezamiento de la </w:t>
      </w:r>
      <w:r w:rsidR="008A3788" w:rsidRPr="005A6843">
        <w:t>home</w:t>
      </w:r>
      <w:r w:rsidR="008D69B4" w:rsidRPr="005A6843">
        <w:t xml:space="preserve"> y solo a través de este acceso –las diferencias de contenido según se use un acceso u otro son una constante en la navegación por el Portal-. El menú aparece encabezado por este texto explicativo: </w:t>
      </w:r>
      <w:r w:rsidR="008D69B4" w:rsidRPr="00F70951">
        <w:rPr>
          <w:i/>
        </w:rPr>
        <w:t>“Los elementos de información de publicidad activa se han agrupado en cuatro categorías para facilitarle el acceso a la información que desea consultar”</w:t>
      </w:r>
      <w:r w:rsidR="008D69B4" w:rsidRPr="005A6843">
        <w:t>. . Así se usa por vez primera la terminología “</w:t>
      </w:r>
      <w:r w:rsidR="008D69B4" w:rsidRPr="00F70951">
        <w:rPr>
          <w:i/>
        </w:rPr>
        <w:t>publicidad activa”</w:t>
      </w:r>
      <w:r w:rsidR="008D69B4" w:rsidRPr="005A6843">
        <w:t xml:space="preserve"> pero está situada en el segundo nivel de la </w:t>
      </w:r>
      <w:r w:rsidR="00FC4B2E" w:rsidRPr="00FC4B2E">
        <w:rPr>
          <w:i/>
        </w:rPr>
        <w:t>web</w:t>
      </w:r>
      <w:r w:rsidR="008D69B4" w:rsidRPr="005A6843">
        <w:t>.</w:t>
      </w:r>
    </w:p>
    <w:p w:rsidR="00386D81" w:rsidRPr="005A6843" w:rsidRDefault="008A3788" w:rsidP="00AA712B">
      <w:pPr>
        <w:jc w:val="both"/>
      </w:pPr>
      <w:r w:rsidRPr="005A6843">
        <w:t xml:space="preserve">La </w:t>
      </w:r>
      <w:r w:rsidR="008D69B4" w:rsidRPr="005A6843">
        <w:t xml:space="preserve">falta </w:t>
      </w:r>
      <w:r w:rsidRPr="005A6843">
        <w:t>de un acceso específico a la publicidad activa</w:t>
      </w:r>
      <w:r w:rsidR="008D69B4" w:rsidRPr="005A6843">
        <w:t xml:space="preserve">, debidamente </w:t>
      </w:r>
      <w:r w:rsidRPr="005A6843">
        <w:t>etiquetado</w:t>
      </w:r>
      <w:r w:rsidR="008D69B4" w:rsidRPr="005A6843">
        <w:t xml:space="preserve">, es, a juicio de este CTBG, </w:t>
      </w:r>
      <w:r w:rsidRPr="005A6843">
        <w:t xml:space="preserve">una de las debilidades del Portal. </w:t>
      </w:r>
      <w:r w:rsidR="008D69B4" w:rsidRPr="005A6843">
        <w:t xml:space="preserve">El Consejo </w:t>
      </w:r>
      <w:r w:rsidRPr="005A6843">
        <w:t>ha destacado en m</w:t>
      </w:r>
      <w:r w:rsidR="008D69B4" w:rsidRPr="005A6843">
        <w:t xml:space="preserve">últiples ocasiones </w:t>
      </w:r>
      <w:r w:rsidRPr="005A6843">
        <w:t xml:space="preserve">-p. ej. en el informe de evaluación del cumplimiento de la </w:t>
      </w:r>
      <w:r w:rsidR="00052FF3">
        <w:t>l</w:t>
      </w:r>
      <w:r w:rsidR="001C41A6">
        <w:t>ey</w:t>
      </w:r>
      <w:r w:rsidRPr="005A6843">
        <w:t xml:space="preserve"> por los órganos constitucionales y entes reguladores,</w:t>
      </w:r>
      <w:r w:rsidR="00386D81" w:rsidRPr="005A6843">
        <w:t xml:space="preserve"> </w:t>
      </w:r>
      <w:r w:rsidRPr="005A6843">
        <w:t>la conveniencia de incorporar a l</w:t>
      </w:r>
      <w:r w:rsidR="00386D81" w:rsidRPr="005A6843">
        <w:t xml:space="preserve">os portales de transparencia </w:t>
      </w:r>
      <w:r w:rsidRPr="005A6843">
        <w:t xml:space="preserve">de las instituciones públicas un acceso específico a la información ligada a la </w:t>
      </w:r>
      <w:r w:rsidR="00052FF3">
        <w:t>l</w:t>
      </w:r>
      <w:r w:rsidR="001C41A6">
        <w:t>ey</w:t>
      </w:r>
      <w:r w:rsidR="00E768A4">
        <w:t xml:space="preserve"> de transparencia</w:t>
      </w:r>
      <w:r w:rsidRPr="005A6843">
        <w:t xml:space="preserve">. Esta circunstancia se valora muy positivamente desde la perspectiva de la claridad y la accesibilidad de la información pues alivia al ciudadano de la carga de buscar los datos que desea a través de una navegación compleja. </w:t>
      </w:r>
    </w:p>
    <w:p w:rsidR="00806AF3" w:rsidRPr="005A6843" w:rsidRDefault="008A3788" w:rsidP="00AA712B">
      <w:pPr>
        <w:jc w:val="both"/>
      </w:pPr>
      <w:r w:rsidRPr="005A6843">
        <w:t xml:space="preserve">En el caso de la información de publicidad activa del Portal </w:t>
      </w:r>
      <w:r w:rsidR="00386D81" w:rsidRPr="005A6843">
        <w:t xml:space="preserve">AGE </w:t>
      </w:r>
      <w:r w:rsidRPr="005A6843">
        <w:t>esta necesidad es aún más imperiosa</w:t>
      </w:r>
      <w:r w:rsidR="00386D81" w:rsidRPr="005A6843">
        <w:t>.</w:t>
      </w:r>
      <w:r w:rsidR="00464262" w:rsidRPr="005A6843">
        <w:t xml:space="preserve"> </w:t>
      </w:r>
      <w:r w:rsidR="00806AF3" w:rsidRPr="005A6843">
        <w:t xml:space="preserve">Resulta verdaderamente sorprendente para cualquier observador que un Portal destinado a facilitar al ciudadano el acceso a la información de publicidad activa de la AGE no contenga </w:t>
      </w:r>
      <w:r w:rsidR="00386D81" w:rsidRPr="005A6843">
        <w:t xml:space="preserve">en la página de inicio </w:t>
      </w:r>
      <w:r w:rsidR="00806AF3" w:rsidRPr="005A6843">
        <w:t xml:space="preserve">un acceso específico a la misma, </w:t>
      </w:r>
      <w:r w:rsidR="00386D81" w:rsidRPr="005A6843">
        <w:t xml:space="preserve">fácilmente identificable </w:t>
      </w:r>
      <w:r w:rsidR="00806AF3" w:rsidRPr="005A6843">
        <w:t>y destacado por encima del resto de los contenidos informativos del sitio.</w:t>
      </w:r>
    </w:p>
    <w:p w:rsidR="00464262" w:rsidRPr="005A6843" w:rsidRDefault="00464262" w:rsidP="00AA712B">
      <w:pPr>
        <w:jc w:val="both"/>
      </w:pPr>
      <w:r w:rsidRPr="005A6843">
        <w:t xml:space="preserve">Si </w:t>
      </w:r>
      <w:r w:rsidR="00386D81" w:rsidRPr="005A6843">
        <w:t xml:space="preserve">la incorporación a la home del Portal de un acceso de “publicidad activa” no se considerara </w:t>
      </w:r>
      <w:r w:rsidR="00A03C4D" w:rsidRPr="005A6843">
        <w:t>oportuna</w:t>
      </w:r>
      <w:r w:rsidR="00386D81" w:rsidRPr="005A6843">
        <w:t xml:space="preserve"> o acorde con su configuración actual, podría acudirse a una solución sencilla. Bastaría </w:t>
      </w:r>
      <w:r w:rsidRPr="005A6843">
        <w:t xml:space="preserve">sustituir </w:t>
      </w:r>
      <w:r w:rsidR="00B318F3" w:rsidRPr="005A6843">
        <w:t xml:space="preserve">el botón </w:t>
      </w:r>
      <w:r w:rsidRPr="00F70951">
        <w:rPr>
          <w:i/>
        </w:rPr>
        <w:t>“Categorías”</w:t>
      </w:r>
      <w:r w:rsidRPr="005A6843">
        <w:t xml:space="preserve"> de la barra superior de opciones de la home y el epígrafe </w:t>
      </w:r>
      <w:r w:rsidRPr="00F70951">
        <w:rPr>
          <w:i/>
        </w:rPr>
        <w:t>“Categorías de información”</w:t>
      </w:r>
      <w:r w:rsidRPr="005A6843">
        <w:t xml:space="preserve"> del menú de navegación de la parte inferior, por dos nuevos elementos etiquetados </w:t>
      </w:r>
      <w:r w:rsidRPr="00F70951">
        <w:rPr>
          <w:i/>
        </w:rPr>
        <w:t>“Publicidad Activa”</w:t>
      </w:r>
      <w:r w:rsidRPr="005A6843">
        <w:t xml:space="preserve"> e </w:t>
      </w:r>
      <w:r w:rsidRPr="00F70951">
        <w:rPr>
          <w:i/>
        </w:rPr>
        <w:t>“Información de Publicidad Activa”</w:t>
      </w:r>
      <w:r w:rsidRPr="005A6843">
        <w:t xml:space="preserve">. </w:t>
      </w:r>
      <w:r w:rsidR="00386D81" w:rsidRPr="005A6843">
        <w:t xml:space="preserve">También podría introducirse una </w:t>
      </w:r>
      <w:r w:rsidR="00A03C4D" w:rsidRPr="005A6843">
        <w:t>etiqueta</w:t>
      </w:r>
      <w:r w:rsidR="00386D81" w:rsidRPr="005A6843">
        <w:t xml:space="preserve"> de publicidad activa en el grupo de i</w:t>
      </w:r>
      <w:r w:rsidRPr="005A6843">
        <w:t>conos centrales</w:t>
      </w:r>
      <w:r w:rsidR="00386D81" w:rsidRPr="005A6843">
        <w:t xml:space="preserve"> de la página -</w:t>
      </w:r>
      <w:r w:rsidRPr="00F70951">
        <w:rPr>
          <w:i/>
        </w:rPr>
        <w:t>“Institucional”, “Normativa”, “Contratos</w:t>
      </w:r>
      <w:r w:rsidR="00386D81" w:rsidRPr="00F70951">
        <w:rPr>
          <w:i/>
        </w:rPr>
        <w:t>”</w:t>
      </w:r>
      <w:r w:rsidR="00386D81" w:rsidRPr="005A6843">
        <w:t xml:space="preserve"> y </w:t>
      </w:r>
      <w:r w:rsidR="00386D81" w:rsidRPr="00F70951">
        <w:rPr>
          <w:i/>
        </w:rPr>
        <w:t>“</w:t>
      </w:r>
      <w:r w:rsidRPr="00F70951">
        <w:rPr>
          <w:i/>
        </w:rPr>
        <w:t>Presupuestos</w:t>
      </w:r>
      <w:r w:rsidR="00386D81" w:rsidRPr="00F70951">
        <w:rPr>
          <w:i/>
        </w:rPr>
        <w:t>”</w:t>
      </w:r>
      <w:r w:rsidR="00386D81" w:rsidRPr="005A6843">
        <w:t>-</w:t>
      </w:r>
      <w:r w:rsidRPr="005A6843">
        <w:t xml:space="preserve">, </w:t>
      </w:r>
    </w:p>
    <w:p w:rsidR="00D66BE7" w:rsidRPr="005A6843" w:rsidRDefault="00386D81" w:rsidP="00AA712B">
      <w:pPr>
        <w:jc w:val="both"/>
      </w:pPr>
      <w:r w:rsidRPr="005A6843">
        <w:t xml:space="preserve">Finalmente, debe señalarse </w:t>
      </w:r>
      <w:r w:rsidR="00D66BE7" w:rsidRPr="005A6843">
        <w:t xml:space="preserve">que </w:t>
      </w:r>
      <w:r w:rsidR="00904A2C" w:rsidRPr="005A6843">
        <w:t xml:space="preserve">tampoco </w:t>
      </w:r>
      <w:r w:rsidR="00D66BE7" w:rsidRPr="005A6843">
        <w:t xml:space="preserve">el acceso a la </w:t>
      </w:r>
      <w:r w:rsidR="00D66BE7" w:rsidRPr="00F70951">
        <w:rPr>
          <w:i/>
        </w:rPr>
        <w:t>"Guía de Navegación</w:t>
      </w:r>
      <w:r w:rsidR="00D66BE7" w:rsidRPr="005A6843">
        <w:t>" contiene referencia</w:t>
      </w:r>
      <w:r w:rsidR="00904A2C" w:rsidRPr="005A6843">
        <w:t xml:space="preserve"> alguna</w:t>
      </w:r>
      <w:r w:rsidR="00D66BE7" w:rsidRPr="005A6843">
        <w:t xml:space="preserve">, ni icónica ni textual, a "transparencia" ó "publicidad activa" y tampoco está situado en un lugar relevante de la página. Teniendo en cuenta que, como se ha dicho, la guía es </w:t>
      </w:r>
      <w:r w:rsidR="00904A2C" w:rsidRPr="005A6843">
        <w:t xml:space="preserve">el principal recurso </w:t>
      </w:r>
      <w:r w:rsidR="00D66BE7" w:rsidRPr="005A6843">
        <w:t xml:space="preserve">que proporciona el Portal al visitante </w:t>
      </w:r>
      <w:r w:rsidR="00904A2C" w:rsidRPr="005A6843">
        <w:t xml:space="preserve">no experimentado </w:t>
      </w:r>
      <w:r w:rsidR="00D66BE7" w:rsidRPr="005A6843">
        <w:t xml:space="preserve">que desea acceder a la información de publicidad activa, </w:t>
      </w:r>
      <w:r w:rsidR="00904A2C" w:rsidRPr="005A6843">
        <w:t xml:space="preserve">podría estudiarse la posibilidad de </w:t>
      </w:r>
      <w:r w:rsidR="00D66BE7" w:rsidRPr="005A6843">
        <w:t xml:space="preserve"> destacar más el acceso a la guía</w:t>
      </w:r>
      <w:r w:rsidR="00904A2C" w:rsidRPr="005A6843">
        <w:t xml:space="preserve"> -</w:t>
      </w:r>
      <w:r w:rsidR="00D66BE7" w:rsidRPr="005A6843">
        <w:t xml:space="preserve">situándolo, </w:t>
      </w:r>
      <w:r w:rsidR="00904A2C" w:rsidRPr="005A6843">
        <w:t xml:space="preserve">p. ej., </w:t>
      </w:r>
      <w:r w:rsidR="00D66BE7" w:rsidRPr="005A6843">
        <w:t>en la parte superior de la home</w:t>
      </w:r>
      <w:r w:rsidR="00904A2C" w:rsidRPr="005A6843">
        <w:t>-</w:t>
      </w:r>
      <w:r w:rsidR="00D66BE7" w:rsidRPr="005A6843">
        <w:t xml:space="preserve">, y </w:t>
      </w:r>
      <w:r w:rsidR="00904A2C" w:rsidRPr="005A6843">
        <w:t xml:space="preserve">de </w:t>
      </w:r>
      <w:r w:rsidR="00D66BE7" w:rsidRPr="005A6843">
        <w:t xml:space="preserve">incorporar al </w:t>
      </w:r>
      <w:r w:rsidR="00904A2C" w:rsidRPr="005A6843">
        <w:t xml:space="preserve">mismo </w:t>
      </w:r>
      <w:r w:rsidR="00D66BE7" w:rsidRPr="005A6843">
        <w:t xml:space="preserve">alguna referencia expresa a la publicidad activa: tal vez, una fórmula tipo </w:t>
      </w:r>
      <w:r w:rsidR="00D66BE7" w:rsidRPr="00F70951">
        <w:rPr>
          <w:i/>
        </w:rPr>
        <w:t>"Para acceder a los contenidos de publicidad activa del Portal" ó "¿Desea consultar los contenidos de publicidad activa?"</w:t>
      </w:r>
      <w:r w:rsidR="00D66BE7" w:rsidRPr="005A6843">
        <w:t>.</w:t>
      </w:r>
    </w:p>
    <w:p w:rsidR="00AC71C8" w:rsidRDefault="00205DD5" w:rsidP="005E3C29">
      <w:pPr>
        <w:pStyle w:val="Prrafodelista"/>
        <w:numPr>
          <w:ilvl w:val="0"/>
          <w:numId w:val="12"/>
        </w:numPr>
        <w:ind w:left="426"/>
        <w:jc w:val="both"/>
        <w:rPr>
          <w:b/>
          <w:color w:val="1C314E" w:themeColor="accent4" w:themeShade="80"/>
          <w:u w:val="single"/>
        </w:rPr>
      </w:pPr>
      <w:bookmarkStart w:id="102" w:name="_Toc489351998"/>
      <w:r w:rsidRPr="005E3C29">
        <w:rPr>
          <w:b/>
          <w:color w:val="1C314E" w:themeColor="accent4" w:themeShade="80"/>
          <w:u w:val="single"/>
        </w:rPr>
        <w:t>C</w:t>
      </w:r>
      <w:r w:rsidR="00B532DD" w:rsidRPr="005E3C29">
        <w:rPr>
          <w:b/>
          <w:color w:val="1C314E" w:themeColor="accent4" w:themeShade="80"/>
          <w:u w:val="single"/>
        </w:rPr>
        <w:t>ATEGORÍAS Y SUB-CATEGORÍAS</w:t>
      </w:r>
      <w:bookmarkEnd w:id="102"/>
      <w:r w:rsidR="004C1A26" w:rsidRPr="005E3C29">
        <w:rPr>
          <w:b/>
          <w:color w:val="1C314E" w:themeColor="accent4" w:themeShade="80"/>
          <w:u w:val="single"/>
        </w:rPr>
        <w:t xml:space="preserve"> </w:t>
      </w:r>
    </w:p>
    <w:p w:rsidR="004A5B1B" w:rsidRDefault="004A5B1B" w:rsidP="004A5B1B">
      <w:pPr>
        <w:spacing w:after="0" w:line="240" w:lineRule="auto"/>
        <w:jc w:val="both"/>
      </w:pPr>
    </w:p>
    <w:p w:rsidR="00AC71C8" w:rsidRDefault="0008093B" w:rsidP="004A5B1B">
      <w:pPr>
        <w:spacing w:after="0" w:line="240" w:lineRule="auto"/>
        <w:jc w:val="both"/>
      </w:pPr>
      <w:r w:rsidRPr="005A6843">
        <w:t>Como acaba de decirse, la</w:t>
      </w:r>
      <w:r w:rsidR="005E7CDD" w:rsidRPr="005A6843">
        <w:t xml:space="preserve"> </w:t>
      </w:r>
      <w:r w:rsidR="0023513E" w:rsidRPr="005A6843">
        <w:t>vía</w:t>
      </w:r>
      <w:r w:rsidR="005E7CDD" w:rsidRPr="005A6843">
        <w:t xml:space="preserve"> </w:t>
      </w:r>
      <w:r w:rsidRPr="005A6843">
        <w:t xml:space="preserve">de </w:t>
      </w:r>
      <w:r w:rsidR="005E7CDD" w:rsidRPr="005A6843">
        <w:t xml:space="preserve">las </w:t>
      </w:r>
      <w:r w:rsidR="005E7CDD" w:rsidRPr="00AC71C8">
        <w:rPr>
          <w:i/>
        </w:rPr>
        <w:t>“Categorías de Información”</w:t>
      </w:r>
      <w:r w:rsidR="005E7CDD" w:rsidRPr="005A6843">
        <w:t xml:space="preserve"> es una de las dos vías de </w:t>
      </w:r>
      <w:r w:rsidRPr="005A6843">
        <w:t xml:space="preserve">acceso a la información de publicidad activa </w:t>
      </w:r>
      <w:r w:rsidR="005E7CDD" w:rsidRPr="005A6843">
        <w:t xml:space="preserve">que ofrece la home </w:t>
      </w:r>
      <w:r w:rsidRPr="005A6843">
        <w:t>del Portal</w:t>
      </w:r>
      <w:r w:rsidR="0023513E" w:rsidRPr="005A6843">
        <w:t xml:space="preserve">. </w:t>
      </w:r>
      <w:r w:rsidR="00AD4126" w:rsidRPr="005A6843">
        <w:t xml:space="preserve">Accediendo a </w:t>
      </w:r>
      <w:r w:rsidR="005E7CDD" w:rsidRPr="005A6843">
        <w:t xml:space="preserve">esta vía </w:t>
      </w:r>
      <w:r w:rsidR="00AD4126" w:rsidRPr="005A6843">
        <w:t>a través de</w:t>
      </w:r>
      <w:r w:rsidR="00B318F3" w:rsidRPr="005A6843">
        <w:t xml:space="preserve">l botón </w:t>
      </w:r>
      <w:r w:rsidR="00AD4126" w:rsidRPr="00AC71C8">
        <w:rPr>
          <w:i/>
        </w:rPr>
        <w:t>“Categorías”</w:t>
      </w:r>
      <w:r w:rsidR="00AD4126" w:rsidRPr="005A6843">
        <w:t xml:space="preserve"> de la barra superior </w:t>
      </w:r>
      <w:r w:rsidR="00B318F3" w:rsidRPr="005A6843">
        <w:t xml:space="preserve">de opciones de la home </w:t>
      </w:r>
      <w:r w:rsidR="007D48DC" w:rsidRPr="005A6843">
        <w:t>-</w:t>
      </w:r>
      <w:r w:rsidR="00B318F3" w:rsidRPr="005A6843">
        <w:t>y pasando por alto el menú desplegable que se abre posicionando el mouse sobre el botón</w:t>
      </w:r>
      <w:r w:rsidR="007D48DC" w:rsidRPr="005A6843">
        <w:t xml:space="preserve">-,  el visitante se sitúa en un </w:t>
      </w:r>
      <w:r w:rsidR="00AD4126" w:rsidRPr="005A6843">
        <w:t xml:space="preserve">menú designado </w:t>
      </w:r>
      <w:r w:rsidR="00AD4126" w:rsidRPr="00AC71C8">
        <w:rPr>
          <w:i/>
        </w:rPr>
        <w:t>“Categorías: elementos de información”</w:t>
      </w:r>
      <w:r w:rsidR="007D48DC" w:rsidRPr="00AC71C8">
        <w:rPr>
          <w:i/>
        </w:rPr>
        <w:t>,</w:t>
      </w:r>
      <w:r w:rsidR="007D48DC" w:rsidRPr="005A6843">
        <w:t xml:space="preserve"> </w:t>
      </w:r>
      <w:r w:rsidR="00AD4126" w:rsidRPr="005A6843">
        <w:t xml:space="preserve">y precedido por un texto explicativo en el que </w:t>
      </w:r>
      <w:r w:rsidR="007D48DC" w:rsidRPr="005A6843">
        <w:t xml:space="preserve">–ya se ha dicho- </w:t>
      </w:r>
      <w:r w:rsidR="00AD4126" w:rsidRPr="005A6843">
        <w:t xml:space="preserve">se usa </w:t>
      </w:r>
      <w:r w:rsidR="007D48DC" w:rsidRPr="005A6843">
        <w:t xml:space="preserve">por primera vez </w:t>
      </w:r>
      <w:r w:rsidR="00AD4126" w:rsidRPr="005A6843">
        <w:t>la terminología “publicidad activa</w:t>
      </w:r>
      <w:r w:rsidR="007D48DC" w:rsidRPr="005A6843">
        <w:t>”</w:t>
      </w:r>
      <w:r w:rsidR="00AD4126" w:rsidRPr="005A6843">
        <w:t xml:space="preserve">. </w:t>
      </w:r>
      <w:r w:rsidR="007D48DC" w:rsidRPr="005A6843">
        <w:t xml:space="preserve">“Clicando” en cada una de las categorías, en el menú lateral de la página, se </w:t>
      </w:r>
      <w:r w:rsidR="008D69B4" w:rsidRPr="005A6843">
        <w:t xml:space="preserve">accede al </w:t>
      </w:r>
      <w:r w:rsidR="007D48DC" w:rsidRPr="005A6843">
        <w:t xml:space="preserve">menú propio de cada una de ellas. Los cuatro menús están encabezados por </w:t>
      </w:r>
      <w:r w:rsidR="008D69B4" w:rsidRPr="005A6843">
        <w:t>un texto descriptivo de la información contenida en la categoría elegida</w:t>
      </w:r>
      <w:r w:rsidR="007D48DC" w:rsidRPr="005A6843">
        <w:t xml:space="preserve"> y cuentan con una opción denominada </w:t>
      </w:r>
      <w:r w:rsidR="007D48DC" w:rsidRPr="00AC71C8">
        <w:rPr>
          <w:i/>
        </w:rPr>
        <w:t>“¿Qué contiene esta categoría?”</w:t>
      </w:r>
      <w:r w:rsidR="007D48DC" w:rsidRPr="005A6843">
        <w:t xml:space="preserve"> que permite ampliar la información </w:t>
      </w:r>
      <w:r w:rsidR="008D69B4" w:rsidRPr="005A6843">
        <w:t>con una descripción más detallada del mismo</w:t>
      </w:r>
      <w:r w:rsidR="007D48DC" w:rsidRPr="005A6843">
        <w:t>.</w:t>
      </w:r>
    </w:p>
    <w:p w:rsidR="008D69B4" w:rsidRDefault="008D69B4" w:rsidP="00AA712B">
      <w:pPr>
        <w:jc w:val="both"/>
      </w:pPr>
      <w:r w:rsidRPr="005A6843">
        <w:t xml:space="preserve">Los textos por categoría son los siguientes: </w:t>
      </w:r>
    </w:p>
    <w:p w:rsidR="008D69B4" w:rsidRPr="00AC71C8" w:rsidRDefault="008D69B4" w:rsidP="00CD1B61">
      <w:pPr>
        <w:pStyle w:val="Prrafodelista"/>
        <w:numPr>
          <w:ilvl w:val="0"/>
          <w:numId w:val="7"/>
        </w:numPr>
        <w:spacing w:line="276" w:lineRule="auto"/>
        <w:ind w:left="714" w:hanging="357"/>
        <w:jc w:val="both"/>
      </w:pPr>
      <w:r w:rsidRPr="005A6843">
        <w:t xml:space="preserve">Categoría </w:t>
      </w:r>
      <w:r w:rsidRPr="00AC71C8">
        <w:rPr>
          <w:i/>
        </w:rPr>
        <w:t>“Institucional”</w:t>
      </w:r>
      <w:r w:rsidR="007D48DC" w:rsidRPr="005A6843">
        <w:t xml:space="preserve">: </w:t>
      </w:r>
      <w:r w:rsidRPr="00AC71C8">
        <w:rPr>
          <w:i/>
        </w:rPr>
        <w:t>“Información descriptiva de la organización, estructura y funciones de los Ministerios y sus órganos vinculados o dependientes, así como, información relativa a los altos cargos y a los empleados públicos”.</w:t>
      </w:r>
    </w:p>
    <w:p w:rsidR="00AC71C8" w:rsidRPr="005A6843" w:rsidRDefault="00AC71C8" w:rsidP="00AC71C8">
      <w:pPr>
        <w:pStyle w:val="Prrafodelista"/>
        <w:spacing w:line="276" w:lineRule="auto"/>
        <w:ind w:left="714"/>
        <w:jc w:val="both"/>
      </w:pPr>
    </w:p>
    <w:p w:rsidR="008D69B4" w:rsidRPr="00AC71C8" w:rsidRDefault="008D69B4" w:rsidP="00CD1B61">
      <w:pPr>
        <w:pStyle w:val="Prrafodelista"/>
        <w:numPr>
          <w:ilvl w:val="0"/>
          <w:numId w:val="7"/>
        </w:numPr>
        <w:spacing w:line="276" w:lineRule="auto"/>
        <w:ind w:left="714" w:hanging="357"/>
        <w:jc w:val="both"/>
      </w:pPr>
      <w:r w:rsidRPr="005A6843">
        <w:t xml:space="preserve">Categoría </w:t>
      </w:r>
      <w:r w:rsidRPr="00AC71C8">
        <w:rPr>
          <w:i/>
        </w:rPr>
        <w:t>“</w:t>
      </w:r>
      <w:r w:rsidR="00AC71C8" w:rsidRPr="00AC71C8">
        <w:rPr>
          <w:i/>
        </w:rPr>
        <w:t>Normativa”: “Información</w:t>
      </w:r>
      <w:r w:rsidRPr="00AC71C8">
        <w:rPr>
          <w:i/>
        </w:rPr>
        <w:t xml:space="preserve"> jurídica relevante y textos normativos aplicables por los Ministerios y organismos vinculados o dependientes”.</w:t>
      </w:r>
    </w:p>
    <w:p w:rsidR="00AC71C8" w:rsidRDefault="00AC71C8" w:rsidP="00AC71C8">
      <w:pPr>
        <w:pStyle w:val="Prrafodelista"/>
      </w:pPr>
    </w:p>
    <w:p w:rsidR="008D69B4" w:rsidRDefault="008D69B4" w:rsidP="00CD1B61">
      <w:pPr>
        <w:pStyle w:val="Prrafodelista"/>
        <w:numPr>
          <w:ilvl w:val="0"/>
          <w:numId w:val="7"/>
        </w:numPr>
        <w:spacing w:line="276" w:lineRule="auto"/>
        <w:ind w:left="714" w:hanging="357"/>
        <w:jc w:val="both"/>
      </w:pPr>
      <w:r w:rsidRPr="005A6843">
        <w:t xml:space="preserve">Categoría </w:t>
      </w:r>
      <w:r w:rsidRPr="00AC71C8">
        <w:rPr>
          <w:i/>
        </w:rPr>
        <w:t>“Contratos, convenios, subvenciones y bienes inmuebles”</w:t>
      </w:r>
      <w:r w:rsidR="007D48DC" w:rsidRPr="00AC71C8">
        <w:rPr>
          <w:i/>
        </w:rPr>
        <w:t xml:space="preserve">: </w:t>
      </w:r>
      <w:r w:rsidRPr="00AC71C8">
        <w:rPr>
          <w:i/>
        </w:rPr>
        <w:t>“Información sobre actos de gestión administrativa, con repercusión económica, en el ámbito de la Administración General del Estado”</w:t>
      </w:r>
      <w:r w:rsidRPr="005A6843">
        <w:t>.</w:t>
      </w:r>
    </w:p>
    <w:p w:rsidR="00AC71C8" w:rsidRDefault="00AC71C8" w:rsidP="00AC71C8">
      <w:pPr>
        <w:pStyle w:val="Prrafodelista"/>
      </w:pPr>
    </w:p>
    <w:p w:rsidR="008D69B4" w:rsidRDefault="008D69B4" w:rsidP="00CD1B61">
      <w:pPr>
        <w:pStyle w:val="Prrafodelista"/>
        <w:numPr>
          <w:ilvl w:val="0"/>
          <w:numId w:val="7"/>
        </w:numPr>
        <w:spacing w:line="276" w:lineRule="auto"/>
        <w:ind w:left="714" w:hanging="357"/>
        <w:jc w:val="both"/>
      </w:pPr>
      <w:r w:rsidRPr="005A6843">
        <w:t xml:space="preserve">Categoría </w:t>
      </w:r>
      <w:r w:rsidRPr="00AC71C8">
        <w:rPr>
          <w:i/>
        </w:rPr>
        <w:t>“Presupuestos, fiscalización e informes”</w:t>
      </w:r>
      <w:r w:rsidR="007D48DC" w:rsidRPr="00AC71C8">
        <w:rPr>
          <w:i/>
        </w:rPr>
        <w:t xml:space="preserve">: </w:t>
      </w:r>
      <w:r w:rsidRPr="00AC71C8">
        <w:rPr>
          <w:i/>
        </w:rPr>
        <w:t>“Información sobre actos de gestión administrativa, con repercusión presupuestaria, así como información estadística de relevancia en el ámbito de la Administración General del Estado”</w:t>
      </w:r>
      <w:r w:rsidRPr="005A6843">
        <w:t>.</w:t>
      </w:r>
    </w:p>
    <w:p w:rsidR="00AC71C8" w:rsidRDefault="00AC71C8" w:rsidP="00AC71C8">
      <w:pPr>
        <w:pStyle w:val="Prrafodelista"/>
      </w:pPr>
    </w:p>
    <w:p w:rsidR="008704C4" w:rsidRPr="008E6ED6" w:rsidRDefault="00AE6C68" w:rsidP="00AA712B">
      <w:pPr>
        <w:jc w:val="both"/>
      </w:pPr>
      <w:r w:rsidRPr="008E6ED6">
        <w:t>De este modo</w:t>
      </w:r>
      <w:r w:rsidR="008704C4" w:rsidRPr="008E6ED6">
        <w:t>,</w:t>
      </w:r>
      <w:r w:rsidRPr="008E6ED6">
        <w:t xml:space="preserve"> </w:t>
      </w:r>
      <w:r w:rsidR="008704C4" w:rsidRPr="008E6ED6">
        <w:t xml:space="preserve">el visitante queda informado de que, al menos a grandes rasgos, </w:t>
      </w:r>
      <w:r w:rsidRPr="008E6ED6">
        <w:t xml:space="preserve">la información </w:t>
      </w:r>
      <w:r w:rsidR="008704C4" w:rsidRPr="008E6ED6">
        <w:t xml:space="preserve">a que se accede mediante cada uno de estos menús se corresponde con los datos e informaciones de publicidad activa que enumeran los arts. 6,7 y 8 de la </w:t>
      </w:r>
      <w:r w:rsidR="00052FF3" w:rsidRPr="008E6ED6">
        <w:t>l</w:t>
      </w:r>
      <w:r w:rsidR="001C41A6" w:rsidRPr="008E6ED6">
        <w:t>ey</w:t>
      </w:r>
      <w:r w:rsidR="00E768A4" w:rsidRPr="008E6ED6">
        <w:t xml:space="preserve"> de transparencia</w:t>
      </w:r>
      <w:r w:rsidR="008704C4" w:rsidRPr="008E6ED6">
        <w:t xml:space="preserve">. Ahora bien: </w:t>
      </w:r>
      <w:r w:rsidR="00A03C4D" w:rsidRPr="008E6ED6">
        <w:t>la correspondencia no es exacta</w:t>
      </w:r>
      <w:r w:rsidR="008704C4" w:rsidRPr="008E6ED6">
        <w:t xml:space="preserve">. Los arts. 6 a 8 de la </w:t>
      </w:r>
      <w:r w:rsidR="00052FF3" w:rsidRPr="008E6ED6">
        <w:t>l</w:t>
      </w:r>
      <w:r w:rsidR="001C41A6" w:rsidRPr="008E6ED6">
        <w:t>ey</w:t>
      </w:r>
      <w:r w:rsidR="008704C4" w:rsidRPr="008E6ED6">
        <w:t xml:space="preserve"> establecen tres categorías o tipos de información: “Información institucional, organizativa y de planificación”, “Información de relevancia jurídica” e “Información económica, presupuestaria y estadística”. El menú de categorías del Portal establece cuatro: “Institucional”, “Normativa”, “Contratos, convenios, subvenciones y bienes inmuebles” y “Presupuestos, fiscalización e informes”. Los textos aclaratorios no explican ni justifican esta discrepancia, siendo necesario acceder a “¿Qué contiene esta categoría?”, un recurso de</w:t>
      </w:r>
      <w:r w:rsidR="003D6E9D" w:rsidRPr="008E6ED6">
        <w:t xml:space="preserve">l </w:t>
      </w:r>
      <w:r w:rsidR="008704C4" w:rsidRPr="008E6ED6">
        <w:t xml:space="preserve"> </w:t>
      </w:r>
      <w:r w:rsidR="003D6E9D" w:rsidRPr="008E6ED6">
        <w:t>tercer</w:t>
      </w:r>
      <w:r w:rsidR="008704C4" w:rsidRPr="008E6ED6">
        <w:t xml:space="preserve"> nivel de </w:t>
      </w:r>
      <w:r w:rsidR="003D6E9D" w:rsidRPr="008E6ED6">
        <w:t xml:space="preserve">navegación, para identificar con certeza que los contenidos informativos de cada categoría se corresponden más o menos exactamente con los datos e informaciones exigidos por la </w:t>
      </w:r>
      <w:r w:rsidR="00052FF3" w:rsidRPr="008E6ED6">
        <w:t>l</w:t>
      </w:r>
      <w:r w:rsidR="001C41A6" w:rsidRPr="008E6ED6">
        <w:t>ey</w:t>
      </w:r>
      <w:r w:rsidR="003D6E9D" w:rsidRPr="008E6ED6">
        <w:t xml:space="preserve"> y que la categoría legal “Información económica, presupuestaria y estadística” del art. 8 aparece desdoblada en el Portal en información de contratos e información de Presupuestos</w:t>
      </w:r>
    </w:p>
    <w:p w:rsidR="00B479F8" w:rsidRPr="005A6843" w:rsidRDefault="008704C4" w:rsidP="00AA712B">
      <w:pPr>
        <w:jc w:val="both"/>
      </w:pPr>
      <w:r w:rsidRPr="005A6843">
        <w:t xml:space="preserve">Los menús propios de cada una de las categorías </w:t>
      </w:r>
      <w:r w:rsidR="003D6E9D" w:rsidRPr="005A6843">
        <w:t xml:space="preserve">presentan distintas opciones, que el Portal identifica como </w:t>
      </w:r>
      <w:r w:rsidR="003D6E9D" w:rsidRPr="002777CB">
        <w:rPr>
          <w:i/>
          <w:szCs w:val="24"/>
        </w:rPr>
        <w:t>“elementos de información”</w:t>
      </w:r>
      <w:r w:rsidR="003D6E9D" w:rsidRPr="002777CB">
        <w:t xml:space="preserve"> y</w:t>
      </w:r>
      <w:r w:rsidR="003D6E9D" w:rsidRPr="005A6843">
        <w:t xml:space="preserve"> que representan las sub-categorías que agrupan los contenidos informativos de cada categoría. Aquí se incluye</w:t>
      </w:r>
      <w:r w:rsidR="00704D18">
        <w:t>n</w:t>
      </w:r>
      <w:r w:rsidR="003D6E9D" w:rsidRPr="005A6843">
        <w:t xml:space="preserve"> </w:t>
      </w:r>
      <w:r w:rsidR="00704D18">
        <w:t>imá</w:t>
      </w:r>
      <w:r w:rsidR="003D6E9D" w:rsidRPr="005A6843">
        <w:t>gen</w:t>
      </w:r>
      <w:r w:rsidR="00704D18">
        <w:t>es</w:t>
      </w:r>
      <w:r w:rsidR="003D6E9D" w:rsidRPr="005A6843">
        <w:t xml:space="preserve"> de los cuatro menús de categorías con sus correspondiente sub</w:t>
      </w:r>
      <w:r w:rsidR="00B479F8" w:rsidRPr="005A6843">
        <w:t>-</w:t>
      </w:r>
      <w:r w:rsidR="003D6E9D" w:rsidRPr="005A6843">
        <w:t>ca</w:t>
      </w:r>
      <w:r w:rsidR="00B479F8" w:rsidRPr="005A6843">
        <w:t>tegorías.</w:t>
      </w:r>
    </w:p>
    <w:p w:rsidR="00B479F8" w:rsidRPr="005A6843" w:rsidRDefault="00704D18" w:rsidP="00704D18">
      <w:pPr>
        <w:jc w:val="center"/>
      </w:pPr>
      <w:r>
        <w:rPr>
          <w:noProof/>
          <w:lang w:eastAsia="es-ES"/>
        </w:rPr>
        <w:drawing>
          <wp:inline distT="0" distB="0" distL="0" distR="0">
            <wp:extent cx="3057525" cy="2632453"/>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6809" t="12614" r="5180" b="14096"/>
                    <a:stretch>
                      <a:fillRect/>
                    </a:stretch>
                  </pic:blipFill>
                  <pic:spPr bwMode="auto">
                    <a:xfrm>
                      <a:off x="0" y="0"/>
                      <a:ext cx="3059038" cy="2633755"/>
                    </a:xfrm>
                    <a:prstGeom prst="rect">
                      <a:avLst/>
                    </a:prstGeom>
                    <a:noFill/>
                    <a:ln w="9525">
                      <a:noFill/>
                      <a:miter lim="800000"/>
                      <a:headEnd/>
                      <a:tailEnd/>
                    </a:ln>
                  </pic:spPr>
                </pic:pic>
              </a:graphicData>
            </a:graphic>
          </wp:inline>
        </w:drawing>
      </w:r>
    </w:p>
    <w:p w:rsidR="00704D18" w:rsidRDefault="00704D18" w:rsidP="00704D18">
      <w:pPr>
        <w:jc w:val="center"/>
      </w:pPr>
      <w:r>
        <w:rPr>
          <w:noProof/>
          <w:lang w:eastAsia="es-ES"/>
        </w:rPr>
        <w:drawing>
          <wp:inline distT="0" distB="0" distL="0" distR="0">
            <wp:extent cx="3314700" cy="1319984"/>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26983" t="20652" r="6222" b="46087"/>
                    <a:stretch>
                      <a:fillRect/>
                    </a:stretch>
                  </pic:blipFill>
                  <pic:spPr bwMode="auto">
                    <a:xfrm>
                      <a:off x="0" y="0"/>
                      <a:ext cx="3321207" cy="1322575"/>
                    </a:xfrm>
                    <a:prstGeom prst="rect">
                      <a:avLst/>
                    </a:prstGeom>
                    <a:noFill/>
                    <a:ln w="9525">
                      <a:noFill/>
                      <a:miter lim="800000"/>
                      <a:headEnd/>
                      <a:tailEnd/>
                    </a:ln>
                  </pic:spPr>
                </pic:pic>
              </a:graphicData>
            </a:graphic>
          </wp:inline>
        </w:drawing>
      </w:r>
    </w:p>
    <w:p w:rsidR="00704D18" w:rsidRDefault="00704D18" w:rsidP="00704D18">
      <w:pPr>
        <w:jc w:val="center"/>
      </w:pPr>
      <w:r>
        <w:rPr>
          <w:noProof/>
          <w:lang w:eastAsia="es-ES"/>
        </w:rPr>
        <w:drawing>
          <wp:inline distT="0" distB="0" distL="0" distR="0">
            <wp:extent cx="3562350" cy="216009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6983" t="18043" r="6432" b="31490"/>
                    <a:stretch>
                      <a:fillRect/>
                    </a:stretch>
                  </pic:blipFill>
                  <pic:spPr bwMode="auto">
                    <a:xfrm>
                      <a:off x="0" y="0"/>
                      <a:ext cx="3564295" cy="2161269"/>
                    </a:xfrm>
                    <a:prstGeom prst="rect">
                      <a:avLst/>
                    </a:prstGeom>
                    <a:noFill/>
                    <a:ln w="9525">
                      <a:noFill/>
                      <a:miter lim="800000"/>
                      <a:headEnd/>
                      <a:tailEnd/>
                    </a:ln>
                  </pic:spPr>
                </pic:pic>
              </a:graphicData>
            </a:graphic>
          </wp:inline>
        </w:drawing>
      </w:r>
    </w:p>
    <w:p w:rsidR="00704D18" w:rsidRDefault="00704D18" w:rsidP="00704D18">
      <w:pPr>
        <w:jc w:val="center"/>
      </w:pPr>
      <w:r>
        <w:rPr>
          <w:noProof/>
          <w:lang w:eastAsia="es-ES"/>
        </w:rPr>
        <w:drawing>
          <wp:inline distT="0" distB="0" distL="0" distR="0">
            <wp:extent cx="3581400" cy="2306805"/>
            <wp:effectExtent l="19050" t="0" r="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27505" t="14790" r="5563" b="31270"/>
                    <a:stretch>
                      <a:fillRect/>
                    </a:stretch>
                  </pic:blipFill>
                  <pic:spPr bwMode="auto">
                    <a:xfrm>
                      <a:off x="0" y="0"/>
                      <a:ext cx="3581400" cy="2306805"/>
                    </a:xfrm>
                    <a:prstGeom prst="rect">
                      <a:avLst/>
                    </a:prstGeom>
                    <a:noFill/>
                    <a:ln w="9525">
                      <a:noFill/>
                      <a:miter lim="800000"/>
                      <a:headEnd/>
                      <a:tailEnd/>
                    </a:ln>
                  </pic:spPr>
                </pic:pic>
              </a:graphicData>
            </a:graphic>
          </wp:inline>
        </w:drawing>
      </w:r>
    </w:p>
    <w:p w:rsidR="00B479F8" w:rsidRPr="005A6843" w:rsidRDefault="00B479F8" w:rsidP="00AA712B">
      <w:pPr>
        <w:jc w:val="both"/>
      </w:pPr>
      <w:r w:rsidRPr="005A6843">
        <w:t xml:space="preserve">Como puede verse, existen 28 sub-categorías o elementos informativos: diez en la categoría de información institucional, </w:t>
      </w:r>
      <w:r w:rsidR="003D6E9D" w:rsidRPr="005A6843">
        <w:t xml:space="preserve">cuatro </w:t>
      </w:r>
      <w:r w:rsidRPr="005A6843">
        <w:t xml:space="preserve">en la información sobre normativa y </w:t>
      </w:r>
      <w:r w:rsidR="003D6E9D" w:rsidRPr="005A6843">
        <w:t xml:space="preserve">siete </w:t>
      </w:r>
      <w:r w:rsidRPr="005A6843">
        <w:t xml:space="preserve">en </w:t>
      </w:r>
      <w:r w:rsidR="003D6E9D" w:rsidRPr="005A6843">
        <w:t>cada una</w:t>
      </w:r>
      <w:r w:rsidRPr="005A6843">
        <w:t xml:space="preserve"> de las dos restantes.</w:t>
      </w:r>
    </w:p>
    <w:p w:rsidR="0044512D" w:rsidRPr="005A6843" w:rsidRDefault="0044512D" w:rsidP="00AA712B">
      <w:pPr>
        <w:jc w:val="both"/>
      </w:pPr>
      <w:r w:rsidRPr="005A6843">
        <w:t xml:space="preserve">Poniendo en relación estas 28 sub-categorías con los datos e informaciones sometidos a publicidad activa obligatoria por los arts. 6 a 8 de la </w:t>
      </w:r>
      <w:r w:rsidR="00052FF3">
        <w:t>l</w:t>
      </w:r>
      <w:r w:rsidR="001C41A6">
        <w:t>ey</w:t>
      </w:r>
      <w:r w:rsidRPr="005A6843">
        <w:t>, nos encontramos con que, tal y como hemos visto que sucedía con las categorías, no hay una correspondencia exacta entre los contenidos de</w:t>
      </w:r>
      <w:r w:rsidR="00A03C4D" w:rsidRPr="005A6843">
        <w:t>l Portal y los legales. Y en es</w:t>
      </w:r>
      <w:r w:rsidRPr="005A6843">
        <w:t xml:space="preserve">te caso las discrepancias son de mayor entidad.  </w:t>
      </w:r>
    </w:p>
    <w:p w:rsidR="0044512D" w:rsidRDefault="0044512D" w:rsidP="00CD1B61">
      <w:pPr>
        <w:pStyle w:val="Prrafodelista"/>
        <w:numPr>
          <w:ilvl w:val="0"/>
          <w:numId w:val="17"/>
        </w:numPr>
        <w:spacing w:line="276" w:lineRule="auto"/>
        <w:ind w:left="425"/>
        <w:jc w:val="both"/>
      </w:pPr>
      <w:r w:rsidRPr="005A6843">
        <w:t xml:space="preserve">Entre las 10 sub-categorías que el Portal ha agrupado en la categoría </w:t>
      </w:r>
      <w:r w:rsidRPr="00B363B7">
        <w:rPr>
          <w:i/>
        </w:rPr>
        <w:t>“Institucional”</w:t>
      </w:r>
      <w:r w:rsidRPr="005A6843">
        <w:t xml:space="preserve">, no aparece una de las informaciones exigidas por el art. 6 de la </w:t>
      </w:r>
      <w:r w:rsidR="00052FF3">
        <w:t>l</w:t>
      </w:r>
      <w:r w:rsidR="001C41A6">
        <w:t>ey</w:t>
      </w:r>
      <w:r w:rsidRPr="005A6843">
        <w:t xml:space="preserve">: la normativa reguladora del organismo. Por el contrario, aparecen sub-categorías de más: dos que no se corresponden con ninguna de las exigidas por la </w:t>
      </w:r>
      <w:r w:rsidR="00052FF3">
        <w:t>l</w:t>
      </w:r>
      <w:r w:rsidR="001C41A6">
        <w:t>ey</w:t>
      </w:r>
      <w:r w:rsidRPr="005A6843">
        <w:t xml:space="preserve"> -entes del sector público del Estado y relaciones de puestos de trabajo- y </w:t>
      </w:r>
      <w:r w:rsidR="003A6544" w:rsidRPr="005A6843">
        <w:t xml:space="preserve">cuatro </w:t>
      </w:r>
      <w:r w:rsidRPr="005A6843">
        <w:t xml:space="preserve">que corresponde a informaciones que la </w:t>
      </w:r>
      <w:r w:rsidR="00052FF3">
        <w:t>l</w:t>
      </w:r>
      <w:r w:rsidR="001C41A6">
        <w:t>ey</w:t>
      </w:r>
      <w:r w:rsidRPr="005A6843">
        <w:t xml:space="preserve"> sitúa en la categoría de información económica: retribuciones de Altos Cargos y máximos responsables; autorizaciones de actividad de los Altos Cargos;  indemnizaciones percibidas por los Altos Cargos con ocasión de su cese y autorizaciones de compatibilidad de los empleados públicos-. </w:t>
      </w:r>
    </w:p>
    <w:p w:rsidR="00AC71C8" w:rsidRPr="005A6843" w:rsidRDefault="00AC71C8" w:rsidP="00AC71C8">
      <w:pPr>
        <w:pStyle w:val="Prrafodelista"/>
        <w:spacing w:line="276" w:lineRule="auto"/>
        <w:ind w:left="425"/>
        <w:jc w:val="both"/>
      </w:pPr>
    </w:p>
    <w:p w:rsidR="0044512D" w:rsidRDefault="0044512D" w:rsidP="00CD1B61">
      <w:pPr>
        <w:pStyle w:val="Prrafodelista"/>
        <w:numPr>
          <w:ilvl w:val="0"/>
          <w:numId w:val="17"/>
        </w:numPr>
        <w:spacing w:line="276" w:lineRule="auto"/>
        <w:ind w:left="425"/>
        <w:jc w:val="both"/>
      </w:pPr>
      <w:r w:rsidRPr="005A6843">
        <w:t xml:space="preserve">La categoría </w:t>
      </w:r>
      <w:r w:rsidRPr="00B363B7">
        <w:rPr>
          <w:i/>
        </w:rPr>
        <w:t>“Normativa”</w:t>
      </w:r>
      <w:r w:rsidRPr="005A6843">
        <w:t xml:space="preserve"> del Portal incluye cuatro sub-categorías: </w:t>
      </w:r>
      <w:r w:rsidRPr="00B363B7">
        <w:rPr>
          <w:i/>
        </w:rPr>
        <w:t>“Normativa destacada”</w:t>
      </w:r>
      <w:r w:rsidRPr="005A6843">
        <w:t xml:space="preserve">, </w:t>
      </w:r>
      <w:r w:rsidRPr="00B363B7">
        <w:rPr>
          <w:i/>
        </w:rPr>
        <w:t>“Normativa en elaboración”, “Normativa vigente”</w:t>
      </w:r>
      <w:r w:rsidRPr="005A6843">
        <w:t xml:space="preserve"> y </w:t>
      </w:r>
      <w:r w:rsidRPr="00B363B7">
        <w:rPr>
          <w:i/>
        </w:rPr>
        <w:t>“Otras disposiciones”</w:t>
      </w:r>
      <w:r w:rsidRPr="005A6843">
        <w:t xml:space="preserve"> mientras que el art. 7 de la </w:t>
      </w:r>
      <w:r w:rsidR="00052FF3">
        <w:t>l</w:t>
      </w:r>
      <w:r w:rsidR="001C41A6">
        <w:t>ey</w:t>
      </w:r>
      <w:r w:rsidR="00E768A4">
        <w:t xml:space="preserve"> de transparencia</w:t>
      </w:r>
      <w:r w:rsidRPr="005A6843">
        <w:t xml:space="preserve"> menciona cinco ítems informativos: A) Directrices, instrucciones, acuerdos, circulares y respuestas a consultas; B) Anteproyectos de </w:t>
      </w:r>
      <w:r w:rsidR="00052FF3">
        <w:t>l</w:t>
      </w:r>
      <w:r w:rsidR="001C41A6">
        <w:t>ey</w:t>
      </w:r>
      <w:r w:rsidRPr="005A6843">
        <w:t xml:space="preserve"> y proyectos de Decretos Legislativos; C) Proyectos de Reglamentos; D) Memorias e informes que conformen los expedientes de elaboración de los textos normativos y E) Documentos que, conforme a la legislación sectorial vigente, deban ser sometidos a un período de información pública durante su tramitación</w:t>
      </w:r>
    </w:p>
    <w:p w:rsidR="00AC71C8" w:rsidRDefault="00AC71C8" w:rsidP="00AC71C8">
      <w:pPr>
        <w:pStyle w:val="Prrafodelista"/>
      </w:pPr>
    </w:p>
    <w:p w:rsidR="0044512D" w:rsidRPr="005A6843" w:rsidRDefault="0044512D" w:rsidP="00AC71C8">
      <w:pPr>
        <w:ind w:left="425"/>
        <w:jc w:val="both"/>
      </w:pPr>
      <w:r w:rsidRPr="005A6843">
        <w:t xml:space="preserve">A simple vista, y sin perjuicio de lo que luego se dirá en el análisis detallado de los contenidos informativos de la categoría de información normativa del Portal, únicamente dos de las cuatro sub-categorías de ésta responden a los contenidos de la </w:t>
      </w:r>
      <w:r w:rsidR="00052FF3">
        <w:t>l</w:t>
      </w:r>
      <w:r w:rsidR="001C41A6">
        <w:t>ey</w:t>
      </w:r>
      <w:r w:rsidRPr="005A6843">
        <w:t xml:space="preserve">: la relativa a </w:t>
      </w:r>
      <w:r w:rsidRPr="00B363B7">
        <w:rPr>
          <w:i/>
        </w:rPr>
        <w:t>“Normativa en elaboración”</w:t>
      </w:r>
      <w:r w:rsidRPr="005A6843">
        <w:t xml:space="preserve"> -que comprendería la información sobre los Anteproyectos de </w:t>
      </w:r>
      <w:r w:rsidR="00052FF3">
        <w:t>L</w:t>
      </w:r>
      <w:r w:rsidR="001C41A6">
        <w:t>ey</w:t>
      </w:r>
      <w:r w:rsidRPr="005A6843">
        <w:t xml:space="preserve"> y de Decretos-Legislativo, los proyectos de Reglamento y las memorias e informes elaborados durante su tramitación- y la relativa a </w:t>
      </w:r>
      <w:r w:rsidRPr="00B363B7">
        <w:rPr>
          <w:i/>
        </w:rPr>
        <w:t>“Otras Disposiciones”</w:t>
      </w:r>
      <w:r w:rsidRPr="005A6843">
        <w:t xml:space="preserve">, que incorporaría la información relativa a las instrucciones, circulares, </w:t>
      </w:r>
      <w:r w:rsidR="00235F53">
        <w:t>etc.</w:t>
      </w:r>
      <w:r w:rsidRPr="005A6843">
        <w:t xml:space="preserve"> . Las sub-categorías de </w:t>
      </w:r>
      <w:r w:rsidRPr="00B363B7">
        <w:rPr>
          <w:i/>
        </w:rPr>
        <w:t>“Normativa destacada”</w:t>
      </w:r>
      <w:r w:rsidRPr="005A6843">
        <w:t xml:space="preserve"> y </w:t>
      </w:r>
      <w:r w:rsidRPr="00B363B7">
        <w:rPr>
          <w:i/>
        </w:rPr>
        <w:t>“Normativa vigente”</w:t>
      </w:r>
      <w:r w:rsidRPr="005A6843">
        <w:t xml:space="preserve"> sobrarían completamente al no ser información exigida por la </w:t>
      </w:r>
      <w:r w:rsidR="00052FF3">
        <w:t>l</w:t>
      </w:r>
      <w:r w:rsidR="001C41A6">
        <w:t>ey</w:t>
      </w:r>
      <w:r w:rsidRPr="005A6843">
        <w:t xml:space="preserve"> –pertenecerían, en todo caso, al ámbito de cumplimiento voluntario de ésta- y faltaría por completo una sub-categoría referida al último de los contenidos informativos exigidos por la </w:t>
      </w:r>
      <w:r w:rsidR="00052FF3">
        <w:t>l</w:t>
      </w:r>
      <w:r w:rsidR="001C41A6">
        <w:t>ey</w:t>
      </w:r>
      <w:r w:rsidRPr="005A6843">
        <w:t xml:space="preserve">: los documentos sometidos a un período de información pública durante su tramitación. </w:t>
      </w:r>
    </w:p>
    <w:p w:rsidR="0044512D" w:rsidRDefault="0044512D" w:rsidP="00CD1B61">
      <w:pPr>
        <w:pStyle w:val="Prrafodelista"/>
        <w:numPr>
          <w:ilvl w:val="0"/>
          <w:numId w:val="18"/>
        </w:numPr>
        <w:spacing w:line="276" w:lineRule="auto"/>
        <w:ind w:left="425"/>
        <w:jc w:val="both"/>
      </w:pPr>
      <w:r w:rsidRPr="005A6843">
        <w:t xml:space="preserve">Por último, las categorías </w:t>
      </w:r>
      <w:r w:rsidRPr="00B363B7">
        <w:rPr>
          <w:i/>
        </w:rPr>
        <w:t xml:space="preserve">“Contratos, </w:t>
      </w:r>
      <w:r w:rsidR="00235F53">
        <w:rPr>
          <w:i/>
        </w:rPr>
        <w:t>etc.</w:t>
      </w:r>
      <w:r w:rsidRPr="00B363B7">
        <w:rPr>
          <w:i/>
        </w:rPr>
        <w:t xml:space="preserve">” </w:t>
      </w:r>
      <w:r w:rsidRPr="005A6843">
        <w:t xml:space="preserve">y </w:t>
      </w:r>
      <w:r w:rsidRPr="00B363B7">
        <w:rPr>
          <w:i/>
        </w:rPr>
        <w:t xml:space="preserve">“Presupuestos, </w:t>
      </w:r>
      <w:r w:rsidR="00235F53">
        <w:rPr>
          <w:i/>
        </w:rPr>
        <w:t>etc.</w:t>
      </w:r>
      <w:r w:rsidRPr="00B363B7">
        <w:rPr>
          <w:i/>
        </w:rPr>
        <w:t xml:space="preserve">” </w:t>
      </w:r>
      <w:r w:rsidRPr="005A6843">
        <w:t xml:space="preserve">del Portal incorporan varias informaciones no exigidas </w:t>
      </w:r>
      <w:r w:rsidR="00402144" w:rsidRPr="005A6843">
        <w:t xml:space="preserve">expresamente como tales </w:t>
      </w:r>
      <w:r w:rsidRPr="005A6843">
        <w:t xml:space="preserve">por el art. 8 de la </w:t>
      </w:r>
      <w:r w:rsidR="00052FF3">
        <w:t>l</w:t>
      </w:r>
      <w:r w:rsidR="001C41A6">
        <w:t>ey</w:t>
      </w:r>
      <w:r w:rsidRPr="005A6843">
        <w:t xml:space="preserve"> -contratos basados en </w:t>
      </w:r>
      <w:r w:rsidR="00020E24" w:rsidRPr="005A6843">
        <w:t>A</w:t>
      </w:r>
      <w:r w:rsidRPr="005A6843">
        <w:t>cuerdos</w:t>
      </w:r>
      <w:r w:rsidR="00402144" w:rsidRPr="005A6843">
        <w:t>-M</w:t>
      </w:r>
      <w:r w:rsidRPr="005A6843">
        <w:t xml:space="preserve">arco, subvenciones a partidos políticos e informes y estadísticas relevantes- y excluyen algunas exigidas expresamente -información estadística necesaria para valorar el grado de cumplimiento y calidad de los servicios públicos-  </w:t>
      </w:r>
    </w:p>
    <w:p w:rsidR="00AC71C8" w:rsidRPr="005A6843" w:rsidRDefault="00AC71C8" w:rsidP="00AC71C8">
      <w:pPr>
        <w:pStyle w:val="Prrafodelista"/>
        <w:spacing w:line="276" w:lineRule="auto"/>
        <w:ind w:left="425"/>
        <w:jc w:val="both"/>
      </w:pPr>
    </w:p>
    <w:p w:rsidR="002E7211" w:rsidRPr="005A6843" w:rsidRDefault="00020E24" w:rsidP="00AA712B">
      <w:pPr>
        <w:jc w:val="both"/>
      </w:pPr>
      <w:r w:rsidRPr="005A6843">
        <w:t xml:space="preserve">A </w:t>
      </w:r>
      <w:r w:rsidR="00205DD5" w:rsidRPr="005A6843">
        <w:t xml:space="preserve">juicio de este CTBG, </w:t>
      </w:r>
      <w:r w:rsidRPr="005A6843">
        <w:t xml:space="preserve">y desde la perspectiva de la claridad y la accesibilidad de la información para el usuario de publicidad activa menos familiarizado con la organización y la actividad de las AAPP, estas discrepancias entre la </w:t>
      </w:r>
      <w:r w:rsidR="00052FF3">
        <w:t>l</w:t>
      </w:r>
      <w:r w:rsidR="001C41A6">
        <w:t>ey</w:t>
      </w:r>
      <w:r w:rsidRPr="005A6843">
        <w:t xml:space="preserve"> y el Portal y las que afectan a las categorías deberían eliminarse. Co</w:t>
      </w:r>
      <w:r w:rsidR="00205DD5" w:rsidRPr="005A6843">
        <w:t xml:space="preserve">mo ha </w:t>
      </w:r>
      <w:r w:rsidR="002E7211" w:rsidRPr="005A6843">
        <w:t>recordado</w:t>
      </w:r>
      <w:r w:rsidRPr="005A6843">
        <w:t xml:space="preserve"> </w:t>
      </w:r>
      <w:r w:rsidR="00205DD5" w:rsidRPr="005A6843">
        <w:t xml:space="preserve">este Consejo en múltiples ocasiones, la </w:t>
      </w:r>
      <w:r w:rsidR="00052FF3">
        <w:t>l</w:t>
      </w:r>
      <w:r w:rsidR="001C41A6">
        <w:t>ey</w:t>
      </w:r>
      <w:r w:rsidR="00E768A4">
        <w:t xml:space="preserve"> de transparencia</w:t>
      </w:r>
      <w:r w:rsidR="00205DD5" w:rsidRPr="005A6843">
        <w:t xml:space="preserve"> es la </w:t>
      </w:r>
      <w:r w:rsidRPr="005A6843">
        <w:t xml:space="preserve">única herramienta y la única guía cierta con que cuenta el visitante </w:t>
      </w:r>
      <w:r w:rsidR="00205DD5" w:rsidRPr="005A6843">
        <w:t xml:space="preserve">de los portales y páginas </w:t>
      </w:r>
      <w:r w:rsidR="00FC4B2E" w:rsidRPr="00FC4B2E">
        <w:rPr>
          <w:i/>
        </w:rPr>
        <w:t>web</w:t>
      </w:r>
      <w:r w:rsidR="00205DD5" w:rsidRPr="005A6843">
        <w:t xml:space="preserve"> </w:t>
      </w:r>
      <w:r w:rsidRPr="005A6843">
        <w:t>oficiales para organizar la búsqueda de los datos que desea consultar</w:t>
      </w:r>
      <w:r w:rsidR="002E7211" w:rsidRPr="005A6843">
        <w:t xml:space="preserve">, de modo que </w:t>
      </w:r>
      <w:r w:rsidRPr="005A6843">
        <w:t xml:space="preserve">cuanto más se </w:t>
      </w:r>
      <w:r w:rsidR="002E7211" w:rsidRPr="005A6843">
        <w:t xml:space="preserve">separe </w:t>
      </w:r>
      <w:r w:rsidRPr="005A6843">
        <w:t xml:space="preserve">la estructura </w:t>
      </w:r>
      <w:r w:rsidR="002E7211" w:rsidRPr="005A6843">
        <w:t xml:space="preserve">y la terminología usada en dichos soportes de la empleada en la norma, más difícil le será </w:t>
      </w:r>
      <w:r w:rsidRPr="005A6843">
        <w:t>c</w:t>
      </w:r>
      <w:r w:rsidR="002E7211" w:rsidRPr="005A6843">
        <w:t>ulminar dicho proceso,</w:t>
      </w:r>
    </w:p>
    <w:p w:rsidR="00205DD5" w:rsidRPr="005A6843" w:rsidRDefault="002E7211" w:rsidP="00AA712B">
      <w:pPr>
        <w:jc w:val="both"/>
      </w:pPr>
      <w:r w:rsidRPr="005A6843">
        <w:t>En este sentido sería preciso:</w:t>
      </w:r>
    </w:p>
    <w:p w:rsidR="009E6B1E" w:rsidRDefault="00760677" w:rsidP="00CD1B61">
      <w:pPr>
        <w:pStyle w:val="Prrafodelista"/>
        <w:numPr>
          <w:ilvl w:val="0"/>
          <w:numId w:val="18"/>
        </w:numPr>
        <w:spacing w:line="276" w:lineRule="auto"/>
        <w:ind w:left="425" w:hanging="357"/>
        <w:jc w:val="both"/>
      </w:pPr>
      <w:r>
        <w:t>Reconducir</w:t>
      </w:r>
      <w:r w:rsidR="003A6544" w:rsidRPr="005A6843">
        <w:t xml:space="preserve"> </w:t>
      </w:r>
      <w:r w:rsidR="002E7211" w:rsidRPr="005A6843">
        <w:t xml:space="preserve">las cuatro categorías informativas del Portal a las tres establecidas en la </w:t>
      </w:r>
      <w:r w:rsidR="00052FF3">
        <w:t>l</w:t>
      </w:r>
      <w:r w:rsidR="001C41A6">
        <w:t>ey</w:t>
      </w:r>
      <w:r w:rsidR="00E768A4">
        <w:t xml:space="preserve"> de transparencia</w:t>
      </w:r>
      <w:r w:rsidR="002E7211" w:rsidRPr="005A6843">
        <w:t xml:space="preserve">. Para ello habría, primeramente, que rebautizar las dos primeras, </w:t>
      </w:r>
      <w:r w:rsidR="002E7211" w:rsidRPr="00B363B7">
        <w:rPr>
          <w:i/>
        </w:rPr>
        <w:t>“Institucional”</w:t>
      </w:r>
      <w:r w:rsidR="002E7211" w:rsidRPr="005A6843">
        <w:t xml:space="preserve"> y </w:t>
      </w:r>
      <w:r w:rsidR="002E7211" w:rsidRPr="00B363B7">
        <w:rPr>
          <w:i/>
        </w:rPr>
        <w:t>“Normativa”</w:t>
      </w:r>
      <w:r w:rsidR="002E7211" w:rsidRPr="005A6843">
        <w:t xml:space="preserve">, respectivamente como </w:t>
      </w:r>
      <w:r w:rsidR="00205DD5" w:rsidRPr="00B363B7">
        <w:rPr>
          <w:i/>
        </w:rPr>
        <w:t>“Información institucional, organizativa y de planificación”</w:t>
      </w:r>
      <w:r w:rsidR="002E7211" w:rsidRPr="005A6843">
        <w:t xml:space="preserve"> e </w:t>
      </w:r>
      <w:r w:rsidR="00205DD5" w:rsidRPr="00B363B7">
        <w:rPr>
          <w:i/>
        </w:rPr>
        <w:t>“Información de relevancia jurídica”</w:t>
      </w:r>
      <w:r w:rsidR="002E7211" w:rsidRPr="005A6843">
        <w:t xml:space="preserve">. En segundo lugar, habría que agrupar en una sola las dos restantes categorías, </w:t>
      </w:r>
      <w:r w:rsidR="002E7211" w:rsidRPr="00B363B7">
        <w:rPr>
          <w:i/>
        </w:rPr>
        <w:t>“Contratos”</w:t>
      </w:r>
      <w:r w:rsidR="002E7211" w:rsidRPr="005A6843">
        <w:t xml:space="preserve"> y </w:t>
      </w:r>
      <w:r w:rsidR="002E7211" w:rsidRPr="00B363B7">
        <w:rPr>
          <w:i/>
        </w:rPr>
        <w:t>“Presupuestos”</w:t>
      </w:r>
      <w:r w:rsidR="002E7211" w:rsidRPr="005A6843">
        <w:t xml:space="preserve">, y renombrar la categoría resultante tal y como establece la </w:t>
      </w:r>
      <w:r w:rsidR="00052FF3">
        <w:t>l</w:t>
      </w:r>
      <w:r w:rsidR="001C41A6">
        <w:t>ey</w:t>
      </w:r>
      <w:r w:rsidR="002E7211" w:rsidRPr="005A6843">
        <w:t>:</w:t>
      </w:r>
      <w:r w:rsidR="00205DD5" w:rsidRPr="005A6843">
        <w:t xml:space="preserve"> </w:t>
      </w:r>
      <w:r w:rsidR="00205DD5" w:rsidRPr="00B363B7">
        <w:rPr>
          <w:i/>
        </w:rPr>
        <w:t>“Información económica, presupuestaria y estadística”.</w:t>
      </w:r>
      <w:r w:rsidR="00205DD5" w:rsidRPr="005A6843">
        <w:t xml:space="preserve"> </w:t>
      </w:r>
      <w:r w:rsidR="009E6B1E" w:rsidRPr="005A6843">
        <w:t xml:space="preserve">Si por motivo de la configuración del Portal  esta agrupación no fuera posible a breve plazo, al menos debería advertirse expresamente que las dos categorías constituyen la información económica del art. 8 de </w:t>
      </w:r>
      <w:r w:rsidR="00052FF3">
        <w:t>l</w:t>
      </w:r>
      <w:r w:rsidR="001C41A6">
        <w:t>ey</w:t>
      </w:r>
      <w:r w:rsidR="00E768A4">
        <w:t xml:space="preserve"> de transparencia</w:t>
      </w:r>
      <w:r w:rsidR="009E6B1E" w:rsidRPr="005A6843">
        <w:t xml:space="preserve"> y justificar su desdoblamiento en dos, circunstancia de no fácil comprensión que en ningún caso se explica.</w:t>
      </w:r>
    </w:p>
    <w:p w:rsidR="00B363B7" w:rsidRPr="005A6843" w:rsidRDefault="00B363B7" w:rsidP="00B363B7">
      <w:pPr>
        <w:pStyle w:val="Prrafodelista"/>
        <w:spacing w:line="276" w:lineRule="auto"/>
        <w:ind w:left="425"/>
        <w:jc w:val="both"/>
      </w:pPr>
    </w:p>
    <w:p w:rsidR="00205DD5" w:rsidRDefault="00950CC2" w:rsidP="00CD1B61">
      <w:pPr>
        <w:pStyle w:val="Prrafodelista"/>
        <w:numPr>
          <w:ilvl w:val="0"/>
          <w:numId w:val="18"/>
        </w:numPr>
        <w:spacing w:line="276" w:lineRule="auto"/>
        <w:ind w:left="425" w:hanging="357"/>
        <w:jc w:val="both"/>
      </w:pPr>
      <w:r w:rsidRPr="005A6843">
        <w:t xml:space="preserve">Introducir una nueva sub-categoría de </w:t>
      </w:r>
      <w:r w:rsidRPr="00B363B7">
        <w:rPr>
          <w:i/>
        </w:rPr>
        <w:t>“Normativa reguladora”</w:t>
      </w:r>
      <w:r w:rsidRPr="005A6843">
        <w:t xml:space="preserve"> o </w:t>
      </w:r>
      <w:r w:rsidRPr="00B363B7">
        <w:rPr>
          <w:i/>
        </w:rPr>
        <w:t>“Normativa aplicable”</w:t>
      </w:r>
      <w:r w:rsidRPr="005A6843">
        <w:t xml:space="preserve"> e</w:t>
      </w:r>
      <w:r w:rsidR="00205DD5" w:rsidRPr="005A6843">
        <w:t>ntre l</w:t>
      </w:r>
      <w:r w:rsidRPr="005A6843">
        <w:t xml:space="preserve">os elementos informativos de la actual categoría “Institucional” del Portal y trasladar </w:t>
      </w:r>
      <w:r w:rsidR="00205DD5" w:rsidRPr="005A6843">
        <w:t xml:space="preserve"> </w:t>
      </w:r>
      <w:r w:rsidRPr="005A6843">
        <w:t xml:space="preserve">las </w:t>
      </w:r>
      <w:r w:rsidR="003A6544" w:rsidRPr="005A6843">
        <w:t xml:space="preserve">cuatro </w:t>
      </w:r>
      <w:r w:rsidRPr="005A6843">
        <w:t>sub-categorías correspo</w:t>
      </w:r>
      <w:r w:rsidR="003A6544" w:rsidRPr="005A6843">
        <w:t xml:space="preserve">ndientes a retribuciones de Altos Cargos y máximos responsables, autorizaciones de actividad privada de los Altos Cargos, indemnizaciones percibidas por los Altos Cargos con ocasión de su cese y autorizaciones de compatibilidad de los empleados públicos a la nueva categoría de </w:t>
      </w:r>
      <w:r w:rsidR="003A6544" w:rsidRPr="00B363B7">
        <w:rPr>
          <w:i/>
        </w:rPr>
        <w:t xml:space="preserve">“Información económica, presupuestaria y estadística” </w:t>
      </w:r>
      <w:r w:rsidR="003A6544" w:rsidRPr="005A6843">
        <w:t xml:space="preserve">que se recomienda crear o, en su defecto, a la actual categoría de </w:t>
      </w:r>
      <w:r w:rsidR="003A6544" w:rsidRPr="00B363B7">
        <w:rPr>
          <w:i/>
        </w:rPr>
        <w:t>“Presupuestos, Fiscalización o Estadísticas”</w:t>
      </w:r>
      <w:r w:rsidR="003A6544" w:rsidRPr="005A6843">
        <w:t xml:space="preserve">.  Finalmente, trasladar las dos sub-categorías actuales correspondientes a entes del sector público del Estado y relaciones de puestos de trabajo a la nueva categoría o contenido “Transparencia Voluntaria” que </w:t>
      </w:r>
      <w:r w:rsidR="00542D7F" w:rsidRPr="005A6843">
        <w:t xml:space="preserve">más arriba </w:t>
      </w:r>
      <w:r w:rsidR="003A6544" w:rsidRPr="005A6843">
        <w:t xml:space="preserve">se </w:t>
      </w:r>
      <w:r w:rsidR="00542D7F" w:rsidRPr="005A6843">
        <w:t>ha recomendado introducir en el Portal.</w:t>
      </w:r>
      <w:r w:rsidR="00205DD5" w:rsidRPr="005A6843">
        <w:t xml:space="preserve"> </w:t>
      </w:r>
    </w:p>
    <w:p w:rsidR="00B363B7" w:rsidRDefault="00B363B7" w:rsidP="00B363B7">
      <w:pPr>
        <w:pStyle w:val="Prrafodelista"/>
      </w:pPr>
    </w:p>
    <w:p w:rsidR="00205DD5" w:rsidRDefault="00542D7F" w:rsidP="00CD1B61">
      <w:pPr>
        <w:pStyle w:val="Prrafodelista"/>
        <w:numPr>
          <w:ilvl w:val="0"/>
          <w:numId w:val="18"/>
        </w:numPr>
        <w:spacing w:line="276" w:lineRule="auto"/>
        <w:ind w:left="425" w:hanging="357"/>
        <w:jc w:val="both"/>
      </w:pPr>
      <w:r w:rsidRPr="005A6843">
        <w:t xml:space="preserve">Renombrar la actual categoría </w:t>
      </w:r>
      <w:r w:rsidRPr="00B363B7">
        <w:rPr>
          <w:i/>
        </w:rPr>
        <w:t>“Normativa”</w:t>
      </w:r>
      <w:r w:rsidRPr="005A6843">
        <w:t xml:space="preserve"> del Portal como </w:t>
      </w:r>
      <w:r w:rsidRPr="00B363B7">
        <w:rPr>
          <w:i/>
        </w:rPr>
        <w:t>“Información de relevancia jurídica”</w:t>
      </w:r>
      <w:r w:rsidRPr="005A6843">
        <w:t xml:space="preserve">. Igualmente, renombrar la actual sub-categoría </w:t>
      </w:r>
      <w:r w:rsidRPr="00B363B7">
        <w:rPr>
          <w:i/>
        </w:rPr>
        <w:t>“Otras Disposiciones”</w:t>
      </w:r>
      <w:r w:rsidRPr="005A6843">
        <w:t xml:space="preserve"> como Directrices, instrucciones, acuerdos, circulares y respuestas a consultas y reformar completamente las restantes tres </w:t>
      </w:r>
      <w:r w:rsidR="00205DD5" w:rsidRPr="005A6843">
        <w:t>sub-categorías</w:t>
      </w:r>
      <w:r w:rsidRPr="005A6843">
        <w:t xml:space="preserve"> -</w:t>
      </w:r>
      <w:r w:rsidR="00205DD5" w:rsidRPr="00B363B7">
        <w:rPr>
          <w:i/>
        </w:rPr>
        <w:t>“Normativa destacada”, “Normativa en elaboración”, “Normativa vigente”</w:t>
      </w:r>
      <w:r w:rsidRPr="005A6843">
        <w:t xml:space="preserve">-, transformándolas en cuatro nuevas: </w:t>
      </w:r>
      <w:r w:rsidRPr="00B363B7">
        <w:rPr>
          <w:i/>
        </w:rPr>
        <w:t>“</w:t>
      </w:r>
      <w:r w:rsidR="00205DD5" w:rsidRPr="00B363B7">
        <w:rPr>
          <w:i/>
        </w:rPr>
        <w:t xml:space="preserve">Anteproyectos de </w:t>
      </w:r>
      <w:r w:rsidR="001C41A6">
        <w:rPr>
          <w:i/>
        </w:rPr>
        <w:t>Ley</w:t>
      </w:r>
      <w:r w:rsidR="00205DD5" w:rsidRPr="00B363B7">
        <w:rPr>
          <w:i/>
        </w:rPr>
        <w:t xml:space="preserve"> y proyectos de Decretos Legislativos</w:t>
      </w:r>
      <w:r w:rsidRPr="00B363B7">
        <w:rPr>
          <w:i/>
        </w:rPr>
        <w:t>”</w:t>
      </w:r>
      <w:r w:rsidRPr="005A6843">
        <w:t xml:space="preserve">, </w:t>
      </w:r>
      <w:r w:rsidRPr="00B363B7">
        <w:rPr>
          <w:i/>
        </w:rPr>
        <w:t>“</w:t>
      </w:r>
      <w:r w:rsidR="00205DD5" w:rsidRPr="00B363B7">
        <w:rPr>
          <w:i/>
        </w:rPr>
        <w:t>Proyectos de Reglamentos</w:t>
      </w:r>
      <w:r w:rsidRPr="00B363B7">
        <w:rPr>
          <w:i/>
        </w:rPr>
        <w:t>”</w:t>
      </w:r>
      <w:r w:rsidRPr="005A6843">
        <w:t xml:space="preserve">, </w:t>
      </w:r>
      <w:r w:rsidRPr="00B363B7">
        <w:rPr>
          <w:i/>
        </w:rPr>
        <w:t>“</w:t>
      </w:r>
      <w:r w:rsidR="00205DD5" w:rsidRPr="00B363B7">
        <w:rPr>
          <w:i/>
        </w:rPr>
        <w:t xml:space="preserve"> Memorias e informes </w:t>
      </w:r>
      <w:r w:rsidRPr="00B363B7">
        <w:rPr>
          <w:i/>
        </w:rPr>
        <w:t>correspondientes a l</w:t>
      </w:r>
      <w:r w:rsidR="00205DD5" w:rsidRPr="00B363B7">
        <w:rPr>
          <w:i/>
        </w:rPr>
        <w:t>os expedientes de elaboración de los textos normativos</w:t>
      </w:r>
      <w:r w:rsidRPr="00B363B7">
        <w:rPr>
          <w:i/>
        </w:rPr>
        <w:t>”</w:t>
      </w:r>
      <w:r w:rsidRPr="005A6843">
        <w:t xml:space="preserve"> y </w:t>
      </w:r>
      <w:r w:rsidRPr="00B363B7">
        <w:rPr>
          <w:i/>
        </w:rPr>
        <w:t>“</w:t>
      </w:r>
      <w:r w:rsidR="00205DD5" w:rsidRPr="00B363B7">
        <w:rPr>
          <w:i/>
        </w:rPr>
        <w:t>Documentos sometidos a información pública durante su tramitación</w:t>
      </w:r>
      <w:r w:rsidRPr="00B363B7">
        <w:rPr>
          <w:i/>
        </w:rPr>
        <w:t>”</w:t>
      </w:r>
    </w:p>
    <w:p w:rsidR="00B363B7" w:rsidRPr="005A6843" w:rsidRDefault="00B363B7" w:rsidP="00B363B7">
      <w:pPr>
        <w:pStyle w:val="Prrafodelista"/>
        <w:spacing w:line="276" w:lineRule="auto"/>
        <w:ind w:left="425"/>
        <w:jc w:val="both"/>
      </w:pPr>
    </w:p>
    <w:p w:rsidR="00402144" w:rsidRDefault="001C61F4" w:rsidP="00CD1B61">
      <w:pPr>
        <w:pStyle w:val="Prrafodelista"/>
        <w:numPr>
          <w:ilvl w:val="0"/>
          <w:numId w:val="18"/>
        </w:numPr>
        <w:spacing w:line="276" w:lineRule="auto"/>
        <w:ind w:left="425" w:hanging="357"/>
        <w:jc w:val="both"/>
      </w:pPr>
      <w:r w:rsidRPr="005A6843">
        <w:t xml:space="preserve">Trasladar la sub-categoría </w:t>
      </w:r>
      <w:r w:rsidRPr="00B363B7">
        <w:rPr>
          <w:i/>
        </w:rPr>
        <w:t>“Informes y Estadísticas Relevantes”</w:t>
      </w:r>
      <w:r w:rsidRPr="005A6843">
        <w:t xml:space="preserve"> de la actual categoría informativa </w:t>
      </w:r>
      <w:r w:rsidRPr="00B363B7">
        <w:rPr>
          <w:i/>
        </w:rPr>
        <w:t>“Presupuestos, Fiscalización o Estadísticas”</w:t>
      </w:r>
      <w:r w:rsidRPr="005A6843">
        <w:t xml:space="preserve"> a la nueva categoría o contenido </w:t>
      </w:r>
      <w:r w:rsidRPr="00B363B7">
        <w:rPr>
          <w:i/>
        </w:rPr>
        <w:t>“Transparencia Voluntaria”</w:t>
      </w:r>
      <w:r w:rsidRPr="005A6843">
        <w:t xml:space="preserve"> que se propone incorporar al Portal. Así mismo, subsumir las actuales sub-categorías </w:t>
      </w:r>
      <w:r w:rsidR="00402144" w:rsidRPr="00B363B7">
        <w:rPr>
          <w:i/>
        </w:rPr>
        <w:t>“Contratos basados en Acuerdos Marco”</w:t>
      </w:r>
      <w:r w:rsidR="00402144" w:rsidRPr="005A6843">
        <w:t xml:space="preserve"> y </w:t>
      </w:r>
      <w:r w:rsidR="00402144" w:rsidRPr="00B363B7">
        <w:rPr>
          <w:i/>
        </w:rPr>
        <w:t>“Subvenciones a partidos políticos”</w:t>
      </w:r>
      <w:r w:rsidR="00402144" w:rsidRPr="005A6843">
        <w:t xml:space="preserve">, de las categorías </w:t>
      </w:r>
      <w:r w:rsidR="00402144" w:rsidRPr="00B363B7">
        <w:rPr>
          <w:i/>
        </w:rPr>
        <w:t>“Contratos”</w:t>
      </w:r>
      <w:r w:rsidR="00402144" w:rsidRPr="005A6843">
        <w:t xml:space="preserve"> y </w:t>
      </w:r>
      <w:r w:rsidR="00402144" w:rsidRPr="00B363B7">
        <w:rPr>
          <w:i/>
        </w:rPr>
        <w:t>“Presupuestos”</w:t>
      </w:r>
      <w:r w:rsidR="00402144" w:rsidRPr="005A6843">
        <w:t xml:space="preserve">, en, </w:t>
      </w:r>
      <w:r w:rsidR="00A03C4D" w:rsidRPr="005A6843">
        <w:t>respectivamente</w:t>
      </w:r>
      <w:r w:rsidR="00402144" w:rsidRPr="005A6843">
        <w:t xml:space="preserve">, las sub-categorías </w:t>
      </w:r>
      <w:r w:rsidR="00402144" w:rsidRPr="00B363B7">
        <w:rPr>
          <w:i/>
        </w:rPr>
        <w:t>“Contratos”</w:t>
      </w:r>
      <w:r w:rsidR="00402144" w:rsidRPr="005A6843">
        <w:t xml:space="preserve"> y </w:t>
      </w:r>
      <w:r w:rsidR="00402144" w:rsidRPr="00B363B7">
        <w:rPr>
          <w:i/>
        </w:rPr>
        <w:t>“Subvenciones”</w:t>
      </w:r>
      <w:r w:rsidR="00402144" w:rsidRPr="005A6843">
        <w:t xml:space="preserve">. Finalmente, incorporar una nueva sub-categoría, </w:t>
      </w:r>
      <w:r w:rsidR="00402144" w:rsidRPr="00B363B7">
        <w:rPr>
          <w:i/>
        </w:rPr>
        <w:t>“información estadística necesaria para valorar el grado de cumplimiento y calidad de los servicios públicos”</w:t>
      </w:r>
      <w:r w:rsidR="00402144" w:rsidRPr="005A6843">
        <w:t xml:space="preserve"> a la nueva categoría de </w:t>
      </w:r>
      <w:r w:rsidR="00402144" w:rsidRPr="00B363B7">
        <w:rPr>
          <w:i/>
        </w:rPr>
        <w:t>“Información económica, presupuestaria y estadística”</w:t>
      </w:r>
      <w:r w:rsidR="00402144" w:rsidRPr="005A6843">
        <w:t xml:space="preserve"> que se recomienda crear o, en su defecto, a la actual categoría de </w:t>
      </w:r>
      <w:r w:rsidR="00402144" w:rsidRPr="00B363B7">
        <w:rPr>
          <w:i/>
        </w:rPr>
        <w:t>“Presupuestos, Fiscalización o Estadísticas”</w:t>
      </w:r>
      <w:r w:rsidR="00402144" w:rsidRPr="005A6843">
        <w:t>.</w:t>
      </w:r>
    </w:p>
    <w:p w:rsidR="00B363B7" w:rsidRDefault="00B363B7" w:rsidP="00B363B7">
      <w:pPr>
        <w:pStyle w:val="Prrafodelista"/>
      </w:pPr>
    </w:p>
    <w:p w:rsidR="00EF351D" w:rsidRDefault="00205DD5" w:rsidP="00CD1B61">
      <w:pPr>
        <w:pStyle w:val="Prrafodelista"/>
        <w:numPr>
          <w:ilvl w:val="0"/>
          <w:numId w:val="12"/>
        </w:numPr>
        <w:ind w:left="426"/>
        <w:jc w:val="both"/>
        <w:rPr>
          <w:b/>
          <w:color w:val="1C314E" w:themeColor="accent4" w:themeShade="80"/>
          <w:u w:val="single"/>
        </w:rPr>
      </w:pPr>
      <w:bookmarkStart w:id="103" w:name="_Toc489351999"/>
      <w:r w:rsidRPr="00B363B7">
        <w:rPr>
          <w:b/>
          <w:color w:val="1C314E" w:themeColor="accent4" w:themeShade="80"/>
          <w:u w:val="single"/>
        </w:rPr>
        <w:t>M</w:t>
      </w:r>
      <w:r w:rsidR="00B532DD">
        <w:rPr>
          <w:b/>
          <w:color w:val="1C314E" w:themeColor="accent4" w:themeShade="80"/>
          <w:u w:val="single"/>
        </w:rPr>
        <w:t>ENÚS MINISTERIALES</w:t>
      </w:r>
      <w:bookmarkEnd w:id="103"/>
    </w:p>
    <w:p w:rsidR="00B363B7" w:rsidRPr="00B363B7" w:rsidRDefault="00B363B7" w:rsidP="00B363B7">
      <w:pPr>
        <w:pStyle w:val="Prrafodelista"/>
        <w:ind w:left="426"/>
        <w:jc w:val="both"/>
        <w:rPr>
          <w:b/>
          <w:color w:val="1C314E" w:themeColor="accent4" w:themeShade="80"/>
          <w:u w:val="single"/>
        </w:rPr>
      </w:pPr>
    </w:p>
    <w:p w:rsidR="002F6046" w:rsidRPr="005A6843" w:rsidRDefault="002F6046" w:rsidP="00AA712B">
      <w:pPr>
        <w:jc w:val="both"/>
      </w:pPr>
      <w:r w:rsidRPr="005A6843">
        <w:t xml:space="preserve">Como se ha visto ya, además del acceso por </w:t>
      </w:r>
      <w:r w:rsidRPr="00B363B7">
        <w:rPr>
          <w:i/>
        </w:rPr>
        <w:t>“Categorías”</w:t>
      </w:r>
      <w:r w:rsidRPr="005A6843">
        <w:t xml:space="preserve">, el acceso a la información de publicidad activa del Portal puede hacerse por </w:t>
      </w:r>
      <w:r w:rsidRPr="00B363B7">
        <w:rPr>
          <w:i/>
        </w:rPr>
        <w:t>“</w:t>
      </w:r>
      <w:hyperlink r:id="rId34" w:history="1">
        <w:r w:rsidRPr="004A5B1B">
          <w:rPr>
            <w:rStyle w:val="Hipervnculo"/>
            <w:i/>
          </w:rPr>
          <w:t>Ministerios</w:t>
        </w:r>
      </w:hyperlink>
      <w:r w:rsidRPr="00B363B7">
        <w:rPr>
          <w:i/>
        </w:rPr>
        <w:t>”</w:t>
      </w:r>
      <w:r w:rsidRPr="005A6843">
        <w:t>.</w:t>
      </w:r>
    </w:p>
    <w:p w:rsidR="00954A28" w:rsidRDefault="002F6046" w:rsidP="00AA712B">
      <w:pPr>
        <w:jc w:val="both"/>
      </w:pPr>
      <w:r w:rsidRPr="005A6843">
        <w:t xml:space="preserve">En este caso, el visitante del Portal, </w:t>
      </w:r>
      <w:r w:rsidR="00205DD5" w:rsidRPr="005A6843">
        <w:t>a través de</w:t>
      </w:r>
      <w:r w:rsidR="00981B40" w:rsidRPr="005A6843">
        <w:t xml:space="preserve">l botón </w:t>
      </w:r>
      <w:r w:rsidR="00205DD5" w:rsidRPr="005A6843">
        <w:t>homónim</w:t>
      </w:r>
      <w:r w:rsidR="00981B40" w:rsidRPr="005A6843">
        <w:t>o</w:t>
      </w:r>
      <w:r w:rsidR="00205DD5" w:rsidRPr="005A6843">
        <w:t xml:space="preserve"> de</w:t>
      </w:r>
      <w:r w:rsidRPr="005A6843">
        <w:t xml:space="preserve"> la barra</w:t>
      </w:r>
      <w:r w:rsidR="00981B40" w:rsidRPr="005A6843">
        <w:t xml:space="preserve"> superior </w:t>
      </w:r>
      <w:r w:rsidR="00205DD5" w:rsidRPr="005A6843">
        <w:t xml:space="preserve">de opciones de </w:t>
      </w:r>
      <w:r w:rsidR="00981B40" w:rsidRPr="005A6843">
        <w:t xml:space="preserve">la </w:t>
      </w:r>
      <w:r w:rsidRPr="005A6843">
        <w:t xml:space="preserve">home, accede </w:t>
      </w:r>
      <w:r w:rsidR="00205DD5" w:rsidRPr="005A6843">
        <w:t xml:space="preserve">a un menú titulado </w:t>
      </w:r>
      <w:r w:rsidR="00205DD5" w:rsidRPr="00B363B7">
        <w:rPr>
          <w:i/>
        </w:rPr>
        <w:t>“Ministerios: Elementos de información”</w:t>
      </w:r>
      <w:r w:rsidR="00205DD5" w:rsidRPr="005A6843">
        <w:t>, en el que ya no figuran los accesos a los distintos elementos o sub-categorías de datos de publicidad activa sino los 13 Departamentos ministeriales existentes</w:t>
      </w:r>
      <w:r w:rsidRPr="005A6843">
        <w:t xml:space="preserve">. En </w:t>
      </w:r>
      <w:r w:rsidR="00205DD5" w:rsidRPr="005A6843">
        <w:t xml:space="preserve">realidad, el menú presenta 14 opciones pues junto a los accesos ministeriales figura el correspondiente a Presidencia del Gobierno. </w:t>
      </w:r>
    </w:p>
    <w:p w:rsidR="00205DD5" w:rsidRPr="005A6843" w:rsidRDefault="00205DD5" w:rsidP="000501D7">
      <w:r w:rsidRPr="005A6843">
        <w:t xml:space="preserve">“Pinchando” en cualquier Ministerio, se accede a un segundo menú, individualizado por </w:t>
      </w:r>
      <w:r w:rsidR="002F6046" w:rsidRPr="005A6843">
        <w:t>Departamento</w:t>
      </w:r>
      <w:r w:rsidRPr="005A6843">
        <w:t xml:space="preserve"> y titulado </w:t>
      </w:r>
      <w:r w:rsidRPr="000501D7">
        <w:rPr>
          <w:i/>
        </w:rPr>
        <w:t xml:space="preserve">“Transparencia del Ministerio </w:t>
      </w:r>
      <w:r w:rsidR="0011185E" w:rsidRPr="000501D7">
        <w:rPr>
          <w:i/>
        </w:rPr>
        <w:t>de…</w:t>
      </w:r>
      <w:r w:rsidRPr="000501D7">
        <w:rPr>
          <w:i/>
        </w:rPr>
        <w:t>.”</w:t>
      </w:r>
      <w:r w:rsidR="002F6046" w:rsidRPr="005A6843">
        <w:t xml:space="preserve">. El menú está encabezado por un texto explicativo con una </w:t>
      </w:r>
      <w:r w:rsidRPr="005A6843">
        <w:t>advertencia:</w:t>
      </w:r>
      <w:r w:rsidRPr="000501D7">
        <w:rPr>
          <w:i/>
        </w:rPr>
        <w:t xml:space="preserve"> “Puede acceder a las categorías y a los elementos de información de publicidad activa correspondientes al Ministerio </w:t>
      </w:r>
      <w:r w:rsidR="0011185E" w:rsidRPr="000501D7">
        <w:rPr>
          <w:i/>
        </w:rPr>
        <w:t>de…</w:t>
      </w:r>
      <w:r w:rsidRPr="000501D7">
        <w:rPr>
          <w:i/>
        </w:rPr>
        <w:t>.</w:t>
      </w:r>
      <w:r w:rsidR="0011185E">
        <w:t>”</w:t>
      </w:r>
      <w:r w:rsidRPr="005A6843">
        <w:t xml:space="preserve"> y </w:t>
      </w:r>
      <w:r w:rsidR="002F6046" w:rsidRPr="005A6843">
        <w:t xml:space="preserve">presenta, ahora sí, </w:t>
      </w:r>
      <w:r w:rsidRPr="005A6843">
        <w:t xml:space="preserve">las sub-categorías de información correspondientes a los distintos </w:t>
      </w:r>
      <w:r w:rsidR="00A82090" w:rsidRPr="005A6843">
        <w:t>Ministerios</w:t>
      </w:r>
      <w:r w:rsidRPr="005A6843">
        <w:t xml:space="preserve">. </w:t>
      </w:r>
    </w:p>
    <w:p w:rsidR="00205DD5" w:rsidRPr="005A6843" w:rsidRDefault="00205DD5" w:rsidP="00AA712B">
      <w:pPr>
        <w:jc w:val="both"/>
      </w:pPr>
      <w:r w:rsidRPr="005A6843">
        <w:t xml:space="preserve">Así, por ejemplo, si se “pincha” el acceso al primero de los </w:t>
      </w:r>
      <w:r w:rsidR="002F6046" w:rsidRPr="005A6843">
        <w:t>D</w:t>
      </w:r>
      <w:r w:rsidRPr="005A6843">
        <w:t>epartamentos</w:t>
      </w:r>
      <w:r w:rsidR="002F6046" w:rsidRPr="005A6843">
        <w:t xml:space="preserve">, </w:t>
      </w:r>
      <w:r w:rsidRPr="005A6843">
        <w:t xml:space="preserve">el MAEC, se accede al menú de </w:t>
      </w:r>
      <w:r w:rsidRPr="000501D7">
        <w:rPr>
          <w:i/>
        </w:rPr>
        <w:t>“</w:t>
      </w:r>
      <w:hyperlink r:id="rId35" w:history="1">
        <w:r w:rsidRPr="004A5B1B">
          <w:rPr>
            <w:rStyle w:val="Hipervnculo"/>
            <w:i/>
          </w:rPr>
          <w:t>Transparencia del Ministerio de Asuntos Exteriores y de Cooperación</w:t>
        </w:r>
      </w:hyperlink>
      <w:r w:rsidRPr="000501D7">
        <w:rPr>
          <w:i/>
        </w:rPr>
        <w:t>”</w:t>
      </w:r>
      <w:r w:rsidRPr="005A6843">
        <w:t>:</w:t>
      </w:r>
    </w:p>
    <w:p w:rsidR="00205DD5" w:rsidRPr="005A6843" w:rsidRDefault="00205DD5" w:rsidP="00AA712B">
      <w:pPr>
        <w:jc w:val="both"/>
      </w:pPr>
      <w:r w:rsidRPr="005A6843">
        <w:t xml:space="preserve">De este modo, la ruta de acceso por Ministerios termina por conducir al visitante a los mismos contenidos informativos que la ruta por categorías, aunque “departamentalizados”. </w:t>
      </w:r>
    </w:p>
    <w:p w:rsidR="00EF351D" w:rsidRPr="005A6843" w:rsidRDefault="00894EEE" w:rsidP="00AA712B">
      <w:pPr>
        <w:jc w:val="both"/>
      </w:pPr>
      <w:r w:rsidRPr="005A6843">
        <w:t>Ahora bien: e</w:t>
      </w:r>
      <w:r w:rsidR="00EF351D" w:rsidRPr="005A6843">
        <w:t>xaminando la imagen que acaba de incluirse se comprueba que:</w:t>
      </w:r>
    </w:p>
    <w:p w:rsidR="00EF351D" w:rsidRDefault="00EF351D" w:rsidP="00CD1B61">
      <w:pPr>
        <w:pStyle w:val="Prrafodelista"/>
        <w:numPr>
          <w:ilvl w:val="0"/>
          <w:numId w:val="19"/>
        </w:numPr>
        <w:spacing w:line="276" w:lineRule="auto"/>
        <w:ind w:left="426"/>
        <w:jc w:val="both"/>
      </w:pPr>
      <w:r w:rsidRPr="005A6843">
        <w:t xml:space="preserve">En la categoría </w:t>
      </w:r>
      <w:r w:rsidRPr="000501D7">
        <w:rPr>
          <w:i/>
        </w:rPr>
        <w:t>“Institucional”</w:t>
      </w:r>
      <w:r w:rsidRPr="005A6843">
        <w:t xml:space="preserve"> faltan c</w:t>
      </w:r>
      <w:r w:rsidR="0021128E" w:rsidRPr="005A6843">
        <w:t>uatro</w:t>
      </w:r>
      <w:r w:rsidRPr="005A6843">
        <w:t xml:space="preserve"> sub-categorías: </w:t>
      </w:r>
      <w:r w:rsidR="0021128E" w:rsidRPr="000501D7">
        <w:rPr>
          <w:i/>
        </w:rPr>
        <w:t xml:space="preserve">“Entes del Sector Público Estatal”, </w:t>
      </w:r>
      <w:r w:rsidRPr="000501D7">
        <w:rPr>
          <w:i/>
        </w:rPr>
        <w:t xml:space="preserve">“Autorizaciones de actividad de </w:t>
      </w:r>
      <w:r w:rsidR="0021128E" w:rsidRPr="000501D7">
        <w:rPr>
          <w:i/>
        </w:rPr>
        <w:t>A</w:t>
      </w:r>
      <w:r w:rsidRPr="000501D7">
        <w:rPr>
          <w:i/>
        </w:rPr>
        <w:t xml:space="preserve">ltos </w:t>
      </w:r>
      <w:r w:rsidR="0021128E" w:rsidRPr="000501D7">
        <w:rPr>
          <w:i/>
        </w:rPr>
        <w:t>C</w:t>
      </w:r>
      <w:r w:rsidRPr="000501D7">
        <w:rPr>
          <w:i/>
        </w:rPr>
        <w:t>argos”, “Indemnizaciones por abandono del cargo”</w:t>
      </w:r>
      <w:r w:rsidRPr="005A6843">
        <w:t xml:space="preserve"> y </w:t>
      </w:r>
      <w:r w:rsidRPr="000501D7">
        <w:rPr>
          <w:i/>
        </w:rPr>
        <w:t>“Autorizaciones o reconocimiento de compatibilidad de los empleados públicos”</w:t>
      </w:r>
      <w:r w:rsidR="0021128E" w:rsidRPr="005A6843">
        <w:t>.</w:t>
      </w:r>
    </w:p>
    <w:p w:rsidR="000501D7" w:rsidRPr="005A6843" w:rsidRDefault="000501D7" w:rsidP="000501D7">
      <w:pPr>
        <w:pStyle w:val="Prrafodelista"/>
        <w:spacing w:line="276" w:lineRule="auto"/>
        <w:ind w:left="426"/>
        <w:jc w:val="both"/>
      </w:pPr>
    </w:p>
    <w:p w:rsidR="00EF351D" w:rsidRDefault="00EF351D" w:rsidP="00CD1B61">
      <w:pPr>
        <w:pStyle w:val="Prrafodelista"/>
        <w:numPr>
          <w:ilvl w:val="0"/>
          <w:numId w:val="19"/>
        </w:numPr>
        <w:spacing w:line="276" w:lineRule="auto"/>
        <w:ind w:left="426"/>
        <w:jc w:val="both"/>
      </w:pPr>
      <w:r w:rsidRPr="005A6843">
        <w:t xml:space="preserve">En la categoría </w:t>
      </w:r>
      <w:r w:rsidRPr="000501D7">
        <w:rPr>
          <w:i/>
        </w:rPr>
        <w:t>“Contratos, Convenios, Subvenciones y Bienes Inmuebles”</w:t>
      </w:r>
      <w:r w:rsidRPr="005A6843">
        <w:t xml:space="preserve"> faltan cuatro sub-categorías; </w:t>
      </w:r>
      <w:r w:rsidRPr="000501D7">
        <w:rPr>
          <w:i/>
        </w:rPr>
        <w:t>“Estadística de contratos”; “Contratos basados en Acuerdos-Marco”; “Subvenciones”</w:t>
      </w:r>
      <w:r w:rsidRPr="005A6843">
        <w:t xml:space="preserve"> y </w:t>
      </w:r>
      <w:r w:rsidRPr="000501D7">
        <w:rPr>
          <w:i/>
        </w:rPr>
        <w:t>“Subvenciones a los partidos políticos”.</w:t>
      </w:r>
    </w:p>
    <w:p w:rsidR="000501D7" w:rsidRDefault="000501D7" w:rsidP="000501D7">
      <w:pPr>
        <w:pStyle w:val="Prrafodelista"/>
      </w:pPr>
    </w:p>
    <w:p w:rsidR="00EF351D" w:rsidRDefault="00EF351D" w:rsidP="00CD1B61">
      <w:pPr>
        <w:pStyle w:val="Prrafodelista"/>
        <w:numPr>
          <w:ilvl w:val="0"/>
          <w:numId w:val="19"/>
        </w:numPr>
        <w:spacing w:line="276" w:lineRule="auto"/>
        <w:ind w:left="426"/>
        <w:jc w:val="both"/>
      </w:pPr>
      <w:r w:rsidRPr="005A6843">
        <w:t xml:space="preserve">Y en la categoría </w:t>
      </w:r>
      <w:r w:rsidRPr="000501D7">
        <w:rPr>
          <w:i/>
        </w:rPr>
        <w:t>“Presupuestos, Fiscalización e Informes”</w:t>
      </w:r>
      <w:r w:rsidRPr="005A6843">
        <w:t xml:space="preserve"> faltan cinco sub-categorías </w:t>
      </w:r>
      <w:r w:rsidRPr="000501D7">
        <w:rPr>
          <w:i/>
        </w:rPr>
        <w:t>“Cuentas anuales e informes de auditoría”, “informes de fiscalización”, “Informes y estadísticas relevantes”, “Estabilidad presupuestaria”</w:t>
      </w:r>
      <w:r w:rsidRPr="005A6843">
        <w:t xml:space="preserve"> y </w:t>
      </w:r>
      <w:r w:rsidRPr="000501D7">
        <w:rPr>
          <w:i/>
        </w:rPr>
        <w:t>“Más información presupuestaria”</w:t>
      </w:r>
      <w:r w:rsidRPr="005A6843">
        <w:t>.</w:t>
      </w:r>
    </w:p>
    <w:p w:rsidR="000501D7" w:rsidRDefault="000501D7" w:rsidP="000501D7">
      <w:pPr>
        <w:pStyle w:val="Prrafodelista"/>
      </w:pPr>
    </w:p>
    <w:p w:rsidR="00894EEE" w:rsidRPr="005A6843" w:rsidRDefault="00EF351D" w:rsidP="000501D7">
      <w:pPr>
        <w:jc w:val="both"/>
      </w:pPr>
      <w:r w:rsidRPr="005A6843">
        <w:t>En resumidas</w:t>
      </w:r>
      <w:r w:rsidR="0021128E" w:rsidRPr="005A6843">
        <w:t xml:space="preserve"> cuentas</w:t>
      </w:r>
      <w:r w:rsidRPr="005A6843">
        <w:t>, de las 28 sub-categorías que incorpora el menú general de categorías del Portal, únicamente aparecen 1</w:t>
      </w:r>
      <w:r w:rsidR="00084ADB" w:rsidRPr="005A6843">
        <w:t>5</w:t>
      </w:r>
      <w:r w:rsidR="0021128E" w:rsidRPr="005A6843">
        <w:t xml:space="preserve"> en la transparencia específica del MAEC.</w:t>
      </w:r>
      <w:r w:rsidR="00894EEE" w:rsidRPr="005A6843">
        <w:t xml:space="preserve"> </w:t>
      </w:r>
    </w:p>
    <w:p w:rsidR="00EF351D" w:rsidRDefault="00EF351D" w:rsidP="00AA712B">
      <w:pPr>
        <w:jc w:val="both"/>
      </w:pPr>
      <w:r w:rsidRPr="005A6843">
        <w:t xml:space="preserve">Este hecho se repite en el resto de los menús ministeriales </w:t>
      </w:r>
      <w:r w:rsidR="0021128E" w:rsidRPr="005A6843">
        <w:t xml:space="preserve">de transparencia, </w:t>
      </w:r>
      <w:r w:rsidRPr="005A6843">
        <w:t xml:space="preserve">salvo en el correspondiente a la Presidencia del Gobierno, en el que faltan </w:t>
      </w:r>
      <w:r w:rsidR="0021128E" w:rsidRPr="005A6843">
        <w:t xml:space="preserve">íntegramente </w:t>
      </w:r>
      <w:r w:rsidRPr="005A6843">
        <w:t xml:space="preserve">las sub-categorías </w:t>
      </w:r>
      <w:r w:rsidR="0021128E" w:rsidRPr="005A6843">
        <w:t xml:space="preserve">propias de las categorías </w:t>
      </w:r>
      <w:r w:rsidRPr="000501D7">
        <w:rPr>
          <w:i/>
        </w:rPr>
        <w:t>“Contratos” y “Presupuestos”</w:t>
      </w:r>
      <w:r w:rsidRPr="005A6843">
        <w:t>:</w:t>
      </w:r>
    </w:p>
    <w:p w:rsidR="005E3C29" w:rsidRDefault="00A96D42" w:rsidP="00A96D42">
      <w:pPr>
        <w:jc w:val="center"/>
      </w:pPr>
      <w:r>
        <w:rPr>
          <w:noProof/>
          <w:lang w:eastAsia="es-ES"/>
        </w:rPr>
        <w:drawing>
          <wp:inline distT="0" distB="0" distL="0" distR="0">
            <wp:extent cx="5076825" cy="3897008"/>
            <wp:effectExtent l="19050" t="0" r="9525"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5296" t="8048" r="5312" b="6203"/>
                    <a:stretch>
                      <a:fillRect/>
                    </a:stretch>
                  </pic:blipFill>
                  <pic:spPr bwMode="auto">
                    <a:xfrm>
                      <a:off x="0" y="0"/>
                      <a:ext cx="5076537" cy="3896787"/>
                    </a:xfrm>
                    <a:prstGeom prst="rect">
                      <a:avLst/>
                    </a:prstGeom>
                    <a:noFill/>
                    <a:ln w="9525">
                      <a:noFill/>
                      <a:miter lim="800000"/>
                      <a:headEnd/>
                      <a:tailEnd/>
                    </a:ln>
                  </pic:spPr>
                </pic:pic>
              </a:graphicData>
            </a:graphic>
          </wp:inline>
        </w:drawing>
      </w:r>
    </w:p>
    <w:p w:rsidR="004B6768" w:rsidRPr="005A6843" w:rsidRDefault="00165A51" w:rsidP="00AA712B">
      <w:pPr>
        <w:jc w:val="both"/>
      </w:pPr>
      <w:r w:rsidRPr="005A6843">
        <w:t>Es evidente que ambas circunstancias, tanto la ausencia de dos categorías informativas y de tres sub-categorías o elementos de información en el menú de transparencia de Presidencia del Gobierno y la falta de 1</w:t>
      </w:r>
      <w:r w:rsidR="00084ADB" w:rsidRPr="005A6843">
        <w:t>3</w:t>
      </w:r>
      <w:r w:rsidRPr="005A6843">
        <w:t xml:space="preserve"> sub-categorías en el resto de los menús ministeriales, tienen, como en seguida se verá, una explicación. Y también es evidente que </w:t>
      </w:r>
      <w:r w:rsidR="00732E70" w:rsidRPr="005A6843">
        <w:t xml:space="preserve">no determinan por sí mismas ni déficits ni </w:t>
      </w:r>
      <w:r w:rsidRPr="005A6843">
        <w:t xml:space="preserve">lagunas </w:t>
      </w:r>
      <w:r w:rsidR="00732E70" w:rsidRPr="005A6843">
        <w:t>e</w:t>
      </w:r>
      <w:r w:rsidRPr="005A6843">
        <w:t>n l</w:t>
      </w:r>
      <w:r w:rsidR="00732E70" w:rsidRPr="005A6843">
        <w:t xml:space="preserve">os datos </w:t>
      </w:r>
      <w:r w:rsidRPr="005A6843">
        <w:t>del Portal</w:t>
      </w:r>
      <w:r w:rsidR="00732E70" w:rsidRPr="005A6843">
        <w:t>, pues la información faltante en los menús ministeriales puede encontrarse accediendo a la vía de la categorías de información</w:t>
      </w:r>
      <w:r w:rsidRPr="005A6843">
        <w:t xml:space="preserve">. </w:t>
      </w:r>
      <w:r w:rsidR="00EF351D" w:rsidRPr="005A6843">
        <w:t>Pe</w:t>
      </w:r>
      <w:r w:rsidRPr="005A6843">
        <w:t xml:space="preserve">ro </w:t>
      </w:r>
      <w:r w:rsidR="00732E70" w:rsidRPr="005A6843">
        <w:t>no puede negarse que produce un resultado cuando menos  sorprendente pues pone de manifiesto que las dos vías de acceso de que dispone el Portal para llegar a los datos de publicidad activa</w:t>
      </w:r>
      <w:r w:rsidR="004B6768" w:rsidRPr="005A6843">
        <w:t xml:space="preserve"> –acceso por categorías y acceso por Ministerios- </w:t>
      </w:r>
      <w:r w:rsidR="00732E70" w:rsidRPr="005A6843">
        <w:t xml:space="preserve">no </w:t>
      </w:r>
      <w:r w:rsidR="004B6768" w:rsidRPr="005A6843">
        <w:t xml:space="preserve">acceden a los </w:t>
      </w:r>
      <w:r w:rsidR="00732E70" w:rsidRPr="005A6843">
        <w:t>mismo</w:t>
      </w:r>
      <w:r w:rsidR="004B6768" w:rsidRPr="005A6843">
        <w:t>s</w:t>
      </w:r>
      <w:r w:rsidR="00732E70" w:rsidRPr="005A6843">
        <w:t xml:space="preserve"> contenido</w:t>
      </w:r>
      <w:r w:rsidR="004B6768" w:rsidRPr="005A6843">
        <w:t>s</w:t>
      </w:r>
      <w:r w:rsidR="00732E70" w:rsidRPr="005A6843">
        <w:t xml:space="preserve"> y </w:t>
      </w:r>
      <w:r w:rsidR="004B6768" w:rsidRPr="005A6843">
        <w:t>que la duplicidad de accesos, lejos de ser una commodity, puede restringir la información disponible para el visitante del Portal.</w:t>
      </w:r>
    </w:p>
    <w:p w:rsidR="001F45D3" w:rsidRPr="005A6843" w:rsidRDefault="004B6768" w:rsidP="00AA712B">
      <w:pPr>
        <w:jc w:val="both"/>
      </w:pPr>
      <w:r w:rsidRPr="005A6843">
        <w:t xml:space="preserve">Como acaba de decirse, las discrepancias que se han detectado entre los contenidos accesibles por la vía de las categorías y los contenidos accesibles por la vía de los Ministerios tienen una explicación. </w:t>
      </w:r>
    </w:p>
    <w:p w:rsidR="001F45D3" w:rsidRPr="005A6843" w:rsidRDefault="004B6768" w:rsidP="00AA712B">
      <w:pPr>
        <w:jc w:val="both"/>
      </w:pPr>
      <w:r w:rsidRPr="005A6843">
        <w:t>En el caso de la Presidencia del Gobierno, responden a un hecho práctico: la gestión económica de la organización así como sus facultades de elaboración e iniciativa normativa son ejercidas realmente por la Subsecretaría del MPREAT</w:t>
      </w:r>
      <w:r w:rsidR="001F45D3" w:rsidRPr="005A6843">
        <w:t>. Consecuentemente, carece de sentido replicar los datos correspondientes en los menús de transparencia de ambas organizaciones.</w:t>
      </w:r>
    </w:p>
    <w:p w:rsidR="00084ADB" w:rsidRPr="005A6843" w:rsidRDefault="001F45D3" w:rsidP="00AA712B">
      <w:pPr>
        <w:jc w:val="both"/>
      </w:pPr>
      <w:r w:rsidRPr="005A6843">
        <w:t>En el caso de las 1</w:t>
      </w:r>
      <w:r w:rsidR="00084ADB" w:rsidRPr="005A6843">
        <w:t>3</w:t>
      </w:r>
      <w:r w:rsidRPr="005A6843">
        <w:t xml:space="preserve"> sub-categorías informativas ausentes de los menús departamentales, la razón tiene que ver con la fuente de los datos incorporados al Portal. Las informaciones que aparecen en los menús han sido suministradas al Portal directamente por los Departamentos</w:t>
      </w:r>
      <w:r w:rsidR="00084ADB" w:rsidRPr="005A6843">
        <w:t xml:space="preserve"> o han sido obtenidas de bases de datos, plataformas o sistemas gestionadas de forma centralizada por un órgano de la AGE y posteriormente “filtradas” por Ministerios. L</w:t>
      </w:r>
      <w:r w:rsidRPr="005A6843">
        <w:t xml:space="preserve">as informaciones que no aparecen </w:t>
      </w:r>
      <w:r w:rsidR="00084ADB" w:rsidRPr="005A6843">
        <w:t xml:space="preserve">en los menús han sido obtenidas de bases de datos, plataformas, </w:t>
      </w:r>
      <w:r w:rsidR="00235F53">
        <w:t>etc.</w:t>
      </w:r>
      <w:r w:rsidR="00DE77F7" w:rsidRPr="005A6843">
        <w:t xml:space="preserve"> </w:t>
      </w:r>
      <w:r w:rsidR="00084ADB" w:rsidRPr="005A6843">
        <w:t>centralizada</w:t>
      </w:r>
      <w:r w:rsidR="00DE77F7" w:rsidRPr="005A6843">
        <w:t xml:space="preserve">s y no han recibido tratamiento de “filtrado” o “departamentalización”, probablemente porque a </w:t>
      </w:r>
      <w:r w:rsidR="00084ADB" w:rsidRPr="005A6843">
        <w:t>causa de su arquitectura o configuración</w:t>
      </w:r>
      <w:r w:rsidR="00DE77F7" w:rsidRPr="005A6843">
        <w:t xml:space="preserve"> éste no ha sido posible o no ha sido aconsejable debido a su coste o complejidad. </w:t>
      </w:r>
    </w:p>
    <w:p w:rsidR="00EF351D" w:rsidRPr="005A6843" w:rsidRDefault="00EF351D" w:rsidP="00AA712B">
      <w:pPr>
        <w:jc w:val="both"/>
      </w:pPr>
      <w:r w:rsidRPr="005A6843">
        <w:t xml:space="preserve">En la tabla </w:t>
      </w:r>
      <w:r w:rsidR="004F7CCE" w:rsidRPr="005A6843">
        <w:t xml:space="preserve">que se introduce a continuación </w:t>
      </w:r>
      <w:r w:rsidRPr="005A6843">
        <w:t xml:space="preserve">se especifican las sub-categorías de información del Portal en que la información </w:t>
      </w:r>
      <w:r w:rsidR="001F45D3" w:rsidRPr="005A6843">
        <w:t xml:space="preserve">ha </w:t>
      </w:r>
      <w:r w:rsidR="00084ADB" w:rsidRPr="005A6843">
        <w:t xml:space="preserve">podido ser </w:t>
      </w:r>
      <w:r w:rsidR="003178F6" w:rsidRPr="005A6843">
        <w:t>“</w:t>
      </w:r>
      <w:r w:rsidRPr="005A6843">
        <w:t>departamentalizada</w:t>
      </w:r>
      <w:r w:rsidR="003178F6" w:rsidRPr="005A6843">
        <w:t>”</w:t>
      </w:r>
      <w:r w:rsidR="001F45D3" w:rsidRPr="005A6843">
        <w:t xml:space="preserve"> o “ministerializada” </w:t>
      </w:r>
      <w:r w:rsidRPr="005A6843">
        <w:t>(MIN) y aquellas en que</w:t>
      </w:r>
      <w:r w:rsidR="00084ADB" w:rsidRPr="005A6843">
        <w:t xml:space="preserve"> dicho tratamiento no se ha realizado </w:t>
      </w:r>
      <w:r w:rsidRPr="005A6843">
        <w:t>(CEN)</w:t>
      </w:r>
      <w:r w:rsidR="00084ADB" w:rsidRPr="005A6843">
        <w:t>.</w:t>
      </w:r>
      <w:r w:rsidR="004F7CCE" w:rsidRPr="005A6843">
        <w:t xml:space="preserve"> E</w:t>
      </w:r>
      <w:r w:rsidRPr="005A6843">
        <w:t xml:space="preserve">n </w:t>
      </w:r>
      <w:r w:rsidR="00DE77F7" w:rsidRPr="005A6843">
        <w:t xml:space="preserve">los casos en que se ha acudido a un recurso centralizado, </w:t>
      </w:r>
      <w:r w:rsidR="004F7CCE" w:rsidRPr="005A6843">
        <w:t xml:space="preserve">se </w:t>
      </w:r>
      <w:r w:rsidR="00DE77F7" w:rsidRPr="005A6843">
        <w:t>incluyen los datos del mismo</w:t>
      </w:r>
      <w:r w:rsidR="004F7CCE" w:rsidRPr="005A6843">
        <w:t>.</w:t>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675"/>
        <w:gridCol w:w="4253"/>
        <w:gridCol w:w="825"/>
        <w:gridCol w:w="3994"/>
      </w:tblGrid>
      <w:tr w:rsidR="00537C58" w:rsidRPr="00537C58" w:rsidTr="004F7996">
        <w:trPr>
          <w:cantSplit/>
          <w:trHeight w:hRule="exact" w:val="680"/>
          <w:tblHeader/>
        </w:trPr>
        <w:tc>
          <w:tcPr>
            <w:tcW w:w="675" w:type="dxa"/>
            <w:shd w:val="clear" w:color="auto" w:fill="1C314E" w:themeFill="accent4" w:themeFillShade="80"/>
            <w:vAlign w:val="center"/>
          </w:tcPr>
          <w:p w:rsidR="00EF351D" w:rsidRPr="00537C58" w:rsidRDefault="00EF351D" w:rsidP="00537C58">
            <w:pPr>
              <w:jc w:val="center"/>
              <w:rPr>
                <w:b/>
                <w:color w:val="FFFFFF" w:themeColor="background1"/>
              </w:rPr>
            </w:pPr>
            <w:r w:rsidRPr="00537C58">
              <w:rPr>
                <w:b/>
                <w:color w:val="FFFFFF" w:themeColor="background1"/>
              </w:rPr>
              <w:t>Nº</w:t>
            </w:r>
          </w:p>
        </w:tc>
        <w:tc>
          <w:tcPr>
            <w:tcW w:w="4253" w:type="dxa"/>
            <w:shd w:val="clear" w:color="auto" w:fill="1C314E" w:themeFill="accent4" w:themeFillShade="80"/>
            <w:vAlign w:val="center"/>
          </w:tcPr>
          <w:p w:rsidR="00EF351D" w:rsidRPr="00537C58" w:rsidRDefault="00EF351D" w:rsidP="00537C58">
            <w:pPr>
              <w:jc w:val="center"/>
              <w:rPr>
                <w:b/>
                <w:color w:val="FFFFFF" w:themeColor="background1"/>
              </w:rPr>
            </w:pPr>
            <w:r w:rsidRPr="00537C58">
              <w:rPr>
                <w:b/>
                <w:color w:val="FFFFFF" w:themeColor="background1"/>
              </w:rPr>
              <w:t>Item / sub-categoría</w:t>
            </w:r>
          </w:p>
        </w:tc>
        <w:tc>
          <w:tcPr>
            <w:tcW w:w="825" w:type="dxa"/>
            <w:shd w:val="clear" w:color="auto" w:fill="1C314E" w:themeFill="accent4" w:themeFillShade="80"/>
            <w:vAlign w:val="center"/>
          </w:tcPr>
          <w:p w:rsidR="00EF351D" w:rsidRPr="00537C58" w:rsidRDefault="00EF351D" w:rsidP="00537C58">
            <w:pPr>
              <w:jc w:val="center"/>
              <w:rPr>
                <w:b/>
                <w:color w:val="FFFFFF" w:themeColor="background1"/>
              </w:rPr>
            </w:pPr>
            <w:r w:rsidRPr="00537C58">
              <w:rPr>
                <w:b/>
                <w:color w:val="FFFFFF" w:themeColor="background1"/>
              </w:rPr>
              <w:t>Tipo  Info.</w:t>
            </w:r>
          </w:p>
        </w:tc>
        <w:tc>
          <w:tcPr>
            <w:tcW w:w="3994" w:type="dxa"/>
            <w:shd w:val="clear" w:color="auto" w:fill="1C314E" w:themeFill="accent4" w:themeFillShade="80"/>
            <w:vAlign w:val="center"/>
          </w:tcPr>
          <w:p w:rsidR="00EF351D" w:rsidRPr="00537C58" w:rsidRDefault="00EF351D" w:rsidP="00537C58">
            <w:pPr>
              <w:jc w:val="center"/>
              <w:rPr>
                <w:b/>
                <w:color w:val="FFFFFF" w:themeColor="background1"/>
              </w:rPr>
            </w:pPr>
            <w:r w:rsidRPr="00537C58">
              <w:rPr>
                <w:b/>
                <w:color w:val="FFFFFF" w:themeColor="background1"/>
              </w:rPr>
              <w:t>Base de Datos</w:t>
            </w:r>
            <w:r w:rsidR="00DE77F7" w:rsidRPr="00537C58">
              <w:rPr>
                <w:b/>
                <w:color w:val="FFFFFF" w:themeColor="background1"/>
              </w:rPr>
              <w:t xml:space="preserve"> / Recurso</w:t>
            </w:r>
          </w:p>
        </w:tc>
      </w:tr>
      <w:tr w:rsidR="00EF351D" w:rsidRPr="005A6843" w:rsidTr="00A330F1">
        <w:trPr>
          <w:cantSplit/>
          <w:trHeight w:hRule="exact" w:val="454"/>
        </w:trPr>
        <w:tc>
          <w:tcPr>
            <w:tcW w:w="9747" w:type="dxa"/>
            <w:gridSpan w:val="4"/>
            <w:shd w:val="clear" w:color="auto" w:fill="A6DCEA" w:themeFill="accent1" w:themeFillTint="66"/>
            <w:vAlign w:val="center"/>
          </w:tcPr>
          <w:p w:rsidR="00EF351D" w:rsidRPr="00537C58" w:rsidRDefault="00EF351D" w:rsidP="00537C58">
            <w:pPr>
              <w:jc w:val="center"/>
              <w:rPr>
                <w:b/>
                <w:sz w:val="28"/>
                <w:szCs w:val="28"/>
              </w:rPr>
            </w:pPr>
            <w:r w:rsidRPr="00537C58">
              <w:rPr>
                <w:b/>
                <w:sz w:val="28"/>
                <w:szCs w:val="28"/>
              </w:rPr>
              <w:t>CATEGORÍA INSTITUCIONAL</w:t>
            </w:r>
          </w:p>
        </w:tc>
      </w:tr>
      <w:tr w:rsidR="00EF351D" w:rsidRPr="005A6843" w:rsidTr="00537C58">
        <w:trPr>
          <w:cantSplit/>
        </w:trPr>
        <w:tc>
          <w:tcPr>
            <w:tcW w:w="675" w:type="dxa"/>
          </w:tcPr>
          <w:p w:rsidR="00EF351D" w:rsidRPr="005A6843" w:rsidRDefault="00EF351D" w:rsidP="004F7996">
            <w:pPr>
              <w:spacing w:after="100" w:afterAutospacing="1"/>
              <w:jc w:val="both"/>
            </w:pPr>
            <w:r w:rsidRPr="005A6843">
              <w:t>01</w:t>
            </w:r>
          </w:p>
        </w:tc>
        <w:tc>
          <w:tcPr>
            <w:tcW w:w="4253" w:type="dxa"/>
          </w:tcPr>
          <w:p w:rsidR="00EF351D" w:rsidRPr="005A6843" w:rsidRDefault="00EF351D" w:rsidP="004F7996">
            <w:pPr>
              <w:spacing w:after="100" w:afterAutospacing="1"/>
              <w:jc w:val="both"/>
            </w:pPr>
            <w:r w:rsidRPr="005A6843">
              <w:t>Estructura</w:t>
            </w:r>
          </w:p>
        </w:tc>
        <w:tc>
          <w:tcPr>
            <w:tcW w:w="825" w:type="dxa"/>
          </w:tcPr>
          <w:p w:rsidR="00EF351D" w:rsidRPr="005A6843" w:rsidRDefault="00EF351D" w:rsidP="004F7996">
            <w:pPr>
              <w:spacing w:after="100" w:afterAutospacing="1"/>
              <w:jc w:val="both"/>
            </w:pPr>
            <w:r w:rsidRPr="005A6843">
              <w:t>MIN</w:t>
            </w:r>
          </w:p>
        </w:tc>
        <w:tc>
          <w:tcPr>
            <w:tcW w:w="3994" w:type="dxa"/>
          </w:tcPr>
          <w:p w:rsidR="00EF351D" w:rsidRPr="005A6843" w:rsidRDefault="00DE77F7" w:rsidP="004F7996">
            <w:pPr>
              <w:spacing w:after="100" w:afterAutospacing="1"/>
              <w:jc w:val="both"/>
            </w:pPr>
            <w:r w:rsidRPr="005A6843">
              <w:t>----</w:t>
            </w:r>
          </w:p>
        </w:tc>
      </w:tr>
      <w:tr w:rsidR="00DE77F7" w:rsidRPr="005A6843" w:rsidTr="00537C58">
        <w:trPr>
          <w:cantSplit/>
        </w:trPr>
        <w:tc>
          <w:tcPr>
            <w:tcW w:w="675" w:type="dxa"/>
          </w:tcPr>
          <w:p w:rsidR="00DE77F7" w:rsidRPr="005A6843" w:rsidRDefault="00DE77F7" w:rsidP="004F7996">
            <w:pPr>
              <w:spacing w:after="100" w:afterAutospacing="1"/>
              <w:jc w:val="both"/>
            </w:pPr>
            <w:r w:rsidRPr="005A6843">
              <w:t>02</w:t>
            </w:r>
          </w:p>
        </w:tc>
        <w:tc>
          <w:tcPr>
            <w:tcW w:w="4253" w:type="dxa"/>
          </w:tcPr>
          <w:p w:rsidR="00DE77F7" w:rsidRPr="005A6843" w:rsidRDefault="00DE77F7" w:rsidP="004F7996">
            <w:pPr>
              <w:spacing w:after="100" w:afterAutospacing="1"/>
              <w:jc w:val="both"/>
            </w:pPr>
            <w:r w:rsidRPr="005A6843">
              <w:t>Funciones</w:t>
            </w:r>
          </w:p>
        </w:tc>
        <w:tc>
          <w:tcPr>
            <w:tcW w:w="825" w:type="dxa"/>
          </w:tcPr>
          <w:p w:rsidR="00DE77F7" w:rsidRPr="005A6843" w:rsidRDefault="00DE77F7" w:rsidP="004F7996">
            <w:pPr>
              <w:spacing w:after="100" w:afterAutospacing="1"/>
              <w:jc w:val="both"/>
            </w:pPr>
            <w:r w:rsidRPr="005A6843">
              <w:t>MIN</w:t>
            </w:r>
          </w:p>
        </w:tc>
        <w:tc>
          <w:tcPr>
            <w:tcW w:w="3994" w:type="dxa"/>
          </w:tcPr>
          <w:p w:rsidR="00DE77F7" w:rsidRPr="005A6843" w:rsidRDefault="00DE77F7" w:rsidP="004F7996">
            <w:pPr>
              <w:spacing w:after="100" w:afterAutospacing="1"/>
              <w:jc w:val="both"/>
            </w:pPr>
            <w:r w:rsidRPr="005A6843">
              <w:t>----</w:t>
            </w:r>
          </w:p>
        </w:tc>
      </w:tr>
      <w:tr w:rsidR="00DE77F7" w:rsidRPr="005A6843" w:rsidTr="00537C58">
        <w:trPr>
          <w:cantSplit/>
        </w:trPr>
        <w:tc>
          <w:tcPr>
            <w:tcW w:w="675" w:type="dxa"/>
          </w:tcPr>
          <w:p w:rsidR="00DE77F7" w:rsidRPr="005A6843" w:rsidRDefault="00DE77F7" w:rsidP="004F7996">
            <w:pPr>
              <w:spacing w:after="100" w:afterAutospacing="1"/>
              <w:jc w:val="both"/>
            </w:pPr>
            <w:r w:rsidRPr="005A6843">
              <w:t>03</w:t>
            </w:r>
          </w:p>
        </w:tc>
        <w:tc>
          <w:tcPr>
            <w:tcW w:w="4253" w:type="dxa"/>
          </w:tcPr>
          <w:p w:rsidR="00DE77F7" w:rsidRPr="005A6843" w:rsidRDefault="00DE77F7" w:rsidP="004F7996">
            <w:pPr>
              <w:spacing w:after="100" w:afterAutospacing="1"/>
              <w:jc w:val="both"/>
            </w:pPr>
            <w:r w:rsidRPr="005A6843">
              <w:t>Planes de objetivos</w:t>
            </w:r>
          </w:p>
        </w:tc>
        <w:tc>
          <w:tcPr>
            <w:tcW w:w="825" w:type="dxa"/>
          </w:tcPr>
          <w:p w:rsidR="00DE77F7" w:rsidRPr="005A6843" w:rsidRDefault="00DE77F7" w:rsidP="004F7996">
            <w:pPr>
              <w:spacing w:after="100" w:afterAutospacing="1"/>
              <w:jc w:val="both"/>
            </w:pPr>
            <w:r w:rsidRPr="005A6843">
              <w:t>MIN</w:t>
            </w:r>
          </w:p>
        </w:tc>
        <w:tc>
          <w:tcPr>
            <w:tcW w:w="3994" w:type="dxa"/>
          </w:tcPr>
          <w:p w:rsidR="00DE77F7" w:rsidRPr="005A6843" w:rsidRDefault="00DE77F7" w:rsidP="004F7996">
            <w:pPr>
              <w:spacing w:after="100" w:afterAutospacing="1"/>
              <w:jc w:val="both"/>
            </w:pPr>
            <w:r w:rsidRPr="005A6843">
              <w:t>----</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04</w:t>
            </w:r>
          </w:p>
        </w:tc>
        <w:tc>
          <w:tcPr>
            <w:tcW w:w="4253" w:type="dxa"/>
            <w:vAlign w:val="center"/>
          </w:tcPr>
          <w:p w:rsidR="00EF351D" w:rsidRPr="005A6843" w:rsidRDefault="00EF351D" w:rsidP="004F7996">
            <w:pPr>
              <w:spacing w:after="100" w:afterAutospacing="1"/>
              <w:jc w:val="both"/>
            </w:pPr>
            <w:r w:rsidRPr="005A6843">
              <w:t>Entes del Sector Público Estatal</w:t>
            </w:r>
          </w:p>
        </w:tc>
        <w:tc>
          <w:tcPr>
            <w:tcW w:w="825" w:type="dxa"/>
            <w:vAlign w:val="center"/>
          </w:tcPr>
          <w:p w:rsidR="00EF351D" w:rsidRPr="005A6843" w:rsidRDefault="00316794" w:rsidP="004F7996">
            <w:pPr>
              <w:spacing w:after="100" w:afterAutospacing="1"/>
              <w:jc w:val="both"/>
            </w:pPr>
            <w:r w:rsidRPr="005A6843">
              <w:t>CEN</w:t>
            </w:r>
          </w:p>
        </w:tc>
        <w:tc>
          <w:tcPr>
            <w:tcW w:w="3994" w:type="dxa"/>
          </w:tcPr>
          <w:p w:rsidR="00316794" w:rsidRPr="005A6843" w:rsidRDefault="00316794" w:rsidP="004B7D74">
            <w:pPr>
              <w:spacing w:after="120" w:line="240" w:lineRule="auto"/>
            </w:pPr>
            <w:r w:rsidRPr="005A6843">
              <w:t xml:space="preserve">Secretaría de Estado de Presupuestos y Gastos (SEPG) </w:t>
            </w:r>
            <w:r w:rsidR="002777CB">
              <w:t>I</w:t>
            </w:r>
            <w:r w:rsidR="002777CB" w:rsidRPr="005A6843">
              <w:t xml:space="preserve">ntervención </w:t>
            </w:r>
            <w:r w:rsidR="002777CB">
              <w:t>General de la A</w:t>
            </w:r>
            <w:r w:rsidR="002777CB" w:rsidRPr="005A6843">
              <w:t xml:space="preserve">dministración del </w:t>
            </w:r>
            <w:r w:rsidR="002777CB">
              <w:t>E</w:t>
            </w:r>
            <w:r w:rsidR="002777CB" w:rsidRPr="005A6843">
              <w:t>stado</w:t>
            </w:r>
            <w:r w:rsidR="00215C51" w:rsidRPr="005A6843">
              <w:t xml:space="preserve"> (IGAE)</w:t>
            </w:r>
          </w:p>
          <w:p w:rsidR="00EF351D" w:rsidRPr="005A6843" w:rsidRDefault="00527CBF" w:rsidP="004B7D74">
            <w:pPr>
              <w:spacing w:after="120" w:line="240" w:lineRule="auto"/>
            </w:pPr>
            <w:r w:rsidRPr="005A6843">
              <w:t>Inventario de Entes del Sector Público Estatal (INVESPE) Inventario de Entes Públicos (INVENTE)</w:t>
            </w:r>
          </w:p>
        </w:tc>
      </w:tr>
      <w:tr w:rsidR="00EF351D" w:rsidRPr="005A6843" w:rsidTr="00537C58">
        <w:trPr>
          <w:cantSplit/>
        </w:trPr>
        <w:tc>
          <w:tcPr>
            <w:tcW w:w="675" w:type="dxa"/>
          </w:tcPr>
          <w:p w:rsidR="00EF351D" w:rsidRPr="005A6843" w:rsidRDefault="00EF351D" w:rsidP="004F7996">
            <w:pPr>
              <w:spacing w:after="100" w:afterAutospacing="1"/>
              <w:jc w:val="both"/>
            </w:pPr>
            <w:r w:rsidRPr="005A6843">
              <w:t>05</w:t>
            </w:r>
          </w:p>
        </w:tc>
        <w:tc>
          <w:tcPr>
            <w:tcW w:w="4253" w:type="dxa"/>
          </w:tcPr>
          <w:p w:rsidR="00EF351D" w:rsidRPr="005A6843" w:rsidRDefault="00EF351D" w:rsidP="004F7996">
            <w:pPr>
              <w:spacing w:after="100" w:afterAutospacing="1"/>
              <w:jc w:val="both"/>
            </w:pPr>
            <w:r w:rsidRPr="005A6843">
              <w:t>Curricul</w:t>
            </w:r>
            <w:r w:rsidR="00894EEE" w:rsidRPr="005A6843">
              <w:t>os d</w:t>
            </w:r>
            <w:r w:rsidRPr="005A6843">
              <w:t>e Altos Cargos</w:t>
            </w:r>
          </w:p>
        </w:tc>
        <w:tc>
          <w:tcPr>
            <w:tcW w:w="825" w:type="dxa"/>
          </w:tcPr>
          <w:p w:rsidR="00EF351D" w:rsidRPr="005A6843" w:rsidRDefault="00EF351D" w:rsidP="004F7996">
            <w:pPr>
              <w:spacing w:after="100" w:afterAutospacing="1"/>
              <w:jc w:val="both"/>
            </w:pPr>
            <w:r w:rsidRPr="005A6843">
              <w:t>MIN</w:t>
            </w:r>
          </w:p>
        </w:tc>
        <w:tc>
          <w:tcPr>
            <w:tcW w:w="3994" w:type="dxa"/>
          </w:tcPr>
          <w:p w:rsidR="00EF351D" w:rsidRPr="005A6843" w:rsidRDefault="00DE77F7" w:rsidP="00980169">
            <w:pPr>
              <w:spacing w:after="100" w:afterAutospacing="1"/>
            </w:pPr>
            <w:r w:rsidRPr="005A6843">
              <w:t>----</w:t>
            </w:r>
          </w:p>
        </w:tc>
      </w:tr>
      <w:tr w:rsidR="00EF351D" w:rsidRPr="005A6843" w:rsidTr="00537C58">
        <w:trPr>
          <w:cantSplit/>
        </w:trPr>
        <w:tc>
          <w:tcPr>
            <w:tcW w:w="675" w:type="dxa"/>
          </w:tcPr>
          <w:p w:rsidR="00EF351D" w:rsidRPr="005A6843" w:rsidRDefault="00EF351D" w:rsidP="004F7996">
            <w:pPr>
              <w:spacing w:after="100" w:afterAutospacing="1"/>
              <w:jc w:val="both"/>
            </w:pPr>
            <w:r w:rsidRPr="005A6843">
              <w:t>06</w:t>
            </w:r>
          </w:p>
        </w:tc>
        <w:tc>
          <w:tcPr>
            <w:tcW w:w="4253" w:type="dxa"/>
          </w:tcPr>
          <w:p w:rsidR="00EF351D" w:rsidRPr="005A6843" w:rsidRDefault="00EF351D" w:rsidP="004F7996">
            <w:pPr>
              <w:spacing w:after="100" w:afterAutospacing="1"/>
              <w:jc w:val="both"/>
            </w:pPr>
            <w:r w:rsidRPr="005A6843">
              <w:t>Retribuciones de Altos Cargos</w:t>
            </w:r>
          </w:p>
        </w:tc>
        <w:tc>
          <w:tcPr>
            <w:tcW w:w="825" w:type="dxa"/>
          </w:tcPr>
          <w:p w:rsidR="00EF351D" w:rsidRPr="005A6843" w:rsidRDefault="00EF351D" w:rsidP="004F7996">
            <w:pPr>
              <w:spacing w:after="100" w:afterAutospacing="1"/>
              <w:jc w:val="both"/>
            </w:pPr>
            <w:r w:rsidRPr="005A6843">
              <w:t>MIN</w:t>
            </w:r>
          </w:p>
        </w:tc>
        <w:tc>
          <w:tcPr>
            <w:tcW w:w="3994" w:type="dxa"/>
          </w:tcPr>
          <w:p w:rsidR="00EF351D" w:rsidRPr="005A6843" w:rsidRDefault="00DE77F7" w:rsidP="00980169">
            <w:pPr>
              <w:spacing w:after="100" w:afterAutospacing="1"/>
            </w:pPr>
            <w:r w:rsidRPr="005A6843">
              <w:t>----</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07</w:t>
            </w:r>
          </w:p>
        </w:tc>
        <w:tc>
          <w:tcPr>
            <w:tcW w:w="4253" w:type="dxa"/>
            <w:vAlign w:val="center"/>
          </w:tcPr>
          <w:p w:rsidR="00EF351D" w:rsidRPr="005A6843" w:rsidRDefault="00EF351D" w:rsidP="004F7996">
            <w:pPr>
              <w:spacing w:after="100" w:afterAutospacing="1"/>
              <w:jc w:val="both"/>
            </w:pPr>
            <w:r w:rsidRPr="005A6843">
              <w:t>Actividad privada tras el cese</w:t>
            </w:r>
          </w:p>
        </w:tc>
        <w:tc>
          <w:tcPr>
            <w:tcW w:w="825" w:type="dxa"/>
            <w:vAlign w:val="center"/>
          </w:tcPr>
          <w:p w:rsidR="00EF351D" w:rsidRPr="005A6843" w:rsidRDefault="00EF351D" w:rsidP="004F7996">
            <w:pPr>
              <w:spacing w:after="100" w:afterAutospacing="1"/>
              <w:jc w:val="both"/>
            </w:pPr>
            <w:r w:rsidRPr="005A6843">
              <w:t>CEN</w:t>
            </w:r>
          </w:p>
        </w:tc>
        <w:tc>
          <w:tcPr>
            <w:tcW w:w="3994" w:type="dxa"/>
          </w:tcPr>
          <w:p w:rsidR="00316794" w:rsidRPr="005A6843" w:rsidRDefault="00316794" w:rsidP="004B7D74">
            <w:pPr>
              <w:spacing w:after="120" w:line="240" w:lineRule="auto"/>
            </w:pPr>
            <w:r w:rsidRPr="005A6843">
              <w:t>Secretaría de Estado de Función Pública (SEFP)</w:t>
            </w:r>
          </w:p>
          <w:p w:rsidR="00EF351D" w:rsidRPr="005A6843" w:rsidRDefault="002777CB" w:rsidP="004B7D74">
            <w:pPr>
              <w:spacing w:after="120" w:line="240" w:lineRule="auto"/>
            </w:pPr>
            <w:r>
              <w:t>Oficina de Conflictos de I</w:t>
            </w:r>
            <w:r w:rsidRPr="005A6843">
              <w:t xml:space="preserve">ntereses </w:t>
            </w:r>
            <w:r w:rsidR="00EF351D" w:rsidRPr="005A6843">
              <w:t>(OCI)</w:t>
            </w:r>
          </w:p>
          <w:p w:rsidR="00DE77F7" w:rsidRPr="005A6843" w:rsidRDefault="00DE77F7" w:rsidP="004B7D74">
            <w:pPr>
              <w:spacing w:after="120" w:line="240" w:lineRule="auto"/>
            </w:pPr>
            <w:r w:rsidRPr="005A6843">
              <w:t>Sistemas OCI</w:t>
            </w:r>
          </w:p>
        </w:tc>
      </w:tr>
      <w:tr w:rsidR="00EF351D" w:rsidRPr="005A6843" w:rsidTr="00537C58">
        <w:trPr>
          <w:cantSplit/>
        </w:trPr>
        <w:tc>
          <w:tcPr>
            <w:tcW w:w="675" w:type="dxa"/>
          </w:tcPr>
          <w:p w:rsidR="00EF351D" w:rsidRPr="005A6843" w:rsidRDefault="00EF351D" w:rsidP="004F7996">
            <w:pPr>
              <w:spacing w:after="100" w:afterAutospacing="1"/>
              <w:jc w:val="both"/>
            </w:pPr>
            <w:r w:rsidRPr="005A6843">
              <w:t>08</w:t>
            </w:r>
          </w:p>
        </w:tc>
        <w:tc>
          <w:tcPr>
            <w:tcW w:w="4253" w:type="dxa"/>
          </w:tcPr>
          <w:p w:rsidR="00EF351D" w:rsidRPr="005A6843" w:rsidRDefault="00EF351D" w:rsidP="004F7996">
            <w:pPr>
              <w:spacing w:after="100" w:afterAutospacing="1"/>
              <w:jc w:val="both"/>
            </w:pPr>
            <w:r w:rsidRPr="005A6843">
              <w:t>Indemnizaciones abandono cargo</w:t>
            </w:r>
          </w:p>
        </w:tc>
        <w:tc>
          <w:tcPr>
            <w:tcW w:w="825" w:type="dxa"/>
          </w:tcPr>
          <w:p w:rsidR="00EF351D" w:rsidRPr="005A6843" w:rsidRDefault="00EF351D" w:rsidP="004F7996">
            <w:pPr>
              <w:spacing w:after="100" w:afterAutospacing="1"/>
              <w:jc w:val="both"/>
            </w:pPr>
            <w:r w:rsidRPr="005A6843">
              <w:t>CEN</w:t>
            </w:r>
          </w:p>
        </w:tc>
        <w:tc>
          <w:tcPr>
            <w:tcW w:w="3994" w:type="dxa"/>
          </w:tcPr>
          <w:p w:rsidR="00EF351D" w:rsidRPr="005A6843" w:rsidRDefault="00316794" w:rsidP="00980169">
            <w:pPr>
              <w:spacing w:after="100" w:afterAutospacing="1"/>
            </w:pPr>
            <w:r w:rsidRPr="005A6843">
              <w:t xml:space="preserve">SEFP - </w:t>
            </w:r>
            <w:r w:rsidR="00EF351D" w:rsidRPr="005A6843">
              <w:t>OCI</w:t>
            </w:r>
          </w:p>
        </w:tc>
      </w:tr>
      <w:tr w:rsidR="00EF351D" w:rsidRPr="005A6843" w:rsidTr="00537C58">
        <w:trPr>
          <w:cantSplit/>
        </w:trPr>
        <w:tc>
          <w:tcPr>
            <w:tcW w:w="675" w:type="dxa"/>
          </w:tcPr>
          <w:p w:rsidR="00EF351D" w:rsidRPr="005A6843" w:rsidRDefault="00EF351D" w:rsidP="004F7996">
            <w:pPr>
              <w:spacing w:after="100" w:afterAutospacing="1"/>
              <w:jc w:val="both"/>
            </w:pPr>
            <w:r w:rsidRPr="005A6843">
              <w:t>09</w:t>
            </w:r>
          </w:p>
        </w:tc>
        <w:tc>
          <w:tcPr>
            <w:tcW w:w="4253" w:type="dxa"/>
          </w:tcPr>
          <w:p w:rsidR="00EF351D" w:rsidRPr="005A6843" w:rsidRDefault="00EF351D" w:rsidP="004F7996">
            <w:pPr>
              <w:spacing w:after="100" w:afterAutospacing="1"/>
              <w:jc w:val="both"/>
            </w:pPr>
            <w:r w:rsidRPr="005A6843">
              <w:t>Compatibilidad de empleados públicos</w:t>
            </w:r>
          </w:p>
        </w:tc>
        <w:tc>
          <w:tcPr>
            <w:tcW w:w="825" w:type="dxa"/>
          </w:tcPr>
          <w:p w:rsidR="00EF351D" w:rsidRPr="005A6843" w:rsidRDefault="00EF351D" w:rsidP="004F7996">
            <w:pPr>
              <w:spacing w:after="100" w:afterAutospacing="1"/>
              <w:jc w:val="both"/>
            </w:pPr>
            <w:r w:rsidRPr="005A6843">
              <w:t>CEN</w:t>
            </w:r>
          </w:p>
        </w:tc>
        <w:tc>
          <w:tcPr>
            <w:tcW w:w="3994" w:type="dxa"/>
          </w:tcPr>
          <w:p w:rsidR="00EF351D" w:rsidRPr="005A6843" w:rsidRDefault="00215C51" w:rsidP="00980169">
            <w:pPr>
              <w:spacing w:after="100" w:afterAutospacing="1"/>
            </w:pPr>
            <w:r w:rsidRPr="005A6843">
              <w:t xml:space="preserve">SEFP - </w:t>
            </w:r>
            <w:r w:rsidR="00EF351D" w:rsidRPr="005A6843">
              <w:t>OCI</w:t>
            </w:r>
          </w:p>
        </w:tc>
      </w:tr>
      <w:tr w:rsidR="00EF351D" w:rsidRPr="005A6843" w:rsidTr="00A330F1">
        <w:trPr>
          <w:cantSplit/>
        </w:trPr>
        <w:tc>
          <w:tcPr>
            <w:tcW w:w="675" w:type="dxa"/>
            <w:tcBorders>
              <w:bottom w:val="dotted" w:sz="4" w:space="0" w:color="auto"/>
            </w:tcBorders>
          </w:tcPr>
          <w:p w:rsidR="00EF351D" w:rsidRPr="005A6843" w:rsidRDefault="00EF351D" w:rsidP="004F7996">
            <w:pPr>
              <w:spacing w:after="100" w:afterAutospacing="1"/>
              <w:jc w:val="both"/>
            </w:pPr>
            <w:r w:rsidRPr="005A6843">
              <w:t>10</w:t>
            </w:r>
          </w:p>
        </w:tc>
        <w:tc>
          <w:tcPr>
            <w:tcW w:w="4253" w:type="dxa"/>
            <w:tcBorders>
              <w:bottom w:val="dotted" w:sz="4" w:space="0" w:color="auto"/>
            </w:tcBorders>
          </w:tcPr>
          <w:p w:rsidR="00EF351D" w:rsidRPr="005A6843" w:rsidRDefault="00EF351D" w:rsidP="004F7996">
            <w:pPr>
              <w:spacing w:after="100" w:afterAutospacing="1"/>
              <w:jc w:val="both"/>
            </w:pPr>
            <w:r w:rsidRPr="005A6843">
              <w:t>Relaciones de puestos de trabajo</w:t>
            </w:r>
          </w:p>
        </w:tc>
        <w:tc>
          <w:tcPr>
            <w:tcW w:w="825" w:type="dxa"/>
            <w:tcBorders>
              <w:bottom w:val="dotted" w:sz="4" w:space="0" w:color="auto"/>
            </w:tcBorders>
          </w:tcPr>
          <w:p w:rsidR="00EF351D" w:rsidRPr="005A6843" w:rsidRDefault="00EF351D" w:rsidP="004F7996">
            <w:pPr>
              <w:spacing w:after="100" w:afterAutospacing="1"/>
              <w:jc w:val="both"/>
            </w:pPr>
            <w:r w:rsidRPr="005A6843">
              <w:t>MIN</w:t>
            </w:r>
          </w:p>
        </w:tc>
        <w:tc>
          <w:tcPr>
            <w:tcW w:w="3994" w:type="dxa"/>
            <w:tcBorders>
              <w:bottom w:val="dotted" w:sz="4" w:space="0" w:color="auto"/>
            </w:tcBorders>
          </w:tcPr>
          <w:p w:rsidR="00EF351D" w:rsidRPr="005A6843" w:rsidRDefault="00DE77F7" w:rsidP="004F7996">
            <w:pPr>
              <w:spacing w:after="100" w:afterAutospacing="1"/>
              <w:jc w:val="both"/>
            </w:pPr>
            <w:r w:rsidRPr="005A6843">
              <w:t>----</w:t>
            </w:r>
          </w:p>
        </w:tc>
      </w:tr>
      <w:tr w:rsidR="00EF351D" w:rsidRPr="005A6843" w:rsidTr="00A330F1">
        <w:trPr>
          <w:cantSplit/>
          <w:trHeight w:hRule="exact" w:val="454"/>
        </w:trPr>
        <w:tc>
          <w:tcPr>
            <w:tcW w:w="9747" w:type="dxa"/>
            <w:gridSpan w:val="4"/>
            <w:shd w:val="clear" w:color="auto" w:fill="A6DCEA" w:themeFill="accent1" w:themeFillTint="66"/>
          </w:tcPr>
          <w:p w:rsidR="00EF351D" w:rsidRPr="005A6843" w:rsidRDefault="00EF351D" w:rsidP="00537C58">
            <w:pPr>
              <w:jc w:val="center"/>
            </w:pPr>
            <w:r w:rsidRPr="00537C58">
              <w:rPr>
                <w:b/>
                <w:sz w:val="28"/>
                <w:szCs w:val="28"/>
              </w:rPr>
              <w:t>CATEGORÍA NORMATIVA</w:t>
            </w:r>
          </w:p>
        </w:tc>
      </w:tr>
      <w:tr w:rsidR="00EF351D" w:rsidRPr="005A6843" w:rsidTr="00537C58">
        <w:trPr>
          <w:cantSplit/>
        </w:trPr>
        <w:tc>
          <w:tcPr>
            <w:tcW w:w="675" w:type="dxa"/>
          </w:tcPr>
          <w:p w:rsidR="00EF351D" w:rsidRPr="005A6843" w:rsidRDefault="00EF351D" w:rsidP="004F7996">
            <w:pPr>
              <w:spacing w:after="100" w:afterAutospacing="1"/>
              <w:jc w:val="both"/>
            </w:pPr>
            <w:r w:rsidRPr="005A6843">
              <w:t>11</w:t>
            </w:r>
          </w:p>
        </w:tc>
        <w:tc>
          <w:tcPr>
            <w:tcW w:w="4253" w:type="dxa"/>
          </w:tcPr>
          <w:p w:rsidR="00EF351D" w:rsidRPr="005A6843" w:rsidRDefault="00EF351D" w:rsidP="004F7996">
            <w:pPr>
              <w:spacing w:after="100" w:afterAutospacing="1"/>
              <w:jc w:val="both"/>
            </w:pPr>
            <w:r w:rsidRPr="005A6843">
              <w:t>Normativa destacada</w:t>
            </w:r>
          </w:p>
        </w:tc>
        <w:tc>
          <w:tcPr>
            <w:tcW w:w="825" w:type="dxa"/>
          </w:tcPr>
          <w:p w:rsidR="00EF351D" w:rsidRPr="005A6843" w:rsidRDefault="00EF351D" w:rsidP="004F7996">
            <w:pPr>
              <w:spacing w:after="100" w:afterAutospacing="1"/>
              <w:jc w:val="both"/>
            </w:pPr>
            <w:r w:rsidRPr="005A6843">
              <w:t>MIN</w:t>
            </w:r>
          </w:p>
        </w:tc>
        <w:tc>
          <w:tcPr>
            <w:tcW w:w="3994" w:type="dxa"/>
          </w:tcPr>
          <w:p w:rsidR="00EF351D" w:rsidRPr="005A6843" w:rsidRDefault="00A462E6" w:rsidP="004F7996">
            <w:pPr>
              <w:spacing w:after="100" w:afterAutospacing="1"/>
              <w:jc w:val="both"/>
            </w:pPr>
            <w:r w:rsidRPr="005A6843">
              <w:t>----</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12</w:t>
            </w:r>
          </w:p>
        </w:tc>
        <w:tc>
          <w:tcPr>
            <w:tcW w:w="4253" w:type="dxa"/>
            <w:vAlign w:val="center"/>
          </w:tcPr>
          <w:p w:rsidR="00EF351D" w:rsidRPr="005A6843" w:rsidRDefault="00EF351D" w:rsidP="004F7996">
            <w:pPr>
              <w:spacing w:after="100" w:afterAutospacing="1"/>
              <w:jc w:val="both"/>
            </w:pPr>
            <w:r w:rsidRPr="005A6843">
              <w:t>Normativa en elaboración</w:t>
            </w:r>
          </w:p>
        </w:tc>
        <w:tc>
          <w:tcPr>
            <w:tcW w:w="825" w:type="dxa"/>
            <w:vAlign w:val="center"/>
          </w:tcPr>
          <w:p w:rsidR="00EF351D" w:rsidRPr="005A6843" w:rsidRDefault="00EF351D" w:rsidP="004F7996">
            <w:pPr>
              <w:spacing w:after="100" w:afterAutospacing="1"/>
              <w:jc w:val="both"/>
            </w:pPr>
            <w:r w:rsidRPr="005A6843">
              <w:t>MIN</w:t>
            </w:r>
          </w:p>
        </w:tc>
        <w:tc>
          <w:tcPr>
            <w:tcW w:w="3994" w:type="dxa"/>
            <w:shd w:val="clear" w:color="auto" w:fill="FFFFFF" w:themeFill="background1"/>
          </w:tcPr>
          <w:p w:rsidR="000637D9" w:rsidRPr="005A6843" w:rsidRDefault="000637D9" w:rsidP="004B7D74">
            <w:pPr>
              <w:spacing w:after="120" w:line="240" w:lineRule="auto"/>
            </w:pPr>
            <w:r w:rsidRPr="005A6843">
              <w:t xml:space="preserve">Ministerio de la Presidencia </w:t>
            </w:r>
            <w:r w:rsidR="00DE77F7" w:rsidRPr="005A6843">
              <w:t>y para las Administraciones Territoriales (MPREAT)</w:t>
            </w:r>
          </w:p>
          <w:p w:rsidR="00EF351D" w:rsidRPr="005A6843" w:rsidRDefault="002777CB" w:rsidP="004B7D74">
            <w:pPr>
              <w:spacing w:after="120" w:line="240" w:lineRule="auto"/>
            </w:pPr>
            <w:r>
              <w:t>Secretariado del Gobierno</w:t>
            </w:r>
          </w:p>
          <w:p w:rsidR="00DE77F7" w:rsidRPr="005A6843" w:rsidRDefault="00DE77F7" w:rsidP="004B7D74">
            <w:pPr>
              <w:spacing w:after="120" w:line="240" w:lineRule="auto"/>
            </w:pPr>
            <w:r w:rsidRPr="005A6843">
              <w:t>Sistemas del Secretariado del Gobierno</w:t>
            </w:r>
          </w:p>
        </w:tc>
      </w:tr>
      <w:tr w:rsidR="00EF351D" w:rsidRPr="005A6843" w:rsidTr="00537C58">
        <w:trPr>
          <w:cantSplit/>
        </w:trPr>
        <w:tc>
          <w:tcPr>
            <w:tcW w:w="675" w:type="dxa"/>
          </w:tcPr>
          <w:p w:rsidR="00EF351D" w:rsidRPr="005A6843" w:rsidRDefault="00EF351D" w:rsidP="004F7996">
            <w:pPr>
              <w:spacing w:after="100" w:afterAutospacing="1"/>
              <w:jc w:val="both"/>
            </w:pPr>
            <w:r w:rsidRPr="005A6843">
              <w:t>13</w:t>
            </w:r>
          </w:p>
        </w:tc>
        <w:tc>
          <w:tcPr>
            <w:tcW w:w="4253" w:type="dxa"/>
          </w:tcPr>
          <w:p w:rsidR="00EF351D" w:rsidRPr="005A6843" w:rsidRDefault="00EF351D" w:rsidP="004F7996">
            <w:pPr>
              <w:spacing w:after="100" w:afterAutospacing="1"/>
              <w:jc w:val="both"/>
            </w:pPr>
            <w:r w:rsidRPr="005A6843">
              <w:t>Normativa en vigor</w:t>
            </w:r>
          </w:p>
        </w:tc>
        <w:tc>
          <w:tcPr>
            <w:tcW w:w="825" w:type="dxa"/>
          </w:tcPr>
          <w:p w:rsidR="00EF351D" w:rsidRPr="005A6843" w:rsidRDefault="00EF351D" w:rsidP="004F7996">
            <w:pPr>
              <w:spacing w:after="100" w:afterAutospacing="1"/>
              <w:jc w:val="both"/>
            </w:pPr>
            <w:r w:rsidRPr="005A6843">
              <w:t>MIN</w:t>
            </w:r>
          </w:p>
        </w:tc>
        <w:tc>
          <w:tcPr>
            <w:tcW w:w="3994" w:type="dxa"/>
          </w:tcPr>
          <w:p w:rsidR="00EF351D" w:rsidRPr="005A6843" w:rsidRDefault="00DE77F7" w:rsidP="002777CB">
            <w:pPr>
              <w:spacing w:after="100" w:afterAutospacing="1"/>
              <w:jc w:val="both"/>
            </w:pPr>
            <w:r w:rsidRPr="005A6843">
              <w:t xml:space="preserve">MPREAT - </w:t>
            </w:r>
            <w:r w:rsidR="000637D9" w:rsidRPr="005A6843">
              <w:t>S</w:t>
            </w:r>
            <w:r w:rsidR="002777CB">
              <w:t>ecretariado</w:t>
            </w:r>
          </w:p>
        </w:tc>
      </w:tr>
      <w:tr w:rsidR="00EF351D" w:rsidRPr="005A6843" w:rsidTr="00A330F1">
        <w:trPr>
          <w:cantSplit/>
        </w:trPr>
        <w:tc>
          <w:tcPr>
            <w:tcW w:w="675" w:type="dxa"/>
            <w:tcBorders>
              <w:bottom w:val="dotted" w:sz="4" w:space="0" w:color="auto"/>
            </w:tcBorders>
          </w:tcPr>
          <w:p w:rsidR="00EF351D" w:rsidRPr="005A6843" w:rsidRDefault="00EF351D" w:rsidP="004F7996">
            <w:pPr>
              <w:spacing w:after="100" w:afterAutospacing="1"/>
              <w:jc w:val="both"/>
            </w:pPr>
            <w:r w:rsidRPr="005A6843">
              <w:t>14</w:t>
            </w:r>
          </w:p>
        </w:tc>
        <w:tc>
          <w:tcPr>
            <w:tcW w:w="4253" w:type="dxa"/>
            <w:tcBorders>
              <w:bottom w:val="dotted" w:sz="4" w:space="0" w:color="auto"/>
            </w:tcBorders>
          </w:tcPr>
          <w:p w:rsidR="00EF351D" w:rsidRPr="005A6843" w:rsidRDefault="00EF351D" w:rsidP="004F7996">
            <w:pPr>
              <w:spacing w:after="100" w:afterAutospacing="1"/>
              <w:jc w:val="both"/>
            </w:pPr>
            <w:r w:rsidRPr="005A6843">
              <w:t>Otras disposiciones</w:t>
            </w:r>
          </w:p>
        </w:tc>
        <w:tc>
          <w:tcPr>
            <w:tcW w:w="825" w:type="dxa"/>
            <w:tcBorders>
              <w:bottom w:val="dotted" w:sz="4" w:space="0" w:color="auto"/>
            </w:tcBorders>
          </w:tcPr>
          <w:p w:rsidR="00EF351D" w:rsidRPr="005A6843" w:rsidRDefault="00EF351D" w:rsidP="004F7996">
            <w:pPr>
              <w:spacing w:after="100" w:afterAutospacing="1"/>
              <w:jc w:val="both"/>
            </w:pPr>
            <w:r w:rsidRPr="005A6843">
              <w:t>MIN</w:t>
            </w:r>
          </w:p>
        </w:tc>
        <w:tc>
          <w:tcPr>
            <w:tcW w:w="3994" w:type="dxa"/>
            <w:tcBorders>
              <w:bottom w:val="dotted" w:sz="4" w:space="0" w:color="auto"/>
            </w:tcBorders>
          </w:tcPr>
          <w:p w:rsidR="00EF351D" w:rsidRPr="005A6843" w:rsidRDefault="00A462E6" w:rsidP="004F7996">
            <w:pPr>
              <w:spacing w:after="100" w:afterAutospacing="1"/>
              <w:jc w:val="both"/>
            </w:pPr>
            <w:r w:rsidRPr="005A6843">
              <w:t>----</w:t>
            </w:r>
          </w:p>
        </w:tc>
      </w:tr>
      <w:tr w:rsidR="00EF351D" w:rsidRPr="005A6843" w:rsidTr="00A330F1">
        <w:trPr>
          <w:cantSplit/>
          <w:trHeight w:val="454"/>
        </w:trPr>
        <w:tc>
          <w:tcPr>
            <w:tcW w:w="9747" w:type="dxa"/>
            <w:gridSpan w:val="4"/>
            <w:shd w:val="clear" w:color="auto" w:fill="A6DCEA" w:themeFill="accent1" w:themeFillTint="66"/>
          </w:tcPr>
          <w:p w:rsidR="00EF351D" w:rsidRPr="005A6843" w:rsidRDefault="00EF351D" w:rsidP="004F7996">
            <w:pPr>
              <w:jc w:val="center"/>
            </w:pPr>
            <w:r w:rsidRPr="00537C58">
              <w:rPr>
                <w:b/>
                <w:sz w:val="28"/>
                <w:szCs w:val="28"/>
              </w:rPr>
              <w:t>CATEGORÍA CONTRATOS, CONVENIOS, SUBVENCIONES</w:t>
            </w:r>
            <w:r w:rsidR="004F7996">
              <w:rPr>
                <w:b/>
                <w:sz w:val="28"/>
                <w:szCs w:val="28"/>
              </w:rPr>
              <w:t xml:space="preserve"> </w:t>
            </w:r>
            <w:r w:rsidRPr="00537C58">
              <w:rPr>
                <w:b/>
                <w:sz w:val="28"/>
                <w:szCs w:val="28"/>
              </w:rPr>
              <w:t>Y BIENES INMUEBLES</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15</w:t>
            </w:r>
          </w:p>
        </w:tc>
        <w:tc>
          <w:tcPr>
            <w:tcW w:w="4253" w:type="dxa"/>
            <w:vAlign w:val="center"/>
          </w:tcPr>
          <w:p w:rsidR="00EF351D" w:rsidRPr="005A6843" w:rsidRDefault="00EF351D" w:rsidP="004F7996">
            <w:pPr>
              <w:spacing w:after="100" w:afterAutospacing="1"/>
              <w:jc w:val="both"/>
            </w:pPr>
            <w:r w:rsidRPr="005A6843">
              <w:t>Contratos.</w:t>
            </w:r>
          </w:p>
        </w:tc>
        <w:tc>
          <w:tcPr>
            <w:tcW w:w="825" w:type="dxa"/>
            <w:vAlign w:val="center"/>
          </w:tcPr>
          <w:p w:rsidR="00EF351D" w:rsidRPr="005A6843" w:rsidRDefault="00EF351D" w:rsidP="004F7996">
            <w:pPr>
              <w:spacing w:after="100" w:afterAutospacing="1"/>
              <w:jc w:val="both"/>
            </w:pPr>
            <w:r w:rsidRPr="005A6843">
              <w:t>MIN</w:t>
            </w:r>
          </w:p>
        </w:tc>
        <w:tc>
          <w:tcPr>
            <w:tcW w:w="3994" w:type="dxa"/>
          </w:tcPr>
          <w:p w:rsidR="003178F6" w:rsidRPr="005A6843" w:rsidRDefault="003178F6" w:rsidP="004B7D74">
            <w:pPr>
              <w:spacing w:after="120" w:line="240" w:lineRule="auto"/>
            </w:pPr>
            <w:r w:rsidRPr="005A6843">
              <w:t>Subsecretaría de Hacienda y Función Pública</w:t>
            </w:r>
          </w:p>
          <w:p w:rsidR="00215C51" w:rsidRPr="005A6843" w:rsidRDefault="003178F6" w:rsidP="004B7D74">
            <w:pPr>
              <w:spacing w:after="120" w:line="240" w:lineRule="auto"/>
            </w:pPr>
            <w:r w:rsidRPr="005A6843">
              <w:t>D</w:t>
            </w:r>
            <w:r w:rsidR="002777CB">
              <w:t>irección General de Patrimonio del Estado</w:t>
            </w:r>
          </w:p>
          <w:p w:rsidR="003178F6" w:rsidRPr="005A6843" w:rsidRDefault="003178F6" w:rsidP="004B7D74">
            <w:pPr>
              <w:spacing w:after="120" w:line="240" w:lineRule="auto"/>
            </w:pPr>
            <w:r w:rsidRPr="005A6843">
              <w:t>Plataforma de Contratación del Sector Público (PCSP)</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16</w:t>
            </w:r>
          </w:p>
        </w:tc>
        <w:tc>
          <w:tcPr>
            <w:tcW w:w="4253" w:type="dxa"/>
            <w:vAlign w:val="center"/>
          </w:tcPr>
          <w:p w:rsidR="00EF351D" w:rsidRPr="005A6843" w:rsidRDefault="00EF351D" w:rsidP="004F7996">
            <w:pPr>
              <w:spacing w:after="100" w:afterAutospacing="1"/>
              <w:jc w:val="both"/>
            </w:pPr>
            <w:r w:rsidRPr="005A6843">
              <w:t>Contratos basados en Acuerdos Marco.</w:t>
            </w:r>
          </w:p>
        </w:tc>
        <w:tc>
          <w:tcPr>
            <w:tcW w:w="825" w:type="dxa"/>
            <w:vAlign w:val="center"/>
          </w:tcPr>
          <w:p w:rsidR="00EF351D" w:rsidRPr="005A6843" w:rsidRDefault="00EF351D" w:rsidP="004F7996">
            <w:pPr>
              <w:spacing w:after="100" w:afterAutospacing="1"/>
              <w:jc w:val="both"/>
            </w:pPr>
            <w:r w:rsidRPr="005A6843">
              <w:t>CEN</w:t>
            </w:r>
          </w:p>
        </w:tc>
        <w:tc>
          <w:tcPr>
            <w:tcW w:w="3994" w:type="dxa"/>
          </w:tcPr>
          <w:p w:rsidR="00215C51" w:rsidRPr="005A6843" w:rsidRDefault="00215C51" w:rsidP="004B7D74">
            <w:pPr>
              <w:spacing w:after="120" w:line="240" w:lineRule="auto"/>
            </w:pPr>
            <w:r w:rsidRPr="005A6843">
              <w:t>Subsecretaría de Hacienda y Función Pública</w:t>
            </w:r>
          </w:p>
          <w:p w:rsidR="00EF351D" w:rsidRPr="005A6843" w:rsidRDefault="002777CB" w:rsidP="004B7D74">
            <w:pPr>
              <w:spacing w:after="120" w:line="240" w:lineRule="auto"/>
            </w:pPr>
            <w:r>
              <w:t>D</w:t>
            </w:r>
            <w:r w:rsidRPr="005A6843">
              <w:t xml:space="preserve">irección </w:t>
            </w:r>
            <w:r>
              <w:t>G</w:t>
            </w:r>
            <w:r w:rsidRPr="005A6843">
              <w:t xml:space="preserve">eneral de </w:t>
            </w:r>
            <w:r>
              <w:t>Racionalización y C</w:t>
            </w:r>
            <w:r w:rsidRPr="005A6843">
              <w:t xml:space="preserve">entralización de la </w:t>
            </w:r>
            <w:r>
              <w:t>C</w:t>
            </w:r>
            <w:r w:rsidRPr="005A6843">
              <w:t>ontratación</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17</w:t>
            </w:r>
          </w:p>
        </w:tc>
        <w:tc>
          <w:tcPr>
            <w:tcW w:w="4253" w:type="dxa"/>
            <w:vAlign w:val="center"/>
          </w:tcPr>
          <w:p w:rsidR="00EF351D" w:rsidRPr="005A6843" w:rsidRDefault="00EF351D" w:rsidP="004F7996">
            <w:pPr>
              <w:spacing w:after="100" w:afterAutospacing="1"/>
              <w:jc w:val="both"/>
            </w:pPr>
            <w:r w:rsidRPr="005A6843">
              <w:t>Estadísticas de contratos</w:t>
            </w:r>
          </w:p>
        </w:tc>
        <w:tc>
          <w:tcPr>
            <w:tcW w:w="825" w:type="dxa"/>
            <w:vAlign w:val="center"/>
          </w:tcPr>
          <w:p w:rsidR="00EF351D" w:rsidRPr="005A6843" w:rsidRDefault="00EF351D" w:rsidP="004F7996">
            <w:pPr>
              <w:spacing w:after="100" w:afterAutospacing="1"/>
              <w:jc w:val="both"/>
            </w:pPr>
            <w:r w:rsidRPr="005A6843">
              <w:t>CEN</w:t>
            </w:r>
          </w:p>
        </w:tc>
        <w:tc>
          <w:tcPr>
            <w:tcW w:w="3994" w:type="dxa"/>
          </w:tcPr>
          <w:p w:rsidR="00215C51" w:rsidRPr="005A6843" w:rsidRDefault="00215C51" w:rsidP="004B7D74">
            <w:pPr>
              <w:spacing w:after="120" w:line="240" w:lineRule="auto"/>
            </w:pPr>
            <w:r w:rsidRPr="005A6843">
              <w:t>Subsecretaría de Hacienda y Función Pública</w:t>
            </w:r>
          </w:p>
          <w:p w:rsidR="00215C51" w:rsidRPr="005A6843" w:rsidRDefault="002777CB" w:rsidP="004B7D74">
            <w:pPr>
              <w:spacing w:after="120" w:line="240" w:lineRule="auto"/>
            </w:pPr>
            <w:r>
              <w:t>Junta Consultiva de Contratación Administrativa</w:t>
            </w:r>
          </w:p>
          <w:p w:rsidR="00EF351D" w:rsidRPr="005A6843" w:rsidRDefault="00527CBF" w:rsidP="004B7D74">
            <w:pPr>
              <w:spacing w:after="120" w:line="240" w:lineRule="auto"/>
            </w:pPr>
            <w:r w:rsidRPr="005A6843">
              <w:t xml:space="preserve">Registro Público de Contratos  </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18</w:t>
            </w:r>
          </w:p>
        </w:tc>
        <w:tc>
          <w:tcPr>
            <w:tcW w:w="4253" w:type="dxa"/>
            <w:vAlign w:val="center"/>
          </w:tcPr>
          <w:p w:rsidR="00EF351D" w:rsidRPr="005A6843" w:rsidRDefault="00EF351D" w:rsidP="004F7996">
            <w:pPr>
              <w:spacing w:after="100" w:afterAutospacing="1"/>
              <w:jc w:val="both"/>
            </w:pPr>
            <w:r w:rsidRPr="005A6843">
              <w:t>Convenios y encomiendas</w:t>
            </w:r>
          </w:p>
        </w:tc>
        <w:tc>
          <w:tcPr>
            <w:tcW w:w="825" w:type="dxa"/>
            <w:vAlign w:val="center"/>
          </w:tcPr>
          <w:p w:rsidR="00EF351D" w:rsidRPr="005A6843" w:rsidRDefault="00EF351D" w:rsidP="004F7996">
            <w:pPr>
              <w:spacing w:after="100" w:afterAutospacing="1"/>
              <w:jc w:val="both"/>
            </w:pPr>
            <w:r w:rsidRPr="005A6843">
              <w:t>MIN</w:t>
            </w:r>
          </w:p>
        </w:tc>
        <w:tc>
          <w:tcPr>
            <w:tcW w:w="3994" w:type="dxa"/>
            <w:shd w:val="clear" w:color="auto" w:fill="FFFFFF" w:themeFill="background1"/>
          </w:tcPr>
          <w:p w:rsidR="000637D9" w:rsidRPr="005A6843" w:rsidRDefault="000637D9" w:rsidP="004B7D74">
            <w:pPr>
              <w:spacing w:after="120" w:line="240" w:lineRule="auto"/>
            </w:pPr>
            <w:r w:rsidRPr="005A6843">
              <w:t>Secretaría de Estado de Administración Territorial</w:t>
            </w:r>
          </w:p>
          <w:p w:rsidR="000637D9" w:rsidRDefault="000637D9" w:rsidP="004B7D74">
            <w:pPr>
              <w:spacing w:after="120" w:line="240" w:lineRule="auto"/>
            </w:pPr>
            <w:r w:rsidRPr="005A6843">
              <w:t>S</w:t>
            </w:r>
            <w:r w:rsidR="002777CB">
              <w:t>ubdirección G</w:t>
            </w:r>
            <w:r w:rsidR="002777CB" w:rsidRPr="005A6843">
              <w:t>eneral</w:t>
            </w:r>
            <w:r w:rsidR="004B7D74">
              <w:t xml:space="preserve"> </w:t>
            </w:r>
            <w:r w:rsidR="002777CB">
              <w:t>de R</w:t>
            </w:r>
            <w:r w:rsidR="002777CB" w:rsidRPr="005A6843">
              <w:t xml:space="preserve">elaciones </w:t>
            </w:r>
            <w:r w:rsidR="002777CB">
              <w:t>I</w:t>
            </w:r>
            <w:r w:rsidR="002777CB" w:rsidRPr="005A6843">
              <w:t>nstitucionales</w:t>
            </w:r>
          </w:p>
          <w:p w:rsidR="00EF351D" w:rsidRPr="005A6843" w:rsidRDefault="000637D9" w:rsidP="004B7D74">
            <w:pPr>
              <w:spacing w:after="120" w:line="240" w:lineRule="auto"/>
              <w:jc w:val="both"/>
            </w:pPr>
            <w:r w:rsidRPr="005A6843">
              <w:t>Base de Datos Nacional de Convenios</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19</w:t>
            </w:r>
          </w:p>
        </w:tc>
        <w:tc>
          <w:tcPr>
            <w:tcW w:w="4253" w:type="dxa"/>
            <w:vAlign w:val="center"/>
          </w:tcPr>
          <w:p w:rsidR="00EF351D" w:rsidRPr="005A6843" w:rsidRDefault="00EF351D" w:rsidP="004F7996">
            <w:pPr>
              <w:spacing w:after="100" w:afterAutospacing="1"/>
              <w:jc w:val="both"/>
            </w:pPr>
            <w:r w:rsidRPr="005A6843">
              <w:t>Subvenciones.</w:t>
            </w:r>
          </w:p>
        </w:tc>
        <w:tc>
          <w:tcPr>
            <w:tcW w:w="825" w:type="dxa"/>
            <w:vAlign w:val="center"/>
          </w:tcPr>
          <w:p w:rsidR="00EF351D" w:rsidRPr="005A6843" w:rsidRDefault="00EF351D" w:rsidP="004F7996">
            <w:pPr>
              <w:spacing w:after="100" w:afterAutospacing="1"/>
              <w:jc w:val="both"/>
            </w:pPr>
            <w:r w:rsidRPr="005A6843">
              <w:t>CEN</w:t>
            </w:r>
          </w:p>
        </w:tc>
        <w:tc>
          <w:tcPr>
            <w:tcW w:w="3994" w:type="dxa"/>
          </w:tcPr>
          <w:p w:rsidR="00215C51" w:rsidRPr="005A6843" w:rsidRDefault="00215C51" w:rsidP="004B7D74">
            <w:pPr>
              <w:spacing w:after="120" w:line="240" w:lineRule="auto"/>
              <w:jc w:val="both"/>
            </w:pPr>
            <w:r w:rsidRPr="005A6843">
              <w:t>IGAE</w:t>
            </w:r>
          </w:p>
          <w:p w:rsidR="00EF351D" w:rsidRPr="005A6843" w:rsidRDefault="00215C51" w:rsidP="004B7D74">
            <w:pPr>
              <w:spacing w:after="120" w:line="240" w:lineRule="auto"/>
            </w:pPr>
            <w:r w:rsidRPr="005A6843">
              <w:t>B</w:t>
            </w:r>
            <w:r w:rsidR="003178F6" w:rsidRPr="005A6843">
              <w:t>ase</w:t>
            </w:r>
            <w:r w:rsidRPr="005A6843">
              <w:t xml:space="preserve"> </w:t>
            </w:r>
            <w:r w:rsidR="00EF351D" w:rsidRPr="005A6843">
              <w:t>Nacional de Datos de Subvenciones (BNDS)</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20</w:t>
            </w:r>
          </w:p>
        </w:tc>
        <w:tc>
          <w:tcPr>
            <w:tcW w:w="4253" w:type="dxa"/>
            <w:vAlign w:val="center"/>
          </w:tcPr>
          <w:p w:rsidR="00EF351D" w:rsidRPr="005A6843" w:rsidRDefault="00EF351D" w:rsidP="004F7996">
            <w:pPr>
              <w:spacing w:after="100" w:afterAutospacing="1"/>
              <w:jc w:val="both"/>
            </w:pPr>
            <w:r w:rsidRPr="005A6843">
              <w:t>Subvenciones a partidos políticos.</w:t>
            </w:r>
          </w:p>
        </w:tc>
        <w:tc>
          <w:tcPr>
            <w:tcW w:w="825" w:type="dxa"/>
            <w:vAlign w:val="center"/>
          </w:tcPr>
          <w:p w:rsidR="00EF351D" w:rsidRPr="005A6843" w:rsidRDefault="00EF351D" w:rsidP="004F7996">
            <w:pPr>
              <w:spacing w:after="100" w:afterAutospacing="1"/>
              <w:jc w:val="both"/>
            </w:pPr>
            <w:r w:rsidRPr="005A6843">
              <w:t>CEN</w:t>
            </w:r>
          </w:p>
        </w:tc>
        <w:tc>
          <w:tcPr>
            <w:tcW w:w="3994" w:type="dxa"/>
          </w:tcPr>
          <w:p w:rsidR="00215C51" w:rsidRPr="005A6843" w:rsidRDefault="00215C51" w:rsidP="004B7D74">
            <w:pPr>
              <w:spacing w:after="120" w:line="240" w:lineRule="auto"/>
              <w:jc w:val="both"/>
            </w:pPr>
            <w:r w:rsidRPr="005A6843">
              <w:t xml:space="preserve">Ministerio del Interior </w:t>
            </w:r>
          </w:p>
          <w:p w:rsidR="00EF351D" w:rsidRPr="005A6843" w:rsidRDefault="00215C51" w:rsidP="004B7D74">
            <w:pPr>
              <w:spacing w:after="120" w:line="240" w:lineRule="auto"/>
            </w:pPr>
            <w:r w:rsidRPr="005A6843">
              <w:t>S</w:t>
            </w:r>
            <w:r w:rsidR="002777CB">
              <w:t>ervicio de Financiación de Partidos P</w:t>
            </w:r>
            <w:r w:rsidR="002777CB" w:rsidRPr="005A6843">
              <w:t>olíticos</w:t>
            </w:r>
          </w:p>
        </w:tc>
      </w:tr>
      <w:tr w:rsidR="00EF351D" w:rsidRPr="005A6843" w:rsidTr="00A330F1">
        <w:trPr>
          <w:cantSplit/>
        </w:trPr>
        <w:tc>
          <w:tcPr>
            <w:tcW w:w="675" w:type="dxa"/>
            <w:tcBorders>
              <w:bottom w:val="dotted" w:sz="4" w:space="0" w:color="auto"/>
            </w:tcBorders>
          </w:tcPr>
          <w:p w:rsidR="00EF351D" w:rsidRPr="005A6843" w:rsidRDefault="00EF351D" w:rsidP="004F7996">
            <w:pPr>
              <w:spacing w:after="100" w:afterAutospacing="1"/>
              <w:jc w:val="both"/>
            </w:pPr>
            <w:r w:rsidRPr="005A6843">
              <w:t>21</w:t>
            </w:r>
          </w:p>
        </w:tc>
        <w:tc>
          <w:tcPr>
            <w:tcW w:w="4253" w:type="dxa"/>
            <w:tcBorders>
              <w:bottom w:val="dotted" w:sz="4" w:space="0" w:color="auto"/>
            </w:tcBorders>
          </w:tcPr>
          <w:p w:rsidR="00EF351D" w:rsidRPr="005A6843" w:rsidRDefault="00EF351D" w:rsidP="004F7996">
            <w:pPr>
              <w:spacing w:after="100" w:afterAutospacing="1"/>
              <w:jc w:val="both"/>
            </w:pPr>
            <w:r w:rsidRPr="005A6843">
              <w:t>Bienes inmuebles.</w:t>
            </w:r>
          </w:p>
        </w:tc>
        <w:tc>
          <w:tcPr>
            <w:tcW w:w="825" w:type="dxa"/>
            <w:tcBorders>
              <w:bottom w:val="dotted" w:sz="4" w:space="0" w:color="auto"/>
            </w:tcBorders>
          </w:tcPr>
          <w:p w:rsidR="00EF351D" w:rsidRPr="005A6843" w:rsidRDefault="00EF351D" w:rsidP="004F7996">
            <w:pPr>
              <w:spacing w:after="100" w:afterAutospacing="1"/>
              <w:jc w:val="both"/>
            </w:pPr>
            <w:r w:rsidRPr="005A6843">
              <w:t>MIN</w:t>
            </w:r>
          </w:p>
        </w:tc>
        <w:tc>
          <w:tcPr>
            <w:tcW w:w="3994" w:type="dxa"/>
            <w:tcBorders>
              <w:bottom w:val="dotted" w:sz="4" w:space="0" w:color="auto"/>
            </w:tcBorders>
          </w:tcPr>
          <w:p w:rsidR="00EF351D" w:rsidRPr="005A6843" w:rsidRDefault="00A462E6" w:rsidP="004F7996">
            <w:pPr>
              <w:spacing w:after="100" w:afterAutospacing="1"/>
              <w:jc w:val="both"/>
            </w:pPr>
            <w:r w:rsidRPr="005A6843">
              <w:t>----</w:t>
            </w:r>
          </w:p>
        </w:tc>
      </w:tr>
      <w:tr w:rsidR="00EF351D" w:rsidRPr="005A6843" w:rsidTr="00A330F1">
        <w:trPr>
          <w:cantSplit/>
          <w:trHeight w:val="454"/>
        </w:trPr>
        <w:tc>
          <w:tcPr>
            <w:tcW w:w="9747" w:type="dxa"/>
            <w:gridSpan w:val="4"/>
            <w:shd w:val="clear" w:color="auto" w:fill="A6DCEA" w:themeFill="accent1" w:themeFillTint="66"/>
          </w:tcPr>
          <w:p w:rsidR="00EF351D" w:rsidRPr="005A6843" w:rsidRDefault="00EF351D" w:rsidP="00537C58">
            <w:pPr>
              <w:jc w:val="center"/>
            </w:pPr>
            <w:r w:rsidRPr="00537C58">
              <w:rPr>
                <w:b/>
                <w:sz w:val="28"/>
                <w:szCs w:val="28"/>
              </w:rPr>
              <w:t>CATEGORÍA PRESUPUESTOS, FISCALIZACIÓN E INFORMES.</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22</w:t>
            </w:r>
          </w:p>
        </w:tc>
        <w:tc>
          <w:tcPr>
            <w:tcW w:w="4253" w:type="dxa"/>
            <w:vAlign w:val="center"/>
          </w:tcPr>
          <w:p w:rsidR="00EF351D" w:rsidRPr="005A6843" w:rsidRDefault="00EF351D" w:rsidP="004F7996">
            <w:pPr>
              <w:spacing w:after="100" w:afterAutospacing="1"/>
              <w:jc w:val="both"/>
            </w:pPr>
            <w:r w:rsidRPr="005A6843">
              <w:t xml:space="preserve">Presupuestos </w:t>
            </w:r>
            <w:r w:rsidR="00527CBF" w:rsidRPr="005A6843">
              <w:t>G</w:t>
            </w:r>
            <w:r w:rsidRPr="005A6843">
              <w:t>enerales del Estado</w:t>
            </w:r>
          </w:p>
        </w:tc>
        <w:tc>
          <w:tcPr>
            <w:tcW w:w="825" w:type="dxa"/>
            <w:vAlign w:val="center"/>
          </w:tcPr>
          <w:p w:rsidR="00EF351D" w:rsidRPr="005A6843" w:rsidRDefault="00DE77F7" w:rsidP="004F7996">
            <w:pPr>
              <w:spacing w:after="100" w:afterAutospacing="1"/>
              <w:jc w:val="both"/>
            </w:pPr>
            <w:r w:rsidRPr="005A6843">
              <w:t>MIN</w:t>
            </w:r>
          </w:p>
        </w:tc>
        <w:tc>
          <w:tcPr>
            <w:tcW w:w="3994" w:type="dxa"/>
          </w:tcPr>
          <w:p w:rsidR="00215C51" w:rsidRPr="005A6843" w:rsidRDefault="00215C51" w:rsidP="004B7D74">
            <w:pPr>
              <w:spacing w:after="120" w:line="240" w:lineRule="auto"/>
              <w:jc w:val="both"/>
            </w:pPr>
            <w:r w:rsidRPr="005A6843">
              <w:t>SEPG</w:t>
            </w:r>
          </w:p>
          <w:p w:rsidR="004F7CCE" w:rsidRPr="005A6843" w:rsidRDefault="00215C51" w:rsidP="004B7D74">
            <w:pPr>
              <w:spacing w:after="120" w:line="240" w:lineRule="auto"/>
            </w:pPr>
            <w:r w:rsidRPr="005A6843">
              <w:t>D</w:t>
            </w:r>
            <w:r w:rsidR="004B7D74">
              <w:t>irección General de P</w:t>
            </w:r>
            <w:r w:rsidR="004B7D74" w:rsidRPr="005A6843">
              <w:t xml:space="preserve">resupuestos </w:t>
            </w:r>
          </w:p>
          <w:p w:rsidR="00EF351D" w:rsidRPr="005A6843" w:rsidRDefault="00EF351D" w:rsidP="004B7D74">
            <w:pPr>
              <w:spacing w:after="120" w:line="240" w:lineRule="auto"/>
            </w:pPr>
            <w:r w:rsidRPr="005A6843">
              <w:t>Portal de Administración Presupuestaria (PAP)</w:t>
            </w:r>
          </w:p>
        </w:tc>
      </w:tr>
      <w:tr w:rsidR="00EF351D" w:rsidRPr="005A6843" w:rsidTr="00537C58">
        <w:trPr>
          <w:cantSplit/>
        </w:trPr>
        <w:tc>
          <w:tcPr>
            <w:tcW w:w="675" w:type="dxa"/>
          </w:tcPr>
          <w:p w:rsidR="00EF351D" w:rsidRPr="005A6843" w:rsidRDefault="00EF351D" w:rsidP="004F7996">
            <w:pPr>
              <w:spacing w:after="100" w:afterAutospacing="1"/>
              <w:jc w:val="both"/>
            </w:pPr>
            <w:r w:rsidRPr="005A6843">
              <w:t>23</w:t>
            </w:r>
          </w:p>
        </w:tc>
        <w:tc>
          <w:tcPr>
            <w:tcW w:w="4253" w:type="dxa"/>
          </w:tcPr>
          <w:p w:rsidR="00EF351D" w:rsidRPr="005A6843" w:rsidRDefault="00EF351D" w:rsidP="004F7996">
            <w:pPr>
              <w:spacing w:after="100" w:afterAutospacing="1"/>
              <w:jc w:val="both"/>
            </w:pPr>
            <w:r w:rsidRPr="005A6843">
              <w:t>Ejecución presupuestaria</w:t>
            </w:r>
          </w:p>
        </w:tc>
        <w:tc>
          <w:tcPr>
            <w:tcW w:w="825" w:type="dxa"/>
          </w:tcPr>
          <w:p w:rsidR="00EF351D" w:rsidRPr="005A6843" w:rsidRDefault="00EF351D" w:rsidP="004F7996">
            <w:pPr>
              <w:spacing w:after="100" w:afterAutospacing="1"/>
              <w:jc w:val="both"/>
            </w:pPr>
            <w:r w:rsidRPr="005A6843">
              <w:t>CEN</w:t>
            </w:r>
          </w:p>
        </w:tc>
        <w:tc>
          <w:tcPr>
            <w:tcW w:w="3994" w:type="dxa"/>
          </w:tcPr>
          <w:p w:rsidR="00EF351D" w:rsidRPr="005A6843" w:rsidRDefault="000649F0" w:rsidP="004F7996">
            <w:pPr>
              <w:spacing w:after="100" w:afterAutospacing="1"/>
              <w:jc w:val="both"/>
            </w:pPr>
            <w:r w:rsidRPr="005A6843">
              <w:t>IGAE</w:t>
            </w:r>
          </w:p>
        </w:tc>
      </w:tr>
      <w:tr w:rsidR="00EF351D" w:rsidRPr="005A6843" w:rsidTr="00537C58">
        <w:trPr>
          <w:cantSplit/>
        </w:trPr>
        <w:tc>
          <w:tcPr>
            <w:tcW w:w="675" w:type="dxa"/>
          </w:tcPr>
          <w:p w:rsidR="00EF351D" w:rsidRPr="005A6843" w:rsidRDefault="00EF351D" w:rsidP="004F7996">
            <w:pPr>
              <w:spacing w:after="100" w:afterAutospacing="1"/>
              <w:jc w:val="both"/>
            </w:pPr>
            <w:r w:rsidRPr="005A6843">
              <w:t>24</w:t>
            </w:r>
          </w:p>
        </w:tc>
        <w:tc>
          <w:tcPr>
            <w:tcW w:w="4253" w:type="dxa"/>
          </w:tcPr>
          <w:p w:rsidR="00EF351D" w:rsidRPr="005A6843" w:rsidRDefault="00EF351D" w:rsidP="004F7996">
            <w:pPr>
              <w:spacing w:after="100" w:afterAutospacing="1"/>
              <w:jc w:val="both"/>
            </w:pPr>
            <w:r w:rsidRPr="005A6843">
              <w:t>Cuentas anuales e informes de auditoría.</w:t>
            </w:r>
          </w:p>
        </w:tc>
        <w:tc>
          <w:tcPr>
            <w:tcW w:w="825" w:type="dxa"/>
          </w:tcPr>
          <w:p w:rsidR="00EF351D" w:rsidRPr="005A6843" w:rsidRDefault="00EF351D" w:rsidP="004F7996">
            <w:pPr>
              <w:spacing w:after="100" w:afterAutospacing="1"/>
              <w:jc w:val="both"/>
            </w:pPr>
            <w:r w:rsidRPr="005A6843">
              <w:t>CEN</w:t>
            </w:r>
          </w:p>
        </w:tc>
        <w:tc>
          <w:tcPr>
            <w:tcW w:w="3994" w:type="dxa"/>
          </w:tcPr>
          <w:p w:rsidR="00EF351D" w:rsidRPr="005A6843" w:rsidRDefault="000649F0" w:rsidP="004F7996">
            <w:pPr>
              <w:spacing w:after="100" w:afterAutospacing="1"/>
              <w:jc w:val="both"/>
            </w:pPr>
            <w:r w:rsidRPr="005A6843">
              <w:t>IGAE</w:t>
            </w:r>
          </w:p>
        </w:tc>
      </w:tr>
      <w:tr w:rsidR="00EF351D" w:rsidRPr="005A6843" w:rsidTr="00537C58">
        <w:trPr>
          <w:cantSplit/>
        </w:trPr>
        <w:tc>
          <w:tcPr>
            <w:tcW w:w="675" w:type="dxa"/>
          </w:tcPr>
          <w:p w:rsidR="00EF351D" w:rsidRPr="005A6843" w:rsidRDefault="00EF351D" w:rsidP="004F7996">
            <w:pPr>
              <w:spacing w:after="100" w:afterAutospacing="1"/>
              <w:jc w:val="both"/>
            </w:pPr>
            <w:r w:rsidRPr="005A6843">
              <w:t>25</w:t>
            </w:r>
          </w:p>
        </w:tc>
        <w:tc>
          <w:tcPr>
            <w:tcW w:w="4253" w:type="dxa"/>
          </w:tcPr>
          <w:p w:rsidR="00EF351D" w:rsidRPr="005A6843" w:rsidRDefault="00EF351D" w:rsidP="004F7996">
            <w:pPr>
              <w:spacing w:after="100" w:afterAutospacing="1"/>
              <w:jc w:val="both"/>
            </w:pPr>
            <w:r w:rsidRPr="005A6843">
              <w:t>Informes de fiscalización.</w:t>
            </w:r>
          </w:p>
        </w:tc>
        <w:tc>
          <w:tcPr>
            <w:tcW w:w="825" w:type="dxa"/>
          </w:tcPr>
          <w:p w:rsidR="00EF351D" w:rsidRPr="005A6843" w:rsidRDefault="00EF351D" w:rsidP="004F7996">
            <w:pPr>
              <w:spacing w:after="100" w:afterAutospacing="1"/>
              <w:jc w:val="both"/>
            </w:pPr>
            <w:r w:rsidRPr="005A6843">
              <w:t>CEN</w:t>
            </w:r>
          </w:p>
        </w:tc>
        <w:tc>
          <w:tcPr>
            <w:tcW w:w="3994" w:type="dxa"/>
          </w:tcPr>
          <w:p w:rsidR="00EF351D" w:rsidRPr="005A6843" w:rsidRDefault="000649F0" w:rsidP="002777CB">
            <w:pPr>
              <w:spacing w:after="100" w:afterAutospacing="1"/>
              <w:jc w:val="both"/>
            </w:pPr>
            <w:r w:rsidRPr="005A6843">
              <w:t>T</w:t>
            </w:r>
            <w:r w:rsidR="002777CB">
              <w:t>ribunal de Cuentas.</w:t>
            </w:r>
            <w:r w:rsidRPr="005A6843">
              <w:t xml:space="preserve"> </w:t>
            </w:r>
            <w:r w:rsidR="00EF351D" w:rsidRPr="005A6843">
              <w:t>Informes</w:t>
            </w:r>
          </w:p>
        </w:tc>
      </w:tr>
      <w:tr w:rsidR="00EF351D" w:rsidRPr="005A6843" w:rsidTr="00537C58">
        <w:trPr>
          <w:cantSplit/>
        </w:trPr>
        <w:tc>
          <w:tcPr>
            <w:tcW w:w="675" w:type="dxa"/>
          </w:tcPr>
          <w:p w:rsidR="00EF351D" w:rsidRPr="005A6843" w:rsidRDefault="00EF351D" w:rsidP="004F7996">
            <w:pPr>
              <w:spacing w:after="100" w:afterAutospacing="1"/>
              <w:jc w:val="both"/>
            </w:pPr>
            <w:r w:rsidRPr="005A6843">
              <w:t>26</w:t>
            </w:r>
          </w:p>
        </w:tc>
        <w:tc>
          <w:tcPr>
            <w:tcW w:w="4253" w:type="dxa"/>
          </w:tcPr>
          <w:p w:rsidR="00EF351D" w:rsidRPr="005A6843" w:rsidRDefault="00EF351D" w:rsidP="004F7996">
            <w:pPr>
              <w:spacing w:after="100" w:afterAutospacing="1"/>
              <w:jc w:val="both"/>
            </w:pPr>
            <w:r w:rsidRPr="005A6843">
              <w:t>Información y estadísticas relevantes</w:t>
            </w:r>
          </w:p>
        </w:tc>
        <w:tc>
          <w:tcPr>
            <w:tcW w:w="825" w:type="dxa"/>
          </w:tcPr>
          <w:p w:rsidR="00EF351D" w:rsidRPr="005A6843" w:rsidRDefault="003915F3" w:rsidP="004F7996">
            <w:pPr>
              <w:spacing w:after="100" w:afterAutospacing="1"/>
              <w:jc w:val="both"/>
            </w:pPr>
            <w:r w:rsidRPr="005A6843">
              <w:t>MIN</w:t>
            </w:r>
          </w:p>
        </w:tc>
        <w:tc>
          <w:tcPr>
            <w:tcW w:w="3994" w:type="dxa"/>
          </w:tcPr>
          <w:p w:rsidR="00EF351D" w:rsidRPr="005A6843" w:rsidRDefault="003915F3" w:rsidP="004F7996">
            <w:pPr>
              <w:spacing w:after="100" w:afterAutospacing="1"/>
              <w:jc w:val="both"/>
            </w:pPr>
            <w:r w:rsidRPr="005A6843">
              <w:t>Ministerios</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27</w:t>
            </w:r>
          </w:p>
        </w:tc>
        <w:tc>
          <w:tcPr>
            <w:tcW w:w="4253" w:type="dxa"/>
            <w:vAlign w:val="center"/>
          </w:tcPr>
          <w:p w:rsidR="00EF351D" w:rsidRPr="005A6843" w:rsidRDefault="00EF351D" w:rsidP="004F7996">
            <w:pPr>
              <w:spacing w:after="100" w:afterAutospacing="1"/>
              <w:jc w:val="both"/>
            </w:pPr>
            <w:r w:rsidRPr="005A6843">
              <w:t>Estabilidad presupuestaria</w:t>
            </w:r>
          </w:p>
        </w:tc>
        <w:tc>
          <w:tcPr>
            <w:tcW w:w="825" w:type="dxa"/>
            <w:vAlign w:val="center"/>
          </w:tcPr>
          <w:p w:rsidR="00EF351D" w:rsidRPr="005A6843" w:rsidRDefault="00EF351D" w:rsidP="004F7996">
            <w:pPr>
              <w:spacing w:after="100" w:afterAutospacing="1"/>
              <w:jc w:val="both"/>
            </w:pPr>
            <w:r w:rsidRPr="005A6843">
              <w:t>CEN</w:t>
            </w:r>
          </w:p>
        </w:tc>
        <w:tc>
          <w:tcPr>
            <w:tcW w:w="3994" w:type="dxa"/>
          </w:tcPr>
          <w:p w:rsidR="000649F0" w:rsidRPr="005A6843" w:rsidRDefault="000649F0" w:rsidP="004B7D74">
            <w:pPr>
              <w:spacing w:after="120" w:line="240" w:lineRule="auto"/>
            </w:pPr>
            <w:r w:rsidRPr="005A6843">
              <w:t>Subsecretaría de Hacienda y Función Pública</w:t>
            </w:r>
          </w:p>
          <w:p w:rsidR="00EF351D" w:rsidRPr="005A6843" w:rsidRDefault="00EF351D" w:rsidP="004B7D74">
            <w:pPr>
              <w:spacing w:after="120" w:line="240" w:lineRule="auto"/>
            </w:pPr>
            <w:r w:rsidRPr="005A6843">
              <w:t>Central de Información Económico-Financiera (CEIF)</w:t>
            </w:r>
          </w:p>
        </w:tc>
      </w:tr>
      <w:tr w:rsidR="00EF351D" w:rsidRPr="005A6843" w:rsidTr="00537C58">
        <w:trPr>
          <w:cantSplit/>
        </w:trPr>
        <w:tc>
          <w:tcPr>
            <w:tcW w:w="675" w:type="dxa"/>
            <w:vAlign w:val="center"/>
          </w:tcPr>
          <w:p w:rsidR="00EF351D" w:rsidRPr="005A6843" w:rsidRDefault="00EF351D" w:rsidP="004F7996">
            <w:pPr>
              <w:spacing w:after="100" w:afterAutospacing="1"/>
              <w:jc w:val="both"/>
            </w:pPr>
            <w:r w:rsidRPr="005A6843">
              <w:t>28</w:t>
            </w:r>
          </w:p>
        </w:tc>
        <w:tc>
          <w:tcPr>
            <w:tcW w:w="4253" w:type="dxa"/>
            <w:vAlign w:val="center"/>
          </w:tcPr>
          <w:p w:rsidR="00EF351D" w:rsidRPr="005A6843" w:rsidRDefault="00EF351D" w:rsidP="004F7996">
            <w:pPr>
              <w:spacing w:after="100" w:afterAutospacing="1"/>
              <w:jc w:val="both"/>
            </w:pPr>
            <w:r w:rsidRPr="005A6843">
              <w:t>Más información presupuestaria</w:t>
            </w:r>
          </w:p>
        </w:tc>
        <w:tc>
          <w:tcPr>
            <w:tcW w:w="825" w:type="dxa"/>
            <w:vAlign w:val="center"/>
          </w:tcPr>
          <w:p w:rsidR="00EF351D" w:rsidRPr="005A6843" w:rsidRDefault="00EF351D" w:rsidP="004F7996">
            <w:pPr>
              <w:spacing w:after="100" w:afterAutospacing="1"/>
              <w:jc w:val="both"/>
            </w:pPr>
            <w:r w:rsidRPr="005A6843">
              <w:t>CEN</w:t>
            </w:r>
          </w:p>
        </w:tc>
        <w:tc>
          <w:tcPr>
            <w:tcW w:w="3994" w:type="dxa"/>
          </w:tcPr>
          <w:p w:rsidR="003915F3" w:rsidRPr="005A6843" w:rsidRDefault="003915F3" w:rsidP="004B7D74">
            <w:pPr>
              <w:spacing w:after="120" w:line="240" w:lineRule="auto"/>
              <w:jc w:val="both"/>
            </w:pPr>
            <w:r w:rsidRPr="005A6843">
              <w:t>Banco de España</w:t>
            </w:r>
            <w:r w:rsidR="000649F0" w:rsidRPr="005A6843">
              <w:t xml:space="preserve"> (BdE)</w:t>
            </w:r>
          </w:p>
          <w:p w:rsidR="000649F0" w:rsidRPr="005A6843" w:rsidRDefault="000649F0" w:rsidP="004B7D74">
            <w:pPr>
              <w:spacing w:after="120" w:line="240" w:lineRule="auto"/>
              <w:jc w:val="both"/>
            </w:pPr>
            <w:r w:rsidRPr="005A6843">
              <w:t>IGAE</w:t>
            </w:r>
          </w:p>
          <w:p w:rsidR="000649F0" w:rsidRPr="005A6843" w:rsidRDefault="000649F0" w:rsidP="004B7D74">
            <w:pPr>
              <w:spacing w:after="120" w:line="240" w:lineRule="auto"/>
              <w:jc w:val="both"/>
            </w:pPr>
            <w:r w:rsidRPr="005A6843">
              <w:t>DG P</w:t>
            </w:r>
            <w:r w:rsidR="002777CB">
              <w:t>resupuestos</w:t>
            </w:r>
            <w:r w:rsidR="00DE77F7" w:rsidRPr="005A6843">
              <w:t xml:space="preserve"> - PAP</w:t>
            </w:r>
            <w:r w:rsidRPr="005A6843">
              <w:t xml:space="preserve"> </w:t>
            </w:r>
          </w:p>
          <w:p w:rsidR="000649F0" w:rsidRPr="005A6843" w:rsidRDefault="000649F0" w:rsidP="004B7D74">
            <w:pPr>
              <w:spacing w:after="120" w:line="240" w:lineRule="auto"/>
              <w:jc w:val="both"/>
            </w:pPr>
            <w:r w:rsidRPr="005A6843">
              <w:t>CEIF</w:t>
            </w:r>
          </w:p>
        </w:tc>
      </w:tr>
    </w:tbl>
    <w:p w:rsidR="00EF351D" w:rsidRPr="005A6843" w:rsidRDefault="00EF351D" w:rsidP="00AA712B">
      <w:pPr>
        <w:jc w:val="both"/>
      </w:pPr>
    </w:p>
    <w:p w:rsidR="00EF351D" w:rsidRPr="005A6843" w:rsidRDefault="00EF351D" w:rsidP="00AA712B">
      <w:pPr>
        <w:jc w:val="both"/>
      </w:pPr>
      <w:r w:rsidRPr="005A6843">
        <w:t xml:space="preserve">Este CTBG ha insistido en numerosas ocasiones –p. ej. en su </w:t>
      </w:r>
      <w:r w:rsidRPr="00537C58">
        <w:rPr>
          <w:i/>
        </w:rPr>
        <w:t>Memoria de Actividades para 2015</w:t>
      </w:r>
      <w:r w:rsidRPr="005A6843">
        <w:t xml:space="preserve">- </w:t>
      </w:r>
      <w:r w:rsidR="00A462E6" w:rsidRPr="005A6843">
        <w:t xml:space="preserve"> </w:t>
      </w:r>
      <w:r w:rsidRPr="005A6843">
        <w:t xml:space="preserve">en la incidencia negativa del recurso a bases de datos centralizadas para generar la información del Portal tanto en el ámbito de la claridad de la información como en el de su accesibilidad. La mayor parte de las bases de datos centralizadas de la AGE fueron desarrolladas con anterioridad a la </w:t>
      </w:r>
      <w:r w:rsidR="00052FF3">
        <w:t>l</w:t>
      </w:r>
      <w:r w:rsidR="001C41A6">
        <w:t>ey</w:t>
      </w:r>
      <w:r w:rsidR="00E768A4">
        <w:t xml:space="preserve"> de transparencia</w:t>
      </w:r>
      <w:r w:rsidRPr="005A6843">
        <w:t xml:space="preserve"> y con sus propias finalidades específicas. Estas finalidades condicionan tanto su diseño como su organización y funcionalidades y tienen antes que ver con la contratación pública, la gestión presupuestaria, el control financiero, </w:t>
      </w:r>
      <w:r w:rsidR="00235F53">
        <w:t>etc.</w:t>
      </w:r>
      <w:r w:rsidRPr="005A6843">
        <w:t xml:space="preserve">, que con la consulta de información pública. Por ello, </w:t>
      </w:r>
      <w:r w:rsidR="0045179C" w:rsidRPr="005A6843">
        <w:t>resulta</w:t>
      </w:r>
      <w:r w:rsidR="0045179C">
        <w:t>n</w:t>
      </w:r>
      <w:r w:rsidRPr="005A6843">
        <w:t xml:space="preserve"> poco intuitivas y de difícil manejo para los usuarios de la transparencia.</w:t>
      </w:r>
    </w:p>
    <w:p w:rsidR="00EF351D" w:rsidRPr="005A6843" w:rsidRDefault="00EF351D" w:rsidP="00AA712B">
      <w:pPr>
        <w:jc w:val="both"/>
      </w:pPr>
      <w:r w:rsidRPr="005A6843">
        <w:t xml:space="preserve">Ello no obstante, no es momento ahora de insistir en esta cuestión sino de evaluar el efecto que produce en el visitante del Portal encontrarse de pronto con que, accediendo a los contenidos de publicidad activa de éste por la vía de los </w:t>
      </w:r>
      <w:r w:rsidRPr="007969B8">
        <w:rPr>
          <w:i/>
        </w:rPr>
        <w:t>“Ministerios”</w:t>
      </w:r>
      <w:r w:rsidRPr="005A6843">
        <w:t xml:space="preserve">, se obtiene, aparentemente, solo un 50 por 100 de la información que se obtiene por la vía de las </w:t>
      </w:r>
      <w:r w:rsidRPr="007969B8">
        <w:rPr>
          <w:i/>
        </w:rPr>
        <w:t>“Categorías”</w:t>
      </w:r>
      <w:r w:rsidRPr="005A6843">
        <w:t>. Y por mucho que la disparidad de las informaciones disponibles por una u otra vía de acceso pueda justificarse en la configuración técnica del Portal, no cabe duda de que, desde el punto de la accesibilidad de la información y las facilidades de navegación, el efecto es negativo y puede generar un gran desconcierto en el visitante, que ingresa en el sitio sin haber estudiado previamente su organización</w:t>
      </w:r>
      <w:r w:rsidR="00EB6EBF" w:rsidRPr="005A6843">
        <w:t>.</w:t>
      </w:r>
    </w:p>
    <w:p w:rsidR="00A462E6" w:rsidRPr="005A6843" w:rsidRDefault="00EF351D" w:rsidP="00AA712B">
      <w:pPr>
        <w:jc w:val="both"/>
      </w:pPr>
      <w:r w:rsidRPr="005A6843">
        <w:t xml:space="preserve">A criterio de este CTBG, sería necesario, cuando menos, revisar la presentación de los menús de opciones a que se va ingresando por cada ruta de acceso e incluir en los menús ministeriales de transparencia propios del acceso por </w:t>
      </w:r>
      <w:r w:rsidRPr="007969B8">
        <w:rPr>
          <w:i/>
        </w:rPr>
        <w:t>“Ministerios”</w:t>
      </w:r>
      <w:r w:rsidRPr="005A6843">
        <w:t xml:space="preserve"> una explicación de que la ausencia de determinadas sub-categorías o ítems informativas no significa que los datos correspondientes no se hayan incorporado al Portal sino que, simplemente, no son accesibles a través de la ruta escogida. </w:t>
      </w:r>
    </w:p>
    <w:p w:rsidR="00EF351D" w:rsidRPr="005A6843" w:rsidRDefault="00EF351D" w:rsidP="00AA712B">
      <w:pPr>
        <w:jc w:val="both"/>
      </w:pPr>
      <w:r w:rsidRPr="005A6843">
        <w:t xml:space="preserve">Análogamente, en el caso del menú de Presidencia del Gobierno, sería necesario explicar que la falta de acceso a las informaciones propias de las categorías </w:t>
      </w:r>
      <w:r w:rsidRPr="007969B8">
        <w:rPr>
          <w:i/>
        </w:rPr>
        <w:t xml:space="preserve">“Contratos, convenios, </w:t>
      </w:r>
      <w:r w:rsidR="00235F53">
        <w:rPr>
          <w:i/>
        </w:rPr>
        <w:t>etc.</w:t>
      </w:r>
      <w:r w:rsidRPr="007969B8">
        <w:rPr>
          <w:i/>
        </w:rPr>
        <w:t xml:space="preserve">” </w:t>
      </w:r>
      <w:r w:rsidRPr="005A6843">
        <w:t xml:space="preserve">y </w:t>
      </w:r>
      <w:r w:rsidRPr="007969B8">
        <w:rPr>
          <w:i/>
        </w:rPr>
        <w:t xml:space="preserve">“Presupuestos, fiscalización, </w:t>
      </w:r>
      <w:r w:rsidR="00235F53">
        <w:rPr>
          <w:i/>
        </w:rPr>
        <w:t>etc.</w:t>
      </w:r>
      <w:r w:rsidRPr="007969B8">
        <w:rPr>
          <w:i/>
        </w:rPr>
        <w:t>”</w:t>
      </w:r>
      <w:r w:rsidRPr="005A6843">
        <w:t xml:space="preserve"> no obedece a un defecto en la publicación de la información sino a que las actividades correspondientes a ambas categorías no las realiza la organización de Presidencia sino que las gestiona el MPREAT.</w:t>
      </w:r>
    </w:p>
    <w:p w:rsidR="00EF351D" w:rsidRPr="005A6843" w:rsidRDefault="00EF351D" w:rsidP="00AA712B">
      <w:pPr>
        <w:jc w:val="both"/>
      </w:pPr>
      <w:r w:rsidRPr="005A6843">
        <w:t>Todo ello sin perjuicio de que para este CTBG debería buscarse una solución de fondo a la coexistencia en el Portal de informaciones y datos directos y de informaciones y datos obtenidos de una base de datos o un recurso ajeno.</w:t>
      </w:r>
    </w:p>
    <w:p w:rsidR="00DA11A7" w:rsidRDefault="00B532DD" w:rsidP="003D3CB6">
      <w:pPr>
        <w:pStyle w:val="Prrafodelista"/>
        <w:numPr>
          <w:ilvl w:val="0"/>
          <w:numId w:val="12"/>
        </w:numPr>
        <w:ind w:left="426"/>
        <w:jc w:val="both"/>
        <w:rPr>
          <w:b/>
          <w:color w:val="1C314E" w:themeColor="accent4" w:themeShade="80"/>
          <w:u w:val="single"/>
        </w:rPr>
      </w:pPr>
      <w:r>
        <w:rPr>
          <w:b/>
          <w:color w:val="1C314E" w:themeColor="accent4" w:themeShade="80"/>
          <w:u w:val="single"/>
        </w:rPr>
        <w:t>SUJETOS</w:t>
      </w:r>
    </w:p>
    <w:p w:rsidR="003D3CB6" w:rsidRPr="003D3CB6" w:rsidRDefault="003D3CB6" w:rsidP="003D3CB6">
      <w:pPr>
        <w:pStyle w:val="Prrafodelista"/>
        <w:ind w:left="426"/>
        <w:jc w:val="both"/>
        <w:rPr>
          <w:b/>
          <w:color w:val="1C314E" w:themeColor="accent4" w:themeShade="80"/>
          <w:u w:val="single"/>
        </w:rPr>
      </w:pPr>
    </w:p>
    <w:p w:rsidR="00EF351D" w:rsidRPr="00B532DD" w:rsidRDefault="00B10A1E" w:rsidP="00AA712B">
      <w:pPr>
        <w:jc w:val="both"/>
        <w:rPr>
          <w:b/>
        </w:rPr>
      </w:pPr>
      <w:r w:rsidRPr="00B532DD">
        <w:rPr>
          <w:b/>
        </w:rPr>
        <w:t>a</w:t>
      </w:r>
      <w:r w:rsidR="00EF351D" w:rsidRPr="00B532DD">
        <w:rPr>
          <w:b/>
        </w:rPr>
        <w:t>) Servicios territoriales y servicios en el exterior</w:t>
      </w:r>
    </w:p>
    <w:p w:rsidR="00094176" w:rsidRPr="005A6843" w:rsidRDefault="006258D9" w:rsidP="00AA712B">
      <w:pPr>
        <w:jc w:val="both"/>
      </w:pPr>
      <w:r w:rsidRPr="005A6843">
        <w:t xml:space="preserve">De acuerdo con el art. 10 de la </w:t>
      </w:r>
      <w:r w:rsidR="00052FF3">
        <w:t>l</w:t>
      </w:r>
      <w:r w:rsidR="001C41A6">
        <w:t>ey</w:t>
      </w:r>
      <w:r w:rsidR="00E768A4">
        <w:t xml:space="preserve"> de transparencia</w:t>
      </w:r>
      <w:r w:rsidRPr="005A6843">
        <w:t xml:space="preserve">, la finalidad del Portal es facilitar el acceso a la información relativa al ámbito de la AGE que la norma somete a publicidad activa. </w:t>
      </w:r>
    </w:p>
    <w:p w:rsidR="00094176" w:rsidRPr="005A6843" w:rsidRDefault="00094176" w:rsidP="00AA712B">
      <w:pPr>
        <w:jc w:val="both"/>
      </w:pPr>
      <w:r w:rsidRPr="005A6843">
        <w:t xml:space="preserve">Por su parte, el art. 55.2 de La </w:t>
      </w:r>
      <w:r w:rsidR="001C41A6">
        <w:t>Ley</w:t>
      </w:r>
      <w:r w:rsidRPr="005A6843">
        <w:t xml:space="preserve"> 40/2015, de 1 de octubre, de Régimen Jurídico del Sector Público (LRJSP) dispone que: </w:t>
      </w:r>
      <w:r w:rsidRPr="00B532DD">
        <w:rPr>
          <w:i/>
        </w:rPr>
        <w:t>“la Administración General del Estado comprende: a) La Organización Central, que integra los Ministerios y los servicios comunes; b) La Organización Territorial y c) La Administración General del Estado en el exterior”</w:t>
      </w:r>
      <w:r w:rsidRPr="005A6843">
        <w:t xml:space="preserve">. </w:t>
      </w:r>
    </w:p>
    <w:p w:rsidR="00094176" w:rsidRPr="005A6843" w:rsidRDefault="00094176" w:rsidP="00AA712B">
      <w:pPr>
        <w:jc w:val="both"/>
      </w:pPr>
      <w:r w:rsidRPr="005A6843">
        <w:t xml:space="preserve">Respecto de la organización territorial, el art. 69 de la </w:t>
      </w:r>
      <w:r w:rsidR="00052FF3">
        <w:t>l</w:t>
      </w:r>
      <w:r w:rsidR="001C41A6">
        <w:t>ey</w:t>
      </w:r>
      <w:r w:rsidRPr="005A6843">
        <w:t xml:space="preserve"> aclara que la AGE se organiza en Delegaciones y Subdelegaciones del Gobierno, una Delegación del Gobierno en cada una de las CCAA  y una Subdelegación, bajo la inmediata dependencia del Delegado del Gobierno, en cada una de las prov</w:t>
      </w:r>
      <w:r w:rsidR="0045179C">
        <w:t>incias de las Comunidades pluri</w:t>
      </w:r>
      <w:r w:rsidRPr="005A6843">
        <w:t>provinciales. Y el art. 70 que, adicionalmente, en las islas que se determinen reglamentariamente, existirá un Director Insular de la AGE, nombrado por el Delegado del Gobierno en la Comunidad a que correspondan.</w:t>
      </w:r>
    </w:p>
    <w:p w:rsidR="001440C8" w:rsidRPr="005A6843" w:rsidRDefault="001440C8" w:rsidP="00AA712B">
      <w:pPr>
        <w:jc w:val="both"/>
      </w:pPr>
      <w:r w:rsidRPr="005A6843">
        <w:t xml:space="preserve">Por su parte, el art. 80 se refiere a la AGE en el exterior y señala que se articula en el Servicio Exterior del Estado (SEE). En todo lo concerniente a su composición, organización, funciones, integración y personal, el SEE se rige por lo dispuesto en la </w:t>
      </w:r>
      <w:r w:rsidR="001C41A6">
        <w:t>Ley</w:t>
      </w:r>
      <w:r w:rsidRPr="005A6843">
        <w:t xml:space="preserve"> 2/2014, de 25 de marzo, de la Acción y del Servicio Exterior del Estado (LAEX).</w:t>
      </w:r>
    </w:p>
    <w:p w:rsidR="001440C8" w:rsidRPr="005A6843" w:rsidRDefault="001440C8" w:rsidP="00AA712B">
      <w:pPr>
        <w:jc w:val="both"/>
      </w:pPr>
      <w:r w:rsidRPr="005A6843">
        <w:t>De acuerdo con el art. 42 de ésta, el SEE está integrado por las Misiones Diplomáticas Permanentes, que representan a España ante uno o varios de los Estados con los que tiene establecidas relaciones diplomáticas, y las Representaciones Permanentes, que representan a España ante la Unión Europea o una Organización Internacional. Y de acuerdo con el art. 45.1, las Misiones Diplomáticas o Representaciones Permanentes están integradas por: a) La Jefatura de la Misión o de la Representación. b) La Cancillería Diplomática; c) Las Consejerías, Agregadurías, Oficinas sectoriales, Oficinas Económicas y Comerciales, Oficinas Técnicas de Cooperación, Centros Culturales, Centros de Formación de la Cooperación Española, así como el Instituto Cervantes y d) En su caso, la Sección de Servicios Comunes.</w:t>
      </w:r>
    </w:p>
    <w:p w:rsidR="001440C8" w:rsidRPr="005A6843" w:rsidRDefault="001440C8" w:rsidP="00AA712B">
      <w:pPr>
        <w:jc w:val="both"/>
      </w:pPr>
      <w:r w:rsidRPr="005A6843">
        <w:t>En síntesis, pues, la AGE está integrada por:</w:t>
      </w:r>
    </w:p>
    <w:p w:rsidR="006258D9" w:rsidRDefault="006258D9" w:rsidP="005750D1">
      <w:pPr>
        <w:pStyle w:val="Prrafodelista"/>
        <w:numPr>
          <w:ilvl w:val="0"/>
          <w:numId w:val="20"/>
        </w:numPr>
        <w:spacing w:line="276" w:lineRule="auto"/>
        <w:jc w:val="both"/>
      </w:pPr>
      <w:r w:rsidRPr="005A6843">
        <w:t>Presidencia del Gobierno y los Ministerios o Departamentos ministeriales, con sus servicios comunes</w:t>
      </w:r>
    </w:p>
    <w:p w:rsidR="00B532DD" w:rsidRPr="005A6843" w:rsidRDefault="00B532DD" w:rsidP="00B532DD">
      <w:pPr>
        <w:pStyle w:val="Prrafodelista"/>
        <w:spacing w:line="276" w:lineRule="auto"/>
        <w:jc w:val="both"/>
      </w:pPr>
    </w:p>
    <w:p w:rsidR="006258D9" w:rsidRDefault="006258D9" w:rsidP="005750D1">
      <w:pPr>
        <w:pStyle w:val="Prrafodelista"/>
        <w:numPr>
          <w:ilvl w:val="0"/>
          <w:numId w:val="20"/>
        </w:numPr>
        <w:spacing w:line="276" w:lineRule="auto"/>
        <w:jc w:val="both"/>
      </w:pPr>
      <w:r w:rsidRPr="005A6843">
        <w:t>Las Delegaciones y Subdelegaciones del Gobierno, junto con los Directores Insulares existentes</w:t>
      </w:r>
    </w:p>
    <w:p w:rsidR="00B532DD" w:rsidRDefault="00B532DD" w:rsidP="00B532DD">
      <w:pPr>
        <w:pStyle w:val="Prrafodelista"/>
        <w:spacing w:line="276" w:lineRule="auto"/>
      </w:pPr>
    </w:p>
    <w:p w:rsidR="006258D9" w:rsidRDefault="006258D9" w:rsidP="005750D1">
      <w:pPr>
        <w:pStyle w:val="Prrafodelista"/>
        <w:numPr>
          <w:ilvl w:val="0"/>
          <w:numId w:val="20"/>
        </w:numPr>
        <w:spacing w:line="276" w:lineRule="auto"/>
        <w:jc w:val="both"/>
      </w:pPr>
      <w:r w:rsidRPr="005A6843">
        <w:t>Los servicios territoriales ministeriales no integrados en las Delegaciones del Gobierno y</w:t>
      </w:r>
    </w:p>
    <w:p w:rsidR="00B532DD" w:rsidRDefault="00B532DD" w:rsidP="00B532DD">
      <w:pPr>
        <w:pStyle w:val="Prrafodelista"/>
        <w:spacing w:line="276" w:lineRule="auto"/>
      </w:pPr>
    </w:p>
    <w:p w:rsidR="00094176" w:rsidRDefault="006258D9" w:rsidP="005750D1">
      <w:pPr>
        <w:pStyle w:val="Prrafodelista"/>
        <w:numPr>
          <w:ilvl w:val="0"/>
          <w:numId w:val="20"/>
        </w:numPr>
        <w:spacing w:line="276" w:lineRule="auto"/>
        <w:jc w:val="both"/>
      </w:pPr>
      <w:r w:rsidRPr="005A6843">
        <w:t>Las Misiones Diplomáticas y las Representaciones Permanentes</w:t>
      </w:r>
      <w:r w:rsidR="00094176" w:rsidRPr="005A6843">
        <w:t xml:space="preserve"> de España en el exterior</w:t>
      </w:r>
      <w:r w:rsidRPr="005A6843">
        <w:t>, con las Cancillerías Diplomáticas y las Consejerías, Agregadurías y Oficinas sectoriales</w:t>
      </w:r>
      <w:r w:rsidR="00094176" w:rsidRPr="005A6843">
        <w:t xml:space="preserve"> de los Ministerios</w:t>
      </w:r>
    </w:p>
    <w:p w:rsidR="00B532DD" w:rsidRDefault="00B532DD" w:rsidP="00B532DD">
      <w:pPr>
        <w:pStyle w:val="Prrafodelista"/>
      </w:pPr>
    </w:p>
    <w:p w:rsidR="00D863EA" w:rsidRPr="005A6843" w:rsidRDefault="001440C8" w:rsidP="00B532DD">
      <w:pPr>
        <w:jc w:val="both"/>
      </w:pPr>
      <w:r w:rsidRPr="005A6843">
        <w:t>Poniendo en relación esta estructura con el contenido informativo del Portal de Transparencia surge la duda de si éste incorpora los datos de todos estos órganos que acaban o si únicamente incorpora los datos correspondientes a Presidencia del Gobierno y los Departamentos ministeriales como parece colegirse de la estructura de</w:t>
      </w:r>
      <w:r w:rsidR="00D863EA" w:rsidRPr="005A6843">
        <w:t xml:space="preserve"> los diferentes menús “ministerializados” del Portal y de la ausencia tanto en éstos como en los menús “centralizados” de cualquier explicación, referencia o mención a los órganos territoriales de la AGE o al SEE.</w:t>
      </w:r>
    </w:p>
    <w:p w:rsidR="001440C8" w:rsidRPr="005A6843" w:rsidRDefault="00D863EA" w:rsidP="00B532DD">
      <w:pPr>
        <w:jc w:val="both"/>
      </w:pPr>
      <w:r w:rsidRPr="005A6843">
        <w:t xml:space="preserve">La respuesta puede hallarse en </w:t>
      </w:r>
      <w:r w:rsidR="001440C8" w:rsidRPr="005A6843">
        <w:t>l</w:t>
      </w:r>
      <w:r w:rsidRPr="005A6843">
        <w:t>as disposiciones de la LRJSP y la LAEX. Así, la primera, establece en el art. 69 que l</w:t>
      </w:r>
      <w:r w:rsidR="00094176" w:rsidRPr="005A6843">
        <w:t>as Delegaciones y las Subdelegaciones están adscritas orgánicamente al Ministerio de Hacienda y Administraciones Públicas (hoy</w:t>
      </w:r>
      <w:r w:rsidRPr="005A6843">
        <w:t xml:space="preserve"> al MPREAT, tras la reestructuración operada en los Departamentos ministeriales por el Real Decreto 2017). Y así también la segunda, que establece en el art. </w:t>
      </w:r>
      <w:r w:rsidR="0050581B" w:rsidRPr="005A6843">
        <w:t xml:space="preserve">44 que la Jefatura de la Misión Diplomática Permanente es ejercida por un Embajador Extraordinario y Plenipotenciario y, en el caso de las Representaciones Permanentes, por un Embajador Representante Permanente y en el art. 45 que la Cancillería Diplomática desarrolla las funciones diplomáticas, consulares, de cooperación, así como las de naturaleza política y las de representación, y que </w:t>
      </w:r>
      <w:r w:rsidRPr="005A6843">
        <w:t xml:space="preserve">las </w:t>
      </w:r>
      <w:r w:rsidR="001440C8" w:rsidRPr="005A6843">
        <w:t>Consejerías, Agregadurías</w:t>
      </w:r>
      <w:r w:rsidRPr="005A6843">
        <w:t xml:space="preserve"> y Oficinas Técnicas de los Ministerios </w:t>
      </w:r>
      <w:r w:rsidR="001440C8" w:rsidRPr="005A6843">
        <w:t>son órganos técnicos especializados de la Misión Diplomática o Representación Permanente que, bajo la dependencia jerárquica del Embajador, le prestan asesoramiento y apoyo técnico y asisten a éste y a la Misión en el desempeño de sus funciones, sin perjuicio de su dependencia orgánica y funcional de sus respectivos Departamentos a los que corresponde su organización interna y dotación presupuestaria (art. 45.3 LAEX).</w:t>
      </w:r>
    </w:p>
    <w:p w:rsidR="002A607E" w:rsidRPr="005A6843" w:rsidRDefault="00D863EA" w:rsidP="00B532DD">
      <w:pPr>
        <w:jc w:val="both"/>
      </w:pPr>
      <w:r w:rsidRPr="005A6843">
        <w:t xml:space="preserve">De este modo queda claro que, sin perjuicio de su independencia funcional, tanto las Delegaciones y Subdelegaciones del Gobierno como </w:t>
      </w:r>
      <w:r w:rsidR="0050581B" w:rsidRPr="005A6843">
        <w:t xml:space="preserve">las Misiones Diplomáticas y Representaciones Permanentes de España en el exterior, las Cancillerías diplomáticas </w:t>
      </w:r>
      <w:r w:rsidRPr="005A6843">
        <w:t>y</w:t>
      </w:r>
      <w:r w:rsidR="0050581B" w:rsidRPr="005A6843">
        <w:t xml:space="preserve"> las Consejerías, Agregadurías y Oficinas Técnicas, están adscritas orgánicamente a un determinado Departamento ministerial: el MPREAT, en el caso de las Delegaciones y Subdelegaciones; el MAEC, en el caso de Misiones, Representaciones y Cancillerías diplomáticas y el Departamento correspondiente al área funcional de que se trate, en el supuesto de las Consejerías, Agregadurías y Oficinas Técnicas –lo mismo cabe decir de los </w:t>
      </w:r>
      <w:r w:rsidR="002A607E" w:rsidRPr="005A6843">
        <w:t>servicios territoriales no integrados de los distintos Ministerios, que siguen el mismo modelo-Por ello, teniendo en cuenta la dependencia orgánica de cada uno de ellos, los datos de publicidad activa de todos estos órganos y unidades deberían figurar entre los datos propios de los distintos Ministerios de adscripción.</w:t>
      </w:r>
    </w:p>
    <w:p w:rsidR="00DA11A7" w:rsidRPr="005A6843" w:rsidRDefault="002A607E" w:rsidP="00B532DD">
      <w:pPr>
        <w:jc w:val="both"/>
      </w:pPr>
      <w:r w:rsidRPr="005A6843">
        <w:t xml:space="preserve">Y así sucede en el Portal, al menos parcialmente. </w:t>
      </w:r>
      <w:r w:rsidR="00DA11A7" w:rsidRPr="005A6843">
        <w:t xml:space="preserve">Accediendo a </w:t>
      </w:r>
      <w:r w:rsidRPr="005A6843">
        <w:t>sus distintos contenidos informativos</w:t>
      </w:r>
      <w:r w:rsidR="00DA11A7" w:rsidRPr="005A6843">
        <w:t xml:space="preserve">, y </w:t>
      </w:r>
      <w:r w:rsidRPr="005A6843">
        <w:t xml:space="preserve">con el auxilio de </w:t>
      </w:r>
      <w:r w:rsidR="00DA11A7" w:rsidRPr="005A6843">
        <w:t xml:space="preserve">algunos conocimientos previos de organización y estructura de la AGE, </w:t>
      </w:r>
      <w:r w:rsidRPr="005A6843">
        <w:t>se llega a las siguientes comprobaciones:</w:t>
      </w:r>
    </w:p>
    <w:p w:rsidR="00DA11A7" w:rsidRDefault="00DA11A7" w:rsidP="005750D1">
      <w:pPr>
        <w:pStyle w:val="Prrafodelista"/>
        <w:numPr>
          <w:ilvl w:val="0"/>
          <w:numId w:val="21"/>
        </w:numPr>
        <w:spacing w:line="276" w:lineRule="auto"/>
        <w:jc w:val="both"/>
      </w:pPr>
      <w:r w:rsidRPr="005A6843">
        <w:t>Que el Portal efectivamente incorpora parte de la información de publicidad activa de aquéllos órganos de la organización territorial de la AGE o del Servicio Exterior que se encuentran bajo la dependencia orgánica o funcional de cada uno de los Ministerios. Así, dentro de la categoría “Institucional” del MPREAT o del M</w:t>
      </w:r>
      <w:r w:rsidR="002A607E" w:rsidRPr="005A6843">
        <w:t>AEC</w:t>
      </w:r>
      <w:r w:rsidRPr="005A6843">
        <w:t>, aparecen los datos relativos a la identidad, las retribuciones y el perfil y la trayectoria profesional de los titulares de estos órganos que tienen la consideración de Altos Cargos o equivalentes: Delegados del Gobierno y Embajadores</w:t>
      </w:r>
      <w:r w:rsidR="00C270DA" w:rsidRPr="005A6843">
        <w:t>.</w:t>
      </w:r>
    </w:p>
    <w:p w:rsidR="00B532DD" w:rsidRPr="005A6843" w:rsidRDefault="00B532DD" w:rsidP="00B532DD">
      <w:pPr>
        <w:pStyle w:val="Prrafodelista"/>
        <w:spacing w:line="276" w:lineRule="auto"/>
        <w:jc w:val="both"/>
      </w:pPr>
    </w:p>
    <w:p w:rsidR="002A607E" w:rsidRPr="005A6843" w:rsidRDefault="00DA11A7" w:rsidP="005750D1">
      <w:pPr>
        <w:pStyle w:val="Prrafodelista"/>
        <w:numPr>
          <w:ilvl w:val="0"/>
          <w:numId w:val="21"/>
        </w:numPr>
        <w:spacing w:line="276" w:lineRule="auto"/>
        <w:jc w:val="both"/>
      </w:pPr>
      <w:r w:rsidRPr="005A6843">
        <w:t xml:space="preserve">Que parte de la información no figura en el Portal –p.ej. los datos sobre la estructura o los organigramas de las Delegaciones o Subdelegaciones del Gobierno, las Misiones y Representaciones diplomáticas, las Consejerías, Oficinas sectoriales, </w:t>
      </w:r>
      <w:r w:rsidR="00235F53">
        <w:t>etc.</w:t>
      </w:r>
      <w:r w:rsidRPr="005A6843">
        <w:t xml:space="preserve"> de los Ministerios en el exterior o de los servicios territoriales no integrados en las Delegaciones-.</w:t>
      </w:r>
    </w:p>
    <w:p w:rsidR="00DA11A7" w:rsidRDefault="00DA11A7" w:rsidP="00B532DD">
      <w:pPr>
        <w:ind w:left="708"/>
        <w:jc w:val="both"/>
      </w:pPr>
      <w:r w:rsidRPr="005A6843">
        <w:t xml:space="preserve">Esta información debe ser consultada en las páginas </w:t>
      </w:r>
      <w:r w:rsidR="00FC4B2E" w:rsidRPr="00FC4B2E">
        <w:rPr>
          <w:i/>
        </w:rPr>
        <w:t>web</w:t>
      </w:r>
      <w:r w:rsidRPr="005A6843">
        <w:t xml:space="preserve"> de cada uno de los Ministerios.  Así, p. ej. la </w:t>
      </w:r>
      <w:hyperlink r:id="rId37" w:history="1">
        <w:r w:rsidRPr="0011185E">
          <w:rPr>
            <w:rStyle w:val="Hipervnculo"/>
          </w:rPr>
          <w:t>página de la Secretaría de Estado de Administración Territorial (SEAT)</w:t>
        </w:r>
      </w:hyperlink>
      <w:r w:rsidRPr="005A6843">
        <w:t xml:space="preserve"> del MPREAT presenta un </w:t>
      </w:r>
      <w:r w:rsidR="00C31552" w:rsidRPr="005A6843">
        <w:t xml:space="preserve">espacio </w:t>
      </w:r>
      <w:r w:rsidR="0011185E">
        <w:t>específico,</w:t>
      </w:r>
      <w:r w:rsidRPr="005A6843">
        <w:t xml:space="preserve"> “</w:t>
      </w:r>
      <w:hyperlink r:id="rId38" w:history="1">
        <w:r w:rsidRPr="0011185E">
          <w:rPr>
            <w:rStyle w:val="Hipervnculo"/>
          </w:rPr>
          <w:t>Delegaciones del Gobierno</w:t>
        </w:r>
      </w:hyperlink>
      <w:r w:rsidRPr="005A6843">
        <w:t>”</w:t>
      </w:r>
      <w:r w:rsidR="00C31552" w:rsidRPr="005A6843">
        <w:t xml:space="preserve">, </w:t>
      </w:r>
      <w:r w:rsidRPr="005A6843">
        <w:t xml:space="preserve">con diversos accesos a los datos de éstas. Así también, la </w:t>
      </w:r>
      <w:hyperlink r:id="rId39" w:history="1">
        <w:r w:rsidR="00FC4B2E" w:rsidRPr="0011185E">
          <w:rPr>
            <w:rStyle w:val="Hipervnculo"/>
            <w:i/>
          </w:rPr>
          <w:t>web</w:t>
        </w:r>
        <w:r w:rsidRPr="0011185E">
          <w:rPr>
            <w:rStyle w:val="Hipervnculo"/>
          </w:rPr>
          <w:t xml:space="preserve"> del MAEC</w:t>
        </w:r>
      </w:hyperlink>
      <w:r w:rsidRPr="005A6843">
        <w:t xml:space="preserve"> </w:t>
      </w:r>
      <w:r w:rsidR="00C31552" w:rsidRPr="005A6843">
        <w:t xml:space="preserve">, a través de </w:t>
      </w:r>
      <w:r w:rsidRPr="005A6843">
        <w:t xml:space="preserve">la pestaña “Servicios Al Ciudadano”, </w:t>
      </w:r>
      <w:r w:rsidR="00C31552" w:rsidRPr="005A6843">
        <w:t xml:space="preserve">da </w:t>
      </w:r>
      <w:r w:rsidR="0011185E">
        <w:t>acceso al portal “</w:t>
      </w:r>
      <w:hyperlink r:id="rId40" w:history="1">
        <w:r w:rsidR="0011185E" w:rsidRPr="0011185E">
          <w:rPr>
            <w:rStyle w:val="Hipervnculo"/>
          </w:rPr>
          <w:t>En e</w:t>
        </w:r>
        <w:r w:rsidRPr="0011185E">
          <w:rPr>
            <w:rStyle w:val="Hipervnculo"/>
          </w:rPr>
          <w:t>l Mundo</w:t>
        </w:r>
      </w:hyperlink>
      <w:r w:rsidRPr="005A6843">
        <w:t xml:space="preserve">”, con </w:t>
      </w:r>
      <w:r w:rsidR="00C31552" w:rsidRPr="005A6843">
        <w:t>enlaces</w:t>
      </w:r>
      <w:r w:rsidRPr="005A6843">
        <w:t xml:space="preserve"> a las Embajadas y Consulados de España. Finalmente, y por no alargar en exceso las referencias, en la </w:t>
      </w:r>
      <w:r w:rsidR="00FC4B2E" w:rsidRPr="00FC4B2E">
        <w:rPr>
          <w:i/>
        </w:rPr>
        <w:t>web</w:t>
      </w:r>
      <w:r w:rsidRPr="005A6843">
        <w:t xml:space="preserve"> de la Secretaria de Estado de Comercio del Ministerio de Economía, Indus</w:t>
      </w:r>
      <w:r w:rsidR="0011185E">
        <w:t xml:space="preserve">tria y Competitividad (MINECO) </w:t>
      </w:r>
      <w:r w:rsidRPr="005A6843">
        <w:t xml:space="preserve">existe un </w:t>
      </w:r>
      <w:hyperlink r:id="rId41" w:history="1">
        <w:r w:rsidRPr="00D54FF2">
          <w:rPr>
            <w:rStyle w:val="Hipervnculo"/>
          </w:rPr>
          <w:t>enlace a los datos de la red de Oficinas Económicas y Comerciales de España en el exterior</w:t>
        </w:r>
      </w:hyperlink>
      <w:r w:rsidRPr="005A6843">
        <w:t xml:space="preserve">. </w:t>
      </w:r>
    </w:p>
    <w:p w:rsidR="00DA11A7" w:rsidRDefault="00DA11A7" w:rsidP="005750D1">
      <w:pPr>
        <w:pStyle w:val="Prrafodelista"/>
        <w:numPr>
          <w:ilvl w:val="0"/>
          <w:numId w:val="22"/>
        </w:numPr>
        <w:spacing w:line="276" w:lineRule="auto"/>
        <w:jc w:val="both"/>
      </w:pPr>
      <w:r w:rsidRPr="005A6843">
        <w:t xml:space="preserve">Que debido a su particular estructura organizativa y a su situación de dependencia ministerial, los órganos territoriales de la AGE y los órganos integrados en el Servicio Exterior carecen de facultades para realizar determinadas gestiones o actuaciones por lo que algunos de los datos e informaciones exigidos por los arts. 6 a 8 de la </w:t>
      </w:r>
      <w:r w:rsidR="00052FF3">
        <w:t>l</w:t>
      </w:r>
      <w:r w:rsidR="001C41A6">
        <w:t>ey</w:t>
      </w:r>
      <w:r w:rsidR="00E768A4">
        <w:t xml:space="preserve"> de transparencia</w:t>
      </w:r>
      <w:r w:rsidRPr="005A6843">
        <w:t xml:space="preserve"> no les afectan. Esto es especialmente patente en todo lo relativo a la información presupuestaria, dándose el caso de que los créditos presupuestarios correspondientes están centralizados en los Presupuestos de los Departamentos de que dependen y en muchas ocasiones figuran globalizados. También en lo referente a contratos y convenios en que la competencia para contratar o suscribir corresponde a la Subsecretaría, los Centros Directivos o los órganos de contratación de los Ministerios.</w:t>
      </w:r>
    </w:p>
    <w:p w:rsidR="00B532DD" w:rsidRPr="005A6843" w:rsidRDefault="00B532DD" w:rsidP="00B532DD">
      <w:pPr>
        <w:pStyle w:val="Prrafodelista"/>
        <w:spacing w:line="276" w:lineRule="auto"/>
        <w:jc w:val="both"/>
      </w:pPr>
    </w:p>
    <w:p w:rsidR="00DA11A7" w:rsidRPr="005A6843" w:rsidRDefault="00C31552" w:rsidP="00B532DD">
      <w:pPr>
        <w:jc w:val="both"/>
      </w:pPr>
      <w:r w:rsidRPr="005A6843">
        <w:t xml:space="preserve">Teniendo en cuenta lo dicho, </w:t>
      </w:r>
      <w:r w:rsidR="00DA11A7" w:rsidRPr="005A6843">
        <w:t>y a juicio de este CTBG, sería conveniente introducir algunas mejoras en la configuración de la información por Ministerios del Portal</w:t>
      </w:r>
      <w:r w:rsidR="0045179C">
        <w:t>:</w:t>
      </w:r>
    </w:p>
    <w:p w:rsidR="00DA11A7" w:rsidRDefault="00DA11A7" w:rsidP="005750D1">
      <w:pPr>
        <w:pStyle w:val="Prrafodelista"/>
        <w:numPr>
          <w:ilvl w:val="0"/>
          <w:numId w:val="22"/>
        </w:numPr>
        <w:spacing w:line="276" w:lineRule="auto"/>
        <w:jc w:val="both"/>
      </w:pPr>
      <w:r w:rsidRPr="005A6843">
        <w:t>En primer lugar, sería necesario mejorar la claridad, la accesibilidad y la estructuración de la información. En este sentido, debería clarificarse al máximo el alca</w:t>
      </w:r>
      <w:r w:rsidR="00C31552" w:rsidRPr="005A6843">
        <w:t>nce del acceso a la información</w:t>
      </w:r>
      <w:r w:rsidRPr="005A6843">
        <w:t xml:space="preserve">, señalando que conduce no solo a información de los Ministerios sino también a la del resto de los órganos de la AGE -que sería conveniente enumerar- o, cuando menos, que incluye no solamente datos relativos a los servicios centrales de los Ministerios sino también a sus servicios periféricos o del exterior. </w:t>
      </w:r>
    </w:p>
    <w:p w:rsidR="00BA7A17" w:rsidRPr="005A6843" w:rsidRDefault="00BA7A17" w:rsidP="00BA7A17">
      <w:pPr>
        <w:pStyle w:val="Prrafodelista"/>
        <w:spacing w:line="276" w:lineRule="auto"/>
        <w:jc w:val="both"/>
      </w:pPr>
    </w:p>
    <w:p w:rsidR="00DA11A7" w:rsidRPr="005A6843" w:rsidRDefault="00DA11A7" w:rsidP="00B532DD">
      <w:pPr>
        <w:ind w:left="708"/>
        <w:jc w:val="both"/>
      </w:pPr>
      <w:r w:rsidRPr="005A6843">
        <w:t>También debería clarificarse el contenido de la información que se ofrece respecto de los órganos territoriales o exteriores, indicando que una parte de los mismos no se publica por afectar a materias ajenas a sus funciones o competencias. Una recomendación constante de este CTBG, desde el punto de vista de la claridad de la información, es la de que cuando una información no se publique porque, sencillamente, no existe, se explicite expresamente esta circunstancia y los motivos de la misma.</w:t>
      </w:r>
    </w:p>
    <w:p w:rsidR="00DA11A7" w:rsidRPr="005A6843" w:rsidRDefault="00DA11A7" w:rsidP="00B532DD">
      <w:pPr>
        <w:ind w:left="708"/>
        <w:jc w:val="both"/>
      </w:pPr>
      <w:r w:rsidRPr="005A6843">
        <w:t xml:space="preserve">En este mismo sentido, sería muy necesario incluir en la home del Portal -tal vez ya en la “Bienvenida”- una explicación clara y lo más completa posible sobre el concepto legal de AGE y los órganos que la integran. La falta de esta explicación, siendo el acceso a la información de la AGE el único objeto del Portal, resulta tan sorprendente como la falta de un </w:t>
      </w:r>
      <w:r w:rsidR="00C31552" w:rsidRPr="005A6843">
        <w:t xml:space="preserve">acceso </w:t>
      </w:r>
      <w:r w:rsidRPr="005A6843">
        <w:t xml:space="preserve">específico </w:t>
      </w:r>
      <w:r w:rsidR="00C31552" w:rsidRPr="005A6843">
        <w:t xml:space="preserve">a la información de </w:t>
      </w:r>
      <w:r w:rsidRPr="005A6843">
        <w:t>publicidad activa.</w:t>
      </w:r>
    </w:p>
    <w:p w:rsidR="00C31552" w:rsidRDefault="00DA11A7" w:rsidP="005750D1">
      <w:pPr>
        <w:pStyle w:val="Prrafodelista"/>
        <w:numPr>
          <w:ilvl w:val="0"/>
          <w:numId w:val="22"/>
        </w:numPr>
        <w:spacing w:line="276" w:lineRule="auto"/>
        <w:jc w:val="both"/>
      </w:pPr>
      <w:r w:rsidRPr="005A6843">
        <w:t xml:space="preserve">En segundo lugar, sería necesario revisar el contenido de la información, para completar los datos obligatoriamente exigidos por la </w:t>
      </w:r>
      <w:r w:rsidR="00052FF3">
        <w:t>l</w:t>
      </w:r>
      <w:r w:rsidR="001C41A6">
        <w:t>ey</w:t>
      </w:r>
      <w:r w:rsidR="00E768A4">
        <w:t xml:space="preserve"> de transparencia</w:t>
      </w:r>
      <w:r w:rsidRPr="005A6843">
        <w:t xml:space="preserve"> y que hoy no tienen publicación. Así, sería especialmente necesario incorporar al Portal al menos un organigrama o una representación gráfica del despliegue de oficinas de la AGE en el exterior y en territorio español.</w:t>
      </w:r>
    </w:p>
    <w:p w:rsidR="00BA7A17" w:rsidRPr="005A6843" w:rsidRDefault="00BA7A17" w:rsidP="00BA7A17">
      <w:pPr>
        <w:pStyle w:val="Prrafodelista"/>
        <w:spacing w:line="276" w:lineRule="auto"/>
        <w:jc w:val="both"/>
      </w:pPr>
    </w:p>
    <w:p w:rsidR="00DA11A7" w:rsidRPr="005A6843" w:rsidRDefault="00DA11A7" w:rsidP="00B532DD">
      <w:pPr>
        <w:ind w:left="708"/>
        <w:jc w:val="both"/>
      </w:pPr>
      <w:r w:rsidRPr="005A6843">
        <w:t xml:space="preserve">Es cierto, como se ha visto, que son datos que figuran en los portales ministeriales, pero, teniendo en consideración que la finalidad del Portal es facilitar el acceso del ciudadano a la información de publicidad activa de la AGE, debería figurar así mismo entre sus contenidos: cuando menos en forma de enlace o </w:t>
      </w:r>
      <w:r w:rsidR="00FC4B2E" w:rsidRPr="00FC4B2E">
        <w:rPr>
          <w:i/>
        </w:rPr>
        <w:t>link</w:t>
      </w:r>
      <w:r w:rsidRPr="005A6843">
        <w:t xml:space="preserve"> electrónico a la página del Ministerio. Y esto sea dicho con independencia del criterio que este CTBG ha manifestado en repetidas ocasiones –p. ej. en su </w:t>
      </w:r>
      <w:r w:rsidRPr="00BA7A17">
        <w:rPr>
          <w:i/>
        </w:rPr>
        <w:t xml:space="preserve">Informe sobre el Proyecto de Reglamento de desarrollo de la </w:t>
      </w:r>
      <w:r w:rsidR="00052FF3">
        <w:rPr>
          <w:i/>
        </w:rPr>
        <w:t>l</w:t>
      </w:r>
      <w:r w:rsidR="001C41A6">
        <w:rPr>
          <w:i/>
        </w:rPr>
        <w:t>ey</w:t>
      </w:r>
      <w:r w:rsidR="00E768A4">
        <w:rPr>
          <w:i/>
        </w:rPr>
        <w:t xml:space="preserve"> de transparencia</w:t>
      </w:r>
      <w:r w:rsidRPr="00BA7A17">
        <w:rPr>
          <w:i/>
        </w:rPr>
        <w:t xml:space="preserve"> o en su Memoria de Actividades</w:t>
      </w:r>
      <w:r w:rsidRPr="005A6843">
        <w:t xml:space="preserve"> del ejercicio 2015- sobre la inconveniencia de la duplicación de informaciones y datos en el Portal general y en los portales de los Ministerios.</w:t>
      </w:r>
    </w:p>
    <w:p w:rsidR="00DA11A7" w:rsidRPr="00B532DD" w:rsidRDefault="00EF351D" w:rsidP="00AA712B">
      <w:pPr>
        <w:jc w:val="both"/>
        <w:rPr>
          <w:b/>
        </w:rPr>
      </w:pPr>
      <w:r w:rsidRPr="00B532DD">
        <w:rPr>
          <w:b/>
        </w:rPr>
        <w:t>B</w:t>
      </w:r>
      <w:r w:rsidR="00DA11A7" w:rsidRPr="00B532DD">
        <w:rPr>
          <w:b/>
        </w:rPr>
        <w:t xml:space="preserve">) </w:t>
      </w:r>
      <w:r w:rsidRPr="00B532DD">
        <w:rPr>
          <w:b/>
        </w:rPr>
        <w:t>Organismos vinculados y dependientes</w:t>
      </w:r>
    </w:p>
    <w:p w:rsidR="00C0215A" w:rsidRPr="00BA7A17" w:rsidRDefault="00355DED" w:rsidP="00AA712B">
      <w:pPr>
        <w:jc w:val="both"/>
        <w:rPr>
          <w:i/>
        </w:rPr>
      </w:pPr>
      <w:r w:rsidRPr="005A6843">
        <w:t xml:space="preserve">Como ya se ha indicado más arriba, el </w:t>
      </w:r>
      <w:r w:rsidR="00C0215A" w:rsidRPr="005A6843">
        <w:t>acce</w:t>
      </w:r>
      <w:r w:rsidRPr="005A6843">
        <w:t>so</w:t>
      </w:r>
      <w:r w:rsidR="00C0215A" w:rsidRPr="005A6843">
        <w:t xml:space="preserve"> al Portal por la vía de las categorías de información</w:t>
      </w:r>
      <w:r w:rsidRPr="005A6843">
        <w:t xml:space="preserve"> sitúa al visitante </w:t>
      </w:r>
      <w:r w:rsidR="00C0215A" w:rsidRPr="005A6843">
        <w:t>en los menús de cada una de éstas –“</w:t>
      </w:r>
      <w:r w:rsidR="00C0215A" w:rsidRPr="00BA7A17">
        <w:rPr>
          <w:i/>
        </w:rPr>
        <w:t>Institucional”, “Normativa”,</w:t>
      </w:r>
      <w:r w:rsidR="00C0215A" w:rsidRPr="005A6843">
        <w:t xml:space="preserve"> </w:t>
      </w:r>
      <w:r w:rsidR="00235F53">
        <w:t>etc.</w:t>
      </w:r>
      <w:r w:rsidR="00C0215A" w:rsidRPr="005A6843">
        <w:t xml:space="preserve">- que </w:t>
      </w:r>
      <w:r w:rsidRPr="005A6843">
        <w:t xml:space="preserve">vienen precedidos de </w:t>
      </w:r>
      <w:r w:rsidR="00C0215A" w:rsidRPr="005A6843">
        <w:t xml:space="preserve">unos textos descriptivos de la información contenida en la categoría elegida, que pueden, además, ampliarse con una descripción más detallada accionando </w:t>
      </w:r>
      <w:r w:rsidRPr="005A6843">
        <w:t>la</w:t>
      </w:r>
      <w:r w:rsidR="00C0215A" w:rsidRPr="005A6843">
        <w:t xml:space="preserve"> opción </w:t>
      </w:r>
      <w:r w:rsidR="00C0215A" w:rsidRPr="00BA7A17">
        <w:rPr>
          <w:i/>
        </w:rPr>
        <w:t>“¿Qué contiene esta categoría?”.</w:t>
      </w:r>
    </w:p>
    <w:p w:rsidR="00C0215A" w:rsidRPr="005A6843" w:rsidRDefault="00355DED" w:rsidP="00AA712B">
      <w:pPr>
        <w:jc w:val="both"/>
      </w:pPr>
      <w:r w:rsidRPr="005A6843">
        <w:t xml:space="preserve">Como también se ha indicado, en las categorías </w:t>
      </w:r>
      <w:r w:rsidR="00C0215A" w:rsidRPr="00BA7A17">
        <w:rPr>
          <w:i/>
        </w:rPr>
        <w:t>“Institucional”</w:t>
      </w:r>
      <w:r w:rsidRPr="00BA7A17">
        <w:rPr>
          <w:i/>
        </w:rPr>
        <w:t xml:space="preserve"> y “Normativa</w:t>
      </w:r>
      <w:r w:rsidRPr="005A6843">
        <w:t xml:space="preserve">” los textos son, respectivamente, los siguientes: </w:t>
      </w:r>
      <w:r w:rsidR="00C0215A" w:rsidRPr="00BA7A17">
        <w:rPr>
          <w:i/>
        </w:rPr>
        <w:t>“Información descriptiva de la organización, estructura y funciones de los Ministerios y sus órganos vinculados o dependientes, así como, información relativa a los altos cargos y a los empleados públicos”</w:t>
      </w:r>
      <w:r w:rsidRPr="00BA7A17">
        <w:rPr>
          <w:i/>
        </w:rPr>
        <w:t xml:space="preserve"> e </w:t>
      </w:r>
      <w:r w:rsidR="00C0215A" w:rsidRPr="00BA7A17">
        <w:rPr>
          <w:i/>
        </w:rPr>
        <w:t>”Información jurídica relevante y textos normativos aplicables por los Ministerios y organismos vinculados o dependientes”</w:t>
      </w:r>
      <w:r w:rsidR="00C0215A" w:rsidRPr="005A6843">
        <w:t>.</w:t>
      </w:r>
    </w:p>
    <w:p w:rsidR="00355DED" w:rsidRPr="005A6843" w:rsidRDefault="00355DED" w:rsidP="00AA712B">
      <w:pPr>
        <w:jc w:val="both"/>
      </w:pPr>
      <w:r w:rsidRPr="005A6843">
        <w:t>En ambos textos, junto a la referencia a los Ministerios, se contiene una segunda referencia a otro tipo de sujetos, los “organismos vinculados o dependientes” de aquéllos, que</w:t>
      </w:r>
      <w:r w:rsidR="00C936D7" w:rsidRPr="005A6843">
        <w:t>, aparentemente, forman parte de los órganos a los que corresponde la información de publicidad activa figurada en el Portal.</w:t>
      </w:r>
    </w:p>
    <w:p w:rsidR="00C0215A" w:rsidRPr="005A6843" w:rsidRDefault="00C0215A" w:rsidP="00AA712B">
      <w:pPr>
        <w:jc w:val="both"/>
      </w:pPr>
      <w:r w:rsidRPr="005A6843">
        <w:t xml:space="preserve">Accediendo al menú de la categoría </w:t>
      </w:r>
      <w:r w:rsidRPr="00BA7A17">
        <w:rPr>
          <w:i/>
        </w:rPr>
        <w:t>“Institucional”</w:t>
      </w:r>
      <w:r w:rsidRPr="005A6843">
        <w:t xml:space="preserve"> y, a través de éste, a la primera sub-categoría, </w:t>
      </w:r>
      <w:r w:rsidRPr="00BA7A17">
        <w:rPr>
          <w:i/>
        </w:rPr>
        <w:t>“</w:t>
      </w:r>
      <w:r w:rsidRPr="005A7AEE">
        <w:rPr>
          <w:i/>
        </w:rPr>
        <w:t>Estructura</w:t>
      </w:r>
      <w:r w:rsidRPr="00BA7A17">
        <w:rPr>
          <w:i/>
        </w:rPr>
        <w:t>”</w:t>
      </w:r>
      <w:r w:rsidRPr="005A6843">
        <w:t>, se comprueba que</w:t>
      </w:r>
      <w:r w:rsidR="009C33CC" w:rsidRPr="005A6843">
        <w:t>,</w:t>
      </w:r>
      <w:r w:rsidR="00C936D7" w:rsidRPr="005A6843">
        <w:t xml:space="preserve"> dentro de </w:t>
      </w:r>
      <w:r w:rsidR="009C33CC" w:rsidRPr="005A6843">
        <w:t xml:space="preserve">los menús de transparencia de </w:t>
      </w:r>
      <w:r w:rsidR="00C936D7" w:rsidRPr="005A6843">
        <w:t>cada Departamento</w:t>
      </w:r>
      <w:r w:rsidR="009C33CC" w:rsidRPr="005A6843">
        <w:t xml:space="preserve">, la información incorpora </w:t>
      </w:r>
      <w:r w:rsidRPr="005A6843">
        <w:t xml:space="preserve">una </w:t>
      </w:r>
      <w:r w:rsidR="009C33CC" w:rsidRPr="005A6843">
        <w:t xml:space="preserve">lista </w:t>
      </w:r>
      <w:r w:rsidRPr="005A6843">
        <w:t xml:space="preserve">de organismos públicos, </w:t>
      </w:r>
      <w:r w:rsidR="009C33CC" w:rsidRPr="005A6843">
        <w:t>enlazada con los organigramas correspondientes</w:t>
      </w:r>
      <w:r w:rsidRPr="005A6843">
        <w:t xml:space="preserve">. Así, si se ingresa a la información de </w:t>
      </w:r>
      <w:r w:rsidRPr="00BA7A17">
        <w:rPr>
          <w:i/>
        </w:rPr>
        <w:t>“Estructura”</w:t>
      </w:r>
      <w:r w:rsidRPr="005A6843">
        <w:t xml:space="preserve"> del menú de transparencia de, p.ej., el MAEC, se accede a la siguiente pantalla:</w:t>
      </w:r>
    </w:p>
    <w:p w:rsidR="005A7AEE" w:rsidRDefault="005A7AEE" w:rsidP="00AA712B">
      <w:pPr>
        <w:jc w:val="both"/>
        <w:rPr>
          <w:noProof/>
          <w:lang w:eastAsia="es-ES"/>
        </w:rPr>
      </w:pPr>
      <w:r>
        <w:rPr>
          <w:noProof/>
          <w:lang w:eastAsia="es-ES"/>
        </w:rPr>
        <w:drawing>
          <wp:inline distT="0" distB="0" distL="0" distR="0">
            <wp:extent cx="5191125" cy="2890250"/>
            <wp:effectExtent l="19050" t="0" r="9525"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3732" t="10895" r="5449" b="25934"/>
                    <a:stretch>
                      <a:fillRect/>
                    </a:stretch>
                  </pic:blipFill>
                  <pic:spPr bwMode="auto">
                    <a:xfrm>
                      <a:off x="0" y="0"/>
                      <a:ext cx="5191125" cy="2890250"/>
                    </a:xfrm>
                    <a:prstGeom prst="rect">
                      <a:avLst/>
                    </a:prstGeom>
                    <a:noFill/>
                    <a:ln w="9525">
                      <a:noFill/>
                      <a:miter lim="800000"/>
                      <a:headEnd/>
                      <a:tailEnd/>
                    </a:ln>
                  </pic:spPr>
                </pic:pic>
              </a:graphicData>
            </a:graphic>
          </wp:inline>
        </w:drawing>
      </w:r>
    </w:p>
    <w:p w:rsidR="00C0215A" w:rsidRDefault="005A7AEE" w:rsidP="00AA712B">
      <w:pPr>
        <w:jc w:val="both"/>
      </w:pPr>
      <w:r>
        <w:rPr>
          <w:noProof/>
          <w:lang w:eastAsia="es-ES"/>
        </w:rPr>
        <w:drawing>
          <wp:anchor distT="0" distB="0" distL="114300" distR="114300" simplePos="0" relativeHeight="251801600" behindDoc="0" locked="0" layoutInCell="1" allowOverlap="1">
            <wp:simplePos x="0" y="0"/>
            <wp:positionH relativeFrom="column">
              <wp:posOffset>22860</wp:posOffset>
            </wp:positionH>
            <wp:positionV relativeFrom="paragraph">
              <wp:posOffset>572770</wp:posOffset>
            </wp:positionV>
            <wp:extent cx="5038725" cy="3400425"/>
            <wp:effectExtent l="19050" t="0" r="9525" b="0"/>
            <wp:wrapTopAndBottom/>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l="3580" t="10117" r="5365" b="13126"/>
                    <a:stretch>
                      <a:fillRect/>
                    </a:stretch>
                  </pic:blipFill>
                  <pic:spPr bwMode="auto">
                    <a:xfrm>
                      <a:off x="0" y="0"/>
                      <a:ext cx="5038725" cy="3400425"/>
                    </a:xfrm>
                    <a:prstGeom prst="rect">
                      <a:avLst/>
                    </a:prstGeom>
                    <a:noFill/>
                    <a:ln w="9525">
                      <a:noFill/>
                      <a:miter lim="800000"/>
                      <a:headEnd/>
                      <a:tailEnd/>
                    </a:ln>
                  </pic:spPr>
                </pic:pic>
              </a:graphicData>
            </a:graphic>
          </wp:anchor>
        </w:drawing>
      </w:r>
      <w:r w:rsidR="00C0215A" w:rsidRPr="005A6843">
        <w:t>Y si se ingresa en la misma sub-categoría del menú de transparencia del MINHAFP, aparece la siguiente:</w:t>
      </w:r>
    </w:p>
    <w:p w:rsidR="00D54FF2" w:rsidRDefault="00D54FF2" w:rsidP="00AA712B">
      <w:pPr>
        <w:jc w:val="both"/>
      </w:pPr>
    </w:p>
    <w:p w:rsidR="00810197" w:rsidRPr="005A6843" w:rsidRDefault="00C0215A" w:rsidP="00AA712B">
      <w:pPr>
        <w:jc w:val="both"/>
      </w:pPr>
      <w:r w:rsidRPr="005A6843">
        <w:t>Así sucede con el resto de los Ministerios</w:t>
      </w:r>
      <w:r w:rsidR="00810197" w:rsidRPr="005A6843">
        <w:t>, que también incorporan en sus correspondientes menús de transparencia la lista de sus organismos vinculados o dependientes.</w:t>
      </w:r>
    </w:p>
    <w:p w:rsidR="00810197" w:rsidRPr="005A6843" w:rsidRDefault="00810197" w:rsidP="00AA712B">
      <w:pPr>
        <w:jc w:val="both"/>
      </w:pPr>
      <w:r w:rsidRPr="005A6843">
        <w:t xml:space="preserve">El concepto legal de organismo vinculado o dependiente se encuentra en la LRJSP. De acuerdo con el art. 2.1 de ésta, el llamado “sector público” -que constituye el ámbito subjetivo de aplicación de la </w:t>
      </w:r>
      <w:r w:rsidR="00052FF3">
        <w:t>l</w:t>
      </w:r>
      <w:r w:rsidR="001C41A6">
        <w:t>ey</w:t>
      </w:r>
      <w:r w:rsidRPr="005A6843">
        <w:t xml:space="preserve">- comprende: a) La AGE; b) Las Administraciones de las CCAA; c) Las EELL y d) El sector público institucional. Y de acuerdo con el núm. 2 del mismo precepto: </w:t>
      </w:r>
      <w:r w:rsidRPr="00BA7A17">
        <w:rPr>
          <w:i/>
        </w:rPr>
        <w:t xml:space="preserve">“El sector público institucional se integra por: a) Cualesquiera organismos públicos y entidades de derecho público vinculados o dependientes de las AAPP; b) Las entidades de derecho privado vinculadas o dependientes de éstas, que quedarán sujetas a las normas de la </w:t>
      </w:r>
      <w:r w:rsidR="00052FF3">
        <w:rPr>
          <w:i/>
        </w:rPr>
        <w:t>l</w:t>
      </w:r>
      <w:r w:rsidR="001C41A6">
        <w:rPr>
          <w:i/>
        </w:rPr>
        <w:t>ey</w:t>
      </w:r>
      <w:r w:rsidRPr="00BA7A17">
        <w:rPr>
          <w:i/>
        </w:rPr>
        <w:t xml:space="preserve"> que específicamente se les refieran y en todo caso, cuando ejerzan potestades administrativas, y c) Las Universidades públicas que se regirán por su normativa específica y supletoriamente por las previsiones de la </w:t>
      </w:r>
      <w:r w:rsidR="00052FF3">
        <w:rPr>
          <w:i/>
        </w:rPr>
        <w:t>l</w:t>
      </w:r>
      <w:r w:rsidR="001C41A6">
        <w:rPr>
          <w:i/>
        </w:rPr>
        <w:t>ey</w:t>
      </w:r>
      <w:r w:rsidRPr="00BA7A17">
        <w:rPr>
          <w:i/>
        </w:rPr>
        <w:t>”</w:t>
      </w:r>
      <w:r w:rsidRPr="005A6843">
        <w:t xml:space="preserve">. </w:t>
      </w:r>
    </w:p>
    <w:p w:rsidR="00810197" w:rsidRPr="005A6843" w:rsidRDefault="00810197" w:rsidP="00AA712B">
      <w:pPr>
        <w:jc w:val="both"/>
      </w:pPr>
      <w:r w:rsidRPr="005A6843">
        <w:t xml:space="preserve">Por su parte, el art. 84 de la misma </w:t>
      </w:r>
      <w:r w:rsidR="00052FF3">
        <w:t>l</w:t>
      </w:r>
      <w:r w:rsidR="001C41A6">
        <w:t>ey</w:t>
      </w:r>
      <w:r w:rsidRPr="005A6843">
        <w:t xml:space="preserve"> dispone: </w:t>
      </w:r>
      <w:r w:rsidRPr="00BA7A17">
        <w:rPr>
          <w:i/>
        </w:rPr>
        <w:t>“1. Integran el sector público institucional estatal las siguientes entidades: a) Los organismos públicos vinculados o dependientes de la Administración General del Estado, los cuales se clasifican en: 1.º Organismos Autónomos y 2.º Entidades Públicas Empresariales; b) Las Autoridades Administrativas Independientes; c) Las sociedades mercantiles estatales; d) Los consorcios; e) Las fundaciones del sector público; f) Los fondos sin personalidad jurídica y g) Las Universidades públicas no transferidas”</w:t>
      </w:r>
      <w:r w:rsidRPr="005A6843">
        <w:t>.</w:t>
      </w:r>
    </w:p>
    <w:p w:rsidR="00627492" w:rsidRPr="005A6843" w:rsidRDefault="00810197" w:rsidP="00AA712B">
      <w:pPr>
        <w:jc w:val="both"/>
      </w:pPr>
      <w:r w:rsidRPr="005A6843">
        <w:t>Así, de acuerdo con la LRJSP, los organismos vinculados o dependientes de la AGE serían los Organismos Autónomos y las Entidades Públicas Empresariales (EPES) adscritos o dependientes de los Departamentos ministeriales y formarían parte del llamado sector público institucional estatal, entidad distinta de la AGE. Transitoriamente</w:t>
      </w:r>
      <w:r w:rsidR="00627492" w:rsidRPr="005A6843">
        <w:t>,</w:t>
      </w:r>
      <w:r w:rsidRPr="005A6843">
        <w:t xml:space="preserve"> habría que añadir a ellos las Agencias Estatales, organismos públicos creados por la </w:t>
      </w:r>
      <w:r w:rsidR="001C41A6">
        <w:t>Ley</w:t>
      </w:r>
      <w:r w:rsidRPr="005A6843">
        <w:t xml:space="preserve"> </w:t>
      </w:r>
      <w:r w:rsidR="00627492" w:rsidRPr="005A6843">
        <w:t>28/2006, de 18 de julio, de Agencias Estatales para la Mejora de los Servicios Públicos, que ha sido derogada por la LRJSP (disposición derogatoria única letra e)). De acuerdo con la disposición adicional 4ª de la norma, las Agencias existentes al momento de entrada en vigor deberán adaptarse a la tipología de organismos públicos prevista en ella.</w:t>
      </w:r>
    </w:p>
    <w:p w:rsidR="00627492" w:rsidRPr="005A6843" w:rsidRDefault="00627492" w:rsidP="00AA712B">
      <w:pPr>
        <w:jc w:val="both"/>
      </w:pPr>
      <w:r w:rsidRPr="005A6843">
        <w:t xml:space="preserve">Obviamente, la información que figura en el Portal acerca de los Organismos Autónomos, las EPES y las Agencias Estatales, vinculados o dependientes de cualquier Departamento ministerial, no se limita a su denominación y a un enlace con su organigrama. </w:t>
      </w:r>
      <w:r w:rsidR="001844D9" w:rsidRPr="005A6843">
        <w:t xml:space="preserve">Como se ha visto que sucedía con los órganos de la AGE en el territorio y con los órganos integrantes del SEE -que, pese a su adscripción orgánica a determinados Ministerios, no deben identificarse, en ningún caso, con los organismos vinculados o dependientes de éste-, </w:t>
      </w:r>
      <w:r w:rsidRPr="005A6843">
        <w:t>el Portal contiene, en todas las categorías y sub-categorías de información, datos e informaciones relativas a es</w:t>
      </w:r>
      <w:r w:rsidR="00CF4ED8" w:rsidRPr="005A6843">
        <w:t>tos últimos.</w:t>
      </w:r>
    </w:p>
    <w:p w:rsidR="00627492" w:rsidRPr="005A6843" w:rsidRDefault="00CF4ED8" w:rsidP="00AA712B">
      <w:pPr>
        <w:jc w:val="both"/>
      </w:pPr>
      <w:r w:rsidRPr="005A6843">
        <w:t xml:space="preserve">Esta circunstancia </w:t>
      </w:r>
      <w:r w:rsidR="00627492" w:rsidRPr="005A6843">
        <w:t xml:space="preserve">es fácilmente comprobable. Si se accede a cualquier sub-categoría o elemento informativo de cualquier menú ministerial de transparencia y se teclea </w:t>
      </w:r>
      <w:r w:rsidR="001844D9" w:rsidRPr="005A6843">
        <w:t xml:space="preserve">el nombre de cualquiera de los organismos públicos incluidos en la sub-categoría </w:t>
      </w:r>
      <w:r w:rsidR="001844D9" w:rsidRPr="00BA7A17">
        <w:rPr>
          <w:i/>
        </w:rPr>
        <w:t>“Estructura”</w:t>
      </w:r>
      <w:r w:rsidR="001844D9" w:rsidRPr="005A6843">
        <w:t xml:space="preserve"> </w:t>
      </w:r>
      <w:r w:rsidR="00627492" w:rsidRPr="005A6843">
        <w:t xml:space="preserve">en el </w:t>
      </w:r>
      <w:r w:rsidR="00627492" w:rsidRPr="00BA7A17">
        <w:rPr>
          <w:i/>
        </w:rPr>
        <w:t>“Buscador”</w:t>
      </w:r>
      <w:r w:rsidR="001844D9" w:rsidRPr="005A6843">
        <w:t xml:space="preserve"> del </w:t>
      </w:r>
      <w:r w:rsidR="00627492" w:rsidRPr="005A6843">
        <w:t>lateral izquierdo de la página se obtienen inmediatamente una serie de resultados relativos a ese órgano. Así sucede si se teclea</w:t>
      </w:r>
      <w:r w:rsidR="001844D9" w:rsidRPr="005A6843">
        <w:t xml:space="preserve">, p. ej., </w:t>
      </w:r>
      <w:r w:rsidR="00627492" w:rsidRPr="00BA7A17">
        <w:rPr>
          <w:i/>
        </w:rPr>
        <w:t>“Agencia Estatal de Administración Tributaria / AEAT”</w:t>
      </w:r>
      <w:r w:rsidR="00627492" w:rsidRPr="005A6843">
        <w:t xml:space="preserve"> en el buscador de la sub-categoría </w:t>
      </w:r>
      <w:r w:rsidR="00627492" w:rsidRPr="00BA7A17">
        <w:rPr>
          <w:i/>
        </w:rPr>
        <w:t>“Contratos”</w:t>
      </w:r>
      <w:r w:rsidR="00627492" w:rsidRPr="005A6843">
        <w:t xml:space="preserve"> del menú del MINHAFP. O si se teclea </w:t>
      </w:r>
      <w:r w:rsidR="00627492" w:rsidRPr="00BA7A17">
        <w:rPr>
          <w:i/>
        </w:rPr>
        <w:t>“Agencia Estatal de Cooperación Internacional para el Desarrollo / AECID”</w:t>
      </w:r>
      <w:r w:rsidR="00627492" w:rsidRPr="005A6843">
        <w:t xml:space="preserve"> en el de la sub-categoría “Convenios” del menú de transparencia del MAEC.</w:t>
      </w:r>
    </w:p>
    <w:p w:rsidR="00627492" w:rsidRPr="005A6843" w:rsidRDefault="00627492" w:rsidP="00AA712B">
      <w:pPr>
        <w:jc w:val="both"/>
      </w:pPr>
      <w:r w:rsidRPr="005A6843">
        <w:t>Así resulta que la información de publicidad activa del Portal incluye, junto a los datos de los Ministerios, los datos correspondientes a los órganos vinculados o dependientes de éstos.</w:t>
      </w:r>
    </w:p>
    <w:p w:rsidR="00E64D44" w:rsidRPr="005A6843" w:rsidRDefault="00CF4ED8" w:rsidP="00AA712B">
      <w:pPr>
        <w:jc w:val="both"/>
      </w:pPr>
      <w:r w:rsidRPr="005A6843">
        <w:t>A juicio de este CTBG</w:t>
      </w:r>
      <w:r w:rsidR="00627492" w:rsidRPr="005A6843">
        <w:t xml:space="preserve">, </w:t>
      </w:r>
      <w:r w:rsidRPr="005A6843">
        <w:t>esta solución</w:t>
      </w:r>
      <w:r w:rsidR="00E64D44" w:rsidRPr="005A6843">
        <w:t xml:space="preserve"> -</w:t>
      </w:r>
      <w:r w:rsidRPr="005A6843">
        <w:t>que</w:t>
      </w:r>
      <w:r w:rsidR="00E64D44" w:rsidRPr="005A6843">
        <w:t>,</w:t>
      </w:r>
      <w:r w:rsidRPr="005A6843">
        <w:t xml:space="preserve"> en principio</w:t>
      </w:r>
      <w:r w:rsidR="00E64D44" w:rsidRPr="005A6843">
        <w:t>,</w:t>
      </w:r>
      <w:r w:rsidRPr="005A6843">
        <w:t xml:space="preserve"> puede ser valorada positivamente desde el punto de vista de la capacidad del Portal AGE para </w:t>
      </w:r>
      <w:r w:rsidR="00E64D44" w:rsidRPr="005A6843">
        <w:t xml:space="preserve">facilitar el acceso </w:t>
      </w:r>
      <w:r w:rsidRPr="005A6843">
        <w:t xml:space="preserve">a los organismos </w:t>
      </w:r>
      <w:r w:rsidR="00E64D44" w:rsidRPr="005A6843">
        <w:t>públicos- plantea algunas dudas de carácter técnico y, sobre todo, aconseja introducir mejoras en las explicaciones y la clarificación del ámbito del Portal.</w:t>
      </w:r>
    </w:p>
    <w:p w:rsidR="00810197" w:rsidRPr="005A6843" w:rsidRDefault="00E64D44" w:rsidP="00AA712B">
      <w:pPr>
        <w:jc w:val="both"/>
      </w:pPr>
      <w:r w:rsidRPr="005A6843">
        <w:t xml:space="preserve">Desde el primer punto de vista, hay que recordar que el </w:t>
      </w:r>
      <w:r w:rsidR="00810197" w:rsidRPr="005A6843">
        <w:t>art. 2.1 de la L</w:t>
      </w:r>
      <w:r w:rsidRPr="005A6843">
        <w:t>RJSP</w:t>
      </w:r>
      <w:r w:rsidR="00810197" w:rsidRPr="005A6843">
        <w:t xml:space="preserve"> -</w:t>
      </w:r>
      <w:r w:rsidRPr="005A6843">
        <w:t xml:space="preserve">citado más arriba- se refiere separadamente a la AGE y al “sector público institucional”, del </w:t>
      </w:r>
      <w:r w:rsidR="00810197" w:rsidRPr="005A6843">
        <w:t>que</w:t>
      </w:r>
      <w:r w:rsidRPr="005A6843">
        <w:t xml:space="preserve">, como hemos visto, forman parte los organismos vinculados o dependientes de los Ministerios. También hay que tener en cuenta que </w:t>
      </w:r>
      <w:r w:rsidR="00810197" w:rsidRPr="005A6843">
        <w:t xml:space="preserve">el núm. 3 del mismo artículo indica que </w:t>
      </w:r>
      <w:r w:rsidR="00810197" w:rsidRPr="00BA7A17">
        <w:rPr>
          <w:i/>
        </w:rPr>
        <w:t>“Tienen la consideración de Administraciones Públicas</w:t>
      </w:r>
      <w:r w:rsidRPr="00BA7A17">
        <w:rPr>
          <w:i/>
        </w:rPr>
        <w:t>,</w:t>
      </w:r>
      <w:r w:rsidR="00810197" w:rsidRPr="00BA7A17">
        <w:rPr>
          <w:i/>
        </w:rPr>
        <w:t xml:space="preserve"> la Administración General del Estado, las Administraciones de las Comunidades Autónomas, las Entidades que integran la Administración Local, así como los organismos públicos y entidades de derecho público previstos en la letra a) del apartado 2”</w:t>
      </w:r>
      <w:r w:rsidR="00810197" w:rsidRPr="005A6843">
        <w:t xml:space="preserve">. De este modo, los </w:t>
      </w:r>
      <w:r w:rsidR="00810197" w:rsidRPr="00BA7A17">
        <w:rPr>
          <w:i/>
        </w:rPr>
        <w:t>“organismos públicos y entidades de derecho público vinculados o dependientes de las AAPP”</w:t>
      </w:r>
      <w:r w:rsidR="00810197" w:rsidRPr="005A6843">
        <w:t xml:space="preserve"> -que son, justamente, los mencionados en la letra a) del núm. 2 del precepto- tendrían la consideración de AAPP </w:t>
      </w:r>
      <w:r w:rsidRPr="005A6843">
        <w:t xml:space="preserve">pero constituirían una </w:t>
      </w:r>
      <w:r w:rsidR="00810197" w:rsidRPr="005A6843">
        <w:t xml:space="preserve">Administración </w:t>
      </w:r>
      <w:r w:rsidRPr="005A6843">
        <w:t xml:space="preserve">Pública </w:t>
      </w:r>
      <w:r w:rsidR="00810197" w:rsidRPr="005A6843">
        <w:t xml:space="preserve">diferente </w:t>
      </w:r>
      <w:r w:rsidRPr="005A6843">
        <w:t xml:space="preserve">a </w:t>
      </w:r>
      <w:r w:rsidR="00810197" w:rsidRPr="005A6843">
        <w:t>la AGE</w:t>
      </w:r>
      <w:r w:rsidRPr="005A6843">
        <w:t>, la que, tradicionalmente y en la clásica doctrina administrativista española se conocía como “Administración Institucional”.</w:t>
      </w:r>
      <w:r w:rsidR="00810197" w:rsidRPr="005A6843">
        <w:t xml:space="preserve"> </w:t>
      </w:r>
    </w:p>
    <w:p w:rsidR="00A4187D" w:rsidRPr="005A6843" w:rsidRDefault="00E64D44" w:rsidP="00AA712B">
      <w:pPr>
        <w:jc w:val="both"/>
      </w:pPr>
      <w:r w:rsidRPr="005A6843">
        <w:t>Así pues, técnicamente, no habría ningún motivo para incorporar esta información al Portal que, de acuerdo con el repetido art. 10</w:t>
      </w:r>
      <w:r w:rsidR="00A4187D" w:rsidRPr="005A6843">
        <w:t xml:space="preserve"> de la </w:t>
      </w:r>
      <w:r w:rsidR="00052FF3">
        <w:t>l</w:t>
      </w:r>
      <w:r w:rsidR="001C41A6">
        <w:t>ey</w:t>
      </w:r>
      <w:r w:rsidR="00E768A4">
        <w:t xml:space="preserve"> de transparencia</w:t>
      </w:r>
      <w:r w:rsidR="00A4187D" w:rsidRPr="005A6843">
        <w:t xml:space="preserve"> está dirigido exclusivamente a facilitar el acceso ciudadano a la información pública del ámbito de la AGE.</w:t>
      </w:r>
    </w:p>
    <w:p w:rsidR="00A4187D" w:rsidRPr="005A6843" w:rsidRDefault="00C0215A" w:rsidP="00AA712B">
      <w:pPr>
        <w:jc w:val="both"/>
      </w:pPr>
      <w:r w:rsidRPr="005A6843">
        <w:t>De</w:t>
      </w:r>
      <w:r w:rsidR="00A4187D" w:rsidRPr="005A6843">
        <w:t xml:space="preserve">sde el punto de vista de la falta de información y la claridad, hay que tener en cuenta que el Portal únicamente advierte a los visitantes de que ha incluido en sus contenidos los datos de los organismos vinculados y dependientes en el </w:t>
      </w:r>
      <w:r w:rsidR="005A7AEE">
        <w:t>pdf</w:t>
      </w:r>
      <w:r w:rsidR="00A4187D" w:rsidRPr="005A6843">
        <w:t xml:space="preserve"> titulado </w:t>
      </w:r>
      <w:r w:rsidR="00A4187D" w:rsidRPr="00BA7A17">
        <w:rPr>
          <w:i/>
        </w:rPr>
        <w:t>“Conozca el Portal”</w:t>
      </w:r>
      <w:r w:rsidR="00A4187D" w:rsidRPr="005A6843">
        <w:t>, al que se accede exclusivamente desde el elemento del mismo nombre del menú final de navegación de la página. En este archivo se contiene el siguiente texto aclaratorio:</w:t>
      </w:r>
    </w:p>
    <w:p w:rsidR="00C0215A" w:rsidRPr="00BA7A17" w:rsidRDefault="00AE0340" w:rsidP="00BA7A17">
      <w:pPr>
        <w:ind w:left="708"/>
        <w:jc w:val="both"/>
        <w:rPr>
          <w:i/>
        </w:rPr>
      </w:pPr>
      <w:r w:rsidRPr="00BA7A17">
        <w:rPr>
          <w:i/>
        </w:rPr>
        <w:t>“</w:t>
      </w:r>
      <w:r w:rsidR="006258D9" w:rsidRPr="00BA7A17">
        <w:rPr>
          <w:i/>
        </w:rPr>
        <w:t>El Portal publica información de las entidades que conforman las Administraciones Públicas, en concreto: La Administración General del Estado</w:t>
      </w:r>
      <w:r w:rsidRPr="00BA7A17">
        <w:rPr>
          <w:i/>
        </w:rPr>
        <w:t>; l</w:t>
      </w:r>
      <w:r w:rsidR="006258D9" w:rsidRPr="00BA7A17">
        <w:rPr>
          <w:i/>
        </w:rPr>
        <w:t>as entidades gestoras y los servicios comunes de la Seguridad Social así como las mutuas colaboradoras de la Seguridad Social</w:t>
      </w:r>
      <w:r w:rsidRPr="00BA7A17">
        <w:rPr>
          <w:i/>
        </w:rPr>
        <w:t>; l</w:t>
      </w:r>
      <w:r w:rsidR="006258D9" w:rsidRPr="00BA7A17">
        <w:rPr>
          <w:i/>
        </w:rPr>
        <w:t xml:space="preserve">os organismos autónomos, las Agencias Estatales, las entidades públicas empresariales y las entidades de Derecho Público que, con independencia funcional o con una especial autonomía reconocida por la </w:t>
      </w:r>
      <w:r w:rsidR="00052FF3">
        <w:rPr>
          <w:i/>
        </w:rPr>
        <w:t>l</w:t>
      </w:r>
      <w:r w:rsidR="001C41A6">
        <w:rPr>
          <w:i/>
        </w:rPr>
        <w:t>ey</w:t>
      </w:r>
      <w:r w:rsidR="006258D9" w:rsidRPr="00BA7A17">
        <w:rPr>
          <w:i/>
        </w:rPr>
        <w:t>, tienen atribuidas funciones de regulación o supervisión de carácter externo sobre un determinado sector o actividad</w:t>
      </w:r>
      <w:r w:rsidRPr="00BA7A17">
        <w:rPr>
          <w:i/>
        </w:rPr>
        <w:t>; l</w:t>
      </w:r>
      <w:r w:rsidR="006258D9" w:rsidRPr="00BA7A17">
        <w:rPr>
          <w:i/>
        </w:rPr>
        <w:t xml:space="preserve">as entidades de Derecho Público con personalidad jurídica propia, vinculadas a cualquiera de las Administraciones Públicas o dependientes de ellas, incluidas las Universidades públicas. </w:t>
      </w:r>
    </w:p>
    <w:p w:rsidR="006258D9" w:rsidRPr="005A6843" w:rsidRDefault="006258D9" w:rsidP="00BA7A17">
      <w:pPr>
        <w:ind w:left="708"/>
        <w:jc w:val="both"/>
      </w:pPr>
      <w:r w:rsidRPr="00BA7A17">
        <w:rPr>
          <w:i/>
        </w:rPr>
        <w:t xml:space="preserve">El Portal no contiene información de Comunidades Autónomas, Entidades Locales, Sociedades Estatales, Fundaciones y Órganos Constitucionales. Estas entidades publicarán su información en sus respectivos portales </w:t>
      </w:r>
      <w:r w:rsidR="00FC4B2E" w:rsidRPr="00FC4B2E">
        <w:rPr>
          <w:i/>
        </w:rPr>
        <w:t>web</w:t>
      </w:r>
      <w:r w:rsidRPr="00BA7A17">
        <w:rPr>
          <w:i/>
        </w:rPr>
        <w:t xml:space="preserve"> y sedes electrónicas</w:t>
      </w:r>
      <w:r w:rsidR="00AE0340" w:rsidRPr="00BA7A17">
        <w:rPr>
          <w:i/>
        </w:rPr>
        <w:t>”</w:t>
      </w:r>
      <w:r w:rsidRPr="005A6843">
        <w:t>.</w:t>
      </w:r>
    </w:p>
    <w:p w:rsidR="00E72D04" w:rsidRPr="005A6843" w:rsidRDefault="00AE0340" w:rsidP="00AA712B">
      <w:pPr>
        <w:jc w:val="both"/>
      </w:pPr>
      <w:r w:rsidRPr="005A6843">
        <w:t>Pese al escaso rigor con que aparece redactado, el texto informa suficientemente de la inclusión en el Portal de los datos relativos a las Agencias Estatales, EPES y Organismos Autónomos y EPES</w:t>
      </w:r>
      <w:r w:rsidR="00E72D04" w:rsidRPr="005A6843">
        <w:t xml:space="preserve">. La cuestión es que el documento que lo recoge -que contiene, además, otras indicaciones de importancia sobre la organización y estructura del Portal- no es accesible en la página de inicio de éste, no aparece en la </w:t>
      </w:r>
      <w:r w:rsidR="00E72D04" w:rsidRPr="00BA7A17">
        <w:rPr>
          <w:i/>
        </w:rPr>
        <w:t>“Guía de Navegación”</w:t>
      </w:r>
      <w:r w:rsidR="00E72D04" w:rsidRPr="005A6843">
        <w:t xml:space="preserve"> del sitio y está situado como un recurso complementario en una de las entradas menos visibles del Portal.</w:t>
      </w:r>
    </w:p>
    <w:p w:rsidR="00E72D04" w:rsidRPr="005A6843" w:rsidRDefault="00E72D04" w:rsidP="00AA712B">
      <w:pPr>
        <w:jc w:val="both"/>
      </w:pPr>
      <w:r w:rsidRPr="005A6843">
        <w:t>En consecuencia, a juicio de este CTBG:</w:t>
      </w:r>
    </w:p>
    <w:p w:rsidR="00FB27F2" w:rsidRDefault="00E72D04" w:rsidP="005750D1">
      <w:pPr>
        <w:pStyle w:val="Prrafodelista"/>
        <w:numPr>
          <w:ilvl w:val="0"/>
          <w:numId w:val="22"/>
        </w:numPr>
        <w:spacing w:line="276" w:lineRule="auto"/>
        <w:ind w:left="714" w:hanging="357"/>
        <w:jc w:val="both"/>
      </w:pPr>
      <w:r w:rsidRPr="005A6843">
        <w:t xml:space="preserve">Teniendo en cuenta que, legalmente, no pertenecen a la AGE, la incorporación al Portal de la información de los organismos dependientes y vinculados a los Ministerios debería plantearse como un </w:t>
      </w:r>
      <w:r w:rsidRPr="00BA7A17">
        <w:rPr>
          <w:i/>
        </w:rPr>
        <w:t>plus</w:t>
      </w:r>
      <w:r w:rsidRPr="005A6843">
        <w:t xml:space="preserve"> de información</w:t>
      </w:r>
      <w:r w:rsidR="00FB27F2" w:rsidRPr="005A6843">
        <w:t>,</w:t>
      </w:r>
      <w:r w:rsidRPr="005A6843">
        <w:t xml:space="preserve"> motivado en el carácter </w:t>
      </w:r>
      <w:r w:rsidR="00FB27F2" w:rsidRPr="005A6843">
        <w:t xml:space="preserve">de “facilitador” del Portal, </w:t>
      </w:r>
      <w:r w:rsidRPr="005A6843">
        <w:t xml:space="preserve">y llevarse a </w:t>
      </w:r>
      <w:r w:rsidR="00FB27F2" w:rsidRPr="005A6843">
        <w:t xml:space="preserve">la nueva </w:t>
      </w:r>
      <w:r w:rsidRPr="005A6843">
        <w:t>categoría</w:t>
      </w:r>
      <w:r w:rsidR="00FB27F2" w:rsidRPr="005A6843">
        <w:t xml:space="preserve"> de </w:t>
      </w:r>
      <w:r w:rsidR="00FB27F2" w:rsidRPr="00BA7A17">
        <w:rPr>
          <w:i/>
        </w:rPr>
        <w:t>“Transparencia Voluntaria”</w:t>
      </w:r>
      <w:r w:rsidR="00FB27F2" w:rsidRPr="005A6843">
        <w:t xml:space="preserve"> que pudiera crearse en el mismo. </w:t>
      </w:r>
    </w:p>
    <w:p w:rsidR="00BA7A17" w:rsidRDefault="00BA7A17" w:rsidP="00BA7A17">
      <w:pPr>
        <w:pStyle w:val="Prrafodelista"/>
        <w:spacing w:line="276" w:lineRule="auto"/>
        <w:ind w:left="714"/>
        <w:jc w:val="both"/>
      </w:pPr>
    </w:p>
    <w:p w:rsidR="00FB27F2" w:rsidRDefault="00FB27F2" w:rsidP="005750D1">
      <w:pPr>
        <w:pStyle w:val="Prrafodelista"/>
        <w:numPr>
          <w:ilvl w:val="0"/>
          <w:numId w:val="22"/>
        </w:numPr>
        <w:spacing w:line="276" w:lineRule="auto"/>
        <w:ind w:left="714" w:hanging="357"/>
        <w:jc w:val="both"/>
      </w:pPr>
      <w:r w:rsidRPr="005A6843">
        <w:t xml:space="preserve">En todo caso, la inclusión de los organismos vinculados y dependientes debería acompañarse </w:t>
      </w:r>
      <w:r w:rsidR="00DA11A7" w:rsidRPr="005A6843">
        <w:t xml:space="preserve">de una explicación muy clara y de una re-organización de los contenidos </w:t>
      </w:r>
      <w:r w:rsidRPr="005A6843">
        <w:t xml:space="preserve">del Portal, que permitiera </w:t>
      </w:r>
      <w:r w:rsidR="00DA11A7" w:rsidRPr="005A6843">
        <w:t xml:space="preserve">al visitante saber de </w:t>
      </w:r>
      <w:r w:rsidRPr="005A6843">
        <w:t xml:space="preserve">forma </w:t>
      </w:r>
      <w:r w:rsidR="00DA11A7" w:rsidRPr="005A6843">
        <w:t>inequívoca a qué órgano corresponde la información que se consulta y cuál es su naturaleza jurídica y su dependencia orgánica. Particularmente, deben eliminarse los elementos textuales que inducen a confusión y revisarse las rutas de acceso.</w:t>
      </w:r>
      <w:r w:rsidRPr="005A6843">
        <w:t xml:space="preserve"> Como se ha repetido varias veces, el ciudadano no tiene por</w:t>
      </w:r>
      <w:r w:rsidR="00593140" w:rsidRPr="005A6843">
        <w:t xml:space="preserve"> </w:t>
      </w:r>
      <w:r w:rsidRPr="005A6843">
        <w:t>qu</w:t>
      </w:r>
      <w:r w:rsidR="00593140" w:rsidRPr="005A6843">
        <w:t>é</w:t>
      </w:r>
      <w:r w:rsidRPr="005A6843">
        <w:t xml:space="preserve"> ser especialista en derecho público, transparencia u organización administrativa y, en consecuencia, puede desconocer qué es la AGE y qué organismos la componen. Por ello, para emprender una búsqueda de información en el Portal, necesitaría saber desde el inicio cuál es el contenido de éste y a qué organismos o entidades públicas corresponde la información que publica. Solo de este modo podrá decidir si comienza la búsqueda en la </w:t>
      </w:r>
      <w:r w:rsidR="00FC4B2E" w:rsidRPr="00FC4B2E">
        <w:rPr>
          <w:i/>
        </w:rPr>
        <w:t>web</w:t>
      </w:r>
      <w:r w:rsidRPr="005A6843">
        <w:t xml:space="preserve"> o si debe dirigirse a la página o sitio electrónico de una Administración u organización pública diferente.</w:t>
      </w:r>
    </w:p>
    <w:p w:rsidR="00BA7A17" w:rsidRDefault="00BA7A17" w:rsidP="00BA7A17">
      <w:pPr>
        <w:pStyle w:val="Prrafodelista"/>
      </w:pPr>
    </w:p>
    <w:p w:rsidR="00DA11A7" w:rsidRPr="005A6843" w:rsidRDefault="00DA11A7" w:rsidP="005750D1">
      <w:pPr>
        <w:pStyle w:val="Prrafodelista"/>
        <w:numPr>
          <w:ilvl w:val="0"/>
          <w:numId w:val="22"/>
        </w:numPr>
        <w:spacing w:line="276" w:lineRule="auto"/>
        <w:ind w:left="714" w:hanging="357"/>
        <w:jc w:val="both"/>
      </w:pPr>
      <w:r w:rsidRPr="005A6843">
        <w:t xml:space="preserve">Finalmente, y como ya se ha recomendado </w:t>
      </w:r>
      <w:r w:rsidR="00FB27F2" w:rsidRPr="005A6843">
        <w:t xml:space="preserve">en relación con otras cuestiones, </w:t>
      </w:r>
      <w:r w:rsidRPr="005A6843">
        <w:t xml:space="preserve">sería muy conveniente </w:t>
      </w:r>
      <w:r w:rsidR="00FB27F2" w:rsidRPr="005A6843">
        <w:t>introducir en la p</w:t>
      </w:r>
      <w:r w:rsidRPr="005A6843">
        <w:t xml:space="preserve">ágina </w:t>
      </w:r>
      <w:r w:rsidRPr="00BA7A17">
        <w:rPr>
          <w:i/>
        </w:rPr>
        <w:t>home</w:t>
      </w:r>
      <w:r w:rsidRPr="005A6843">
        <w:t xml:space="preserve"> </w:t>
      </w:r>
      <w:r w:rsidR="00FB27F2" w:rsidRPr="005A6843">
        <w:t xml:space="preserve">del Portal, en un lugar destacado, </w:t>
      </w:r>
      <w:r w:rsidRPr="005A6843">
        <w:t>una explicación completa del concepto legal de AGE y una enumeración taxativa de los órganos de ésta.</w:t>
      </w:r>
    </w:p>
    <w:p w:rsidR="003316F3" w:rsidRPr="005A6843" w:rsidRDefault="00846F06" w:rsidP="002420B8">
      <w:pPr>
        <w:pStyle w:val="Ttulo3"/>
      </w:pPr>
      <w:bookmarkStart w:id="104" w:name="_Toc489352001"/>
      <w:bookmarkStart w:id="105" w:name="_Toc498345377"/>
      <w:bookmarkStart w:id="106" w:name="_Toc500414729"/>
      <w:bookmarkStart w:id="107" w:name="_Toc500416462"/>
      <w:bookmarkStart w:id="108" w:name="_Toc500416520"/>
      <w:bookmarkStart w:id="109" w:name="_Toc501110672"/>
      <w:r w:rsidRPr="005A6843">
        <w:t>Información institucional, organizativa y de planificación</w:t>
      </w:r>
      <w:bookmarkEnd w:id="104"/>
      <w:bookmarkEnd w:id="105"/>
      <w:bookmarkEnd w:id="106"/>
      <w:bookmarkEnd w:id="107"/>
      <w:bookmarkEnd w:id="108"/>
      <w:bookmarkEnd w:id="109"/>
    </w:p>
    <w:p w:rsidR="003316F3" w:rsidRDefault="00FC1022" w:rsidP="005750D1">
      <w:pPr>
        <w:pStyle w:val="Prrafodelista"/>
        <w:numPr>
          <w:ilvl w:val="0"/>
          <w:numId w:val="23"/>
        </w:numPr>
        <w:ind w:left="426"/>
        <w:jc w:val="both"/>
        <w:rPr>
          <w:b/>
          <w:u w:val="single"/>
        </w:rPr>
      </w:pPr>
      <w:bookmarkStart w:id="110" w:name="_Toc489352002"/>
      <w:r w:rsidRPr="00BA7A17">
        <w:rPr>
          <w:b/>
          <w:u w:val="single"/>
        </w:rPr>
        <w:t>C</w:t>
      </w:r>
      <w:r w:rsidR="00BA7A17">
        <w:rPr>
          <w:b/>
          <w:u w:val="single"/>
        </w:rPr>
        <w:t>UESTIONES PREVIAS</w:t>
      </w:r>
      <w:bookmarkEnd w:id="110"/>
    </w:p>
    <w:p w:rsidR="0045179C" w:rsidRDefault="0045179C" w:rsidP="00AA712B">
      <w:pPr>
        <w:jc w:val="both"/>
      </w:pPr>
    </w:p>
    <w:p w:rsidR="003316F3" w:rsidRPr="005A6843" w:rsidRDefault="003316F3" w:rsidP="00AA712B">
      <w:pPr>
        <w:jc w:val="both"/>
      </w:pPr>
      <w:r w:rsidRPr="005A6843">
        <w:t xml:space="preserve">Como se ha visto, el menú de opciones de la categoría </w:t>
      </w:r>
      <w:r w:rsidR="006E193C" w:rsidRPr="004A032A">
        <w:rPr>
          <w:i/>
        </w:rPr>
        <w:t>“Institucional”</w:t>
      </w:r>
      <w:r w:rsidR="006E193C" w:rsidRPr="005A6843">
        <w:t xml:space="preserve"> </w:t>
      </w:r>
      <w:r w:rsidRPr="005A6843">
        <w:t xml:space="preserve">contiene 10 </w:t>
      </w:r>
      <w:r w:rsidR="0045179C" w:rsidRPr="005A6843">
        <w:t>ítems</w:t>
      </w:r>
      <w:r w:rsidRPr="005A6843">
        <w:t xml:space="preserve"> o sub-categorías informativas: </w:t>
      </w:r>
      <w:r w:rsidRPr="004A032A">
        <w:rPr>
          <w:i/>
        </w:rPr>
        <w:t>“Estructura”, “Funciones”, “Planes de Objetivos”, “Entes del Sector Público”, “Currículos de Altos Cargos”, “Retribuciones de Altos Cargos”, “Indemnizaciones percibidas tras el cese,” “Autorizaciones de actividad privada”, “Autorizaciones de compatibilidad” y “Relaciones de Puestos de Trabajo”</w:t>
      </w:r>
      <w:r w:rsidRPr="005A6843">
        <w:t>.</w:t>
      </w:r>
    </w:p>
    <w:p w:rsidR="003316F3" w:rsidRPr="005A6843" w:rsidRDefault="003316F3" w:rsidP="00AA712B">
      <w:pPr>
        <w:jc w:val="both"/>
      </w:pPr>
      <w:r w:rsidRPr="005A6843">
        <w:t xml:space="preserve">En principio, este contenido no se corresponde exactamente con el previsto en el art. 6 de la </w:t>
      </w:r>
      <w:r w:rsidR="00052FF3">
        <w:t>l</w:t>
      </w:r>
      <w:r w:rsidR="001C41A6">
        <w:t>ey</w:t>
      </w:r>
      <w:r w:rsidR="00E768A4">
        <w:t xml:space="preserve"> de transparencia</w:t>
      </w:r>
      <w:r w:rsidRPr="005A6843">
        <w:t>, que se refiere a las funciones que desarrolla el sujeto obligado, a la normativa que le sea de aplicación y su estructura organizativa, incluyendo un organigrama que identifique a los responsables de los principales órganos y su trayectoria y perfil profesional, así como los planes y programas anuales y plurianuales de actuación del organismo o entidad -con sus objetivos, actividades, medios necesarios y tiempo previsto de ejecución-, y la evaluación de su grado de cumplimiento y resultados con los correspondientes indicadores de medida y valoración.</w:t>
      </w:r>
    </w:p>
    <w:p w:rsidR="003316F3" w:rsidRPr="005A6843" w:rsidRDefault="003316F3" w:rsidP="00AA712B">
      <w:pPr>
        <w:jc w:val="both"/>
      </w:pPr>
      <w:r w:rsidRPr="005A6843">
        <w:t xml:space="preserve">Así, en las sub-categorías previstas, faltaría la relativa a la normativa de aplicación y sobrarían las relativas a: A) Los entes del sector público; B) Las retribuciones de los Altos Cargos; C) Las indemnizaciones percibidas por éstos con ocasión de su ceses; D) Las autorizaciones a los mismos para el ejercicio de actividades privadas; E) Las autorizaciones de compatibilidad de empleados públicos y F) Las Relaciones de Puestos de Trabajo (RPT). Las mencionadas en las letras B), C), D) y E) constituyen información de naturaleza económica de acuerdo a la </w:t>
      </w:r>
      <w:r w:rsidR="00052FF3">
        <w:t>l</w:t>
      </w:r>
      <w:r w:rsidR="001C41A6">
        <w:t>ey</w:t>
      </w:r>
      <w:r w:rsidR="00E768A4">
        <w:t xml:space="preserve"> de transparencia</w:t>
      </w:r>
      <w:r w:rsidRPr="005A6843">
        <w:t xml:space="preserve">, -art 8.1., letras f) y g)- y, consecuentemente, deberían figurar en el Portal no en la categoría </w:t>
      </w:r>
      <w:r w:rsidRPr="00A57DC0">
        <w:rPr>
          <w:i/>
        </w:rPr>
        <w:t>“Institucional”</w:t>
      </w:r>
      <w:r w:rsidRPr="005A6843">
        <w:t xml:space="preserve"> sino en la correspondiente a </w:t>
      </w:r>
      <w:r w:rsidRPr="00A57DC0">
        <w:rPr>
          <w:i/>
        </w:rPr>
        <w:t>“Presupuestos, Fiscalización, etc”</w:t>
      </w:r>
      <w:r w:rsidRPr="005A6843">
        <w:t xml:space="preserve">. Las mencionadas en las letras A) y B) corresponden a publicidad activa voluntaria y deberían ser publicadas como tal. </w:t>
      </w:r>
    </w:p>
    <w:p w:rsidR="003316F3" w:rsidRPr="005A6843" w:rsidRDefault="003316F3" w:rsidP="00AA712B">
      <w:pPr>
        <w:jc w:val="both"/>
      </w:pPr>
      <w:r w:rsidRPr="005A6843">
        <w:t xml:space="preserve">Es evidente que, a salvo de lo que se refiere a la normativa reguladora, la discrepancia entre los contenidos de la categoría de información institucional del Portal y los señalados por la </w:t>
      </w:r>
      <w:r w:rsidR="00052FF3">
        <w:t>l</w:t>
      </w:r>
      <w:r w:rsidR="001C41A6">
        <w:t>ey</w:t>
      </w:r>
      <w:r w:rsidR="00E768A4">
        <w:t xml:space="preserve"> de transparencia</w:t>
      </w:r>
      <w:r w:rsidRPr="005A6843">
        <w:t xml:space="preserve"> no tiene otra relevancia que la estrictamente formal. Pero, teniendo en cuenta que en materia de publicidad activa el principal objetivo de la política de transparencia es que la información sea localizada y consultada fácilmente, los aspectos formales de la publicación adquieren una importancia trascendental. Por ello es necesario, a juicio de este CTBG, que la estructura de los contenidos informativos del Portal se ajuste a las disposiciones de la </w:t>
      </w:r>
      <w:r w:rsidR="00052FF3">
        <w:t>l</w:t>
      </w:r>
      <w:r w:rsidR="001C41A6">
        <w:t>ey</w:t>
      </w:r>
      <w:r w:rsidRPr="005A6843">
        <w:t>, que, como se ha dicho antes, es la guía más segura y confiable que tienen los ciudadanos que desean acercarse a la información de la AGE.</w:t>
      </w:r>
    </w:p>
    <w:p w:rsidR="003316F3" w:rsidRPr="005A6843" w:rsidRDefault="003316F3" w:rsidP="00AA712B">
      <w:pPr>
        <w:jc w:val="both"/>
      </w:pPr>
      <w:r w:rsidRPr="005A6843">
        <w:t xml:space="preserve">Sería, pues, necesario revisar la estructura actual. </w:t>
      </w:r>
    </w:p>
    <w:p w:rsidR="003316F3" w:rsidRPr="005A6843" w:rsidRDefault="003316F3" w:rsidP="00AA712B">
      <w:pPr>
        <w:jc w:val="both"/>
      </w:pPr>
      <w:r w:rsidRPr="005A6843">
        <w:t xml:space="preserve">Respecto de la información referente a la normativa reguladora, hay que decir que, en realidad y en una visión integral de la </w:t>
      </w:r>
      <w:r w:rsidR="00FC4B2E" w:rsidRPr="00FC4B2E">
        <w:rPr>
          <w:i/>
        </w:rPr>
        <w:t>web</w:t>
      </w:r>
      <w:r w:rsidRPr="005A6843">
        <w:t xml:space="preserve">, no está ausente del Portal pues puede encontrarse en parte fuera de la categoría </w:t>
      </w:r>
      <w:r w:rsidRPr="00A57DC0">
        <w:rPr>
          <w:i/>
        </w:rPr>
        <w:t>“Institucional</w:t>
      </w:r>
      <w:r w:rsidRPr="005A6843">
        <w:t xml:space="preserve">” y dentro de los contenidos de la sub-categoría </w:t>
      </w:r>
      <w:r w:rsidRPr="00A57DC0">
        <w:rPr>
          <w:i/>
        </w:rPr>
        <w:t>“Normativa destacada”</w:t>
      </w:r>
      <w:r w:rsidRPr="005A6843">
        <w:t xml:space="preserve"> de la categoría </w:t>
      </w:r>
      <w:r w:rsidRPr="00A57DC0">
        <w:rPr>
          <w:i/>
        </w:rPr>
        <w:t>“Normativa”</w:t>
      </w:r>
      <w:r w:rsidRPr="005A6843">
        <w:t>. En efecto: como inmediatamente se verá, la información de normativa destacada comprende, según el propio Portal, la “</w:t>
      </w:r>
      <w:r w:rsidRPr="00A57DC0">
        <w:rPr>
          <w:i/>
        </w:rPr>
        <w:t>normativa de aplicación para el ejercicio de las competencias que cada departamento u organismo tiene asignadas”</w:t>
      </w:r>
      <w:r w:rsidRPr="005A6843">
        <w:t xml:space="preserve">, lo que coincide exactamente con el contenido de los datos e informaciones exigidas por la </w:t>
      </w:r>
      <w:r w:rsidR="00052FF3">
        <w:t>l</w:t>
      </w:r>
      <w:r w:rsidR="001C41A6">
        <w:t>ey</w:t>
      </w:r>
      <w:r w:rsidRPr="005A6843">
        <w:t xml:space="preserve"> en el art. 6. Desde este punto de vista, bastaría con re-bautizar la información de normativa destacada denominándola “normativa reguladora” y trasladarla de posición desde la categoría </w:t>
      </w:r>
      <w:r w:rsidRPr="00A57DC0">
        <w:rPr>
          <w:i/>
        </w:rPr>
        <w:t>“Normativa”</w:t>
      </w:r>
      <w:r w:rsidRPr="005A6843">
        <w:t xml:space="preserve"> a la categoría </w:t>
      </w:r>
      <w:r w:rsidRPr="00A57DC0">
        <w:rPr>
          <w:i/>
        </w:rPr>
        <w:t>“Institucional”</w:t>
      </w:r>
      <w:r w:rsidRPr="005A6843">
        <w:t xml:space="preserve"> para entender cumplida la </w:t>
      </w:r>
      <w:r w:rsidR="00052FF3">
        <w:t>l</w:t>
      </w:r>
      <w:r w:rsidR="001C41A6">
        <w:t>ey</w:t>
      </w:r>
      <w:r w:rsidRPr="005A6843">
        <w:t>.</w:t>
      </w:r>
    </w:p>
    <w:p w:rsidR="003316F3" w:rsidRPr="005A6843" w:rsidRDefault="003316F3" w:rsidP="00AA712B">
      <w:pPr>
        <w:jc w:val="both"/>
      </w:pPr>
      <w:r w:rsidRPr="005A6843">
        <w:t xml:space="preserve">En realidad, la cuestión no es tan sencilla. Como se verá enseguida, la información de </w:t>
      </w:r>
      <w:r w:rsidRPr="00A57DC0">
        <w:rPr>
          <w:i/>
        </w:rPr>
        <w:t>“Normativa destacada”</w:t>
      </w:r>
      <w:r w:rsidRPr="005A6843">
        <w:t xml:space="preserve"> no contiene únicamente las disposiciones reguladoras del organismo (creación, naturaleza jurídica, competencias, funciones, régimen interior, </w:t>
      </w:r>
      <w:r w:rsidR="00235F53">
        <w:t>etc.</w:t>
      </w:r>
      <w:r w:rsidRPr="005A6843">
        <w:t xml:space="preserve">) sino que incluye también normas de carácter general y diversas normas sectoriales relacionadas directa o indirectamente y en mayor o menor grado con el ámbito de actividad del Ministerio u organismo a que corresponden. Así, para ajustar el contenido de la información a la </w:t>
      </w:r>
      <w:r w:rsidR="00052FF3">
        <w:t>l</w:t>
      </w:r>
      <w:r w:rsidR="001C41A6">
        <w:t>ey</w:t>
      </w:r>
      <w:r w:rsidRPr="005A6843">
        <w:t>, deberían eliminarse de este apartado aquellas normas que no fueran de directa aplicación al organismo. A criterio de este CTBG, la publicación de las normas jurídicas es una materia propia del «BOE» y más relacionada con los principios de legalidad y seguridad jurídica que con los de transparencia y rendición de cuentas.</w:t>
      </w:r>
    </w:p>
    <w:p w:rsidR="004215E6" w:rsidRDefault="004215E6" w:rsidP="005750D1">
      <w:pPr>
        <w:pStyle w:val="Prrafodelista"/>
        <w:numPr>
          <w:ilvl w:val="0"/>
          <w:numId w:val="23"/>
        </w:numPr>
        <w:ind w:left="426"/>
        <w:jc w:val="both"/>
        <w:rPr>
          <w:b/>
          <w:u w:val="single"/>
        </w:rPr>
      </w:pPr>
      <w:bookmarkStart w:id="111" w:name="_Toc489352003"/>
      <w:r w:rsidRPr="00A57DC0">
        <w:rPr>
          <w:b/>
          <w:u w:val="single"/>
        </w:rPr>
        <w:t>A</w:t>
      </w:r>
      <w:r w:rsidR="00A57DC0">
        <w:rPr>
          <w:b/>
          <w:u w:val="single"/>
        </w:rPr>
        <w:t>NÁLISIS POR SUB-CATEGORÍAS O ELEMENTOS DE INFORMACIÓN</w:t>
      </w:r>
      <w:bookmarkEnd w:id="111"/>
    </w:p>
    <w:p w:rsidR="00A57DC0" w:rsidRPr="00A57DC0" w:rsidRDefault="00A57DC0" w:rsidP="00A57DC0">
      <w:pPr>
        <w:pStyle w:val="Prrafodelista"/>
        <w:ind w:left="426"/>
        <w:jc w:val="both"/>
        <w:rPr>
          <w:b/>
          <w:u w:val="single"/>
        </w:rPr>
      </w:pPr>
    </w:p>
    <w:p w:rsidR="003316F3" w:rsidRPr="005A6843" w:rsidRDefault="003316F3" w:rsidP="00AA712B">
      <w:pPr>
        <w:jc w:val="both"/>
      </w:pPr>
      <w:r w:rsidRPr="005A6843">
        <w:t xml:space="preserve">Dicho esto, analicemos brevemente las informaciones incorporadas a la categoría </w:t>
      </w:r>
      <w:r w:rsidRPr="00A57DC0">
        <w:rPr>
          <w:i/>
        </w:rPr>
        <w:t>“Institucional”</w:t>
      </w:r>
      <w:r w:rsidRPr="005A6843">
        <w:t>, incluidas aquéllas que, formalmente, no deberían figurar en ella:</w:t>
      </w:r>
    </w:p>
    <w:p w:rsidR="006545F4" w:rsidRPr="00A57DC0" w:rsidRDefault="006545F4" w:rsidP="00AA712B">
      <w:pPr>
        <w:jc w:val="both"/>
        <w:rPr>
          <w:b/>
          <w:u w:val="single"/>
        </w:rPr>
      </w:pPr>
      <w:r w:rsidRPr="00A57DC0">
        <w:rPr>
          <w:b/>
          <w:u w:val="single"/>
        </w:rPr>
        <w:t>Funciones</w:t>
      </w:r>
    </w:p>
    <w:p w:rsidR="006545F4" w:rsidRPr="005A6843" w:rsidRDefault="006545F4" w:rsidP="00AA712B">
      <w:pPr>
        <w:jc w:val="both"/>
      </w:pPr>
      <w:r w:rsidRPr="005A6843">
        <w:t xml:space="preserve">La primera de las sub-categorías o elementos informativos que incorpora el art. 6 de la </w:t>
      </w:r>
      <w:r w:rsidR="00052FF3">
        <w:t>l</w:t>
      </w:r>
      <w:r w:rsidR="001C41A6">
        <w:t>ey</w:t>
      </w:r>
      <w:r w:rsidR="00E768A4">
        <w:t xml:space="preserve"> de transparencia</w:t>
      </w:r>
      <w:r w:rsidRPr="005A6843">
        <w:t xml:space="preserve"> como información obligatoria de carácter institucional, organizativa o de planificación es la que se refiere a la de las funciones desarrolladas por las organizaciones o instituciones públicas. Con ello se pretende informar de manera inmediata al usuario de publicidad activa del propósito del organismo o institución. En otras palabras, de qué es lo que hace y para qué sirve.</w:t>
      </w:r>
    </w:p>
    <w:p w:rsidR="006545F4" w:rsidRPr="005A6843" w:rsidRDefault="006545F4" w:rsidP="00AA712B">
      <w:pPr>
        <w:jc w:val="both"/>
      </w:pPr>
      <w:r w:rsidRPr="005A6843">
        <w:t xml:space="preserve">De acuerdo con la </w:t>
      </w:r>
      <w:r w:rsidR="00052FF3">
        <w:t>l</w:t>
      </w:r>
      <w:r w:rsidR="001C41A6">
        <w:t>ey</w:t>
      </w:r>
      <w:r w:rsidRPr="005A6843">
        <w:t xml:space="preserve">, el menú de categorías del Portal AGE incluye esta sub-categoría en la categoría institucional. Accediendo a ella, el visitante se encuentra con el menú de opciones de los Ministerios, precedido por una entrada informativa: </w:t>
      </w:r>
      <w:r w:rsidRPr="00A57DC0">
        <w:rPr>
          <w:i/>
        </w:rPr>
        <w:t>“Funciones que ejercen los Departamentos u organismos en el ámbito administrativo de su competencia”</w:t>
      </w:r>
      <w:r w:rsidRPr="005A6843">
        <w:t xml:space="preserve">. La entrada va acompañada de </w:t>
      </w:r>
      <w:r w:rsidR="00077407" w:rsidRPr="005A6843">
        <w:t xml:space="preserve">una </w:t>
      </w:r>
      <w:r w:rsidRPr="005A6843">
        <w:t xml:space="preserve">enumeración de los Reales Decretos de estructura </w:t>
      </w:r>
      <w:r w:rsidR="008A7905" w:rsidRPr="005A6843">
        <w:t xml:space="preserve">de los Ministerios </w:t>
      </w:r>
      <w:r w:rsidR="00CB589F" w:rsidRPr="005A6843">
        <w:t xml:space="preserve">aprobados </w:t>
      </w:r>
      <w:r w:rsidR="008A7905" w:rsidRPr="005A6843">
        <w:t>después de la reestructuración operada en la AGE por los Reales Decretos 415/2016, de 3 de noviembre, y 424/2016, de 11 de noviembre</w:t>
      </w:r>
      <w:r w:rsidR="00CB589F" w:rsidRPr="005A6843">
        <w:t>: a</w:t>
      </w:r>
      <w:r w:rsidRPr="005A6843">
        <w:t xml:space="preserve"> fecha de hoy</w:t>
      </w:r>
      <w:r w:rsidR="00CB589F" w:rsidRPr="005A6843">
        <w:t xml:space="preserve">, los correspondientes a </w:t>
      </w:r>
      <w:r w:rsidR="0086557C" w:rsidRPr="005A6843">
        <w:t xml:space="preserve">Presidencia del Gobierno (PRE) y a </w:t>
      </w:r>
      <w:r w:rsidR="00CB589F" w:rsidRPr="005A6843">
        <w:t xml:space="preserve">los </w:t>
      </w:r>
      <w:r w:rsidRPr="005A6843">
        <w:t>Ministerio</w:t>
      </w:r>
      <w:r w:rsidR="0086557C" w:rsidRPr="005A6843">
        <w:t xml:space="preserve">s de Asuntos Exteriores y de Cooperación (MAEC), Hacienda y Función Pública (MINHAFP), </w:t>
      </w:r>
      <w:r w:rsidRPr="005A6843">
        <w:t>Fomento (MFOM), E</w:t>
      </w:r>
      <w:r w:rsidR="00CB589F" w:rsidRPr="005A6843">
        <w:t>ducación, Cultura y Deporte (ME</w:t>
      </w:r>
      <w:r w:rsidRPr="005A6843">
        <w:t>CD</w:t>
      </w:r>
      <w:r w:rsidR="00CB589F" w:rsidRPr="005A6843">
        <w:t>)</w:t>
      </w:r>
      <w:r w:rsidRPr="005A6843">
        <w:t xml:space="preserve">, </w:t>
      </w:r>
      <w:r w:rsidR="0086557C" w:rsidRPr="005A6843">
        <w:t xml:space="preserve">Presidencia y para las Administraciones Territoriales (MPREAT) </w:t>
      </w:r>
      <w:r w:rsidR="00E43BB7" w:rsidRPr="005A6843">
        <w:t xml:space="preserve">Empleo y Seguridad Social (MEYSS), </w:t>
      </w:r>
      <w:r w:rsidRPr="005A6843">
        <w:t xml:space="preserve">Economía, Industria y Competitividad (MINECO) y </w:t>
      </w:r>
      <w:r w:rsidR="00CB589F" w:rsidRPr="005A6843">
        <w:t>Sanidad, Servicios Sociales e Igualdad (</w:t>
      </w:r>
      <w:r w:rsidRPr="005A6843">
        <w:t>MSSSI</w:t>
      </w:r>
      <w:r w:rsidR="008A7905" w:rsidRPr="005A6843">
        <w:t>)</w:t>
      </w:r>
      <w:r w:rsidRPr="005A6843">
        <w:t>.</w:t>
      </w:r>
    </w:p>
    <w:p w:rsidR="006545F4" w:rsidRPr="005A6843" w:rsidRDefault="00CB589F" w:rsidP="00AA712B">
      <w:pPr>
        <w:jc w:val="both"/>
      </w:pPr>
      <w:r w:rsidRPr="005A6843">
        <w:t xml:space="preserve">La parte introductoria de la sub-categoría proporciona </w:t>
      </w:r>
      <w:r w:rsidR="006545F4" w:rsidRPr="005A6843">
        <w:t>también una opción a consultar más información</w:t>
      </w:r>
      <w:r w:rsidRPr="005A6843">
        <w:t>, que incorpora</w:t>
      </w:r>
      <w:r w:rsidR="006545F4" w:rsidRPr="005A6843">
        <w:t xml:space="preserve"> una ficha técnica de los datos</w:t>
      </w:r>
      <w:r w:rsidRPr="005A6843">
        <w:t xml:space="preserve"> -</w:t>
      </w:r>
      <w:r w:rsidR="006545F4" w:rsidRPr="005A6843">
        <w:t>que informa de la fuente de éstos</w:t>
      </w:r>
      <w:r w:rsidRPr="005A6843">
        <w:t>, en este caso concreto, han sido los distintos Departamentos</w:t>
      </w:r>
      <w:r w:rsidR="006545F4" w:rsidRPr="005A6843">
        <w:t xml:space="preserve"> y de que la información se actualiza cuando se modifican las estructuras</w:t>
      </w:r>
      <w:r w:rsidRPr="005A6843">
        <w:t xml:space="preserve">-, </w:t>
      </w:r>
      <w:r w:rsidR="006545F4" w:rsidRPr="005A6843">
        <w:t xml:space="preserve">algunas informaciones complementarias y dos opciones </w:t>
      </w:r>
      <w:r w:rsidRPr="005A6843">
        <w:t xml:space="preserve">más: </w:t>
      </w:r>
      <w:r w:rsidR="006545F4" w:rsidRPr="00A57DC0">
        <w:rPr>
          <w:i/>
        </w:rPr>
        <w:t>"Mostrar toda la información"</w:t>
      </w:r>
      <w:r w:rsidR="006545F4" w:rsidRPr="005A6843">
        <w:t xml:space="preserve"> (botón azul)</w:t>
      </w:r>
      <w:r w:rsidRPr="005A6843">
        <w:t xml:space="preserve"> </w:t>
      </w:r>
      <w:r w:rsidR="006545F4" w:rsidRPr="005A6843">
        <w:t xml:space="preserve">y </w:t>
      </w:r>
      <w:r w:rsidR="006545F4" w:rsidRPr="00A57DC0">
        <w:rPr>
          <w:i/>
        </w:rPr>
        <w:t>"Ver histórico"</w:t>
      </w:r>
      <w:r w:rsidR="00387390" w:rsidRPr="005A6843">
        <w:t>, que proporcionan datos similares –una información sobre las estructuras ministeriales vigentes en los ejercicios 2012 a 2016-.</w:t>
      </w:r>
    </w:p>
    <w:p w:rsidR="00E43BB7" w:rsidRPr="005A6843" w:rsidRDefault="006545F4" w:rsidP="00AA712B">
      <w:pPr>
        <w:jc w:val="both"/>
      </w:pPr>
      <w:r w:rsidRPr="005A6843">
        <w:t xml:space="preserve">“Clicando” los accesos a los Ministerios, </w:t>
      </w:r>
      <w:r w:rsidR="00387390" w:rsidRPr="005A6843">
        <w:t xml:space="preserve">tanto en el menú por Departamentos como en el de toda la información o en el histórico, la información que aparece es la que figura en la base de datos de legislación del Boletín Oficial del Estado (BOE) respecto de los </w:t>
      </w:r>
      <w:r w:rsidRPr="005A6843">
        <w:t>Reales Decretos de estructura del Ministerio correspondiente</w:t>
      </w:r>
      <w:r w:rsidR="00387390" w:rsidRPr="005A6843">
        <w:t>: el texto de la disposición</w:t>
      </w:r>
      <w:r w:rsidRPr="005A6843">
        <w:t xml:space="preserve">, </w:t>
      </w:r>
      <w:r w:rsidR="00387390" w:rsidRPr="005A6843">
        <w:t xml:space="preserve">en versión inicial y versión consolidada, el análisis jurídico de la misma y una </w:t>
      </w:r>
      <w:r w:rsidR="008E4202" w:rsidRPr="005A6843">
        <w:t>ficha con las concordancias, la</w:t>
      </w:r>
      <w:r w:rsidR="00387390" w:rsidRPr="005A6843">
        <w:t>s derogaciones y otras informaciones. E</w:t>
      </w:r>
      <w:r w:rsidRPr="005A6843">
        <w:t xml:space="preserve">n </w:t>
      </w:r>
      <w:r w:rsidR="00387390" w:rsidRPr="005A6843">
        <w:t>los M</w:t>
      </w:r>
      <w:r w:rsidRPr="005A6843">
        <w:t xml:space="preserve">inisterios que </w:t>
      </w:r>
      <w:r w:rsidR="00E43BB7" w:rsidRPr="005A6843">
        <w:t xml:space="preserve">todavía no </w:t>
      </w:r>
      <w:r w:rsidRPr="005A6843">
        <w:t>han sido objeto de reestructuración</w:t>
      </w:r>
      <w:r w:rsidR="00E43BB7" w:rsidRPr="005A6843">
        <w:t xml:space="preserve"> tras </w:t>
      </w:r>
      <w:r w:rsidR="00387390" w:rsidRPr="005A6843">
        <w:t>el Real Decreto 415/2016</w:t>
      </w:r>
      <w:r w:rsidR="008A7905" w:rsidRPr="005A6843">
        <w:t xml:space="preserve"> a fecha de hoy el Ministerio de Defensa (MINDEF), el Ministerio de Energía, Turismo y Agenda Digital (MINETAD) y el Ministerio de Agricultura, Pesca y Medio Ambiente (MAPAMA)</w:t>
      </w:r>
      <w:r w:rsidR="00E43BB7" w:rsidRPr="005A6843">
        <w:t xml:space="preserve">, </w:t>
      </w:r>
      <w:r w:rsidRPr="005A6843">
        <w:t xml:space="preserve">la información corresponde a la </w:t>
      </w:r>
      <w:r w:rsidR="00E43BB7" w:rsidRPr="005A6843">
        <w:t xml:space="preserve">que recoge el </w:t>
      </w:r>
      <w:r w:rsidRPr="005A6843">
        <w:t>BOE</w:t>
      </w:r>
      <w:r w:rsidR="00E43BB7" w:rsidRPr="005A6843">
        <w:t xml:space="preserve"> respecto del </w:t>
      </w:r>
      <w:r w:rsidRPr="005A6843">
        <w:t xml:space="preserve">antiguo Real Decreto de estructura. </w:t>
      </w:r>
      <w:r w:rsidR="00E43BB7" w:rsidRPr="005A6843">
        <w:t>Igualmente, en el caso de los menús de información totalizada o el histórico.</w:t>
      </w:r>
    </w:p>
    <w:p w:rsidR="00E43BB7" w:rsidRPr="005A6843" w:rsidRDefault="006545F4" w:rsidP="00AA712B">
      <w:pPr>
        <w:jc w:val="both"/>
      </w:pPr>
      <w:r w:rsidRPr="005A6843">
        <w:t>A</w:t>
      </w:r>
      <w:r w:rsidR="00E43BB7" w:rsidRPr="005A6843">
        <w:t xml:space="preserve"> juicio de este CTBG, el contenido de la sub-categoría presenta un importante margen de mejora.</w:t>
      </w:r>
    </w:p>
    <w:p w:rsidR="006D4B9F" w:rsidRDefault="00E43BB7" w:rsidP="005750D1">
      <w:pPr>
        <w:pStyle w:val="Prrafodelista"/>
        <w:numPr>
          <w:ilvl w:val="0"/>
          <w:numId w:val="24"/>
        </w:numPr>
        <w:spacing w:line="276" w:lineRule="auto"/>
        <w:ind w:left="714" w:hanging="357"/>
        <w:jc w:val="both"/>
      </w:pPr>
      <w:r w:rsidRPr="005A6843">
        <w:t>Primeramente, desde el punto de vista de</w:t>
      </w:r>
      <w:r w:rsidR="00077407" w:rsidRPr="005A6843">
        <w:t xml:space="preserve">l contenido de la información. </w:t>
      </w:r>
      <w:r w:rsidR="003231AF" w:rsidRPr="005A6843">
        <w:t>Ya se ha indicado en la parte de cuestiones generales planteadas por los contenidos de publicidad activa del Portal que, a criterio de este Consejo, debería incluirse una explicación sobre la AGE y su estructuración en Presidencia, Ministerios, servicios periféricos y servicios en el exterior. Esta idea debe reiterarse aquí, referida concretamente a las funciones de la AGE y las de los órganos en que está estructurada. Con la inclusión de un ítem de funciones en el contenido obligatorio de la publicidad activa, l</w:t>
      </w:r>
      <w:r w:rsidR="00077407" w:rsidRPr="005A6843">
        <w:t xml:space="preserve">a </w:t>
      </w:r>
      <w:r w:rsidR="00052FF3">
        <w:t>l</w:t>
      </w:r>
      <w:r w:rsidR="001C41A6">
        <w:t>ey</w:t>
      </w:r>
      <w:r w:rsidR="00E768A4">
        <w:t xml:space="preserve"> de transparencia</w:t>
      </w:r>
      <w:r w:rsidR="00077407" w:rsidRPr="005A6843">
        <w:t xml:space="preserve"> persigue que el visitante del Portal quede </w:t>
      </w:r>
      <w:r w:rsidR="003231AF" w:rsidRPr="005A6843">
        <w:t>enterado</w:t>
      </w:r>
      <w:r w:rsidR="00077407" w:rsidRPr="005A6843">
        <w:t xml:space="preserve"> de</w:t>
      </w:r>
      <w:r w:rsidR="003231AF" w:rsidRPr="005A6843">
        <w:t xml:space="preserve"> la razón de ser y de los objetivos del organismo que desea conocer. En el caso de los Departamentos ministeriales, este resultado d</w:t>
      </w:r>
      <w:r w:rsidR="00806641" w:rsidRPr="005A6843">
        <w:t>ifí</w:t>
      </w:r>
      <w:r w:rsidR="003231AF" w:rsidRPr="005A6843">
        <w:t>cilmente puede considerarse logrado sin una</w:t>
      </w:r>
      <w:r w:rsidR="006D4B9F" w:rsidRPr="005A6843">
        <w:t xml:space="preserve"> explicación sucinta del marco </w:t>
      </w:r>
      <w:r w:rsidR="003231AF" w:rsidRPr="005A6843">
        <w:t xml:space="preserve">organizativo de los Ministerios, de su integración en la AGE o </w:t>
      </w:r>
      <w:r w:rsidR="006D4B9F" w:rsidRPr="005A6843">
        <w:t xml:space="preserve">de las razones de la división departamental de ésta.  Por otra parte, es perfectamente posible que el visitante del Portal quiera obtener una información sobre las funciones de la AGE y no de tal o cual Ministerio. Y aunque es un hecho que el Portal proporciona un vínculo directo a los datos del BOE sobre el actual Real Decreto de estructuración orgánica de los Ministerios y su texto consolidado, es algo más que dudoso que un texto legal por sí solo, con toda su complejidad, pueda proporcionar a un ciudadano lego en cuestiones jurídicas </w:t>
      </w:r>
      <w:r w:rsidR="00457AD3" w:rsidRPr="005A6843">
        <w:t xml:space="preserve">la </w:t>
      </w:r>
      <w:r w:rsidR="006D4B9F" w:rsidRPr="005A6843">
        <w:t xml:space="preserve">información </w:t>
      </w:r>
      <w:r w:rsidR="00457AD3" w:rsidRPr="005A6843">
        <w:t>necesaria para comprender qué es lo que hace en realidad e</w:t>
      </w:r>
      <w:r w:rsidR="006D4B9F" w:rsidRPr="005A6843">
        <w:t>l organismo o entidad que le interesa.</w:t>
      </w:r>
      <w:r w:rsidR="00CE032F" w:rsidRPr="005A6843">
        <w:t xml:space="preserve"> Teniendo en cuenta que en el Portal, los datos van precedidos de una serie de textos introductorios con información interna o referencias a la nueva reestructuración orgánica de los Departamentos, sería muy sencillo enriquecer dichos textos con una explicación funcional sobre la AGE.</w:t>
      </w:r>
    </w:p>
    <w:p w:rsidR="00A57DC0" w:rsidRPr="005A6843" w:rsidRDefault="00A57DC0" w:rsidP="00A57DC0">
      <w:pPr>
        <w:pStyle w:val="Prrafodelista"/>
        <w:spacing w:line="276" w:lineRule="auto"/>
        <w:ind w:left="714"/>
        <w:jc w:val="both"/>
      </w:pPr>
    </w:p>
    <w:p w:rsidR="00CF63F9" w:rsidRDefault="00CF63F9" w:rsidP="005750D1">
      <w:pPr>
        <w:pStyle w:val="Prrafodelista"/>
        <w:numPr>
          <w:ilvl w:val="0"/>
          <w:numId w:val="24"/>
        </w:numPr>
        <w:spacing w:line="276" w:lineRule="auto"/>
        <w:ind w:left="714" w:hanging="357"/>
        <w:jc w:val="both"/>
      </w:pPr>
      <w:r w:rsidRPr="005A6843">
        <w:t xml:space="preserve">En segundo lugar, desde el punto de vista de la </w:t>
      </w:r>
      <w:r w:rsidR="00E43BB7" w:rsidRPr="005A6843">
        <w:t>comprensibilidad de la información</w:t>
      </w:r>
      <w:r w:rsidRPr="005A6843">
        <w:t xml:space="preserve"> y en línea con lo que acaba de decirse, debería acompañarse la información de una explicación sencilla, en términos asequibles, o de una ficha descriptiva de las distintas funciones o tareas ministeriales</w:t>
      </w:r>
      <w:r w:rsidR="00E43BB7" w:rsidRPr="005A6843">
        <w:t xml:space="preserve">. </w:t>
      </w:r>
      <w:r w:rsidRPr="005A6843">
        <w:t xml:space="preserve">A juicio de este CTBG, el exclusivo recurso a los Decretos de estructura no cumple suficientemente el objetivo de la </w:t>
      </w:r>
      <w:r w:rsidR="00052FF3">
        <w:t>l</w:t>
      </w:r>
      <w:r w:rsidR="001C41A6">
        <w:t>ey</w:t>
      </w:r>
      <w:r w:rsidRPr="005A6843">
        <w:t>.</w:t>
      </w:r>
      <w:r w:rsidR="00CE032F" w:rsidRPr="005A6843">
        <w:t xml:space="preserve"> Y como acaba de decirse, resultaría sencillo introducir estos elementos complementarios en los textos informativos que ya incorpora el Portal en la “entradilla” de los datos.</w:t>
      </w:r>
    </w:p>
    <w:p w:rsidR="00A57DC0" w:rsidRDefault="00A57DC0" w:rsidP="00A57DC0">
      <w:pPr>
        <w:pStyle w:val="Prrafodelista"/>
      </w:pPr>
    </w:p>
    <w:p w:rsidR="00CE032F" w:rsidRDefault="00CE032F" w:rsidP="005750D1">
      <w:pPr>
        <w:pStyle w:val="Prrafodelista"/>
        <w:numPr>
          <w:ilvl w:val="0"/>
          <w:numId w:val="24"/>
        </w:numPr>
        <w:spacing w:line="276" w:lineRule="auto"/>
        <w:ind w:left="714" w:hanging="357"/>
        <w:jc w:val="both"/>
      </w:pPr>
      <w:r w:rsidRPr="005A6843">
        <w:t xml:space="preserve">En tercer lugar, </w:t>
      </w:r>
      <w:r w:rsidR="00045D13" w:rsidRPr="005A6843">
        <w:t xml:space="preserve">y siempre desde el punto de vista de la comprensibilidad y el contenido de la información, </w:t>
      </w:r>
      <w:r w:rsidRPr="005A6843">
        <w:t xml:space="preserve">considerando que, con carácter general, el Portal </w:t>
      </w:r>
      <w:r w:rsidR="00045D13" w:rsidRPr="005A6843">
        <w:t xml:space="preserve">y los Reales Decretos de estructura orgánica </w:t>
      </w:r>
      <w:r w:rsidRPr="005A6843">
        <w:t>incorpora</w:t>
      </w:r>
      <w:r w:rsidR="00045D13" w:rsidRPr="005A6843">
        <w:t>n</w:t>
      </w:r>
      <w:r w:rsidRPr="005A6843">
        <w:t xml:space="preserve"> información</w:t>
      </w:r>
      <w:r w:rsidR="00045D13" w:rsidRPr="005A6843">
        <w:t xml:space="preserve"> no solo sobre los órganos de la AGE sino también sobre los organismos públicos vinculados y dependientes de los Ministerios (Agencias, Organismos Autónomos y EPES), sería conveniente incluir información separada sobre las funciones de estos últimos y las razones de s</w:t>
      </w:r>
      <w:r w:rsidR="00A57DC0">
        <w:t>u configuración descentralizada.</w:t>
      </w:r>
    </w:p>
    <w:p w:rsidR="00A57DC0" w:rsidRDefault="00A57DC0" w:rsidP="00A57DC0">
      <w:pPr>
        <w:pStyle w:val="Prrafodelista"/>
      </w:pPr>
    </w:p>
    <w:p w:rsidR="00CE032F" w:rsidRDefault="00CF63F9" w:rsidP="005750D1">
      <w:pPr>
        <w:pStyle w:val="Prrafodelista"/>
        <w:numPr>
          <w:ilvl w:val="0"/>
          <w:numId w:val="24"/>
        </w:numPr>
        <w:spacing w:line="276" w:lineRule="auto"/>
        <w:ind w:left="714" w:hanging="357"/>
        <w:jc w:val="both"/>
      </w:pPr>
      <w:r w:rsidRPr="005A6843">
        <w:t xml:space="preserve">Finalmente, desde el punto de vista de la forma de publicación de los datos y de la accesibilidad de los mismos, hay que tener en cuenta </w:t>
      </w:r>
      <w:r w:rsidR="00CE032F" w:rsidRPr="005A6843">
        <w:t>que en las consultas de información histórica de los Ministerios que ya cuentan con Decretos de estructura orgánica, la búsqueda se realiza con los recursos del Portal del BOE no con los propios del Portal AGE.</w:t>
      </w:r>
    </w:p>
    <w:p w:rsidR="00A57DC0" w:rsidRPr="00A57DC0" w:rsidRDefault="00A57DC0" w:rsidP="00A57DC0">
      <w:pPr>
        <w:pStyle w:val="Prrafodelista"/>
        <w:spacing w:line="276" w:lineRule="auto"/>
        <w:ind w:left="714"/>
        <w:jc w:val="both"/>
        <w:rPr>
          <w:b/>
          <w:u w:val="single"/>
        </w:rPr>
      </w:pPr>
    </w:p>
    <w:p w:rsidR="00926A8C" w:rsidRPr="00A57DC0" w:rsidRDefault="00926A8C" w:rsidP="00AA712B">
      <w:pPr>
        <w:jc w:val="both"/>
        <w:rPr>
          <w:b/>
          <w:u w:val="single"/>
        </w:rPr>
      </w:pPr>
      <w:r w:rsidRPr="00A57DC0">
        <w:rPr>
          <w:b/>
          <w:u w:val="single"/>
        </w:rPr>
        <w:t>Normativa aplicable a la organización</w:t>
      </w:r>
    </w:p>
    <w:p w:rsidR="00045D13" w:rsidRPr="005A6843" w:rsidRDefault="006B0F93" w:rsidP="00AA712B">
      <w:pPr>
        <w:jc w:val="both"/>
      </w:pPr>
      <w:bookmarkStart w:id="112" w:name="_Toc489350894"/>
      <w:bookmarkStart w:id="113" w:name="_Toc489352004"/>
      <w:bookmarkStart w:id="114" w:name="_Toc489353671"/>
      <w:bookmarkStart w:id="115" w:name="_Toc498344286"/>
      <w:bookmarkStart w:id="116" w:name="_Toc498344952"/>
      <w:bookmarkStart w:id="117" w:name="_Toc498345378"/>
      <w:r w:rsidRPr="005A6843">
        <w:t xml:space="preserve">Como se ha visto, la categoría de información institucional del Portal </w:t>
      </w:r>
      <w:r w:rsidR="00045D13" w:rsidRPr="005A6843">
        <w:t>ha incluido la sub-categoría de normativa reguladora de la organización o entidad consultada</w:t>
      </w:r>
      <w:r w:rsidRPr="005A6843">
        <w:t xml:space="preserve">, que, sin embargo, está expresamente previsto en el art. 6 de la </w:t>
      </w:r>
      <w:r w:rsidR="00052FF3">
        <w:t>l</w:t>
      </w:r>
      <w:r w:rsidR="001C41A6">
        <w:t>ey</w:t>
      </w:r>
      <w:r w:rsidR="00E768A4">
        <w:t xml:space="preserve"> de transparencia</w:t>
      </w:r>
      <w:r w:rsidRPr="005A6843">
        <w:t xml:space="preserve"> como uno de los elementos obligatorias de la categoría de información institucional, organizativa y de planificación.</w:t>
      </w:r>
      <w:bookmarkEnd w:id="112"/>
      <w:bookmarkEnd w:id="113"/>
      <w:bookmarkEnd w:id="114"/>
      <w:bookmarkEnd w:id="115"/>
      <w:bookmarkEnd w:id="116"/>
      <w:bookmarkEnd w:id="117"/>
      <w:r w:rsidRPr="005A6843">
        <w:t xml:space="preserve"> </w:t>
      </w:r>
    </w:p>
    <w:p w:rsidR="00113519" w:rsidRPr="005A6843" w:rsidRDefault="006B0F93" w:rsidP="00AA712B">
      <w:pPr>
        <w:jc w:val="both"/>
      </w:pPr>
      <w:bookmarkStart w:id="118" w:name="_Toc489350895"/>
      <w:bookmarkStart w:id="119" w:name="_Toc489352005"/>
      <w:bookmarkStart w:id="120" w:name="_Toc489353672"/>
      <w:bookmarkStart w:id="121" w:name="_Toc498344287"/>
      <w:bookmarkStart w:id="122" w:name="_Toc498344953"/>
      <w:bookmarkStart w:id="123" w:name="_Toc498345379"/>
      <w:r w:rsidRPr="005A6843">
        <w:t xml:space="preserve">Como se ha dicho también, se trata de un elemento de gran importancia –el </w:t>
      </w:r>
      <w:r w:rsidR="00113519" w:rsidRPr="005A6843">
        <w:t xml:space="preserve">segundo </w:t>
      </w:r>
      <w:r w:rsidRPr="005A6843">
        <w:t xml:space="preserve">de los exigidos por la </w:t>
      </w:r>
      <w:r w:rsidR="00052FF3">
        <w:t>l</w:t>
      </w:r>
      <w:r w:rsidR="001C41A6">
        <w:t>ey</w:t>
      </w:r>
      <w:r w:rsidRPr="005A6843">
        <w:t xml:space="preserve"> con carácter obligatorio- que pretende ofrecer al ciudadano información básica sobre el régimen </w:t>
      </w:r>
      <w:r w:rsidR="00113519" w:rsidRPr="005A6843">
        <w:t xml:space="preserve">y naturaleza </w:t>
      </w:r>
      <w:r w:rsidRPr="005A6843">
        <w:t>jurídico</w:t>
      </w:r>
      <w:r w:rsidR="00113519" w:rsidRPr="005A6843">
        <w:t>s</w:t>
      </w:r>
      <w:r w:rsidRPr="005A6843">
        <w:t xml:space="preserve"> </w:t>
      </w:r>
      <w:r w:rsidR="00113519" w:rsidRPr="005A6843">
        <w:t>de los organismos o instituciones públicas, reflejando especialmente su norma de creación y la normativa que regula su organización y funcionamiento.</w:t>
      </w:r>
      <w:bookmarkEnd w:id="118"/>
      <w:bookmarkEnd w:id="119"/>
      <w:bookmarkEnd w:id="120"/>
      <w:bookmarkEnd w:id="121"/>
      <w:bookmarkEnd w:id="122"/>
      <w:bookmarkEnd w:id="123"/>
    </w:p>
    <w:p w:rsidR="006B0F93" w:rsidRPr="005A6843" w:rsidRDefault="00113519" w:rsidP="00AA712B">
      <w:pPr>
        <w:jc w:val="both"/>
      </w:pPr>
      <w:bookmarkStart w:id="124" w:name="_Toc489350896"/>
      <w:bookmarkStart w:id="125" w:name="_Toc489352006"/>
      <w:bookmarkStart w:id="126" w:name="_Toc489353673"/>
      <w:bookmarkStart w:id="127" w:name="_Toc498344288"/>
      <w:bookmarkStart w:id="128" w:name="_Toc498344954"/>
      <w:bookmarkStart w:id="129" w:name="_Toc498345380"/>
      <w:r w:rsidRPr="005A6843">
        <w:t xml:space="preserve">Ello no obstante, analizando el menú de categorías y sub-categorías informativas del Portal, se observa que en la categoría de información de normativa del mismo –esto es, fuera de la categoría institucional- aparecen dos elementos, </w:t>
      </w:r>
      <w:r w:rsidRPr="00A57DC0">
        <w:rPr>
          <w:i/>
        </w:rPr>
        <w:t>“Normativa destacada</w:t>
      </w:r>
      <w:r w:rsidRPr="005A6843">
        <w:t xml:space="preserve">” y </w:t>
      </w:r>
      <w:r w:rsidRPr="00A57DC0">
        <w:rPr>
          <w:i/>
        </w:rPr>
        <w:t>“Normativa en vigor”</w:t>
      </w:r>
      <w:r w:rsidRPr="005A6843">
        <w:t xml:space="preserve">, que, a juzgar por su etiqueta, podrían contener las informaciones y datos correspondientes a la sub-categoría de normativa </w:t>
      </w:r>
      <w:r w:rsidR="00045D13" w:rsidRPr="005A6843">
        <w:t>reguladora</w:t>
      </w:r>
      <w:r w:rsidRPr="005A6843">
        <w:t>,</w:t>
      </w:r>
      <w:bookmarkEnd w:id="124"/>
      <w:bookmarkEnd w:id="125"/>
      <w:bookmarkEnd w:id="126"/>
      <w:bookmarkEnd w:id="127"/>
      <w:bookmarkEnd w:id="128"/>
      <w:bookmarkEnd w:id="129"/>
      <w:r w:rsidRPr="005A6843">
        <w:t xml:space="preserve">   </w:t>
      </w:r>
    </w:p>
    <w:p w:rsidR="00DE3F3A" w:rsidRPr="005A6843" w:rsidRDefault="00DE3F3A" w:rsidP="00AA712B">
      <w:pPr>
        <w:jc w:val="both"/>
      </w:pPr>
      <w:r w:rsidRPr="005A6843">
        <w:t xml:space="preserve">El acceso a la sub-categoría </w:t>
      </w:r>
      <w:r w:rsidR="00045D13" w:rsidRPr="005A6843">
        <w:t xml:space="preserve">de </w:t>
      </w:r>
      <w:r w:rsidR="00045D13" w:rsidRPr="00A57DC0">
        <w:rPr>
          <w:i/>
        </w:rPr>
        <w:t>“Normativa destacada”</w:t>
      </w:r>
      <w:r w:rsidR="00045D13" w:rsidRPr="005A6843">
        <w:t xml:space="preserve">, sitúa nuevamente al visitante frente al menú de opciones por Ministerios del Portal, </w:t>
      </w:r>
      <w:r w:rsidRPr="005A6843">
        <w:t xml:space="preserve">precedido por una “entradilla” explicativa del siguiente tenor literal: </w:t>
      </w:r>
      <w:r w:rsidRPr="00A57DC0">
        <w:rPr>
          <w:i/>
        </w:rPr>
        <w:t>“Normativa de aplicación para el ejercicio de las competencias que cada departamento u organismo tiene asignadas”</w:t>
      </w:r>
      <w:r w:rsidRPr="005A6843">
        <w:t xml:space="preserve"> y un acceso a un desplegable con mayor información. Esta se concreta en una ficha técnica de los datos -la fuente de los mismos son los Departamentos ministeriales-, en un texto complementario: </w:t>
      </w:r>
      <w:r w:rsidRPr="00A57DC0">
        <w:rPr>
          <w:i/>
        </w:rPr>
        <w:t>“Recoge la normativa más destacada relacionada con el ámbito de actuación de cada uno de los Departamentos Ministeriales”</w:t>
      </w:r>
      <w:r w:rsidRPr="005A6843">
        <w:t xml:space="preserve"> y un reenvío a </w:t>
      </w:r>
      <w:hyperlink r:id="rId44" w:history="1">
        <w:r w:rsidR="00D54FF2">
          <w:rPr>
            <w:rStyle w:val="Hipervnculo"/>
          </w:rPr>
          <w:t>BOE</w:t>
        </w:r>
      </w:hyperlink>
      <w:r w:rsidRPr="005A6843">
        <w:t xml:space="preserve"> </w:t>
      </w:r>
      <w:r w:rsidRPr="00A57DC0">
        <w:rPr>
          <w:i/>
        </w:rPr>
        <w:t>“para ver más normativa”</w:t>
      </w:r>
      <w:r w:rsidRPr="005A6843">
        <w:t xml:space="preserve">.  </w:t>
      </w:r>
    </w:p>
    <w:p w:rsidR="00DE3F3A" w:rsidRPr="005A6843" w:rsidRDefault="00DE3F3A" w:rsidP="00AA712B">
      <w:pPr>
        <w:jc w:val="both"/>
      </w:pPr>
      <w:r w:rsidRPr="005A6843">
        <w:t xml:space="preserve">“Pinchando” cualquier Ministerio, se accede a una relación de normas estructuradas en seis columnas: </w:t>
      </w:r>
      <w:r w:rsidRPr="00A57DC0">
        <w:rPr>
          <w:i/>
        </w:rPr>
        <w:t>“Título”, “Departamento”, “Tipo de norma”, “Temática”, “F</w:t>
      </w:r>
      <w:r w:rsidR="00A57DC0">
        <w:rPr>
          <w:i/>
        </w:rPr>
        <w:t>echa de publicación en el «BOE»</w:t>
      </w:r>
      <w:r w:rsidRPr="00A57DC0">
        <w:rPr>
          <w:i/>
        </w:rPr>
        <w:t>,</w:t>
      </w:r>
      <w:r w:rsidRPr="005A6843">
        <w:t xml:space="preserve"> y </w:t>
      </w:r>
      <w:r w:rsidRPr="00A57DC0">
        <w:rPr>
          <w:i/>
        </w:rPr>
        <w:t>“Vigente”</w:t>
      </w:r>
      <w:r w:rsidRPr="005A6843">
        <w:t>. Accionando sobre el título de la norma, se accede al texto consolidado del «BOE».</w:t>
      </w:r>
    </w:p>
    <w:p w:rsidR="00DE3F3A" w:rsidRPr="005A6843" w:rsidRDefault="00DE3F3A" w:rsidP="00AA712B">
      <w:pPr>
        <w:jc w:val="both"/>
      </w:pPr>
      <w:r w:rsidRPr="005A6843">
        <w:t xml:space="preserve">La relación no proporciona mayores explicaciones sobre su contenido. Hay que entender que las normas recogidas son las de mayor importancia del área de actividad del Ministerio y, a tenor de su ficha técnica, que han sido seleccionadas por éste. El buscador permite filtrar la información por la vigencia de la norma, su fecha de publicación, su naturaleza -incluyendo una categoría paradójicamente titulada </w:t>
      </w:r>
      <w:r w:rsidRPr="00A57DC0">
        <w:rPr>
          <w:i/>
        </w:rPr>
        <w:t>"normativa destacada del Departamento”</w:t>
      </w:r>
      <w:r w:rsidRPr="005A6843">
        <w:t xml:space="preserve"> y su temática, pero no proporciona tampoco ninguna clave o indicio sobre el criterio empleado para su selección.</w:t>
      </w:r>
    </w:p>
    <w:p w:rsidR="00CD5658" w:rsidRPr="005A6843" w:rsidRDefault="00045D13" w:rsidP="00AA712B">
      <w:pPr>
        <w:jc w:val="both"/>
      </w:pPr>
      <w:r w:rsidRPr="005A6843">
        <w:t>Prescindiendo de la het</w:t>
      </w:r>
      <w:r w:rsidR="00CD5658" w:rsidRPr="005A6843">
        <w:t>e</w:t>
      </w:r>
      <w:r w:rsidRPr="005A6843">
        <w:t xml:space="preserve">rogeneidad y variabilidad de los datos </w:t>
      </w:r>
      <w:r w:rsidR="00CD5658" w:rsidRPr="005A6843">
        <w:t xml:space="preserve">ofrecidos por cada una de las diferentes opciones ministeriales -que se verán con más detalle en el apartado de este informe dedicado al análisis por Ministerios-, puede decirse que, en la práctica totalidad de los casos, una parte de las normas incluidas en el apartado de normativa destacada pertenecen al ámbito de las disposiciones reguladoras del Departamento (organización, competencias, régimen interior, funcionamiento, </w:t>
      </w:r>
      <w:r w:rsidR="00235F53">
        <w:t>etc.</w:t>
      </w:r>
      <w:r w:rsidR="00CD5658" w:rsidRPr="005A6843">
        <w:t xml:space="preserve">) pero se hallan confundidas con otra serie de normas de carácter general o especialmente referidas, </w:t>
      </w:r>
      <w:r w:rsidR="00DE3F3A" w:rsidRPr="005A6843">
        <w:t>directa o indirectamente</w:t>
      </w:r>
      <w:r w:rsidR="00CD5658" w:rsidRPr="005A6843">
        <w:t xml:space="preserve">, a la </w:t>
      </w:r>
      <w:r w:rsidR="00DE3F3A" w:rsidRPr="005A6843">
        <w:t xml:space="preserve"> actividad de</w:t>
      </w:r>
      <w:r w:rsidR="00CD5658" w:rsidRPr="005A6843">
        <w:t xml:space="preserve">l </w:t>
      </w:r>
      <w:r w:rsidR="00DE3F3A" w:rsidRPr="005A6843">
        <w:t xml:space="preserve">mismo. </w:t>
      </w:r>
    </w:p>
    <w:p w:rsidR="00806641" w:rsidRPr="005A6843" w:rsidRDefault="00806641" w:rsidP="00AA712B">
      <w:pPr>
        <w:jc w:val="both"/>
      </w:pPr>
      <w:r w:rsidRPr="005A6843">
        <w:t xml:space="preserve">Por su parte, el acceso al elemento </w:t>
      </w:r>
      <w:r w:rsidRPr="00D26B26">
        <w:rPr>
          <w:i/>
        </w:rPr>
        <w:t>“Normativa en Vigor”</w:t>
      </w:r>
      <w:r w:rsidRPr="005A6843">
        <w:t xml:space="preserve"> también sitúa al visitante del Portal ante un menú por Ministerios, que presenta una ligera variación respecto de l</w:t>
      </w:r>
      <w:r w:rsidR="00D24BEA" w:rsidRPr="005A6843">
        <w:t>o</w:t>
      </w:r>
      <w:r w:rsidRPr="005A6843">
        <w:t xml:space="preserve">s otros: el acceso a </w:t>
      </w:r>
      <w:r w:rsidRPr="00D26B26">
        <w:rPr>
          <w:i/>
        </w:rPr>
        <w:t>“Presidencia del Gobierno”</w:t>
      </w:r>
      <w:r w:rsidRPr="005A6843">
        <w:t xml:space="preserve"> se sustituye por un acceso a </w:t>
      </w:r>
      <w:r w:rsidRPr="00D26B26">
        <w:rPr>
          <w:i/>
        </w:rPr>
        <w:t>“Jefatura del Estado”</w:t>
      </w:r>
      <w:r w:rsidRPr="005A6843">
        <w:t xml:space="preserve">. El menú va precedido por una nueva entrada que aclara el contenido de la información: </w:t>
      </w:r>
      <w:r w:rsidRPr="00D26B26">
        <w:rPr>
          <w:i/>
        </w:rPr>
        <w:t>“Disposiciones aprobadas a partir del año 2014”</w:t>
      </w:r>
      <w:r w:rsidRPr="005A6843">
        <w:t xml:space="preserve"> y el motivo de la inclusión del nuevo acceso: </w:t>
      </w:r>
      <w:r w:rsidRPr="00D26B26">
        <w:rPr>
          <w:i/>
        </w:rPr>
        <w:t xml:space="preserve">“Las normas con rango de </w:t>
      </w:r>
      <w:r w:rsidR="001C41A6">
        <w:rPr>
          <w:i/>
        </w:rPr>
        <w:t>ley</w:t>
      </w:r>
      <w:r w:rsidRPr="00D26B26">
        <w:rPr>
          <w:i/>
        </w:rPr>
        <w:t xml:space="preserve"> se muestran en la opción Jefatura del Estado”</w:t>
      </w:r>
      <w:r w:rsidRPr="005A6843">
        <w:t>.</w:t>
      </w:r>
    </w:p>
    <w:p w:rsidR="00806641" w:rsidRPr="005A6843" w:rsidRDefault="00806641" w:rsidP="00AA712B">
      <w:pPr>
        <w:jc w:val="both"/>
      </w:pPr>
      <w:r w:rsidRPr="005A6843">
        <w:t xml:space="preserve">La entrada va acompañada de mayor información: la ficha técnica de los datos –que señala como fuente de los mismos al Secretariado del Gobierno del Ministerio de Presidencia y para las Administraciones Territoriales (MPREAT)-, un texto complementario que señala </w:t>
      </w:r>
      <w:r w:rsidRPr="00D26B26">
        <w:rPr>
          <w:i/>
        </w:rPr>
        <w:t>“La normativa ya aprobada y cuyos borradores se han publicado de acuerdo a lo descrito en la categoría: Normativa en elaboración”</w:t>
      </w:r>
      <w:r w:rsidRPr="005A6843">
        <w:t xml:space="preserve"> y el reenvío a </w:t>
      </w:r>
      <w:hyperlink r:id="rId45" w:tgtFrame="_blank" w:tooltip="Abrir en una ventana nueva: Boletin Oficial del Estado" w:history="1">
        <w:r w:rsidR="00D54FF2">
          <w:rPr>
            <w:rStyle w:val="Hipervnculo"/>
          </w:rPr>
          <w:t>BOE</w:t>
        </w:r>
      </w:hyperlink>
      <w:r w:rsidRPr="005A6843">
        <w:t xml:space="preserve"> </w:t>
      </w:r>
      <w:r w:rsidRPr="00D26B26">
        <w:rPr>
          <w:i/>
        </w:rPr>
        <w:t>“para ver más normativa”</w:t>
      </w:r>
      <w:r w:rsidRPr="005A6843">
        <w:t xml:space="preserve">. </w:t>
      </w:r>
    </w:p>
    <w:p w:rsidR="00806641" w:rsidRPr="005A6843" w:rsidRDefault="00806641" w:rsidP="00AA712B">
      <w:pPr>
        <w:jc w:val="both"/>
      </w:pPr>
      <w:r w:rsidRPr="005A6843">
        <w:t xml:space="preserve">“Pinchando” cualquier Ministerio, se accede a una nueva relación de normativa, </w:t>
      </w:r>
      <w:r w:rsidR="00255527" w:rsidRPr="005A6843">
        <w:t xml:space="preserve">distinta de la anterior, que aparece </w:t>
      </w:r>
      <w:r w:rsidRPr="005A6843">
        <w:t xml:space="preserve">estructurada en cuatro columnas: </w:t>
      </w:r>
      <w:r w:rsidRPr="00D26B26">
        <w:rPr>
          <w:i/>
        </w:rPr>
        <w:t>“Título”, “Departamento”, “Tipo de norma” y “Fecha de publicación en el «BOE»”</w:t>
      </w:r>
      <w:r w:rsidRPr="005A6843">
        <w:t xml:space="preserve">. Accionando el título </w:t>
      </w:r>
      <w:r w:rsidR="00255527" w:rsidRPr="005A6843">
        <w:t xml:space="preserve">de la norma </w:t>
      </w:r>
      <w:r w:rsidRPr="005A6843">
        <w:t xml:space="preserve">se accede a un </w:t>
      </w:r>
      <w:r w:rsidR="00255527" w:rsidRPr="005A6843">
        <w:t xml:space="preserve">menú de opciones con vínculos a la información del BOE sobre la norma </w:t>
      </w:r>
      <w:r w:rsidRPr="005A6843">
        <w:t>y a los informes y dictámenes emitidos con ocasión de su tramitación.</w:t>
      </w:r>
    </w:p>
    <w:p w:rsidR="00D24FD9" w:rsidRPr="005A6843" w:rsidRDefault="00255527" w:rsidP="00AA712B">
      <w:pPr>
        <w:jc w:val="both"/>
      </w:pPr>
      <w:r w:rsidRPr="005A6843">
        <w:t xml:space="preserve">Como en el caso de la normativa destacada, en ninguna parte de la información introductoria de esta sub-categoría se explicitan los criterios que justifican la selección de las normas que incluyen las relaciones. Tampoco se hacen explícitas las razones que aconsejan separar </w:t>
      </w:r>
      <w:r w:rsidR="00345CDD" w:rsidRPr="005A6843">
        <w:t>é</w:t>
      </w:r>
      <w:r w:rsidRPr="005A6843">
        <w:t xml:space="preserve">stas de las que figuran </w:t>
      </w:r>
      <w:r w:rsidR="00345CDD" w:rsidRPr="005A6843">
        <w:t xml:space="preserve">ya </w:t>
      </w:r>
      <w:r w:rsidRPr="005A6843">
        <w:t xml:space="preserve">en el apartado de </w:t>
      </w:r>
      <w:r w:rsidR="00345CDD" w:rsidRPr="005A6843">
        <w:t xml:space="preserve">normativa </w:t>
      </w:r>
      <w:r w:rsidR="00D24BEA" w:rsidRPr="005A6843">
        <w:t>destacada</w:t>
      </w:r>
      <w:r w:rsidRPr="005A6843">
        <w:t xml:space="preserve"> que</w:t>
      </w:r>
      <w:r w:rsidR="00345CDD" w:rsidRPr="005A6843">
        <w:t xml:space="preserve"> en su mayoría</w:t>
      </w:r>
      <w:r w:rsidRPr="005A6843">
        <w:t xml:space="preserve"> también están en vigor. Analizando el contenido de las relaciones</w:t>
      </w:r>
      <w:r w:rsidR="00345CDD" w:rsidRPr="005A6843">
        <w:t xml:space="preserve"> –el buscador del elemento permite filtrar por rango y por año de aprobación de la norma- </w:t>
      </w:r>
      <w:r w:rsidRPr="005A6843">
        <w:t xml:space="preserve"> se</w:t>
      </w:r>
      <w:r w:rsidR="00345CDD" w:rsidRPr="005A6843">
        <w:t xml:space="preserve"> trata también de un “variado”, que incluye únicamente normas con rango igual o superior al de Real Decreto y que se refieren al Propio Departamento a su ámbito sectorial de actuación. Aparentemente, teniendo en cuenta que la fuente de los datos e</w:t>
      </w:r>
      <w:r w:rsidR="00D24BEA" w:rsidRPr="005A6843">
        <w:t>s</w:t>
      </w:r>
      <w:r w:rsidR="00345CDD" w:rsidRPr="005A6843">
        <w:t xml:space="preserve"> el Secretariado del Gobierno y que se incluyen accesos a memorias y dictámenes, </w:t>
      </w:r>
      <w:r w:rsidR="00806641" w:rsidRPr="005A6843">
        <w:t xml:space="preserve">se trata de un repositorio </w:t>
      </w:r>
      <w:r w:rsidR="00345CDD" w:rsidRPr="005A6843">
        <w:t xml:space="preserve">de normas elaboradas y aprobadas durante o después del año de puesta en funcionamiento del Portal -2014- y </w:t>
      </w:r>
      <w:r w:rsidR="00806641" w:rsidRPr="005A6843">
        <w:t>al que</w:t>
      </w:r>
      <w:r w:rsidR="00345CDD" w:rsidRPr="005A6843">
        <w:t xml:space="preserve">, previsiblemente, </w:t>
      </w:r>
      <w:r w:rsidR="00806641" w:rsidRPr="005A6843">
        <w:t xml:space="preserve">se </w:t>
      </w:r>
      <w:r w:rsidR="00345CDD" w:rsidRPr="005A6843">
        <w:t xml:space="preserve">irán </w:t>
      </w:r>
      <w:r w:rsidR="00806641" w:rsidRPr="005A6843">
        <w:t xml:space="preserve">trasladando </w:t>
      </w:r>
      <w:r w:rsidR="00345CDD" w:rsidRPr="005A6843">
        <w:t xml:space="preserve">en el futuro aquellas que vayan siendo aprobadas y que hayan iniciado su tramitación en fechas posteriores a </w:t>
      </w:r>
      <w:r w:rsidR="00D24FD9" w:rsidRPr="005A6843">
        <w:t xml:space="preserve">ese año. </w:t>
      </w:r>
    </w:p>
    <w:p w:rsidR="00180B5B" w:rsidRPr="005A6843" w:rsidRDefault="00D24FD9" w:rsidP="00AA712B">
      <w:pPr>
        <w:jc w:val="both"/>
      </w:pPr>
      <w:r w:rsidRPr="005A6843">
        <w:t xml:space="preserve">Examinando el contenido de los dos elementos mencionados –normativa destacada y normativa en vigor- se comprende que el objetivo buscado por los responsables del Portal es, en el primer caso, poner a disposición del visitante del Portal las normas más importantes que maneja el Ministerio que se quiere consultar y, en el segundo, aquellas que ese mismo Ministerio ha promovido o tramitado desde 2014 a la actualidad. Si bien es cierto que se trata de información </w:t>
      </w:r>
      <w:r w:rsidR="00316760" w:rsidRPr="005A6843">
        <w:t xml:space="preserve">de interés </w:t>
      </w:r>
      <w:r w:rsidRPr="005A6843">
        <w:t xml:space="preserve">para el ciudadano que desee conocer la actividad desarrollada por </w:t>
      </w:r>
      <w:r w:rsidR="00180B5B" w:rsidRPr="005A6843">
        <w:t xml:space="preserve">los </w:t>
      </w:r>
      <w:r w:rsidRPr="005A6843">
        <w:t>Ministerio</w:t>
      </w:r>
      <w:r w:rsidR="00180B5B" w:rsidRPr="005A6843">
        <w:t xml:space="preserve">s –especialmente en el capítulo de producción normativa- </w:t>
      </w:r>
      <w:r w:rsidRPr="005A6843">
        <w:t xml:space="preserve">y su régimen jurídico, es </w:t>
      </w:r>
      <w:r w:rsidR="00180B5B" w:rsidRPr="005A6843">
        <w:t xml:space="preserve">cierto </w:t>
      </w:r>
      <w:r w:rsidRPr="005A6843">
        <w:t xml:space="preserve">también que, en ambos casos, </w:t>
      </w:r>
      <w:r w:rsidR="00180B5B" w:rsidRPr="005A6843">
        <w:t xml:space="preserve">no </w:t>
      </w:r>
      <w:r w:rsidRPr="005A6843">
        <w:t xml:space="preserve">se trata de objetivos contemplados </w:t>
      </w:r>
      <w:r w:rsidR="00180B5B" w:rsidRPr="005A6843">
        <w:t xml:space="preserve">en </w:t>
      </w:r>
      <w:r w:rsidRPr="005A6843">
        <w:t xml:space="preserve">la </w:t>
      </w:r>
      <w:r w:rsidR="00052FF3">
        <w:t>l</w:t>
      </w:r>
      <w:r w:rsidR="001C41A6">
        <w:t>ey</w:t>
      </w:r>
      <w:r w:rsidR="00E768A4">
        <w:t xml:space="preserve"> de transparencia</w:t>
      </w:r>
      <w:r w:rsidR="00180B5B" w:rsidRPr="005A6843">
        <w:t xml:space="preserve">, que en ninguno de los preceptos que dedica a la información obligatoria exige la publicación de las normas tramitadas o </w:t>
      </w:r>
      <w:r w:rsidRPr="005A6843">
        <w:t>a</w:t>
      </w:r>
      <w:r w:rsidR="00180B5B" w:rsidRPr="005A6843">
        <w:t>plicadas por la AGE o sus distintos Departamentos. En principio, y a juicio de este Consejo, la divulgación de las normas corresponde al Boletín Oficial del Estado no al Portal de Transparencia y tiene antes que ver con el Estado de Derecho y la seguridad jurídica que con la rendición de cuentas.</w:t>
      </w:r>
    </w:p>
    <w:p w:rsidR="008B0B2E" w:rsidRPr="005A6843" w:rsidRDefault="008B0B2E" w:rsidP="00AA712B">
      <w:pPr>
        <w:jc w:val="both"/>
      </w:pPr>
      <w:r w:rsidRPr="005A6843">
        <w:t>Ahora bien</w:t>
      </w:r>
      <w:r w:rsidR="00316760" w:rsidRPr="005A6843">
        <w:t>, es u</w:t>
      </w:r>
      <w:r w:rsidRPr="005A6843">
        <w:t xml:space="preserve">n hecho que, tanto la información de </w:t>
      </w:r>
      <w:r w:rsidRPr="00D26B26">
        <w:rPr>
          <w:i/>
        </w:rPr>
        <w:t>“Normativa Destacada”</w:t>
      </w:r>
      <w:r w:rsidRPr="005A6843">
        <w:t xml:space="preserve"> como la de </w:t>
      </w:r>
      <w:r w:rsidRPr="00D26B26">
        <w:rPr>
          <w:i/>
        </w:rPr>
        <w:t>“Normativa en Vigor”</w:t>
      </w:r>
      <w:r w:rsidRPr="005A6843">
        <w:t xml:space="preserve"> de los Ministerios, incorporan contenidos propios de la que vendría a ser la sub-categoría de </w:t>
      </w:r>
      <w:r w:rsidRPr="00D26B26">
        <w:rPr>
          <w:i/>
        </w:rPr>
        <w:t>“Normativa reguladora”</w:t>
      </w:r>
      <w:r w:rsidRPr="005A6843">
        <w:t xml:space="preserve"> de la información institucional del Portal</w:t>
      </w:r>
      <w:r w:rsidR="00316760" w:rsidRPr="005A6843">
        <w:t xml:space="preserve">. Y es un hecho </w:t>
      </w:r>
      <w:r w:rsidRPr="005A6843">
        <w:t xml:space="preserve">también que el art. 5 de la </w:t>
      </w:r>
      <w:r w:rsidR="00052FF3">
        <w:t>l</w:t>
      </w:r>
      <w:r w:rsidR="001C41A6">
        <w:t>ey</w:t>
      </w:r>
      <w:r w:rsidR="00E768A4">
        <w:t xml:space="preserve"> de transparencia</w:t>
      </w:r>
      <w:r w:rsidRPr="005A6843">
        <w:t xml:space="preserve"> permite a los sujetos obligados en ma</w:t>
      </w:r>
      <w:r w:rsidR="00316760" w:rsidRPr="005A6843">
        <w:t>t</w:t>
      </w:r>
      <w:r w:rsidRPr="005A6843">
        <w:t>eria de publicidad activa publicar en sus Portales toda aquella información que consideren relevante aunque no esté comprendida entre los datos obligatorios que exigen sus arts. 6, 7 y 8</w:t>
      </w:r>
      <w:r w:rsidR="00316760" w:rsidRPr="005A6843">
        <w:t xml:space="preserve">. Así, teniendo en cuenta ambas circunstancias, a juicio de este Consejo </w:t>
      </w:r>
      <w:r w:rsidRPr="005A6843">
        <w:t xml:space="preserve">podría mejorarse </w:t>
      </w:r>
      <w:r w:rsidR="00316760" w:rsidRPr="005A6843">
        <w:t xml:space="preserve">notablemente </w:t>
      </w:r>
      <w:r w:rsidRPr="005A6843">
        <w:t xml:space="preserve">la claridad y estructura del Portal  </w:t>
      </w:r>
      <w:r w:rsidR="00316760" w:rsidRPr="005A6843">
        <w:t>a través de las siguientes actuaciones</w:t>
      </w:r>
      <w:r w:rsidRPr="005A6843">
        <w:t>:</w:t>
      </w:r>
    </w:p>
    <w:p w:rsidR="00990212" w:rsidRDefault="00316760" w:rsidP="005750D1">
      <w:pPr>
        <w:pStyle w:val="Prrafodelista"/>
        <w:numPr>
          <w:ilvl w:val="0"/>
          <w:numId w:val="25"/>
        </w:numPr>
        <w:spacing w:line="276" w:lineRule="auto"/>
        <w:jc w:val="both"/>
      </w:pPr>
      <w:r w:rsidRPr="005A6843">
        <w:t xml:space="preserve">Revisión </w:t>
      </w:r>
      <w:r w:rsidR="00990212" w:rsidRPr="005A6843">
        <w:t xml:space="preserve">por los Ministerios </w:t>
      </w:r>
      <w:r w:rsidRPr="005A6843">
        <w:t>d</w:t>
      </w:r>
      <w:r w:rsidR="00990212" w:rsidRPr="005A6843">
        <w:t xml:space="preserve">el contenido de los bloques </w:t>
      </w:r>
      <w:r w:rsidR="00990212" w:rsidRPr="00D26B26">
        <w:rPr>
          <w:i/>
        </w:rPr>
        <w:t>“Normativa Destacada”</w:t>
      </w:r>
      <w:r w:rsidR="00990212" w:rsidRPr="005A6843">
        <w:t xml:space="preserve"> y </w:t>
      </w:r>
      <w:r w:rsidR="00990212" w:rsidRPr="00D26B26">
        <w:rPr>
          <w:i/>
        </w:rPr>
        <w:t xml:space="preserve">“Normativa en Vigor” </w:t>
      </w:r>
      <w:r w:rsidR="00990212" w:rsidRPr="005A6843">
        <w:t xml:space="preserve">de la categoría  de información normativa del Portal </w:t>
      </w:r>
      <w:r w:rsidRPr="005A6843">
        <w:t xml:space="preserve">para separar </w:t>
      </w:r>
      <w:r w:rsidR="00990212" w:rsidRPr="005A6843">
        <w:t>las normas reguladoras de la naturaleza jurídica, la organización y el funcionamiento de los distintos Ministerios y sus organismos públicos de las restantes.</w:t>
      </w:r>
    </w:p>
    <w:p w:rsidR="00D26B26" w:rsidRPr="005A6843" w:rsidRDefault="00D26B26" w:rsidP="00D26B26">
      <w:pPr>
        <w:pStyle w:val="Prrafodelista"/>
        <w:spacing w:line="276" w:lineRule="auto"/>
        <w:jc w:val="both"/>
      </w:pPr>
    </w:p>
    <w:p w:rsidR="00990212" w:rsidRDefault="00316760" w:rsidP="005750D1">
      <w:pPr>
        <w:pStyle w:val="Prrafodelista"/>
        <w:numPr>
          <w:ilvl w:val="0"/>
          <w:numId w:val="25"/>
        </w:numPr>
        <w:spacing w:line="276" w:lineRule="auto"/>
        <w:jc w:val="both"/>
      </w:pPr>
      <w:r w:rsidRPr="005A6843">
        <w:t xml:space="preserve">Creación de </w:t>
      </w:r>
      <w:r w:rsidR="00990212" w:rsidRPr="005A6843">
        <w:t xml:space="preserve">un nuevo apartado de </w:t>
      </w:r>
      <w:r w:rsidR="00990212" w:rsidRPr="00D26B26">
        <w:rPr>
          <w:i/>
        </w:rPr>
        <w:t>“Normativa Reguladora”</w:t>
      </w:r>
      <w:r w:rsidR="00990212" w:rsidRPr="005A6843">
        <w:t xml:space="preserve"> o </w:t>
      </w:r>
      <w:r w:rsidR="00990212" w:rsidRPr="00D26B26">
        <w:rPr>
          <w:i/>
        </w:rPr>
        <w:t>“Normativa Aplicable”</w:t>
      </w:r>
      <w:r w:rsidR="00990212" w:rsidRPr="005A6843">
        <w:t xml:space="preserve"> en el menú de información institucional del Portal</w:t>
      </w:r>
      <w:r w:rsidRPr="005A6843">
        <w:t xml:space="preserve">, incorporando al mismo </w:t>
      </w:r>
      <w:r w:rsidR="00990212" w:rsidRPr="005A6843">
        <w:t>las normas reguladoras de la naturaleza, la organización y el funcionamiento de los Ministerios que figuran actualmente en los elementos citados en el apartado anterior.</w:t>
      </w:r>
    </w:p>
    <w:p w:rsidR="00D26B26" w:rsidRDefault="00D26B26" w:rsidP="00D26B26">
      <w:pPr>
        <w:pStyle w:val="Prrafodelista"/>
      </w:pPr>
    </w:p>
    <w:p w:rsidR="00990212" w:rsidRDefault="00316760" w:rsidP="005A7AEE">
      <w:pPr>
        <w:pStyle w:val="Prrafodelista"/>
        <w:numPr>
          <w:ilvl w:val="0"/>
          <w:numId w:val="25"/>
        </w:numPr>
        <w:spacing w:before="100" w:beforeAutospacing="1" w:after="100" w:afterAutospacing="1" w:line="276" w:lineRule="auto"/>
        <w:jc w:val="both"/>
      </w:pPr>
      <w:r w:rsidRPr="005A6843">
        <w:t xml:space="preserve">Creación de </w:t>
      </w:r>
      <w:r w:rsidR="00990212" w:rsidRPr="005A6843">
        <w:t xml:space="preserve">una </w:t>
      </w:r>
      <w:r w:rsidR="005F3559" w:rsidRPr="005A6843">
        <w:t xml:space="preserve">nueva categoría en el menú de categorías del Portal, etiquetada </w:t>
      </w:r>
      <w:r w:rsidR="005F3559" w:rsidRPr="00D26B26">
        <w:rPr>
          <w:i/>
        </w:rPr>
        <w:t xml:space="preserve">“Transparencia Voluntaria del art. 5 de la </w:t>
      </w:r>
      <w:r w:rsidR="00052FF3">
        <w:rPr>
          <w:i/>
        </w:rPr>
        <w:t>l</w:t>
      </w:r>
      <w:r w:rsidR="001C41A6">
        <w:rPr>
          <w:i/>
        </w:rPr>
        <w:t>ey</w:t>
      </w:r>
      <w:r w:rsidR="00E768A4">
        <w:rPr>
          <w:i/>
        </w:rPr>
        <w:t xml:space="preserve"> de transparencia</w:t>
      </w:r>
      <w:r w:rsidR="005F3559" w:rsidRPr="00D26B26">
        <w:rPr>
          <w:i/>
        </w:rPr>
        <w:t>”</w:t>
      </w:r>
      <w:r w:rsidR="005F3559" w:rsidRPr="005A6843">
        <w:t xml:space="preserve"> o con una fórmula similar </w:t>
      </w:r>
      <w:r w:rsidR="00016EA0" w:rsidRPr="005A6843">
        <w:t xml:space="preserve">e </w:t>
      </w:r>
      <w:r w:rsidR="005F3559" w:rsidRPr="005A6843">
        <w:t>integra</w:t>
      </w:r>
      <w:r w:rsidR="00016EA0" w:rsidRPr="005A6843">
        <w:t xml:space="preserve">ción </w:t>
      </w:r>
      <w:r w:rsidR="005F3559" w:rsidRPr="005A6843">
        <w:t xml:space="preserve">en ella </w:t>
      </w:r>
      <w:r w:rsidR="00016EA0" w:rsidRPr="005A6843">
        <w:t xml:space="preserve">de </w:t>
      </w:r>
      <w:r w:rsidR="005F3559" w:rsidRPr="005A6843">
        <w:t xml:space="preserve">la información de </w:t>
      </w:r>
      <w:r w:rsidR="00016EA0" w:rsidRPr="005A6843">
        <w:t xml:space="preserve">los </w:t>
      </w:r>
      <w:r w:rsidR="005F3559" w:rsidRPr="005A6843">
        <w:t xml:space="preserve">bloques </w:t>
      </w:r>
      <w:r w:rsidR="005F3559" w:rsidRPr="00D26B26">
        <w:rPr>
          <w:i/>
        </w:rPr>
        <w:t>“Normativa Destacada”</w:t>
      </w:r>
      <w:r w:rsidR="005F3559" w:rsidRPr="005A6843">
        <w:t xml:space="preserve"> y </w:t>
      </w:r>
      <w:r w:rsidR="005F3559" w:rsidRPr="00D26B26">
        <w:rPr>
          <w:i/>
        </w:rPr>
        <w:t>“Normativa en Vigor”</w:t>
      </w:r>
      <w:r w:rsidR="005F3559" w:rsidRPr="005A6843">
        <w:t xml:space="preserve"> que no se halle referida a la organización, funcionamiento o naturaleza jurídica de los Ministerios y sus organismos dependientes o vinculados.</w:t>
      </w:r>
    </w:p>
    <w:p w:rsidR="003316F3" w:rsidRPr="00D26B26" w:rsidRDefault="003316F3" w:rsidP="005A7AEE">
      <w:pPr>
        <w:spacing w:before="100" w:beforeAutospacing="1" w:after="100" w:afterAutospacing="1"/>
        <w:jc w:val="both"/>
        <w:rPr>
          <w:b/>
          <w:u w:val="single"/>
        </w:rPr>
      </w:pPr>
      <w:r w:rsidRPr="00D26B26">
        <w:rPr>
          <w:b/>
          <w:u w:val="single"/>
        </w:rPr>
        <w:t>Estructura</w:t>
      </w:r>
    </w:p>
    <w:p w:rsidR="005F3559" w:rsidRPr="005A6843" w:rsidRDefault="005F3559" w:rsidP="00AA712B">
      <w:pPr>
        <w:jc w:val="both"/>
      </w:pPr>
      <w:r w:rsidRPr="005A6843">
        <w:t xml:space="preserve">“Clicando” el acceso </w:t>
      </w:r>
      <w:r w:rsidRPr="00E257AC">
        <w:rPr>
          <w:i/>
        </w:rPr>
        <w:t>“Estructura”</w:t>
      </w:r>
      <w:r w:rsidRPr="005A6843">
        <w:t xml:space="preserve"> del menú de información institucional del Portal, se accede nuevamente al menú de opciones de Ministerios del Portal -esta vez con Presidencia del Gobierno- El menú está precedido de una entrada explicativa del siguiente tenor literal: </w:t>
      </w:r>
      <w:r w:rsidRPr="00E257AC">
        <w:rPr>
          <w:i/>
        </w:rPr>
        <w:t>“Recoge los órganos que integran cada ministerio, a través de organigramas con representación gráfica de la estructura”</w:t>
      </w:r>
      <w:r w:rsidRPr="005A6843">
        <w:t xml:space="preserve">. La entrada contiene además dos vínculos a la información del BOE de los Reales Decretos 415/2016, de 3 de noviembre, de reestructuración de los Departamentos Ministeriales y 424/2016, de 11 de noviembre, por el que se establece la estructura orgánica básica de </w:t>
      </w:r>
      <w:r w:rsidR="00434B60" w:rsidRPr="005A6843">
        <w:t xml:space="preserve">estos, </w:t>
      </w:r>
      <w:r w:rsidRPr="005A6843">
        <w:t>y una opción para acceder a información complementaria.</w:t>
      </w:r>
    </w:p>
    <w:p w:rsidR="005F3559" w:rsidRPr="005A6843" w:rsidRDefault="005F3559" w:rsidP="00AA712B">
      <w:pPr>
        <w:jc w:val="both"/>
      </w:pPr>
      <w:r w:rsidRPr="005A6843">
        <w:t>Esta información complementaria consta</w:t>
      </w:r>
      <w:r w:rsidR="00434B60" w:rsidRPr="005A6843">
        <w:t xml:space="preserve">, primeramente, </w:t>
      </w:r>
      <w:r w:rsidRPr="005A6843">
        <w:t xml:space="preserve">de una ficha técnica de los datos, que informa de la fuente de éstos -los Ministerios- y de que la información se actualiza cuando se modifican las estructuras; </w:t>
      </w:r>
      <w:r w:rsidR="00434B60" w:rsidRPr="005A6843">
        <w:t xml:space="preserve">en segundo lugar, </w:t>
      </w:r>
      <w:r w:rsidRPr="005A6843">
        <w:t>de un aviso de que la información se refiere a los organigramas de los Departamentos ministeriales y de sus organismos públicos -que se relacionan en una lista con los correspondientes vínculos-</w:t>
      </w:r>
      <w:r w:rsidR="00434B60" w:rsidRPr="005A6843">
        <w:t>,</w:t>
      </w:r>
      <w:r w:rsidRPr="005A6843">
        <w:t xml:space="preserve"> y</w:t>
      </w:r>
      <w:r w:rsidR="00434B60" w:rsidRPr="005A6843">
        <w:t xml:space="preserve">, en último lugar, a las </w:t>
      </w:r>
      <w:r w:rsidRPr="005A6843">
        <w:t xml:space="preserve">dos opciones: </w:t>
      </w:r>
      <w:r w:rsidRPr="00E257AC">
        <w:rPr>
          <w:i/>
        </w:rPr>
        <w:t>"Mostrar toda la información"</w:t>
      </w:r>
      <w:r w:rsidRPr="005A6843">
        <w:t xml:space="preserve"> (botón azul)</w:t>
      </w:r>
      <w:r w:rsidR="00434B60" w:rsidRPr="005A6843">
        <w:t xml:space="preserve"> </w:t>
      </w:r>
      <w:r w:rsidRPr="005A6843">
        <w:t xml:space="preserve">y </w:t>
      </w:r>
      <w:r w:rsidRPr="00E257AC">
        <w:rPr>
          <w:i/>
        </w:rPr>
        <w:t>"Ver histórico"</w:t>
      </w:r>
      <w:r w:rsidRPr="005A6843">
        <w:t xml:space="preserve"> (botón gris.</w:t>
      </w:r>
    </w:p>
    <w:p w:rsidR="00C83023" w:rsidRPr="005A6843" w:rsidRDefault="00434B60" w:rsidP="00AA712B">
      <w:pPr>
        <w:jc w:val="both"/>
      </w:pPr>
      <w:r w:rsidRPr="005A6843">
        <w:t xml:space="preserve">“Clicando” los accesos a los Ministerios, se accede a un nuevo menú introductorio que advierte al visitante que se ha accedido </w:t>
      </w:r>
      <w:r w:rsidR="00C83023" w:rsidRPr="005A6843">
        <w:t xml:space="preserve">al </w:t>
      </w:r>
      <w:r w:rsidR="00C83023" w:rsidRPr="00E257AC">
        <w:rPr>
          <w:i/>
        </w:rPr>
        <w:t>“</w:t>
      </w:r>
      <w:r w:rsidRPr="00E257AC">
        <w:rPr>
          <w:i/>
        </w:rPr>
        <w:t>Organigrama del Ministerio y sus organismos públicos, vinculados o dependientes</w:t>
      </w:r>
      <w:r w:rsidR="00C83023" w:rsidRPr="00E257AC">
        <w:rPr>
          <w:i/>
        </w:rPr>
        <w:t>”</w:t>
      </w:r>
      <w:r w:rsidR="00C83023" w:rsidRPr="005A6843">
        <w:t xml:space="preserve"> y contiene</w:t>
      </w:r>
      <w:r w:rsidR="00517E32" w:rsidRPr="005A6843">
        <w:t xml:space="preserve">, en el caso de los Ministerios con </w:t>
      </w:r>
      <w:r w:rsidR="00A95E21" w:rsidRPr="005A6843">
        <w:t xml:space="preserve">Real Decreto de estructura </w:t>
      </w:r>
      <w:r w:rsidR="00517E32" w:rsidRPr="005A6843">
        <w:t xml:space="preserve">posterior a los Reales Decretos 415 y 424/2016 </w:t>
      </w:r>
      <w:r w:rsidR="00A95E21" w:rsidRPr="005A6843">
        <w:t>del Ministerio</w:t>
      </w:r>
      <w:r w:rsidR="00517E32" w:rsidRPr="005A6843">
        <w:t xml:space="preserve">, un enlace al mismo </w:t>
      </w:r>
      <w:r w:rsidR="00A95E21" w:rsidRPr="005A6843">
        <w:t xml:space="preserve">-en el caso de los Ministerios </w:t>
      </w:r>
      <w:r w:rsidR="00517E32" w:rsidRPr="005A6843">
        <w:t xml:space="preserve">con estructura anterior el enlace dirige a los otros dos decretos, </w:t>
      </w:r>
      <w:r w:rsidR="00C83023" w:rsidRPr="005A6843">
        <w:t xml:space="preserve">un primer acceso directo al organigrama del Departamento y un segundo grupo de accesos a los organigramas de los organismos vinculados o dependientes del mismo, que enumera expresamente. </w:t>
      </w:r>
    </w:p>
    <w:p w:rsidR="00C83023" w:rsidRPr="005A6843" w:rsidRDefault="00C83023" w:rsidP="00AA712B">
      <w:pPr>
        <w:jc w:val="both"/>
      </w:pPr>
      <w:r w:rsidRPr="005A6843">
        <w:t xml:space="preserve">El primer acceso conduce directamente al organigrama del Departamento. Si se accede a un Ministerio con Real Decreto de estructura orgánica, el organigrama incluye todos los puestos con rango igual o superior al de Subdirección General o asimilado (Divisiones orgánicas) y una relación nominal de los órganos colegiados y consultivos del Departamento. Si se accede a un Ministerio sin Real Decreto de estructura orgánica, el organigrama únicamente incluye los puestos de rango igual o superior al de Dirección General </w:t>
      </w:r>
      <w:r w:rsidR="00BF23AD" w:rsidRPr="005A6843">
        <w:t>o asimilado</w:t>
      </w:r>
      <w:r w:rsidRPr="005A6843">
        <w:t xml:space="preserve">, con una advertencia expresa de que el organigrama ministerial es el vigente antes del Real Decreto 415/2016 y de que </w:t>
      </w:r>
      <w:r w:rsidRPr="00E257AC">
        <w:rPr>
          <w:i/>
        </w:rPr>
        <w:t>“en el momento que se publique el nuevo real decreto de estructura se procederá a su actualización”</w:t>
      </w:r>
      <w:r w:rsidRPr="005A6843">
        <w:t xml:space="preserve">. </w:t>
      </w:r>
      <w:r w:rsidR="00BF23AD" w:rsidRPr="005A6843">
        <w:t xml:space="preserve">En este caso, no </w:t>
      </w:r>
      <w:r w:rsidRPr="005A6843">
        <w:t>aparece la relación de órganos colegiados y consultivos.</w:t>
      </w:r>
    </w:p>
    <w:p w:rsidR="00BF23AD" w:rsidRPr="005A6843" w:rsidRDefault="00BF23AD" w:rsidP="00AA712B">
      <w:pPr>
        <w:jc w:val="both"/>
      </w:pPr>
      <w:r w:rsidRPr="005A6843">
        <w:t>El segundo acceso conduce, también directamente, a los organigramas de cada uno de los organismos dependientes y vinculados, con un m</w:t>
      </w:r>
      <w:r w:rsidR="00F962D6" w:rsidRPr="005A6843">
        <w:t>o</w:t>
      </w:r>
      <w:r w:rsidRPr="005A6843">
        <w:t>delo homogéneo pero con un grado desigual de detalle –algunos organigramas se limitan a los Altos Cargos o puestos directivos-.</w:t>
      </w:r>
    </w:p>
    <w:p w:rsidR="00BF23AD" w:rsidRPr="005A6843" w:rsidRDefault="00434B60" w:rsidP="00AA712B">
      <w:pPr>
        <w:jc w:val="both"/>
      </w:pPr>
      <w:r w:rsidRPr="005A6843">
        <w:t xml:space="preserve">Analizando este contenido desde la perspectiva de la </w:t>
      </w:r>
      <w:r w:rsidR="00052FF3">
        <w:t>l</w:t>
      </w:r>
      <w:r w:rsidR="001C41A6">
        <w:t>ey</w:t>
      </w:r>
      <w:r w:rsidR="00E768A4">
        <w:t xml:space="preserve"> de transparencia</w:t>
      </w:r>
      <w:r w:rsidRPr="005A6843">
        <w:t>, se observa</w:t>
      </w:r>
      <w:r w:rsidR="00BF23AD" w:rsidRPr="005A6843">
        <w:t xml:space="preserve">, a criterio de este CTBG, un </w:t>
      </w:r>
      <w:r w:rsidR="00FA7387" w:rsidRPr="005A6843">
        <w:t xml:space="preserve">cierto </w:t>
      </w:r>
      <w:r w:rsidR="00BF23AD" w:rsidRPr="005A6843">
        <w:t>margen de mejora, especialmente desde el punto de vista de</w:t>
      </w:r>
      <w:r w:rsidR="00FA7387" w:rsidRPr="005A6843">
        <w:t xml:space="preserve">l contenido, de </w:t>
      </w:r>
      <w:r w:rsidR="00BF23AD" w:rsidRPr="005A6843">
        <w:t xml:space="preserve">la estructuración y </w:t>
      </w:r>
      <w:r w:rsidR="00FA7387" w:rsidRPr="005A6843">
        <w:t xml:space="preserve">de </w:t>
      </w:r>
      <w:r w:rsidR="00BF23AD" w:rsidRPr="005A6843">
        <w:t>la claridad de la información.</w:t>
      </w:r>
    </w:p>
    <w:p w:rsidR="00D233CF" w:rsidRDefault="00FA7387" w:rsidP="005750D1">
      <w:pPr>
        <w:pStyle w:val="Prrafodelista"/>
        <w:numPr>
          <w:ilvl w:val="0"/>
          <w:numId w:val="26"/>
        </w:numPr>
        <w:spacing w:line="276" w:lineRule="auto"/>
        <w:jc w:val="both"/>
      </w:pPr>
      <w:r w:rsidRPr="005A6843">
        <w:t xml:space="preserve">Primeramente, desde el punto de vista del contenido, hay que tener en cuenta que </w:t>
      </w:r>
      <w:r w:rsidR="00600AB0" w:rsidRPr="005A6843">
        <w:t xml:space="preserve">si bien, en una aproximación exclusivamente literal, puede entenderse que el </w:t>
      </w:r>
      <w:r w:rsidRPr="005A6843">
        <w:t xml:space="preserve">art. 6 de la </w:t>
      </w:r>
      <w:r w:rsidR="00052FF3">
        <w:t>l</w:t>
      </w:r>
      <w:r w:rsidR="001C41A6">
        <w:t>ey</w:t>
      </w:r>
      <w:r w:rsidR="00600AB0" w:rsidRPr="005A6843">
        <w:t>,</w:t>
      </w:r>
      <w:r w:rsidRPr="005A6843">
        <w:t xml:space="preserve"> </w:t>
      </w:r>
      <w:r w:rsidR="00600AB0" w:rsidRPr="005A6843">
        <w:t xml:space="preserve">al </w:t>
      </w:r>
      <w:r w:rsidRPr="005A6843">
        <w:t>exig</w:t>
      </w:r>
      <w:r w:rsidR="00600AB0" w:rsidRPr="005A6843">
        <w:t xml:space="preserve">ir </w:t>
      </w:r>
      <w:r w:rsidRPr="005A6843">
        <w:t xml:space="preserve">la publicación de la </w:t>
      </w:r>
      <w:r w:rsidRPr="00E257AC">
        <w:rPr>
          <w:i/>
        </w:rPr>
        <w:t>“estructura organizativa”</w:t>
      </w:r>
      <w:r w:rsidRPr="005A6843">
        <w:t xml:space="preserve"> del organismo </w:t>
      </w:r>
      <w:r w:rsidR="00600AB0" w:rsidRPr="005A6843">
        <w:t xml:space="preserve">o entidad de que se trate y señalar que, </w:t>
      </w:r>
      <w:r w:rsidR="00600AB0" w:rsidRPr="00E257AC">
        <w:rPr>
          <w:i/>
        </w:rPr>
        <w:t>“a estos efectos”</w:t>
      </w:r>
      <w:r w:rsidR="00600AB0" w:rsidRPr="005A6843">
        <w:t xml:space="preserve">, los sujetos obligados </w:t>
      </w:r>
      <w:r w:rsidR="00600AB0" w:rsidRPr="00E257AC">
        <w:rPr>
          <w:i/>
        </w:rPr>
        <w:t>“deberán incluir un organigrama actualizado”</w:t>
      </w:r>
      <w:r w:rsidR="00600AB0" w:rsidRPr="005A6843">
        <w:t xml:space="preserve">, estaría limitando la información a publicar a ese mismo organigrama, en una aproximación más amplia y favorable al principio de transparencia debe entenderse que </w:t>
      </w:r>
      <w:r w:rsidR="0096048A" w:rsidRPr="005A6843">
        <w:t>l</w:t>
      </w:r>
      <w:r w:rsidR="00600AB0" w:rsidRPr="005A6843">
        <w:t xml:space="preserve">a norma está exigiendo que se publique algo más que </w:t>
      </w:r>
      <w:r w:rsidR="00D233CF" w:rsidRPr="005A6843">
        <w:t>ese simple documento. El concepto de estructura orgánica es diferente al de organigrama, que no es más que una representación gráfica, esqu</w:t>
      </w:r>
      <w:r w:rsidR="00E257AC">
        <w:t>emática, de la misma.</w:t>
      </w:r>
    </w:p>
    <w:p w:rsidR="00E257AC" w:rsidRPr="005A6843" w:rsidRDefault="00E257AC" w:rsidP="00E257AC">
      <w:pPr>
        <w:pStyle w:val="Prrafodelista"/>
        <w:spacing w:line="276" w:lineRule="auto"/>
        <w:jc w:val="both"/>
      </w:pPr>
    </w:p>
    <w:p w:rsidR="009550D4" w:rsidRPr="005A6843" w:rsidRDefault="00D233CF" w:rsidP="00E257AC">
      <w:pPr>
        <w:ind w:left="708"/>
        <w:jc w:val="both"/>
      </w:pPr>
      <w:r w:rsidRPr="005A6843">
        <w:t>A juicio de este CTBG, para proporcionar al visitante del Portal un conocimiento suficiente de la estructura de</w:t>
      </w:r>
      <w:r w:rsidR="00517E32" w:rsidRPr="005A6843">
        <w:t>l</w:t>
      </w:r>
      <w:r w:rsidRPr="005A6843">
        <w:t xml:space="preserve"> organismo o institución que le interesa, sería necesario informar sobre la organización del mismo, sus principales Centros y órganos y las competencias y tareas de cada uno de ellos, ilustrando la explicación con un elemento gráfico, el organigrama, como complemento. De hecho, dentro del menú de información institucional del Portal, la sub-categoría </w:t>
      </w:r>
      <w:r w:rsidRPr="00E257AC">
        <w:rPr>
          <w:i/>
        </w:rPr>
        <w:t>“</w:t>
      </w:r>
      <w:r w:rsidR="009550D4" w:rsidRPr="00E257AC">
        <w:rPr>
          <w:i/>
        </w:rPr>
        <w:t>E</w:t>
      </w:r>
      <w:r w:rsidRPr="00E257AC">
        <w:rPr>
          <w:i/>
        </w:rPr>
        <w:t>structura”</w:t>
      </w:r>
      <w:r w:rsidRPr="005A6843">
        <w:t xml:space="preserve"> </w:t>
      </w:r>
      <w:r w:rsidR="00517E32" w:rsidRPr="005A6843">
        <w:t xml:space="preserve">es </w:t>
      </w:r>
      <w:r w:rsidR="00FA7387" w:rsidRPr="005A6843">
        <w:t xml:space="preserve">el lugar </w:t>
      </w:r>
      <w:r w:rsidRPr="005A6843">
        <w:t xml:space="preserve">adecuado, mejor que la de </w:t>
      </w:r>
      <w:r w:rsidRPr="00E257AC">
        <w:rPr>
          <w:i/>
        </w:rPr>
        <w:t>“Funciones”</w:t>
      </w:r>
      <w:r w:rsidRPr="005A6843">
        <w:t xml:space="preserve">, </w:t>
      </w:r>
      <w:r w:rsidR="00FA7387" w:rsidRPr="005A6843">
        <w:t>para incluir los reenvíos a la información del BOE sobre los Decretos de estructura</w:t>
      </w:r>
      <w:r w:rsidR="009550D4" w:rsidRPr="005A6843">
        <w:t xml:space="preserve"> de los M</w:t>
      </w:r>
      <w:r w:rsidR="00A95E21" w:rsidRPr="005A6843">
        <w:t>i</w:t>
      </w:r>
      <w:r w:rsidR="009550D4" w:rsidRPr="005A6843">
        <w:t>nisterios.</w:t>
      </w:r>
      <w:r w:rsidR="00517E32" w:rsidRPr="005A6843">
        <w:t xml:space="preserve"> En este sentido, sería conveniente trasladar a este apartado la información reflejada en la primera pantalla del elemento </w:t>
      </w:r>
      <w:r w:rsidR="00517E32" w:rsidRPr="00E257AC">
        <w:rPr>
          <w:i/>
        </w:rPr>
        <w:t>“Funciones”</w:t>
      </w:r>
      <w:r w:rsidR="0045179C">
        <w:t>.</w:t>
      </w:r>
    </w:p>
    <w:p w:rsidR="00C0126D" w:rsidRDefault="009550D4" w:rsidP="005750D1">
      <w:pPr>
        <w:pStyle w:val="Prrafodelista"/>
        <w:numPr>
          <w:ilvl w:val="0"/>
          <w:numId w:val="26"/>
        </w:numPr>
        <w:spacing w:line="276" w:lineRule="auto"/>
        <w:jc w:val="both"/>
      </w:pPr>
      <w:r w:rsidRPr="005A6843">
        <w:t>En segundo lugar, hay que reiterar también aquí lo dicho en relación con la AGE  Además de que es posible que un determinado ciudadano acuda al Portal para buscar información sobre la estructura de la AGE y no de</w:t>
      </w:r>
      <w:r w:rsidR="00C0126D" w:rsidRPr="005A6843">
        <w:t xml:space="preserve"> </w:t>
      </w:r>
      <w:r w:rsidRPr="005A6843">
        <w:t>uno u otro Ministerio -de hecho, los responsables del Portal han tenido presente esta eventualidad cuando han incluido en el menú inicial del contenido estructura un vínculo a las entradas del BOE de los Reales Decretos 415 y 424/2016-</w:t>
      </w:r>
      <w:r w:rsidR="00C0126D" w:rsidRPr="005A6843">
        <w:t>, parece claro que, para ser eficaz, cualquier explicación sobre la estructura ministerial debe contemplar también su encuadramiento en una estructura superior</w:t>
      </w:r>
      <w:r w:rsidR="00A95E21" w:rsidRPr="005A6843">
        <w:t xml:space="preserve"> </w:t>
      </w:r>
      <w:r w:rsidRPr="005A6843">
        <w:t xml:space="preserve">y </w:t>
      </w:r>
      <w:r w:rsidR="00C0126D" w:rsidRPr="005A6843">
        <w:t>suministrar los principales detalles de la</w:t>
      </w:r>
      <w:r w:rsidR="00A95E21" w:rsidRPr="005A6843">
        <w:t xml:space="preserve"> </w:t>
      </w:r>
      <w:r w:rsidR="00C0126D" w:rsidRPr="005A6843">
        <w:t>estructura de que forma parte.</w:t>
      </w:r>
    </w:p>
    <w:p w:rsidR="00E257AC" w:rsidRPr="005A6843" w:rsidRDefault="00E257AC" w:rsidP="00E257AC">
      <w:pPr>
        <w:pStyle w:val="Prrafodelista"/>
        <w:spacing w:line="276" w:lineRule="auto"/>
        <w:jc w:val="both"/>
      </w:pPr>
    </w:p>
    <w:p w:rsidR="00C0126D" w:rsidRPr="005A6843" w:rsidRDefault="00C0126D" w:rsidP="00AA712B">
      <w:pPr>
        <w:jc w:val="both"/>
      </w:pPr>
      <w:r w:rsidRPr="005A6843">
        <w:t xml:space="preserve">A juicio de este CTBG, pues, la información sobre </w:t>
      </w:r>
      <w:r w:rsidRPr="00E257AC">
        <w:rPr>
          <w:i/>
        </w:rPr>
        <w:t>“Estructura”</w:t>
      </w:r>
      <w:r w:rsidRPr="005A6843">
        <w:t xml:space="preserve"> del Portal debe incorporar, además de organigramas, una explicación somera de la estructura de la AGE y de la de sus Ministerios, sus órganos consultivos y colegiados y sus organismos adscritos –al menos, de sus organismos vinculados y dependientes-</w:t>
      </w:r>
      <w:r w:rsidR="00517E32" w:rsidRPr="005A6843">
        <w:t xml:space="preserve">, que incorporara, además, los datos de sus reorganizaciones y reestructuraciones. </w:t>
      </w:r>
      <w:r w:rsidRPr="005A6843">
        <w:t>La inclusión en el menú de entradas explicativas y textos introductorios proporciona el recurso donde encuadrar estas explicaciones y permite completar este propósito con cierta facilidad.</w:t>
      </w:r>
    </w:p>
    <w:p w:rsidR="00D76B61" w:rsidRPr="00E257AC" w:rsidRDefault="00D76B61" w:rsidP="00AA712B">
      <w:pPr>
        <w:jc w:val="both"/>
        <w:rPr>
          <w:b/>
          <w:u w:val="single"/>
        </w:rPr>
      </w:pPr>
      <w:r w:rsidRPr="00E257AC">
        <w:rPr>
          <w:b/>
          <w:u w:val="single"/>
        </w:rPr>
        <w:t>Organigrama</w:t>
      </w:r>
      <w:r w:rsidR="00925D76" w:rsidRPr="00E257AC">
        <w:rPr>
          <w:b/>
          <w:u w:val="single"/>
        </w:rPr>
        <w:t xml:space="preserve"> con identificación de los responsables</w:t>
      </w:r>
      <w:r w:rsidR="00E257AC">
        <w:rPr>
          <w:b/>
          <w:u w:val="single"/>
        </w:rPr>
        <w:t>.</w:t>
      </w:r>
    </w:p>
    <w:p w:rsidR="00C0126D" w:rsidRPr="005A6843" w:rsidRDefault="00C0126D" w:rsidP="00AA712B">
      <w:pPr>
        <w:jc w:val="both"/>
      </w:pPr>
      <w:r w:rsidRPr="005A6843">
        <w:t xml:space="preserve">Como se ha visto, en el apartado </w:t>
      </w:r>
      <w:r w:rsidRPr="004E6ABB">
        <w:rPr>
          <w:i/>
        </w:rPr>
        <w:t>“Estructura”</w:t>
      </w:r>
      <w:r w:rsidRPr="005A6843">
        <w:t xml:space="preserve"> del menú institucional del Portal, figuran los organigramas de los Ministerios y sus organismos vinculados e independientes.</w:t>
      </w:r>
      <w:r w:rsidR="00F2732B" w:rsidRPr="005A6843">
        <w:t xml:space="preserve"> Respecto de los mismos, y desde el punto de vista del cumplimiento de la </w:t>
      </w:r>
      <w:r w:rsidR="00052FF3">
        <w:t>l</w:t>
      </w:r>
      <w:r w:rsidR="001C41A6">
        <w:t>ey</w:t>
      </w:r>
      <w:r w:rsidR="00F2732B" w:rsidRPr="005A6843">
        <w:t>, este CTBG considera necesario hacer algunas precisiones y sugerencias de mejora:</w:t>
      </w:r>
    </w:p>
    <w:p w:rsidR="00C0126D" w:rsidRDefault="00C0126D" w:rsidP="005750D1">
      <w:pPr>
        <w:pStyle w:val="Prrafodelista"/>
        <w:numPr>
          <w:ilvl w:val="0"/>
          <w:numId w:val="26"/>
        </w:numPr>
        <w:spacing w:line="276" w:lineRule="auto"/>
        <w:ind w:left="714" w:hanging="357"/>
        <w:jc w:val="both"/>
      </w:pPr>
      <w:r w:rsidRPr="005A6843">
        <w:t xml:space="preserve">En primer lugar, en la medida en que se refiere expresamente a “organigramas”, la </w:t>
      </w:r>
      <w:r w:rsidR="00052FF3">
        <w:t>l</w:t>
      </w:r>
      <w:r w:rsidR="001C41A6">
        <w:t>ey</w:t>
      </w:r>
      <w:r w:rsidRPr="005A6843">
        <w:t xml:space="preserve"> está exigiendo implícitamente -así lo ha interpretado MESTA- que la información incluya a todos los órganos del Departamento, entre los que se cuentan las Subdirecciones Generales (por debajo de este nivel ya no se trata de órganos sino de unidades). Por el contrario, en el Portal, cuando se trata de Ministerios </w:t>
      </w:r>
      <w:r w:rsidR="00F2732B" w:rsidRPr="005A6843">
        <w:t>con estructura anterior al Real Decreto 415/2016</w:t>
      </w:r>
      <w:r w:rsidRPr="005A6843">
        <w:t>, el organigrama únicamente incorpora los puestos de Director General para arriba</w:t>
      </w:r>
      <w:r w:rsidR="00F2732B" w:rsidRPr="005A6843">
        <w:t xml:space="preserve"> y no incluye información sobre los órganos colegiados y consultivos del Departamento</w:t>
      </w:r>
      <w:r w:rsidRPr="005A6843">
        <w:t>. A crit</w:t>
      </w:r>
      <w:r w:rsidR="00F2732B" w:rsidRPr="005A6843">
        <w:t>erio de este CTBG, la falta de n</w:t>
      </w:r>
      <w:r w:rsidRPr="005A6843">
        <w:t xml:space="preserve">ueva estructura orgánica no justifica el desconocimiento de la </w:t>
      </w:r>
      <w:r w:rsidR="00052FF3">
        <w:t>l</w:t>
      </w:r>
      <w:r w:rsidR="001C41A6">
        <w:t>ey</w:t>
      </w:r>
      <w:r w:rsidRPr="005A6843">
        <w:t xml:space="preserve">: podría </w:t>
      </w:r>
      <w:r w:rsidR="00F2732B" w:rsidRPr="005A6843">
        <w:t xml:space="preserve">muy bien incluirse </w:t>
      </w:r>
      <w:r w:rsidRPr="005A6843">
        <w:t xml:space="preserve">haberse incluido el </w:t>
      </w:r>
      <w:r w:rsidR="00F2732B" w:rsidRPr="005A6843">
        <w:t>organigrama vigente</w:t>
      </w:r>
      <w:r w:rsidRPr="005A6843">
        <w:t xml:space="preserve"> con las advertencias necesarias acerca de la nueva estructura orgánica de la AGE.</w:t>
      </w:r>
    </w:p>
    <w:p w:rsidR="004E6ABB" w:rsidRPr="005A6843" w:rsidRDefault="004E6ABB" w:rsidP="004E6ABB">
      <w:pPr>
        <w:pStyle w:val="Prrafodelista"/>
        <w:spacing w:line="276" w:lineRule="auto"/>
        <w:ind w:left="714"/>
        <w:jc w:val="both"/>
      </w:pPr>
    </w:p>
    <w:p w:rsidR="00925D76" w:rsidRDefault="00F2732B" w:rsidP="005750D1">
      <w:pPr>
        <w:pStyle w:val="Prrafodelista"/>
        <w:numPr>
          <w:ilvl w:val="0"/>
          <w:numId w:val="26"/>
        </w:numPr>
        <w:spacing w:line="276" w:lineRule="auto"/>
        <w:ind w:left="714" w:hanging="357"/>
        <w:jc w:val="both"/>
      </w:pPr>
      <w:r w:rsidRPr="005A6843">
        <w:t xml:space="preserve">En segundo lugar y más importante: el art. 6 de la </w:t>
      </w:r>
      <w:r w:rsidR="00052FF3">
        <w:t>l</w:t>
      </w:r>
      <w:r w:rsidR="001C41A6">
        <w:t>ey</w:t>
      </w:r>
      <w:r w:rsidR="00E768A4">
        <w:t xml:space="preserve"> de transparencia</w:t>
      </w:r>
      <w:r w:rsidRPr="005A6843">
        <w:t xml:space="preserve"> exige expresamente que el organigrama incluya la identificación de los responsables de los diferentes órganos. De este modo, </w:t>
      </w:r>
      <w:r w:rsidR="00925D76" w:rsidRPr="005A6843">
        <w:t xml:space="preserve">vincula directamente </w:t>
      </w:r>
      <w:r w:rsidRPr="005A6843">
        <w:t xml:space="preserve">ambas materias </w:t>
      </w:r>
      <w:r w:rsidR="00925D76" w:rsidRPr="005A6843">
        <w:t>para posibilitar el conocimiento por parte del ciudadano no solo de la estructura del organismo sino de quién ocupa concretamente los puestos previstos en la misma. Se trata de una información íntimamente ligada a la rendición de cuentas en el sentido de que, conociendo la identidad de las personas, se pueden valorar las razones por las que han accedido a un cargo público y qué lugar ocupan en la jerarquía administrativa. Al no aparecer esta información junto con el organigrama, se limitan en buena medida las posibilidades de la ciudadanía de efectuar esta valoración. Debería corregirse esta circunstancia, completando el organigrama con la identificación de los titulares de los diferentes puestos. Incluso, estableciendo vínculos electrónicos entre el organigrama y los currículos de los titulares, lo que constituye una buena práctica recomendada por este CTBG.</w:t>
      </w:r>
    </w:p>
    <w:p w:rsidR="004E6ABB" w:rsidRPr="005A6843" w:rsidRDefault="004E6ABB" w:rsidP="004E6ABB">
      <w:pPr>
        <w:pStyle w:val="Prrafodelista"/>
        <w:spacing w:line="276" w:lineRule="auto"/>
        <w:ind w:left="714"/>
        <w:jc w:val="both"/>
      </w:pPr>
    </w:p>
    <w:p w:rsidR="00925D76" w:rsidRDefault="00F2732B" w:rsidP="005750D1">
      <w:pPr>
        <w:pStyle w:val="Prrafodelista"/>
        <w:numPr>
          <w:ilvl w:val="0"/>
          <w:numId w:val="26"/>
        </w:numPr>
        <w:spacing w:line="276" w:lineRule="auto"/>
        <w:ind w:left="714" w:hanging="357"/>
        <w:jc w:val="both"/>
      </w:pPr>
      <w:r w:rsidRPr="005A6843">
        <w:t xml:space="preserve">Finalmente, </w:t>
      </w:r>
      <w:r w:rsidR="00925D76" w:rsidRPr="005A6843">
        <w:t xml:space="preserve">el contenido de la sub-categoría presenta </w:t>
      </w:r>
      <w:r w:rsidRPr="005A6843">
        <w:t xml:space="preserve">aún </w:t>
      </w:r>
      <w:r w:rsidR="00925D76" w:rsidRPr="005A6843">
        <w:t xml:space="preserve">otro aspecto necesitado de </w:t>
      </w:r>
      <w:r w:rsidRPr="005A6843">
        <w:t xml:space="preserve">mejora. </w:t>
      </w:r>
      <w:r w:rsidR="00925D76" w:rsidRPr="005A6843">
        <w:t xml:space="preserve">Los organigramas de los órganos vinculados y dependientes, </w:t>
      </w:r>
      <w:r w:rsidRPr="005A6843">
        <w:t xml:space="preserve">como se ha advertido ya, aparecen </w:t>
      </w:r>
      <w:r w:rsidR="00925D76" w:rsidRPr="005A6843">
        <w:t xml:space="preserve">incompletos </w:t>
      </w:r>
      <w:r w:rsidRPr="005A6843">
        <w:t xml:space="preserve">en algunos Ministerios </w:t>
      </w:r>
      <w:r w:rsidR="00925D76" w:rsidRPr="005A6843">
        <w:t xml:space="preserve">-véase, p. ej., en </w:t>
      </w:r>
      <w:r w:rsidRPr="005A6843">
        <w:t>el Ministerio de Justicia (</w:t>
      </w:r>
      <w:r w:rsidR="00925D76" w:rsidRPr="005A6843">
        <w:t>MJUS</w:t>
      </w:r>
      <w:r w:rsidRPr="005A6843">
        <w:t>)</w:t>
      </w:r>
      <w:r w:rsidR="00925D76" w:rsidRPr="005A6843">
        <w:t>, el organigrama de la Mutualidad General Judicial (MUGEJU) o el del Centro de Estudios Jurídicos (CEJ)-. Con carácter general, en todos los Departamentos, debería revisarse la integridad de los datos.</w:t>
      </w:r>
    </w:p>
    <w:p w:rsidR="004E6ABB" w:rsidRDefault="004E6ABB" w:rsidP="004E6ABB">
      <w:pPr>
        <w:pStyle w:val="Prrafodelista"/>
      </w:pPr>
    </w:p>
    <w:p w:rsidR="00D76B61" w:rsidRPr="004E6ABB" w:rsidRDefault="00925D76" w:rsidP="00AA712B">
      <w:pPr>
        <w:jc w:val="both"/>
        <w:rPr>
          <w:b/>
          <w:u w:val="single"/>
        </w:rPr>
      </w:pPr>
      <w:r w:rsidRPr="004E6ABB">
        <w:rPr>
          <w:b/>
          <w:u w:val="single"/>
        </w:rPr>
        <w:t>Perfil y trayectoria profesional</w:t>
      </w:r>
      <w:r w:rsidR="004E6ABB">
        <w:rPr>
          <w:b/>
          <w:u w:val="single"/>
        </w:rPr>
        <w:t>.</w:t>
      </w:r>
    </w:p>
    <w:p w:rsidR="000E646A" w:rsidRPr="005A6843" w:rsidRDefault="0016378B" w:rsidP="00AA712B">
      <w:pPr>
        <w:jc w:val="both"/>
      </w:pPr>
      <w:r w:rsidRPr="005A6843">
        <w:t xml:space="preserve">El Portal incluye </w:t>
      </w:r>
      <w:r w:rsidR="004F4C5F" w:rsidRPr="005A6843">
        <w:t xml:space="preserve">la </w:t>
      </w:r>
      <w:r w:rsidRPr="005A6843">
        <w:t xml:space="preserve">información </w:t>
      </w:r>
      <w:r w:rsidR="004F4C5F" w:rsidRPr="005A6843">
        <w:t xml:space="preserve">sobre el perfil y trayectoria profesional de los responsables de los diferentes órganos </w:t>
      </w:r>
      <w:r w:rsidRPr="005A6843">
        <w:t xml:space="preserve">en una sub-categoría o elemento informativo específico de su menú de información institucional, etiquetado </w:t>
      </w:r>
      <w:r w:rsidRPr="004E6ABB">
        <w:rPr>
          <w:i/>
        </w:rPr>
        <w:t>“</w:t>
      </w:r>
      <w:r w:rsidR="0045179C" w:rsidRPr="004E6ABB">
        <w:rPr>
          <w:i/>
        </w:rPr>
        <w:t>Currículos</w:t>
      </w:r>
      <w:r w:rsidRPr="005A6843">
        <w:t xml:space="preserve"> (sic) </w:t>
      </w:r>
      <w:r w:rsidRPr="004E6ABB">
        <w:rPr>
          <w:i/>
        </w:rPr>
        <w:t>de Altos Cargos”</w:t>
      </w:r>
      <w:r w:rsidRPr="005A6843">
        <w:t xml:space="preserve">. “Pinchando” en el icono o acceso correspondiente, se </w:t>
      </w:r>
      <w:r w:rsidR="000E646A" w:rsidRPr="005A6843">
        <w:t xml:space="preserve">accede </w:t>
      </w:r>
      <w:r w:rsidRPr="005A6843">
        <w:t xml:space="preserve">directamente al </w:t>
      </w:r>
      <w:r w:rsidR="000E646A" w:rsidRPr="005A6843">
        <w:t xml:space="preserve">menú </w:t>
      </w:r>
      <w:r w:rsidRPr="005A6843">
        <w:t xml:space="preserve">de Ministerios, </w:t>
      </w:r>
      <w:r w:rsidR="000E646A" w:rsidRPr="005A6843">
        <w:t xml:space="preserve">precedido </w:t>
      </w:r>
      <w:r w:rsidRPr="005A6843">
        <w:t xml:space="preserve">en este caso </w:t>
      </w:r>
      <w:r w:rsidR="000E646A" w:rsidRPr="005A6843">
        <w:t xml:space="preserve">de una entrada informativa: </w:t>
      </w:r>
      <w:r w:rsidR="000E646A" w:rsidRPr="004E6ABB">
        <w:rPr>
          <w:i/>
        </w:rPr>
        <w:t>“Relación de las funciones, cargos, formación académica y experiencia profesional de cada uno de los altos cargos del Gobierno</w:t>
      </w:r>
      <w:r w:rsidR="000E646A" w:rsidRPr="005A6843">
        <w:t>”</w:t>
      </w:r>
      <w:r w:rsidRPr="005A6843">
        <w:t xml:space="preserve"> y de una </w:t>
      </w:r>
      <w:r w:rsidR="000E646A" w:rsidRPr="005A6843">
        <w:t>advertencia</w:t>
      </w:r>
      <w:r w:rsidRPr="005A6843">
        <w:t xml:space="preserve"> expresa</w:t>
      </w:r>
      <w:r w:rsidR="000E646A" w:rsidRPr="005A6843">
        <w:t>: “La información es la vigente antes del RD 415/2016, por el que se reestructuran los departamentos ministeriales”</w:t>
      </w:r>
      <w:r w:rsidR="0096048A" w:rsidRPr="005A6843">
        <w:t>.</w:t>
      </w:r>
    </w:p>
    <w:p w:rsidR="000E646A" w:rsidRPr="005A6843" w:rsidRDefault="0016378B" w:rsidP="00AA712B">
      <w:pPr>
        <w:jc w:val="both"/>
      </w:pPr>
      <w:r w:rsidRPr="005A6843">
        <w:t xml:space="preserve">La entrada ofrece aún una </w:t>
      </w:r>
      <w:r w:rsidR="000E646A" w:rsidRPr="005A6843">
        <w:t xml:space="preserve">opción para obtener mayor información, que </w:t>
      </w:r>
      <w:r w:rsidRPr="005A6843">
        <w:t>conduce a la ficha téc</w:t>
      </w:r>
      <w:r w:rsidR="000E646A" w:rsidRPr="005A6843">
        <w:t xml:space="preserve">nica de los datos -que </w:t>
      </w:r>
      <w:r w:rsidRPr="005A6843">
        <w:t xml:space="preserve">informa de que </w:t>
      </w:r>
      <w:r w:rsidR="000E646A" w:rsidRPr="005A6843">
        <w:t>la fuente de los mismos</w:t>
      </w:r>
      <w:r w:rsidRPr="005A6843">
        <w:t xml:space="preserve"> son </w:t>
      </w:r>
      <w:r w:rsidR="000E646A" w:rsidRPr="005A6843">
        <w:t>los Ministerios y</w:t>
      </w:r>
      <w:r w:rsidRPr="005A6843">
        <w:t xml:space="preserve"> de </w:t>
      </w:r>
      <w:r w:rsidR="000E646A" w:rsidRPr="005A6843">
        <w:t>que la información se actualiza con la incorporación de cada nuevo Alto Cargo- y a</w:t>
      </w:r>
      <w:r w:rsidRPr="005A6843">
        <w:t xml:space="preserve"> varias informaciones adicionales, </w:t>
      </w:r>
      <w:r w:rsidR="000E646A" w:rsidRPr="005A6843">
        <w:t xml:space="preserve">señaladamente, la de que los currículos son “homogéneos” y la de que aparecen por orden jerárquico, de prelación en cada Departamento. </w:t>
      </w:r>
    </w:p>
    <w:p w:rsidR="000E646A" w:rsidRPr="005A6843" w:rsidRDefault="000E646A" w:rsidP="00AA712B">
      <w:pPr>
        <w:jc w:val="both"/>
      </w:pPr>
      <w:r w:rsidRPr="005A6843">
        <w:t xml:space="preserve">Dentro de cada Ministerio se accede a un listado </w:t>
      </w:r>
      <w:r w:rsidR="0016378B" w:rsidRPr="005A6843">
        <w:t xml:space="preserve">en </w:t>
      </w:r>
      <w:r w:rsidRPr="005A6843">
        <w:t xml:space="preserve">tres columnas. </w:t>
      </w:r>
      <w:r w:rsidRPr="004E6ABB">
        <w:rPr>
          <w:i/>
        </w:rPr>
        <w:t>“Título”</w:t>
      </w:r>
      <w:r w:rsidRPr="005A6843">
        <w:t xml:space="preserve"> -en realidad, nombre y apellidos-, </w:t>
      </w:r>
      <w:r w:rsidRPr="004E6ABB">
        <w:rPr>
          <w:i/>
        </w:rPr>
        <w:t>“Departamento</w:t>
      </w:r>
      <w:r w:rsidRPr="005A6843">
        <w:t xml:space="preserve">” y </w:t>
      </w:r>
      <w:r w:rsidRPr="004E6ABB">
        <w:rPr>
          <w:i/>
        </w:rPr>
        <w:t>“Cargo”</w:t>
      </w:r>
      <w:r w:rsidRPr="005A6843">
        <w:t xml:space="preserve">: la primera y la tercera permiten ordenar la información en sentido ascendente o descendente. </w:t>
      </w:r>
      <w:r w:rsidR="004F4C5F" w:rsidRPr="005A6843">
        <w:t>“</w:t>
      </w:r>
      <w:r w:rsidRPr="005A6843">
        <w:t>Clicando</w:t>
      </w:r>
      <w:r w:rsidR="004F4C5F" w:rsidRPr="005A6843">
        <w:t>”</w:t>
      </w:r>
      <w:r w:rsidRPr="005A6843">
        <w:t xml:space="preserve"> en la primera se accede al currículo. Así, </w:t>
      </w:r>
      <w:r w:rsidR="00F962D6" w:rsidRPr="005A6843">
        <w:t xml:space="preserve">a fecha de hoy, </w:t>
      </w:r>
      <w:r w:rsidRPr="005A6843">
        <w:t xml:space="preserve">la sub-categoría proporciona los datos curriculares de 627 Altos Cargos, incluidos </w:t>
      </w:r>
      <w:r w:rsidR="004F4C5F" w:rsidRPr="005A6843">
        <w:t xml:space="preserve">los </w:t>
      </w:r>
      <w:r w:rsidRPr="005A6843">
        <w:t xml:space="preserve">Embajadores </w:t>
      </w:r>
      <w:r w:rsidR="004F4C5F" w:rsidRPr="005A6843">
        <w:t xml:space="preserve">y Representantes Permanentes </w:t>
      </w:r>
      <w:r w:rsidRPr="005A6843">
        <w:t xml:space="preserve">de España </w:t>
      </w:r>
      <w:r w:rsidR="00F962D6" w:rsidRPr="005A6843">
        <w:t>en el</w:t>
      </w:r>
      <w:r w:rsidR="004F4C5F" w:rsidRPr="005A6843">
        <w:t xml:space="preserve"> extranjero en el </w:t>
      </w:r>
      <w:r w:rsidR="00F962D6" w:rsidRPr="005A6843">
        <w:t xml:space="preserve">menú del </w:t>
      </w:r>
      <w:r w:rsidRPr="005A6843">
        <w:t xml:space="preserve">MAEC y </w:t>
      </w:r>
      <w:r w:rsidR="004F4C5F" w:rsidRPr="005A6843">
        <w:t xml:space="preserve">los </w:t>
      </w:r>
      <w:r w:rsidRPr="005A6843">
        <w:t>Delegados del Gobierno</w:t>
      </w:r>
      <w:r w:rsidR="00F962D6" w:rsidRPr="005A6843">
        <w:t xml:space="preserve"> en el del </w:t>
      </w:r>
      <w:r w:rsidRPr="005A6843">
        <w:t xml:space="preserve">MPREAT. </w:t>
      </w:r>
    </w:p>
    <w:p w:rsidR="004F4C5F" w:rsidRPr="005A6843" w:rsidRDefault="004F4C5F" w:rsidP="00AA712B">
      <w:pPr>
        <w:jc w:val="both"/>
      </w:pPr>
      <w:r w:rsidRPr="005A6843">
        <w:t xml:space="preserve">Desde el punto de vista del cumplimiento de la </w:t>
      </w:r>
      <w:r w:rsidR="00052FF3">
        <w:t>l</w:t>
      </w:r>
      <w:r w:rsidR="001C41A6">
        <w:t>ey</w:t>
      </w:r>
      <w:r w:rsidR="00E768A4">
        <w:t xml:space="preserve"> de transparencia</w:t>
      </w:r>
      <w:r w:rsidRPr="005A6843">
        <w:t xml:space="preserve"> y a juicio de este Consejo, la información debería ser mejorada en un doble sentido:</w:t>
      </w:r>
    </w:p>
    <w:p w:rsidR="004F4C5F" w:rsidRDefault="004F4C5F" w:rsidP="005750D1">
      <w:pPr>
        <w:pStyle w:val="Prrafodelista"/>
        <w:numPr>
          <w:ilvl w:val="0"/>
          <w:numId w:val="27"/>
        </w:numPr>
        <w:spacing w:before="100" w:beforeAutospacing="1" w:after="100" w:afterAutospacing="1" w:line="276" w:lineRule="auto"/>
        <w:ind w:left="714" w:hanging="357"/>
        <w:jc w:val="both"/>
      </w:pPr>
      <w:r w:rsidRPr="005A6843">
        <w:t xml:space="preserve">Primeramente, hay que tener en cuenta que el art. 6 de la </w:t>
      </w:r>
      <w:r w:rsidR="00052FF3">
        <w:t>l</w:t>
      </w:r>
      <w:r w:rsidR="001C41A6">
        <w:t>ey</w:t>
      </w:r>
      <w:r w:rsidRPr="005A6843">
        <w:t xml:space="preserve"> exige la publicación de un organigrama que identifique a los </w:t>
      </w:r>
      <w:r w:rsidRPr="004E6ABB">
        <w:rPr>
          <w:i/>
        </w:rPr>
        <w:t>“responsables de los diferentes órganos y su perfil y trayectoria profesional”</w:t>
      </w:r>
      <w:r w:rsidRPr="005A6843">
        <w:t>. En este sentido, el Portal incluye únicamente los currículos de los Altos Cargos, no de la totalidad de los responsables de los órganos del Ministerio. Debería completarse el contenido de la categoría con los currículos de los Subdirectores Generales y los otros responsables ministeriales que no tengan la consideración de Alto Cargo</w:t>
      </w:r>
      <w:r w:rsidR="00B2198D" w:rsidRPr="005A6843">
        <w:t>.</w:t>
      </w:r>
    </w:p>
    <w:p w:rsidR="004E6ABB" w:rsidRPr="005A6843" w:rsidRDefault="004E6ABB" w:rsidP="004E6ABB">
      <w:pPr>
        <w:pStyle w:val="Prrafodelista"/>
        <w:spacing w:before="100" w:beforeAutospacing="1" w:after="100" w:afterAutospacing="1" w:line="276" w:lineRule="auto"/>
        <w:ind w:left="714"/>
        <w:jc w:val="both"/>
      </w:pPr>
    </w:p>
    <w:p w:rsidR="000E646A" w:rsidRDefault="004F4C5F" w:rsidP="005750D1">
      <w:pPr>
        <w:pStyle w:val="Prrafodelista"/>
        <w:numPr>
          <w:ilvl w:val="0"/>
          <w:numId w:val="27"/>
        </w:numPr>
        <w:spacing w:before="100" w:beforeAutospacing="1" w:after="100" w:afterAutospacing="1" w:line="276" w:lineRule="auto"/>
        <w:ind w:left="714" w:hanging="357"/>
        <w:jc w:val="both"/>
      </w:pPr>
      <w:r w:rsidRPr="005A6843">
        <w:t xml:space="preserve">En segundo lugar, </w:t>
      </w:r>
      <w:r w:rsidR="00D7147F" w:rsidRPr="005A6843">
        <w:t xml:space="preserve">debe insistirse aquí también en la necesidad de vincular la información de los currículos con la de los organigramas. </w:t>
      </w:r>
      <w:r w:rsidR="000E646A" w:rsidRPr="005A6843">
        <w:t xml:space="preserve">Hay que tener en cuenta que </w:t>
      </w:r>
      <w:r w:rsidR="00D7147F" w:rsidRPr="005A6843">
        <w:t xml:space="preserve">la inclusión en el régimen de publicidad activa de la información sobre </w:t>
      </w:r>
      <w:r w:rsidR="000E646A" w:rsidRPr="005A6843">
        <w:t xml:space="preserve">la trayectoria y el perfil profesional- </w:t>
      </w:r>
      <w:r w:rsidR="00D7147F" w:rsidRPr="005A6843">
        <w:t xml:space="preserve">de los responsables orgánicos </w:t>
      </w:r>
      <w:r w:rsidR="000E646A" w:rsidRPr="005A6843">
        <w:t>persigue como objetivo que el consultante compruebe si para el acceso a un determinado cargo público se han tenido en cuenta los principios de mérito y capacidad y ello requiere ligar la información personal con la información sobre el c</w:t>
      </w:r>
      <w:r w:rsidR="00D7147F" w:rsidRPr="005A6843">
        <w:t>argo, su c</w:t>
      </w:r>
      <w:r w:rsidR="000E646A" w:rsidRPr="005A6843">
        <w:t>ontenido y funciones.</w:t>
      </w:r>
    </w:p>
    <w:p w:rsidR="00BB07BC" w:rsidRDefault="00BB07BC" w:rsidP="00BB07BC">
      <w:pPr>
        <w:pStyle w:val="Prrafodelista"/>
      </w:pPr>
    </w:p>
    <w:p w:rsidR="003316F3" w:rsidRPr="004E6ABB" w:rsidRDefault="003316F3" w:rsidP="00AA712B">
      <w:pPr>
        <w:jc w:val="both"/>
        <w:rPr>
          <w:b/>
          <w:u w:val="single"/>
        </w:rPr>
      </w:pPr>
      <w:r w:rsidRPr="004E6ABB">
        <w:rPr>
          <w:b/>
          <w:u w:val="single"/>
        </w:rPr>
        <w:t>Planes de objetivos</w:t>
      </w:r>
      <w:r w:rsidR="004E6ABB">
        <w:rPr>
          <w:b/>
          <w:u w:val="single"/>
        </w:rPr>
        <w:t>.</w:t>
      </w:r>
    </w:p>
    <w:p w:rsidR="00925D76" w:rsidRPr="004E6ABB" w:rsidRDefault="00D67927" w:rsidP="00AA712B">
      <w:pPr>
        <w:jc w:val="both"/>
        <w:rPr>
          <w:i/>
        </w:rPr>
      </w:pPr>
      <w:r w:rsidRPr="005A6843">
        <w:t xml:space="preserve">Accediendo al correspondiente elemento informativo, se </w:t>
      </w:r>
      <w:r w:rsidR="00925D76" w:rsidRPr="005A6843">
        <w:t xml:space="preserve">presenta un menú con dos opciones, </w:t>
      </w:r>
      <w:r w:rsidR="00925D76" w:rsidRPr="004E6ABB">
        <w:rPr>
          <w:i/>
        </w:rPr>
        <w:t>“Planes generales”</w:t>
      </w:r>
      <w:r w:rsidR="00925D76" w:rsidRPr="005A6843">
        <w:t xml:space="preserve"> y </w:t>
      </w:r>
      <w:r w:rsidR="00925D76" w:rsidRPr="004E6ABB">
        <w:rPr>
          <w:i/>
        </w:rPr>
        <w:t>“Cartas de servicios”</w:t>
      </w:r>
      <w:r w:rsidR="00925D76" w:rsidRPr="005A6843">
        <w:t xml:space="preserve">, y una información general: </w:t>
      </w:r>
      <w:r w:rsidR="00925D76" w:rsidRPr="004E6ABB">
        <w:rPr>
          <w:i/>
        </w:rPr>
        <w:t xml:space="preserve">“Incluye los planes en los que se establecen objetivos e indicadores a desarrollar por el órgano que promueve su adopción y la evaluación de los resultados alcanzados”. </w:t>
      </w:r>
    </w:p>
    <w:p w:rsidR="00925D76" w:rsidRPr="005A6843" w:rsidRDefault="00D67927" w:rsidP="00AA712B">
      <w:pPr>
        <w:jc w:val="both"/>
      </w:pPr>
      <w:r w:rsidRPr="005A6843">
        <w:t xml:space="preserve">El menú ofrece una opción de </w:t>
      </w:r>
      <w:r w:rsidRPr="004E6ABB">
        <w:rPr>
          <w:i/>
        </w:rPr>
        <w:t>“Más información”</w:t>
      </w:r>
      <w:r w:rsidRPr="005A6843">
        <w:t xml:space="preserve">, que incluye, además de </w:t>
      </w:r>
      <w:r w:rsidR="00925D76" w:rsidRPr="005A6843">
        <w:t xml:space="preserve">una ficha técnica de los datos –que </w:t>
      </w:r>
      <w:r w:rsidRPr="005A6843">
        <w:t xml:space="preserve">vuelve a señalar a los Ministerios como </w:t>
      </w:r>
      <w:r w:rsidR="00925D76" w:rsidRPr="005A6843">
        <w:t xml:space="preserve">fuente de información </w:t>
      </w:r>
      <w:r w:rsidRPr="005A6843">
        <w:t xml:space="preserve">al tiempo que informa </w:t>
      </w:r>
      <w:r w:rsidR="00925D76" w:rsidRPr="005A6843">
        <w:t xml:space="preserve">que los datos se actualizan de acuerdo con la vigencia de cada Plan-, </w:t>
      </w:r>
      <w:r w:rsidRPr="005A6843">
        <w:t>una aclaración de los conceptos de Plan de Objetivos y Carta de Servicios</w:t>
      </w:r>
      <w:r w:rsidR="00925D76" w:rsidRPr="005A6843">
        <w:t xml:space="preserve">. Así, los Planes se definen como los </w:t>
      </w:r>
      <w:r w:rsidR="00925D76" w:rsidRPr="004E6ABB">
        <w:rPr>
          <w:i/>
        </w:rPr>
        <w:t>“Planes y programas anuales o plurianuales que fijen objetivos e indicadores evaluables y los resultados de su cumplimiento”</w:t>
      </w:r>
      <w:r w:rsidR="00925D76" w:rsidRPr="005A6843">
        <w:t xml:space="preserve"> y las Cartas de Servicios </w:t>
      </w:r>
      <w:r w:rsidR="00925D76" w:rsidRPr="004E6ABB">
        <w:rPr>
          <w:i/>
        </w:rPr>
        <w:t>“constituyen el instrumento a través del cual los órganos, organismos y entidades de la Administración General del Estado informan a los ciudadanos y usuarios sobre los servicios que tienen encomendados, sobre los derechos que les asisten en relación con aquellos y sobre los compromisos que asumen para mejorar la calidad de los mismos”.</w:t>
      </w:r>
    </w:p>
    <w:p w:rsidR="00D67927" w:rsidRPr="005A6843" w:rsidRDefault="00925D76" w:rsidP="00AA712B">
      <w:pPr>
        <w:jc w:val="both"/>
      </w:pPr>
      <w:r w:rsidRPr="005A6843">
        <w:t xml:space="preserve">“Clicando” en </w:t>
      </w:r>
      <w:r w:rsidRPr="004E6ABB">
        <w:rPr>
          <w:i/>
        </w:rPr>
        <w:t>“Planes generales”</w:t>
      </w:r>
      <w:r w:rsidRPr="005A6843">
        <w:t xml:space="preserve"> se accede a</w:t>
      </w:r>
      <w:r w:rsidR="00D67927" w:rsidRPr="005A6843">
        <w:t>l</w:t>
      </w:r>
      <w:r w:rsidRPr="005A6843">
        <w:t xml:space="preserve"> menú por Ministerios </w:t>
      </w:r>
      <w:r w:rsidR="00D67927" w:rsidRPr="005A6843">
        <w:t xml:space="preserve">del Portal, </w:t>
      </w:r>
      <w:r w:rsidRPr="005A6843">
        <w:t>a través del que se accede a</w:t>
      </w:r>
      <w:r w:rsidR="00D67927" w:rsidRPr="005A6843">
        <w:t xml:space="preserve"> los catorce menús </w:t>
      </w:r>
      <w:r w:rsidRPr="005A6843">
        <w:t>ministerial</w:t>
      </w:r>
      <w:r w:rsidR="00D67927" w:rsidRPr="005A6843">
        <w:t xml:space="preserve">es </w:t>
      </w:r>
      <w:r w:rsidRPr="005A6843">
        <w:t>de planes y programas</w:t>
      </w:r>
      <w:r w:rsidR="00D67927" w:rsidRPr="005A6843">
        <w:t xml:space="preserve">. Los Planes se reflejan en un listado </w:t>
      </w:r>
      <w:r w:rsidRPr="005A6843">
        <w:t xml:space="preserve">estructurado en cinco columnas </w:t>
      </w:r>
      <w:r w:rsidRPr="004E6ABB">
        <w:rPr>
          <w:i/>
        </w:rPr>
        <w:t>“Título”, “Departamento”, “Plan / Carta de Servicio”, “Año”</w:t>
      </w:r>
      <w:r w:rsidRPr="005A6843">
        <w:t xml:space="preserve"> y </w:t>
      </w:r>
      <w:r w:rsidRPr="004E6ABB">
        <w:rPr>
          <w:i/>
        </w:rPr>
        <w:t>“Vigente”</w:t>
      </w:r>
      <w:r w:rsidRPr="005A6843">
        <w:t xml:space="preserve">. </w:t>
      </w:r>
      <w:r w:rsidR="00D67927" w:rsidRPr="005A6843">
        <w:t>Accediendo a cada uno de los planes que aparecen en el listado, se llega a una ficha explicativa con vínculos a los distintos documentos e instrumentos que componen el mismo. La información sobre actividades, medios y tiempos previstos para la consecución del plan o programa de actuación, y la evaluación de su grado de cumplimiento y resultados, aparecen subsumidas en dicha documentación</w:t>
      </w:r>
      <w:r w:rsidR="004E6ABB">
        <w:t>, aunque falta en varios casos.</w:t>
      </w:r>
    </w:p>
    <w:p w:rsidR="00D67927" w:rsidRPr="005A6843" w:rsidRDefault="00D67927" w:rsidP="00AA712B">
      <w:pPr>
        <w:jc w:val="both"/>
      </w:pPr>
      <w:r w:rsidRPr="005A6843">
        <w:t xml:space="preserve">Igualmente, “clicando” en </w:t>
      </w:r>
      <w:r w:rsidRPr="004E6ABB">
        <w:rPr>
          <w:i/>
        </w:rPr>
        <w:t>“Cartas de servicios”</w:t>
      </w:r>
      <w:r w:rsidRPr="005A6843">
        <w:t xml:space="preserve"> se accede al menú por Ministerios y a los correspondientes menús ministeriales</w:t>
      </w:r>
      <w:r w:rsidR="00F6747B" w:rsidRPr="005A6843">
        <w:t>. Las Cartas de Servicios se ofrecen en un listado similar al de los Planes de Objetivos, que permite acceder a una ficha explicativa y a la documentación correspondiente a cada una de las entradas.</w:t>
      </w:r>
    </w:p>
    <w:p w:rsidR="009557A4" w:rsidRPr="005A6843" w:rsidRDefault="009557A4" w:rsidP="00AA712B">
      <w:pPr>
        <w:jc w:val="both"/>
      </w:pPr>
      <w:r w:rsidRPr="005A6843">
        <w:t xml:space="preserve">Concentrando el enfoque en los Planes y Programas de actuación -como se verá enseguida las Cartas de Servicio no son información obligatoria-, hay que destacar que </w:t>
      </w:r>
      <w:r w:rsidR="00A81962" w:rsidRPr="005A6843">
        <w:t xml:space="preserve">su </w:t>
      </w:r>
      <w:r w:rsidR="00F6747B" w:rsidRPr="005A6843">
        <w:t xml:space="preserve">contenido, resulta heterogéneo y diverso. A fecha de hoy, el </w:t>
      </w:r>
      <w:r w:rsidR="00925D76" w:rsidRPr="005A6843">
        <w:t>listado del Ministerio de Energ</w:t>
      </w:r>
      <w:r w:rsidRPr="005A6843">
        <w:t>í</w:t>
      </w:r>
      <w:r w:rsidR="00925D76" w:rsidRPr="005A6843">
        <w:t>a, Turismo y Agenda Digital (MINETAD) incluye 17 Planes</w:t>
      </w:r>
      <w:r w:rsidR="00F6747B" w:rsidRPr="005A6843">
        <w:t xml:space="preserve"> y 9 Carta de Servicios</w:t>
      </w:r>
      <w:r w:rsidR="00925D76" w:rsidRPr="005A6843">
        <w:t>; el de MINECO, incluye 4</w:t>
      </w:r>
      <w:r w:rsidR="00F6747B" w:rsidRPr="005A6843">
        <w:t xml:space="preserve"> Planes y ninguna Carta de Servicios</w:t>
      </w:r>
      <w:r w:rsidR="00925D76" w:rsidRPr="005A6843">
        <w:t>; el del MECD, 5</w:t>
      </w:r>
      <w:r w:rsidR="00F6747B" w:rsidRPr="005A6843">
        <w:t xml:space="preserve"> Planes y 36 Cartas</w:t>
      </w:r>
      <w:r w:rsidR="00925D76" w:rsidRPr="005A6843">
        <w:t xml:space="preserve">; el del </w:t>
      </w:r>
      <w:r w:rsidR="00F6747B" w:rsidRPr="005A6843">
        <w:t xml:space="preserve">Ministerio de Agricultura, Alimentación y Medio Ambiente </w:t>
      </w:r>
      <w:r w:rsidR="00925D76" w:rsidRPr="005A6843">
        <w:t>MAPAMA incluye 23</w:t>
      </w:r>
      <w:r w:rsidR="00F6747B" w:rsidRPr="005A6843">
        <w:t xml:space="preserve"> Planes y 2 Ca</w:t>
      </w:r>
      <w:r w:rsidRPr="005A6843">
        <w:t>r</w:t>
      </w:r>
      <w:r w:rsidR="00F6747B" w:rsidRPr="005A6843">
        <w:t>tas de Servicios</w:t>
      </w:r>
      <w:r w:rsidRPr="005A6843">
        <w:t xml:space="preserve"> y así, sucesivamente</w:t>
      </w:r>
      <w:r w:rsidR="00F73026" w:rsidRPr="005A6843">
        <w:t>, hasta 201 resultados</w:t>
      </w:r>
      <w:r w:rsidRPr="005A6843">
        <w:t>. Por otra parte, el contenido de los Planes es también diferente, según los casos. Hay Ministerios que incluyen Planes de Publicaciones y Programas Editoriales y Ministerios que no. Aparecen Planes y Programas junto a documentos de difícil clasificación. Finalmente, en unos casos, aparecen Planes de organismos vinculados y dependientes mientras que en otros no se incorpora ninguno.</w:t>
      </w:r>
    </w:p>
    <w:p w:rsidR="0008767B" w:rsidRPr="004E6ABB" w:rsidRDefault="009557A4" w:rsidP="00AA712B">
      <w:pPr>
        <w:jc w:val="both"/>
        <w:rPr>
          <w:i/>
        </w:rPr>
      </w:pPr>
      <w:r w:rsidRPr="005A6843">
        <w:t xml:space="preserve">Respecto de las fechas, </w:t>
      </w:r>
      <w:r w:rsidR="00F73026" w:rsidRPr="005A6843">
        <w:t xml:space="preserve">si bien la mayor parte de los Planes que se publican están vigentes a fecha de hoy -el buscador de la sub-categoría permite filtrar los datos por su vigencia-, aparecen seis entradas, correspondientes al MPREAT, que recogen Planes no vigentes: </w:t>
      </w:r>
      <w:r w:rsidR="0008767B" w:rsidRPr="004E6ABB">
        <w:rPr>
          <w:i/>
        </w:rPr>
        <w:t>Plan Nacional de Reformas de España 2013</w:t>
      </w:r>
      <w:r w:rsidR="00F73026" w:rsidRPr="004E6ABB">
        <w:rPr>
          <w:i/>
        </w:rPr>
        <w:t>;</w:t>
      </w:r>
      <w:r w:rsidR="0008767B" w:rsidRPr="004E6ABB">
        <w:rPr>
          <w:i/>
        </w:rPr>
        <w:t xml:space="preserve"> Open Goverment Partnership II Plan</w:t>
      </w:r>
      <w:r w:rsidR="00F73026" w:rsidRPr="004E6ABB">
        <w:rPr>
          <w:i/>
        </w:rPr>
        <w:t xml:space="preserve">; </w:t>
      </w:r>
      <w:r w:rsidR="0008767B" w:rsidRPr="004E6ABB">
        <w:rPr>
          <w:i/>
        </w:rPr>
        <w:t>Plan anual de inspección 2014</w:t>
      </w:r>
      <w:r w:rsidR="00F73026" w:rsidRPr="004E6ABB">
        <w:rPr>
          <w:i/>
        </w:rPr>
        <w:t xml:space="preserve">; </w:t>
      </w:r>
      <w:r w:rsidR="0008767B" w:rsidRPr="004E6ABB">
        <w:rPr>
          <w:i/>
        </w:rPr>
        <w:t>Plan 2014 de Comunicación y Publicidad Institucional</w:t>
      </w:r>
      <w:r w:rsidR="00F73026" w:rsidRPr="004E6ABB">
        <w:rPr>
          <w:i/>
        </w:rPr>
        <w:t>; Plan de Reforma de la Comisión para la Ejecución de la Reforma de la Administración; Plan Estratégico y de Modernización del Centro de Estudios Políticos y Constitucionales; Plan 2015 de Comunicación y Publicidad Institucional y Plan de Acción 2016 Agencia Estatal Boletín Oficial del Estado</w:t>
      </w:r>
    </w:p>
    <w:p w:rsidR="00085B2C" w:rsidRPr="005A6843" w:rsidRDefault="00D5064C" w:rsidP="00AA712B">
      <w:pPr>
        <w:jc w:val="both"/>
      </w:pPr>
      <w:r w:rsidRPr="005A6843">
        <w:t xml:space="preserve">Teniendo en cuenta </w:t>
      </w:r>
      <w:r w:rsidR="00F73026" w:rsidRPr="005A6843">
        <w:t>estas circunstancias</w:t>
      </w:r>
      <w:r w:rsidRPr="005A6843">
        <w:t xml:space="preserve">, y desde la perspectiva del cumplimiento de la </w:t>
      </w:r>
      <w:r w:rsidR="00052FF3">
        <w:t>l</w:t>
      </w:r>
      <w:r w:rsidR="001C41A6">
        <w:t>ey</w:t>
      </w:r>
      <w:r w:rsidR="00E768A4">
        <w:t xml:space="preserve"> de transparencia</w:t>
      </w:r>
      <w:r w:rsidRPr="005A6843">
        <w:t xml:space="preserve"> -ámbito propio de sus competencias- este CTBG considera que</w:t>
      </w:r>
      <w:r w:rsidR="00085B2C" w:rsidRPr="005A6843">
        <w:t>:</w:t>
      </w:r>
    </w:p>
    <w:p w:rsidR="00085B2C" w:rsidRDefault="00085B2C" w:rsidP="005750D1">
      <w:pPr>
        <w:pStyle w:val="Prrafodelista"/>
        <w:numPr>
          <w:ilvl w:val="0"/>
          <w:numId w:val="28"/>
        </w:numPr>
        <w:spacing w:line="276" w:lineRule="auto"/>
        <w:ind w:left="714" w:hanging="357"/>
        <w:jc w:val="both"/>
      </w:pPr>
      <w:r w:rsidRPr="005A6843">
        <w:t>S</w:t>
      </w:r>
      <w:r w:rsidR="00D5064C" w:rsidRPr="005A6843">
        <w:t>alvo en aqu</w:t>
      </w:r>
      <w:r w:rsidR="00DE6074" w:rsidRPr="005A6843">
        <w:t>e</w:t>
      </w:r>
      <w:r w:rsidR="00D5064C" w:rsidRPr="005A6843">
        <w:t xml:space="preserve">llos casos en que el visitante del Portal AGE desee obtener información sobre un determinado Plan o Programa de Actuación ministerial, la heterogeneidad de la información, la forma en que está presentada, su dispersión, </w:t>
      </w:r>
      <w:r w:rsidR="00235F53">
        <w:t>etc.</w:t>
      </w:r>
      <w:r w:rsidR="00D5064C" w:rsidRPr="005A6843">
        <w:t xml:space="preserve">, dificultan considerablemente el proceso de búsqueda e impiden </w:t>
      </w:r>
      <w:r w:rsidR="0099737A" w:rsidRPr="005A6843">
        <w:t xml:space="preserve">al </w:t>
      </w:r>
      <w:r w:rsidR="00D5064C" w:rsidRPr="005A6843">
        <w:t>usuario de la publicidad activa acced</w:t>
      </w:r>
      <w:r w:rsidR="0099737A" w:rsidRPr="005A6843">
        <w:t xml:space="preserve">er de forma sencilla </w:t>
      </w:r>
      <w:r w:rsidR="00D5064C" w:rsidRPr="005A6843">
        <w:t xml:space="preserve">a un conocimiento </w:t>
      </w:r>
      <w:r w:rsidR="0099737A" w:rsidRPr="005A6843">
        <w:t>suficiente de los objetivos</w:t>
      </w:r>
      <w:r w:rsidR="00BF4DF5" w:rsidRPr="005A6843">
        <w:t>,</w:t>
      </w:r>
      <w:r w:rsidR="0099737A" w:rsidRPr="005A6843">
        <w:t xml:space="preserve"> estratégicos o de cualquier otra índole</w:t>
      </w:r>
      <w:r w:rsidR="00BF4DF5" w:rsidRPr="005A6843">
        <w:t>,</w:t>
      </w:r>
      <w:r w:rsidR="0099737A" w:rsidRPr="005A6843">
        <w:t xml:space="preserve"> del Ministerio u organismo de que se trate, en un área de actividad concreta o en varias</w:t>
      </w:r>
      <w:r w:rsidR="00BF4DF5" w:rsidRPr="005A6843">
        <w:t xml:space="preserve">. Considerando que ese es el objetivo perseguido con la inclusión legal de los planes y programas entre los datos de actividad de las instituciones y entidades públicas sometidos a publicidad proactiva, </w:t>
      </w:r>
      <w:r w:rsidR="00D5064C" w:rsidRPr="005A6843">
        <w:t xml:space="preserve">sería necesario </w:t>
      </w:r>
      <w:r w:rsidR="00BF4DF5" w:rsidRPr="005A6843">
        <w:t xml:space="preserve">mejorar la información mediante, p. ej., una serie de relaciones elaboradas por los Ministerios con la lista completa de los planes y programas vigentes a una fecha determinada, agrupada </w:t>
      </w:r>
      <w:r w:rsidRPr="005A6843">
        <w:t>por actividades, por materias o por Centros y unidades, o un recurso similar, que sirviera como orientación a los usuarios que desearan obtener información sin conocer los detalles de un instrumento concreto.</w:t>
      </w:r>
    </w:p>
    <w:p w:rsidR="004E6ABB" w:rsidRPr="005A6843" w:rsidRDefault="004E6ABB" w:rsidP="004E6ABB">
      <w:pPr>
        <w:pStyle w:val="Prrafodelista"/>
        <w:spacing w:line="276" w:lineRule="auto"/>
        <w:ind w:left="714"/>
        <w:jc w:val="both"/>
      </w:pPr>
    </w:p>
    <w:p w:rsidR="00085B2C" w:rsidRDefault="00085B2C" w:rsidP="005750D1">
      <w:pPr>
        <w:pStyle w:val="Prrafodelista"/>
        <w:numPr>
          <w:ilvl w:val="0"/>
          <w:numId w:val="28"/>
        </w:numPr>
        <w:spacing w:line="276" w:lineRule="auto"/>
        <w:ind w:left="714" w:hanging="357"/>
        <w:jc w:val="both"/>
      </w:pPr>
      <w:r w:rsidRPr="005A6843">
        <w:t>Adicionalmente, sería conveniente situar las definiciones de Planes y Cartas de Servicios en el menú introductorio de la sub-categoría, antes de acceder a uno de los dos términos de la opción. Resulta un tanto sorprendente que se haga al visitante optar por un contenido concreto sin haberle informado antes del contenido de la opción para informarle acto seguido, una vez realizada la opción.</w:t>
      </w:r>
    </w:p>
    <w:p w:rsidR="004E6ABB" w:rsidRDefault="004E6ABB" w:rsidP="004E6ABB">
      <w:pPr>
        <w:pStyle w:val="Prrafodelista"/>
      </w:pPr>
    </w:p>
    <w:p w:rsidR="00BE0F22" w:rsidRPr="005A6843" w:rsidRDefault="0099737A" w:rsidP="00AA712B">
      <w:pPr>
        <w:jc w:val="both"/>
      </w:pPr>
      <w:r w:rsidRPr="005A6843">
        <w:t>Vistos los argumentos de mejora de la información del Portal sobre Planes de Objetivos y Programas de Actuación, hay que referirse ahora a la cuest</w:t>
      </w:r>
      <w:r w:rsidR="004E6ABB">
        <w:t>ión de las Cartas de Servicios.</w:t>
      </w:r>
    </w:p>
    <w:p w:rsidR="00016EA0" w:rsidRPr="005A6843" w:rsidRDefault="0099737A" w:rsidP="00AA712B">
      <w:pPr>
        <w:jc w:val="both"/>
      </w:pPr>
      <w:r w:rsidRPr="005A6843">
        <w:t xml:space="preserve">De acuerdo con la definición que figura en el </w:t>
      </w:r>
      <w:hyperlink r:id="rId46" w:history="1">
        <w:r w:rsidRPr="005A7AEE">
          <w:rPr>
            <w:rStyle w:val="Hipervnculo"/>
          </w:rPr>
          <w:t xml:space="preserve">Portal </w:t>
        </w:r>
        <w:r w:rsidR="00FC4B2E" w:rsidRPr="005A7AEE">
          <w:rPr>
            <w:rStyle w:val="Hipervnculo"/>
            <w:i/>
          </w:rPr>
          <w:t>web</w:t>
        </w:r>
        <w:r w:rsidRPr="005A7AEE">
          <w:rPr>
            <w:rStyle w:val="Hipervnculo"/>
          </w:rPr>
          <w:t xml:space="preserve"> de la AEVAL</w:t>
        </w:r>
      </w:hyperlink>
      <w:r w:rsidRPr="005A6843">
        <w:t xml:space="preserve">, las Cartas de Servicios </w:t>
      </w:r>
      <w:r w:rsidRPr="004E6ABB">
        <w:rPr>
          <w:i/>
        </w:rPr>
        <w:t>“constituyen los instrumentos a través de los cuales los Órganos, Organismos y Entes Públicos y otras Entidades de la Administración General del Estado informan a los ciudadanos y usuarios sobre los servicios que tienen encomendados, sobre los derechos que les asisten en relación con aquellos y sobre los compromisos de calidad en su prestación”</w:t>
      </w:r>
      <w:r w:rsidRPr="005A6843">
        <w:t xml:space="preserve">. Desde este punto de vista, y sin perjuicio de </w:t>
      </w:r>
      <w:r w:rsidR="00BE0F22" w:rsidRPr="005A6843">
        <w:t xml:space="preserve">que, obviamente, se trata de información de interés para conocer el funcionamiento y los objetivos de calidad de los organismos públicos que prestan servicios a los ciudadanos, hay que destacar que el art. 6 de la </w:t>
      </w:r>
      <w:r w:rsidR="00052FF3">
        <w:t>l</w:t>
      </w:r>
      <w:r w:rsidR="001C41A6">
        <w:t>ey</w:t>
      </w:r>
      <w:r w:rsidR="00E768A4">
        <w:t xml:space="preserve"> de transparencia</w:t>
      </w:r>
      <w:r w:rsidR="00BE0F22" w:rsidRPr="005A6843">
        <w:t xml:space="preserve"> no exige la publicación de las Cartas de Servicio</w:t>
      </w:r>
      <w:r w:rsidR="00316760" w:rsidRPr="005A6843">
        <w:t>s</w:t>
      </w:r>
      <w:r w:rsidR="00BE0F22" w:rsidRPr="005A6843">
        <w:t xml:space="preserve"> e</w:t>
      </w:r>
      <w:r w:rsidR="004E6ABB">
        <w:t>n régimen de publicidad activa.</w:t>
      </w:r>
    </w:p>
    <w:p w:rsidR="00925D76" w:rsidRPr="005A6843" w:rsidRDefault="00085B2C" w:rsidP="00AA712B">
      <w:pPr>
        <w:jc w:val="both"/>
      </w:pPr>
      <w:r w:rsidRPr="005A6843">
        <w:t>En el ámbito de la AGE, l</w:t>
      </w:r>
      <w:r w:rsidR="00287C3C" w:rsidRPr="005A6843">
        <w:t xml:space="preserve">as </w:t>
      </w:r>
      <w:r w:rsidR="00316760" w:rsidRPr="005A6843">
        <w:t>C</w:t>
      </w:r>
      <w:r w:rsidR="00287C3C" w:rsidRPr="005A6843">
        <w:t>artas tienen su propio régimen de difusión, prev</w:t>
      </w:r>
      <w:r w:rsidRPr="005A6843">
        <w:t>i</w:t>
      </w:r>
      <w:r w:rsidR="00287C3C" w:rsidRPr="005A6843">
        <w:t xml:space="preserve">sto en el </w:t>
      </w:r>
      <w:r w:rsidRPr="005A6843">
        <w:t xml:space="preserve">Real Decreto </w:t>
      </w:r>
      <w:r w:rsidR="00287C3C" w:rsidRPr="005A6843">
        <w:t>951/2005, de 29 de julio, por el</w:t>
      </w:r>
      <w:r w:rsidRPr="005A6843">
        <w:t xml:space="preserve"> </w:t>
      </w:r>
      <w:r w:rsidR="00287C3C" w:rsidRPr="005A6843">
        <w:t>que se establece el marco general para la</w:t>
      </w:r>
      <w:r w:rsidRPr="005A6843">
        <w:t xml:space="preserve"> </w:t>
      </w:r>
      <w:r w:rsidR="00287C3C" w:rsidRPr="005A6843">
        <w:t xml:space="preserve">mejora de la calidad en </w:t>
      </w:r>
      <w:r w:rsidRPr="005A6843">
        <w:t xml:space="preserve">aquélla, siendo probablemente ésta la razón por la que no se </w:t>
      </w:r>
      <w:r w:rsidR="00316760" w:rsidRPr="005A6843">
        <w:t xml:space="preserve">las </w:t>
      </w:r>
      <w:r w:rsidRPr="005A6843">
        <w:t xml:space="preserve">ha incluido entre los ítems de publicidad activa de la </w:t>
      </w:r>
      <w:r w:rsidR="00052FF3">
        <w:t>l</w:t>
      </w:r>
      <w:r w:rsidR="001C41A6">
        <w:t>ey</w:t>
      </w:r>
      <w:r w:rsidR="00E768A4">
        <w:t xml:space="preserve"> de transparencia</w:t>
      </w:r>
      <w:r w:rsidRPr="005A6843">
        <w:t>.</w:t>
      </w:r>
      <w:r w:rsidR="00316760" w:rsidRPr="005A6843">
        <w:t xml:space="preserve"> Su publicación en el Portal de Transparencia</w:t>
      </w:r>
      <w:r w:rsidR="00016EA0" w:rsidRPr="005A6843">
        <w:t xml:space="preserve"> debería reconducirse, en todo caso, a la nueva categoría </w:t>
      </w:r>
      <w:r w:rsidR="00016EA0" w:rsidRPr="004E6ABB">
        <w:rPr>
          <w:i/>
        </w:rPr>
        <w:t xml:space="preserve">“Transparencia Voluntaria del art. 5 de la </w:t>
      </w:r>
      <w:r w:rsidR="00052FF3">
        <w:rPr>
          <w:i/>
        </w:rPr>
        <w:t>l</w:t>
      </w:r>
      <w:r w:rsidR="001C41A6">
        <w:rPr>
          <w:i/>
        </w:rPr>
        <w:t>ey</w:t>
      </w:r>
      <w:r w:rsidR="00E768A4">
        <w:rPr>
          <w:i/>
        </w:rPr>
        <w:t xml:space="preserve"> de transparencia</w:t>
      </w:r>
      <w:r w:rsidR="00016EA0" w:rsidRPr="004E6ABB">
        <w:rPr>
          <w:i/>
        </w:rPr>
        <w:t>”</w:t>
      </w:r>
      <w:r w:rsidR="00016EA0" w:rsidRPr="005A6843">
        <w:t xml:space="preserve"> que, como se ha dicho ya, podría añadirse al  menú de categorías del Portal.</w:t>
      </w:r>
    </w:p>
    <w:p w:rsidR="00D76B61" w:rsidRPr="004F7996" w:rsidRDefault="00D76B61" w:rsidP="00AA712B">
      <w:pPr>
        <w:jc w:val="both"/>
        <w:rPr>
          <w:b/>
          <w:u w:val="single"/>
        </w:rPr>
      </w:pPr>
      <w:r w:rsidRPr="004F7996">
        <w:rPr>
          <w:b/>
          <w:u w:val="single"/>
        </w:rPr>
        <w:t>Grado de cumplimiento y resultados</w:t>
      </w:r>
      <w:r w:rsidR="004F7996">
        <w:rPr>
          <w:b/>
          <w:u w:val="single"/>
        </w:rPr>
        <w:t>.</w:t>
      </w:r>
    </w:p>
    <w:p w:rsidR="00C86464" w:rsidRPr="005A6843" w:rsidRDefault="00F73026" w:rsidP="00AA712B">
      <w:pPr>
        <w:jc w:val="both"/>
      </w:pPr>
      <w:r w:rsidRPr="005A6843">
        <w:t xml:space="preserve">El Portal no separa la información </w:t>
      </w:r>
      <w:r w:rsidR="00C86464" w:rsidRPr="005A6843">
        <w:t xml:space="preserve">sobre el contenido de los Planes y Programas </w:t>
      </w:r>
      <w:r w:rsidRPr="005A6843">
        <w:t>d</w:t>
      </w:r>
      <w:r w:rsidR="00C86464" w:rsidRPr="005A6843">
        <w:t xml:space="preserve">e la información sobre su grado de cumplimiento y los resultados obtenidos, </w:t>
      </w:r>
      <w:r w:rsidRPr="005A6843">
        <w:t>como exige el art. 6 d</w:t>
      </w:r>
      <w:r w:rsidR="00C86464" w:rsidRPr="005A6843">
        <w:t xml:space="preserve">e la </w:t>
      </w:r>
      <w:r w:rsidR="00052FF3">
        <w:t>l</w:t>
      </w:r>
      <w:r w:rsidR="001C41A6">
        <w:t>ey</w:t>
      </w:r>
      <w:r w:rsidR="00E768A4">
        <w:t xml:space="preserve"> de transparencia</w:t>
      </w:r>
      <w:r w:rsidR="00C86464" w:rsidRPr="005A6843">
        <w:t>. La información aparece como documentación anexa en algunos de los Planes más completos y de mayor período de vigencia. Siendo imposible realizar un análisis exhaustivo de los 105 registros de información que contiene en total la información de la sub-categoría, y en base a la muestra examinada, se realizan únicamente tres sugerencias de mejora:</w:t>
      </w:r>
    </w:p>
    <w:p w:rsidR="00C86464" w:rsidRDefault="00C86464" w:rsidP="005750D1">
      <w:pPr>
        <w:pStyle w:val="Prrafodelista"/>
        <w:numPr>
          <w:ilvl w:val="0"/>
          <w:numId w:val="29"/>
        </w:numPr>
        <w:spacing w:line="276" w:lineRule="auto"/>
        <w:ind w:left="714" w:hanging="357"/>
        <w:jc w:val="both"/>
      </w:pPr>
      <w:r w:rsidRPr="005A6843">
        <w:t>Para evitar confusiones, debería eliminarse la información correspondiente a Planes o Programas concluidos. A juicio de este CTBG, el objeto de la publicidad activa es proporcionar al ciudadano una instantánea inmediata de la actividad de un determinado organismo público en un momento determinado. Los antecedentes de esa información constituyen materia propia del derecho de acceso.</w:t>
      </w:r>
    </w:p>
    <w:p w:rsidR="004F7996" w:rsidRPr="005A6843" w:rsidRDefault="004F7996" w:rsidP="004F7996">
      <w:pPr>
        <w:pStyle w:val="Prrafodelista"/>
        <w:spacing w:line="276" w:lineRule="auto"/>
        <w:ind w:left="714"/>
        <w:jc w:val="both"/>
      </w:pPr>
    </w:p>
    <w:p w:rsidR="00C86464" w:rsidRDefault="00C86464" w:rsidP="005750D1">
      <w:pPr>
        <w:pStyle w:val="Prrafodelista"/>
        <w:numPr>
          <w:ilvl w:val="0"/>
          <w:numId w:val="29"/>
        </w:numPr>
        <w:spacing w:line="276" w:lineRule="auto"/>
        <w:ind w:left="714" w:hanging="357"/>
        <w:jc w:val="both"/>
      </w:pPr>
      <w:r w:rsidRPr="005A6843">
        <w:t>En los casos en que ésta falta, debería recabarse de los Ministerios la información relativa al seguimiento de los Planes que se publican.</w:t>
      </w:r>
    </w:p>
    <w:p w:rsidR="004F7996" w:rsidRDefault="004F7996" w:rsidP="004F7996">
      <w:pPr>
        <w:pStyle w:val="Prrafodelista"/>
      </w:pPr>
    </w:p>
    <w:p w:rsidR="00230F3D" w:rsidRDefault="00C86464" w:rsidP="005750D1">
      <w:pPr>
        <w:pStyle w:val="Prrafodelista"/>
        <w:numPr>
          <w:ilvl w:val="0"/>
          <w:numId w:val="29"/>
        </w:numPr>
        <w:spacing w:line="276" w:lineRule="auto"/>
        <w:ind w:left="714" w:hanging="357"/>
        <w:jc w:val="both"/>
      </w:pPr>
      <w:r w:rsidRPr="005A6843">
        <w:t xml:space="preserve">Debería solicitarse a los Ministerios que separaran la información relativa al contenido de los Planes de </w:t>
      </w:r>
      <w:r w:rsidR="0047261D" w:rsidRPr="005A6843">
        <w:t>la información correspondiente a su seguimiento e incluir esta última en un elemento informativo o sub-categoría de nueva creación.</w:t>
      </w:r>
      <w:r w:rsidR="00F73026" w:rsidRPr="005A6843">
        <w:t xml:space="preserve"> </w:t>
      </w:r>
    </w:p>
    <w:p w:rsidR="00C95272" w:rsidRDefault="00C95272" w:rsidP="00C95272">
      <w:pPr>
        <w:pStyle w:val="Prrafodelista"/>
      </w:pPr>
    </w:p>
    <w:p w:rsidR="00D76B61" w:rsidRPr="004F7996" w:rsidRDefault="00D76B61" w:rsidP="00AA712B">
      <w:pPr>
        <w:jc w:val="both"/>
        <w:rPr>
          <w:b/>
          <w:u w:val="single"/>
        </w:rPr>
      </w:pPr>
      <w:r w:rsidRPr="004F7996">
        <w:rPr>
          <w:b/>
          <w:u w:val="single"/>
        </w:rPr>
        <w:t>Indicadores</w:t>
      </w:r>
    </w:p>
    <w:p w:rsidR="0047261D" w:rsidRPr="005A6843" w:rsidRDefault="0047261D" w:rsidP="00AA712B">
      <w:pPr>
        <w:jc w:val="both"/>
      </w:pPr>
      <w:r w:rsidRPr="005A6843">
        <w:t>Tampoco el Portal proporciona información separada de los indicadores de cumplimiento de los Planes publicados. En los casos en que ésta se da –cuantitativamente mayores que en el caso del seguimiento- aparece subsumida en la presentación del Plan o en su documentación anexa. Teniendo en cuenta estas circunstancias, deben darse por reproducidas las sugerencias efectuadas en el apartado anterior.</w:t>
      </w:r>
    </w:p>
    <w:p w:rsidR="003316F3" w:rsidRPr="005A6843" w:rsidRDefault="003316F3" w:rsidP="002420B8">
      <w:pPr>
        <w:pStyle w:val="Ttulo3"/>
      </w:pPr>
      <w:bookmarkStart w:id="130" w:name="_Toc498345381"/>
      <w:bookmarkStart w:id="131" w:name="_Toc500414730"/>
      <w:bookmarkStart w:id="132" w:name="_Toc500416463"/>
      <w:bookmarkStart w:id="133" w:name="_Toc500416521"/>
      <w:bookmarkStart w:id="134" w:name="_Toc501110673"/>
      <w:r w:rsidRPr="005A6843">
        <w:t>Información de relevancia jurídica</w:t>
      </w:r>
      <w:bookmarkEnd w:id="130"/>
      <w:bookmarkEnd w:id="131"/>
      <w:bookmarkEnd w:id="132"/>
      <w:bookmarkEnd w:id="133"/>
      <w:bookmarkEnd w:id="134"/>
    </w:p>
    <w:p w:rsidR="007701D8" w:rsidRDefault="00FC1022" w:rsidP="005750D1">
      <w:pPr>
        <w:pStyle w:val="Prrafodelista"/>
        <w:numPr>
          <w:ilvl w:val="0"/>
          <w:numId w:val="30"/>
        </w:numPr>
        <w:ind w:left="426"/>
        <w:jc w:val="both"/>
        <w:rPr>
          <w:b/>
        </w:rPr>
      </w:pPr>
      <w:r w:rsidRPr="007B5330">
        <w:rPr>
          <w:b/>
        </w:rPr>
        <w:t>C</w:t>
      </w:r>
      <w:r w:rsidR="007B5330">
        <w:rPr>
          <w:b/>
        </w:rPr>
        <w:t>UESTIONES PREVIAS</w:t>
      </w:r>
    </w:p>
    <w:p w:rsidR="007B5330" w:rsidRPr="007B5330" w:rsidRDefault="007B5330" w:rsidP="007B5330">
      <w:pPr>
        <w:pStyle w:val="Prrafodelista"/>
        <w:ind w:left="426"/>
        <w:jc w:val="both"/>
        <w:rPr>
          <w:b/>
        </w:rPr>
      </w:pPr>
    </w:p>
    <w:p w:rsidR="003316F3" w:rsidRPr="005A6843" w:rsidRDefault="000D7D97" w:rsidP="00AA712B">
      <w:pPr>
        <w:jc w:val="both"/>
      </w:pPr>
      <w:r w:rsidRPr="005A6843">
        <w:t xml:space="preserve">Como ya </w:t>
      </w:r>
      <w:r w:rsidR="003316F3" w:rsidRPr="005A6843">
        <w:t>se ha dicho</w:t>
      </w:r>
      <w:r w:rsidRPr="005A6843">
        <w:t xml:space="preserve"> antes</w:t>
      </w:r>
      <w:r w:rsidR="003316F3" w:rsidRPr="005A6843">
        <w:t xml:space="preserve">, entre las cuatro categorías de información de publicidad del Portal no hay ninguna rotulada “Información de relevancia jurídica”, como la denomina el art. 7 de la </w:t>
      </w:r>
      <w:r w:rsidR="00052FF3">
        <w:t>l</w:t>
      </w:r>
      <w:r w:rsidR="001C41A6">
        <w:t>ey</w:t>
      </w:r>
      <w:r w:rsidR="00E768A4">
        <w:t xml:space="preserve"> de transparencia</w:t>
      </w:r>
      <w:r w:rsidR="003316F3" w:rsidRPr="005A6843">
        <w:t>.</w:t>
      </w:r>
    </w:p>
    <w:p w:rsidR="00290D8D" w:rsidRPr="005A6843" w:rsidRDefault="000D7D97" w:rsidP="00AA712B">
      <w:pPr>
        <w:jc w:val="both"/>
      </w:pPr>
      <w:r w:rsidRPr="005A6843">
        <w:t xml:space="preserve">A cambio de la misma figura </w:t>
      </w:r>
      <w:r w:rsidR="003316F3" w:rsidRPr="005A6843">
        <w:t xml:space="preserve">una categoría denominada </w:t>
      </w:r>
      <w:r w:rsidR="003316F3" w:rsidRPr="007B5330">
        <w:rPr>
          <w:i/>
        </w:rPr>
        <w:t>“Normativa</w:t>
      </w:r>
      <w:r w:rsidR="003316F3" w:rsidRPr="005A6843">
        <w:t>” que</w:t>
      </w:r>
      <w:r w:rsidRPr="005A6843">
        <w:t xml:space="preserve">, en principio, incorpora los datos e informaciones requeridos por el art. 7 de la </w:t>
      </w:r>
      <w:r w:rsidR="00052FF3">
        <w:t>l</w:t>
      </w:r>
      <w:r w:rsidR="001C41A6">
        <w:t>ey</w:t>
      </w:r>
      <w:r w:rsidRPr="005A6843">
        <w:t xml:space="preserve"> y debe, consecuentemente, tenerse por equivalente </w:t>
      </w:r>
      <w:r w:rsidR="00290D8D" w:rsidRPr="005A6843">
        <w:t xml:space="preserve">a la categoría legal. </w:t>
      </w:r>
    </w:p>
    <w:p w:rsidR="005A7AEE" w:rsidRDefault="00290D8D" w:rsidP="00AA712B">
      <w:pPr>
        <w:jc w:val="both"/>
      </w:pPr>
      <w:r w:rsidRPr="005A6843">
        <w:t xml:space="preserve">Ahora bien: esta coincidencia sustancial solo se hace manifiesta cuando </w:t>
      </w:r>
      <w:r w:rsidR="000D7D97" w:rsidRPr="005A6843">
        <w:t xml:space="preserve"> se</w:t>
      </w:r>
      <w:r w:rsidRPr="005A6843">
        <w:t xml:space="preserve"> accede a los contenidos de la categoría. Ateniéndonos únicamente al rótulo o etiqueta, la identidad no es evidente </w:t>
      </w:r>
      <w:r w:rsidR="003316F3" w:rsidRPr="005A6843">
        <w:t xml:space="preserve">pues </w:t>
      </w:r>
      <w:r w:rsidRPr="005A6843">
        <w:t xml:space="preserve">jurídico y normativo no son términos sinónimos: lo primero engloba a lo segundo, que es solamente una de sus partes. Desde esta perspectiva, para evitar confusiones y mejorar la estructuración del Portal, </w:t>
      </w:r>
      <w:r w:rsidR="003316F3" w:rsidRPr="005A6843">
        <w:t xml:space="preserve">sería conveniente revisar la </w:t>
      </w:r>
      <w:r w:rsidRPr="005A6843">
        <w:t xml:space="preserve">actual </w:t>
      </w:r>
      <w:r w:rsidR="003316F3" w:rsidRPr="005A6843">
        <w:t xml:space="preserve">denominación de </w:t>
      </w:r>
      <w:r w:rsidRPr="005A6843">
        <w:t xml:space="preserve">la </w:t>
      </w:r>
      <w:r w:rsidR="005A7AEE">
        <w:t>categoría.</w:t>
      </w:r>
    </w:p>
    <w:p w:rsidR="007701D8" w:rsidRDefault="007701D8" w:rsidP="005750D1">
      <w:pPr>
        <w:pStyle w:val="Prrafodelista"/>
        <w:numPr>
          <w:ilvl w:val="0"/>
          <w:numId w:val="30"/>
        </w:numPr>
        <w:ind w:left="426"/>
        <w:jc w:val="both"/>
        <w:rPr>
          <w:b/>
        </w:rPr>
      </w:pPr>
      <w:r w:rsidRPr="007B5330">
        <w:rPr>
          <w:b/>
        </w:rPr>
        <w:t>A</w:t>
      </w:r>
      <w:r w:rsidR="007B5330">
        <w:rPr>
          <w:b/>
        </w:rPr>
        <w:t>NÁLISIS POR SUB-CATEGORÍAS O ELEMENTOS DE INFORMACIÓN</w:t>
      </w:r>
    </w:p>
    <w:p w:rsidR="007B5330" w:rsidRPr="007B5330" w:rsidRDefault="007B5330" w:rsidP="007B5330">
      <w:pPr>
        <w:pStyle w:val="Prrafodelista"/>
        <w:ind w:left="426"/>
        <w:jc w:val="both"/>
        <w:rPr>
          <w:b/>
        </w:rPr>
      </w:pPr>
    </w:p>
    <w:p w:rsidR="00DE3F3A" w:rsidRPr="007B5330" w:rsidRDefault="0098631A" w:rsidP="00AA712B">
      <w:pPr>
        <w:jc w:val="both"/>
        <w:rPr>
          <w:b/>
          <w:u w:val="single"/>
        </w:rPr>
      </w:pPr>
      <w:r w:rsidRPr="007B5330">
        <w:rPr>
          <w:b/>
          <w:u w:val="single"/>
        </w:rPr>
        <w:t>Directrices, Instrucciones, acuerdos, consultas planteadas por los particulares o por otros órganos que supongan interpretación del Derecho o tengan efectos jurídicos</w:t>
      </w:r>
      <w:r w:rsidR="007B5330">
        <w:rPr>
          <w:b/>
          <w:u w:val="single"/>
        </w:rPr>
        <w:t>.</w:t>
      </w:r>
    </w:p>
    <w:p w:rsidR="00290D8D" w:rsidRPr="005A6843" w:rsidRDefault="00290D8D" w:rsidP="00AA712B">
      <w:pPr>
        <w:jc w:val="both"/>
      </w:pPr>
      <w:r w:rsidRPr="005A6843">
        <w:t xml:space="preserve">La información correspondiente a este apartado figura en el Portal en una sub-categoría específica, </w:t>
      </w:r>
      <w:r w:rsidRPr="007B5330">
        <w:rPr>
          <w:i/>
        </w:rPr>
        <w:t>“Otras Disposiciones”</w:t>
      </w:r>
      <w:r w:rsidRPr="005A6843">
        <w:t xml:space="preserve">, del menú de información sobre </w:t>
      </w:r>
      <w:r w:rsidRPr="007B5330">
        <w:rPr>
          <w:i/>
        </w:rPr>
        <w:t>“Normativa”</w:t>
      </w:r>
      <w:r w:rsidRPr="005A6843">
        <w:t>.</w:t>
      </w:r>
    </w:p>
    <w:p w:rsidR="0098631A" w:rsidRPr="005A6843" w:rsidRDefault="00290D8D" w:rsidP="00AA712B">
      <w:pPr>
        <w:jc w:val="both"/>
      </w:pPr>
      <w:r w:rsidRPr="005A6843">
        <w:t>El acceso a la sub-categoría conduce otra vez al visitante al menú por Ministerios del Portal, en el que no figura Presidencia del Gobierno</w:t>
      </w:r>
      <w:r w:rsidR="00D855C9" w:rsidRPr="005A6843">
        <w:t xml:space="preserve"> </w:t>
      </w:r>
      <w:r w:rsidR="0098631A" w:rsidRPr="005A6843">
        <w:t xml:space="preserve">probablemente </w:t>
      </w:r>
      <w:r w:rsidR="00D855C9" w:rsidRPr="005A6843">
        <w:t xml:space="preserve">por </w:t>
      </w:r>
      <w:r w:rsidR="0098631A" w:rsidRPr="005A6843">
        <w:t>no elabora</w:t>
      </w:r>
      <w:r w:rsidR="00D855C9" w:rsidRPr="005A6843">
        <w:t>r</w:t>
      </w:r>
      <w:r w:rsidR="0098631A" w:rsidRPr="005A6843">
        <w:t xml:space="preserve"> este tipo de disposiciones</w:t>
      </w:r>
      <w:r w:rsidR="00D855C9" w:rsidRPr="005A6843">
        <w:t xml:space="preserve"> o productos jurídicos. El menú está p</w:t>
      </w:r>
      <w:r w:rsidR="0098631A" w:rsidRPr="005A6843">
        <w:t>recedido por una “entradilla”</w:t>
      </w:r>
      <w:r w:rsidR="00D855C9" w:rsidRPr="005A6843">
        <w:t xml:space="preserve"> o explicación inicial</w:t>
      </w:r>
      <w:r w:rsidR="0098631A" w:rsidRPr="005A6843">
        <w:t xml:space="preserve">: </w:t>
      </w:r>
      <w:r w:rsidR="0098631A" w:rsidRPr="007B5330">
        <w:rPr>
          <w:i/>
        </w:rPr>
        <w:t>“Otra información vigente que suponga interpretación del derecho o que produzca efectos jurídicos frente a terceros”</w:t>
      </w:r>
      <w:r w:rsidR="007B5330">
        <w:t xml:space="preserve">, </w:t>
      </w:r>
      <w:r w:rsidR="0098631A" w:rsidRPr="005A6843">
        <w:t>acompañada de un acceso a un desplegable con mayor información.</w:t>
      </w:r>
    </w:p>
    <w:p w:rsidR="0098631A" w:rsidRPr="007B5330" w:rsidRDefault="0098631A" w:rsidP="00AA712B">
      <w:pPr>
        <w:jc w:val="both"/>
        <w:rPr>
          <w:i/>
        </w:rPr>
      </w:pPr>
      <w:r w:rsidRPr="005A6843">
        <w:t xml:space="preserve">Este presenta la ficha técnica de los datos -que señala a los Ministerios como fuente de los </w:t>
      </w:r>
      <w:r w:rsidR="00D855C9" w:rsidRPr="005A6843">
        <w:t>mismos</w:t>
      </w:r>
      <w:r w:rsidRPr="005A6843">
        <w:t xml:space="preserve"> y de la selección de la información</w:t>
      </w:r>
      <w:r w:rsidR="00D855C9" w:rsidRPr="005A6843">
        <w:t>-</w:t>
      </w:r>
      <w:r w:rsidRPr="005A6843">
        <w:t xml:space="preserve"> e informa </w:t>
      </w:r>
      <w:r w:rsidR="00D855C9" w:rsidRPr="005A6843">
        <w:t>de que el apartado incluye</w:t>
      </w:r>
      <w:r w:rsidRPr="005A6843">
        <w:t xml:space="preserve">: </w:t>
      </w:r>
      <w:r w:rsidRPr="007B5330">
        <w:rPr>
          <w:i/>
        </w:rPr>
        <w:t>“Información de relevancia jurídica como directrices, instrucciones, acuerdos, circulares u otros documentos con similares características así como las respuestas a consultas que hayan sido planteadas por los particulares u otros órganos siempre que supongan una interpretación del Derecho o tengan efectos jurídicos frente a terceros</w:t>
      </w:r>
      <w:r w:rsidR="007B5330">
        <w:rPr>
          <w:i/>
        </w:rPr>
        <w:t>”</w:t>
      </w:r>
    </w:p>
    <w:p w:rsidR="00D855C9" w:rsidRPr="005A6843" w:rsidRDefault="0098631A" w:rsidP="00AA712B">
      <w:pPr>
        <w:jc w:val="both"/>
      </w:pPr>
      <w:r w:rsidRPr="005A6843">
        <w:t xml:space="preserve">“Clicando” en cualquier </w:t>
      </w:r>
      <w:r w:rsidR="00D855C9" w:rsidRPr="005A6843">
        <w:t>Ministerio</w:t>
      </w:r>
      <w:r w:rsidRPr="005A6843">
        <w:t>, se accede a una relación de Órdenes ministeriales, circulares, instrucciones, resoluciones, acuerdos, contestaciones a consultas, etc</w:t>
      </w:r>
      <w:r w:rsidR="007B5330">
        <w:t>. es</w:t>
      </w:r>
      <w:r w:rsidR="00D855C9" w:rsidRPr="005A6843">
        <w:t xml:space="preserve">tructurada en seis columnas, </w:t>
      </w:r>
      <w:r w:rsidR="00D855C9" w:rsidRPr="007B5330">
        <w:rPr>
          <w:i/>
        </w:rPr>
        <w:t>“Título”, “Departamento”, “Tipo de norma”, “Temática”, “Fecha de publicación en el «BOE»”</w:t>
      </w:r>
      <w:r w:rsidR="00D855C9" w:rsidRPr="005A6843">
        <w:t xml:space="preserve">, y </w:t>
      </w:r>
      <w:r w:rsidR="00D855C9" w:rsidRPr="007B5330">
        <w:rPr>
          <w:i/>
        </w:rPr>
        <w:t>“Vigente”</w:t>
      </w:r>
      <w:r w:rsidR="00D855C9" w:rsidRPr="005A6843">
        <w:t xml:space="preserve">, </w:t>
      </w:r>
      <w:r w:rsidRPr="005A6843">
        <w:t xml:space="preserve">que permiten filtrar la información-. </w:t>
      </w:r>
    </w:p>
    <w:p w:rsidR="0098631A" w:rsidRPr="005A6843" w:rsidRDefault="0098631A" w:rsidP="00AA712B">
      <w:pPr>
        <w:jc w:val="both"/>
      </w:pPr>
      <w:r w:rsidRPr="005A6843">
        <w:t>Accionando sobre el título de cada resultado, se accede a un menú de opciones con vínculos al texto de la disposición –figura el texto consolidado de la norma en el «BOE» cuando ha sido objeto de publicación-, la resolución o el acuerdo y, en su caso, a los informes y otros documentos elaborados durante su tramitación. El buscador permite filtrar la información por la vigencia de la norma, su fecha de publicación, su tipología y su temática.</w:t>
      </w:r>
    </w:p>
    <w:p w:rsidR="00C71B9E" w:rsidRPr="005A6843" w:rsidRDefault="00C71B9E" w:rsidP="00AA712B">
      <w:pPr>
        <w:jc w:val="both"/>
      </w:pPr>
      <w:r w:rsidRPr="005A6843">
        <w:t xml:space="preserve">El contenido informativo de la sub-categoría recoge </w:t>
      </w:r>
      <w:r w:rsidR="00D855C9" w:rsidRPr="005A6843">
        <w:t>1.4</w:t>
      </w:r>
      <w:r w:rsidR="00382FF8" w:rsidRPr="005A6843">
        <w:t>11</w:t>
      </w:r>
      <w:r w:rsidR="00D855C9" w:rsidRPr="005A6843">
        <w:t xml:space="preserve"> resultados</w:t>
      </w:r>
      <w:r w:rsidRPr="005A6843">
        <w:t xml:space="preserve">: </w:t>
      </w:r>
      <w:r w:rsidR="00D855C9" w:rsidRPr="005A6843">
        <w:t>10</w:t>
      </w:r>
      <w:r w:rsidRPr="005A6843">
        <w:t xml:space="preserve"> </w:t>
      </w:r>
      <w:r w:rsidR="00D855C9" w:rsidRPr="005A6843">
        <w:t>acuerdos</w:t>
      </w:r>
      <w:r w:rsidRPr="005A6843">
        <w:t>,</w:t>
      </w:r>
      <w:r w:rsidR="00D855C9" w:rsidRPr="005A6843">
        <w:t xml:space="preserve"> 76 circulares</w:t>
      </w:r>
      <w:r w:rsidRPr="005A6843">
        <w:t>,</w:t>
      </w:r>
      <w:r w:rsidR="00D855C9" w:rsidRPr="005A6843">
        <w:t xml:space="preserve"> </w:t>
      </w:r>
      <w:r w:rsidRPr="005A6843">
        <w:t xml:space="preserve">cinco </w:t>
      </w:r>
      <w:r w:rsidR="00D855C9" w:rsidRPr="005A6843">
        <w:t>directrices</w:t>
      </w:r>
      <w:r w:rsidRPr="005A6843">
        <w:t xml:space="preserve">, nueve </w:t>
      </w:r>
      <w:r w:rsidR="00D855C9" w:rsidRPr="005A6843">
        <w:t>documentos sometidos a información pública</w:t>
      </w:r>
      <w:r w:rsidR="006D502F" w:rsidRPr="005A6843">
        <w:t>,</w:t>
      </w:r>
      <w:r w:rsidR="00D855C9" w:rsidRPr="005A6843">
        <w:t xml:space="preserve"> </w:t>
      </w:r>
      <w:r w:rsidR="00AB1BC7" w:rsidRPr="005A6843">
        <w:t>74 instrucciones</w:t>
      </w:r>
      <w:r w:rsidRPr="005A6843">
        <w:t>,</w:t>
      </w:r>
      <w:r w:rsidR="00AB1BC7" w:rsidRPr="005A6843">
        <w:t xml:space="preserve"> 610 </w:t>
      </w:r>
      <w:r w:rsidRPr="005A6843">
        <w:t>Ó</w:t>
      </w:r>
      <w:r w:rsidR="00AB1BC7" w:rsidRPr="005A6843">
        <w:t xml:space="preserve">rdenes </w:t>
      </w:r>
      <w:r w:rsidRPr="005A6843">
        <w:t>M</w:t>
      </w:r>
      <w:r w:rsidR="00AB1BC7" w:rsidRPr="005A6843">
        <w:t>inisteriales</w:t>
      </w:r>
      <w:r w:rsidRPr="005A6843">
        <w:t xml:space="preserve">, </w:t>
      </w:r>
      <w:r w:rsidR="00AB1BC7" w:rsidRPr="005A6843">
        <w:t>546 resoluciones de carácter normativo</w:t>
      </w:r>
      <w:r w:rsidRPr="005A6843">
        <w:t xml:space="preserve"> y </w:t>
      </w:r>
      <w:r w:rsidR="00AB1BC7" w:rsidRPr="005A6843">
        <w:t>79 contestaciones a consultas</w:t>
      </w:r>
      <w:r w:rsidRPr="005A6843">
        <w:t>.</w:t>
      </w:r>
      <w:r w:rsidR="00924833" w:rsidRPr="005A6843">
        <w:t xml:space="preserve"> Salvo dos entradas, correspondientes al MFOM, todas corresponden a disposiciones o decisiones vigentes.</w:t>
      </w:r>
    </w:p>
    <w:p w:rsidR="00924833" w:rsidRPr="005A6843" w:rsidRDefault="00E71E8D" w:rsidP="00AA712B">
      <w:pPr>
        <w:jc w:val="both"/>
      </w:pPr>
      <w:r w:rsidRPr="005A6843">
        <w:t>Como sucede con otros contenidos del Portal, las disposiciones son de contenido heterogéneo y afectan a diversidad de materias. No obstante, a diferencia de otros supuestos, como el de los Planes de Objetivos, el buscador incluye un filtro temático que permite encaminar las búsquedas.</w:t>
      </w:r>
    </w:p>
    <w:p w:rsidR="00F616D3" w:rsidRPr="005A6843" w:rsidRDefault="00E71E8D" w:rsidP="00780DF4">
      <w:pPr>
        <w:jc w:val="both"/>
      </w:pPr>
      <w:r w:rsidRPr="005A6843">
        <w:t xml:space="preserve">Desde el punto de vista del cumplimiento de la </w:t>
      </w:r>
      <w:r w:rsidR="0030754C">
        <w:t>l</w:t>
      </w:r>
      <w:r w:rsidR="001C41A6">
        <w:t>ey</w:t>
      </w:r>
      <w:r w:rsidR="00E768A4">
        <w:t xml:space="preserve"> de transparencia</w:t>
      </w:r>
      <w:r w:rsidR="00F616D3" w:rsidRPr="005A6843">
        <w:t xml:space="preserve">, </w:t>
      </w:r>
      <w:r w:rsidR="00855350" w:rsidRPr="005A6843">
        <w:t>cabe</w:t>
      </w:r>
      <w:r w:rsidR="00F616D3" w:rsidRPr="005A6843">
        <w:t xml:space="preserve"> hacer las siguientes sugerencias de mejora:</w:t>
      </w:r>
    </w:p>
    <w:p w:rsidR="00144CE8" w:rsidRDefault="00F616D3" w:rsidP="005750D1">
      <w:pPr>
        <w:pStyle w:val="Prrafodelista"/>
        <w:numPr>
          <w:ilvl w:val="0"/>
          <w:numId w:val="31"/>
        </w:numPr>
        <w:spacing w:line="276" w:lineRule="auto"/>
        <w:jc w:val="both"/>
      </w:pPr>
      <w:r w:rsidRPr="005A6843">
        <w:t>En primer lugar</w:t>
      </w:r>
      <w:r w:rsidR="00382FF8" w:rsidRPr="005A6843">
        <w:t xml:space="preserve">, debería considerarse la inclusión en el apartado de la información relativa a </w:t>
      </w:r>
      <w:r w:rsidR="000F0E13" w:rsidRPr="005A6843">
        <w:t xml:space="preserve">las </w:t>
      </w:r>
      <w:r w:rsidR="00382FF8" w:rsidRPr="005A6843">
        <w:t>Órdenes Ministeriales, que constituye</w:t>
      </w:r>
      <w:r w:rsidR="000F0E13" w:rsidRPr="005A6843">
        <w:t>,</w:t>
      </w:r>
      <w:r w:rsidR="00382FF8" w:rsidRPr="005A6843">
        <w:t xml:space="preserve"> además</w:t>
      </w:r>
      <w:r w:rsidR="000F0E13" w:rsidRPr="005A6843">
        <w:t>,</w:t>
      </w:r>
      <w:r w:rsidR="00AB1BC7" w:rsidRPr="005A6843">
        <w:t xml:space="preserve"> </w:t>
      </w:r>
      <w:r w:rsidR="000F0E13" w:rsidRPr="005A6843">
        <w:t xml:space="preserve">el 43 por 100 del contenido total de la sub-categoría. El art. 7, apartado a), de la </w:t>
      </w:r>
      <w:r w:rsidR="0030754C">
        <w:t>l</w:t>
      </w:r>
      <w:r w:rsidR="001C41A6">
        <w:t>ey</w:t>
      </w:r>
      <w:r w:rsidR="00E768A4">
        <w:t xml:space="preserve"> de transparencia</w:t>
      </w:r>
      <w:r w:rsidR="000F0E13" w:rsidRPr="005A6843">
        <w:t xml:space="preserve"> no las menciona, por lo que </w:t>
      </w:r>
      <w:r w:rsidR="00B052A5" w:rsidRPr="005A6843">
        <w:t xml:space="preserve">están excluidas del régimen de publicidad activa. El motivo es, evidentemente, que las Órdenes que constituyen normas jurídicas y no meros actos administrativos ya son objeto de publicación oficial y que las que constituyen actos no tienen eficacia </w:t>
      </w:r>
      <w:r w:rsidR="00B052A5" w:rsidRPr="00780DF4">
        <w:rPr>
          <w:i/>
        </w:rPr>
        <w:t>erga omnes</w:t>
      </w:r>
      <w:r w:rsidR="00B052A5" w:rsidRPr="005A6843">
        <w:t xml:space="preserve"> y son notificadas a sus destinatarios. </w:t>
      </w:r>
      <w:r w:rsidR="000F3745" w:rsidRPr="005A6843">
        <w:t xml:space="preserve">Por el contrario, la mayoría de las otras disposiciones a que se refiere la </w:t>
      </w:r>
      <w:r w:rsidR="0030754C">
        <w:t>l</w:t>
      </w:r>
      <w:r w:rsidR="001C41A6">
        <w:t>ey</w:t>
      </w:r>
      <w:r w:rsidR="000F3745" w:rsidRPr="005A6843">
        <w:t xml:space="preserve"> (circulares, instrucciones, directrices, etc.) no suelen publicarse en el BOE </w:t>
      </w:r>
      <w:r w:rsidR="00144CE8" w:rsidRPr="005A6843">
        <w:t xml:space="preserve">y, en consecuencia, son desconocidas por la ciudadanía. Desde este punto, la inclusión de estas normas de categoría inferior entre los ítems de publicidad activa es una de las principales innovaciones de la </w:t>
      </w:r>
      <w:r w:rsidR="0030754C">
        <w:t>l</w:t>
      </w:r>
      <w:r w:rsidR="001C41A6">
        <w:t>ey</w:t>
      </w:r>
      <w:r w:rsidR="00144CE8" w:rsidRPr="005A6843">
        <w:t>.</w:t>
      </w:r>
    </w:p>
    <w:p w:rsidR="00780DF4" w:rsidRPr="005A6843" w:rsidRDefault="00780DF4" w:rsidP="00780DF4">
      <w:pPr>
        <w:pStyle w:val="Prrafodelista"/>
        <w:spacing w:line="276" w:lineRule="auto"/>
        <w:jc w:val="both"/>
      </w:pPr>
    </w:p>
    <w:p w:rsidR="00964197" w:rsidRPr="005A6843" w:rsidRDefault="00144CE8" w:rsidP="00780DF4">
      <w:pPr>
        <w:ind w:left="708"/>
        <w:jc w:val="both"/>
      </w:pPr>
      <w:r w:rsidRPr="005A6843">
        <w:t>A criterio de este CTBG, la inclusión de las Órdenes en esta categoría carece de sentido y solo contribuye a engro</w:t>
      </w:r>
      <w:r w:rsidR="00855350" w:rsidRPr="005A6843">
        <w:t>sar el número de resultados y a</w:t>
      </w:r>
      <w:r w:rsidRPr="005A6843">
        <w:t xml:space="preserve"> dificultar la búsqueda de información. Si las </w:t>
      </w:r>
      <w:r w:rsidR="00964197" w:rsidRPr="005A6843">
        <w:t>Ó</w:t>
      </w:r>
      <w:r w:rsidRPr="005A6843">
        <w:t>rdenes tiene</w:t>
      </w:r>
      <w:r w:rsidR="00964197" w:rsidRPr="005A6843">
        <w:t>n</w:t>
      </w:r>
      <w:r w:rsidRPr="005A6843">
        <w:t xml:space="preserve"> que ver con la estructura, la organización o el funcionamiento de</w:t>
      </w:r>
      <w:r w:rsidR="00964197" w:rsidRPr="005A6843">
        <w:t xml:space="preserve">l Ministerio u organismo deberían publicarse en la sub-categoría </w:t>
      </w:r>
      <w:r w:rsidR="00964197" w:rsidRPr="00780DF4">
        <w:rPr>
          <w:i/>
        </w:rPr>
        <w:t>"Normativa reguladora"</w:t>
      </w:r>
      <w:r w:rsidR="00964197" w:rsidRPr="005A6843">
        <w:t xml:space="preserve"> de la categoría </w:t>
      </w:r>
      <w:r w:rsidR="00964197" w:rsidRPr="00780DF4">
        <w:rPr>
          <w:i/>
        </w:rPr>
        <w:t>"Institucional"</w:t>
      </w:r>
      <w:r w:rsidR="00964197" w:rsidRPr="005A6843">
        <w:t xml:space="preserve">. Si no tienen que ver con estas cuestiones, deberían publicarse, en todo caso, en el nuevo apartado de </w:t>
      </w:r>
      <w:r w:rsidR="00964197" w:rsidRPr="00780DF4">
        <w:rPr>
          <w:i/>
        </w:rPr>
        <w:t xml:space="preserve">"Transparencia Voluntaria" </w:t>
      </w:r>
      <w:r w:rsidR="00964197" w:rsidRPr="005A6843">
        <w:t xml:space="preserve">que habría de crearse en el Portal. </w:t>
      </w:r>
    </w:p>
    <w:p w:rsidR="00EE782E" w:rsidRDefault="000F3745" w:rsidP="005750D1">
      <w:pPr>
        <w:pStyle w:val="Prrafodelista"/>
        <w:numPr>
          <w:ilvl w:val="0"/>
          <w:numId w:val="31"/>
        </w:numPr>
        <w:spacing w:line="276" w:lineRule="auto"/>
        <w:jc w:val="both"/>
      </w:pPr>
      <w:r w:rsidRPr="005A6843">
        <w:t>E</w:t>
      </w:r>
      <w:r w:rsidR="00964197" w:rsidRPr="005A6843">
        <w:t xml:space="preserve">n segundo lugar, </w:t>
      </w:r>
      <w:r w:rsidR="00A040AA" w:rsidRPr="005A6843">
        <w:t xml:space="preserve">como se dirá más adelante y de acuerdo con el art. 7 letra e) de la </w:t>
      </w:r>
      <w:r w:rsidR="0030754C">
        <w:t>l</w:t>
      </w:r>
      <w:r w:rsidR="001C41A6">
        <w:t>ey</w:t>
      </w:r>
      <w:r w:rsidR="00E768A4">
        <w:t xml:space="preserve"> de transparencia</w:t>
      </w:r>
      <w:r w:rsidR="00A040AA" w:rsidRPr="005A6843">
        <w:t>, debería eliminarse la información relativa a los documentos sometidos a audiencia pública e incorporarse a una nueva sub-categoría</w:t>
      </w:r>
    </w:p>
    <w:p w:rsidR="00780DF4" w:rsidRPr="005A6843" w:rsidRDefault="00780DF4" w:rsidP="00780DF4">
      <w:pPr>
        <w:pStyle w:val="Prrafodelista"/>
        <w:spacing w:line="276" w:lineRule="auto"/>
        <w:jc w:val="both"/>
      </w:pPr>
    </w:p>
    <w:p w:rsidR="0098631A" w:rsidRDefault="00EE782E" w:rsidP="005750D1">
      <w:pPr>
        <w:pStyle w:val="Prrafodelista"/>
        <w:numPr>
          <w:ilvl w:val="0"/>
          <w:numId w:val="31"/>
        </w:numPr>
        <w:spacing w:line="276" w:lineRule="auto"/>
        <w:jc w:val="both"/>
      </w:pPr>
      <w:r w:rsidRPr="005A6843">
        <w:t xml:space="preserve">Finalmente, </w:t>
      </w:r>
      <w:r w:rsidR="0098631A" w:rsidRPr="005A6843">
        <w:t>para mayor claridad y comprensibilidad de la información</w:t>
      </w:r>
      <w:r w:rsidRPr="005A6843">
        <w:t xml:space="preserve"> y aunque el buscador permite catalogarlos correctamente, </w:t>
      </w:r>
      <w:r w:rsidR="0098631A" w:rsidRPr="005A6843">
        <w:t>sería necesario aproximar la terminología empleada en la</w:t>
      </w:r>
      <w:r w:rsidRPr="005A6843">
        <w:t xml:space="preserve"> denominación de las </w:t>
      </w:r>
      <w:r w:rsidR="0098631A" w:rsidRPr="005A6843">
        <w:t>d</w:t>
      </w:r>
      <w:r w:rsidRPr="005A6843">
        <w:t>isposiciones y actos -</w:t>
      </w:r>
      <w:r w:rsidR="0098631A" w:rsidRPr="005A6843">
        <w:t xml:space="preserve">“resolución”, “denuncia”, “doctrina”, “consulta”, </w:t>
      </w:r>
      <w:r w:rsidR="00235F53">
        <w:t>etc.</w:t>
      </w:r>
      <w:r w:rsidR="0098631A" w:rsidRPr="005A6843">
        <w:t xml:space="preserve">- a la utilizada por el art. 7 de la </w:t>
      </w:r>
      <w:r w:rsidR="0030754C">
        <w:t>l</w:t>
      </w:r>
      <w:r w:rsidR="001C41A6">
        <w:t>ey</w:t>
      </w:r>
      <w:r w:rsidR="00E768A4">
        <w:t xml:space="preserve"> de transparencia</w:t>
      </w:r>
      <w:r w:rsidR="0098631A" w:rsidRPr="005A6843">
        <w:t>: directrices, instrucciones, acuerdos, circulares y respuestas a consultas.</w:t>
      </w:r>
    </w:p>
    <w:p w:rsidR="00780DF4" w:rsidRDefault="00780DF4" w:rsidP="00780DF4">
      <w:pPr>
        <w:pStyle w:val="Prrafodelista"/>
      </w:pPr>
    </w:p>
    <w:p w:rsidR="005A7AEE" w:rsidRDefault="005A7AEE">
      <w:pPr>
        <w:rPr>
          <w:b/>
          <w:u w:val="single"/>
        </w:rPr>
      </w:pPr>
      <w:r>
        <w:rPr>
          <w:b/>
          <w:u w:val="single"/>
        </w:rPr>
        <w:br w:type="page"/>
      </w:r>
    </w:p>
    <w:p w:rsidR="00DB024F" w:rsidRPr="00780DF4" w:rsidRDefault="0098631A" w:rsidP="00AA712B">
      <w:pPr>
        <w:jc w:val="both"/>
        <w:rPr>
          <w:b/>
          <w:u w:val="single"/>
        </w:rPr>
      </w:pPr>
      <w:r w:rsidRPr="00780DF4">
        <w:rPr>
          <w:b/>
          <w:u w:val="single"/>
        </w:rPr>
        <w:t xml:space="preserve">Anteproyectos de </w:t>
      </w:r>
      <w:r w:rsidR="001C41A6">
        <w:rPr>
          <w:b/>
          <w:u w:val="single"/>
        </w:rPr>
        <w:t>Ley</w:t>
      </w:r>
      <w:r w:rsidR="00DB024F" w:rsidRPr="00780DF4">
        <w:rPr>
          <w:b/>
          <w:u w:val="single"/>
        </w:rPr>
        <w:t xml:space="preserve"> y Proyectos de Decretos Legislativos </w:t>
      </w:r>
      <w:r w:rsidR="00780DF4">
        <w:rPr>
          <w:b/>
          <w:u w:val="single"/>
        </w:rPr>
        <w:t>cuya iniciativa les corresponda.</w:t>
      </w:r>
    </w:p>
    <w:p w:rsidR="00F41EA4" w:rsidRPr="00780DF4" w:rsidRDefault="00111DA3" w:rsidP="00AA712B">
      <w:pPr>
        <w:jc w:val="both"/>
        <w:rPr>
          <w:i/>
        </w:rPr>
      </w:pPr>
      <w:r w:rsidRPr="005A6843">
        <w:t xml:space="preserve">El Portal agrupa la información correspondiente a esta sub-categoría de la </w:t>
      </w:r>
      <w:r w:rsidR="0030754C">
        <w:t>l</w:t>
      </w:r>
      <w:r w:rsidR="001C41A6">
        <w:t>ey</w:t>
      </w:r>
      <w:r w:rsidRPr="005A6843">
        <w:t xml:space="preserve"> junto con la de las tres siguientes</w:t>
      </w:r>
      <w:r w:rsidR="00780DF4">
        <w:t xml:space="preserve">: </w:t>
      </w:r>
      <w:r w:rsidR="00F41EA4" w:rsidRPr="00780DF4">
        <w:rPr>
          <w:i/>
        </w:rPr>
        <w:t xml:space="preserve">"Proyectos de Reales Decretos Legislativos", "Proyectos de Reales Decretos" </w:t>
      </w:r>
      <w:r w:rsidR="00F41EA4" w:rsidRPr="00780DF4">
        <w:t xml:space="preserve">y </w:t>
      </w:r>
      <w:r w:rsidR="00F41EA4" w:rsidRPr="00780DF4">
        <w:rPr>
          <w:i/>
        </w:rPr>
        <w:t>"Memorias, informes y dictámenes"</w:t>
      </w:r>
      <w:r w:rsidR="00F41EA4" w:rsidRPr="005A6843">
        <w:t xml:space="preserve"> en una sola sub-categoría denominada </w:t>
      </w:r>
      <w:r w:rsidR="00F41EA4" w:rsidRPr="00780DF4">
        <w:rPr>
          <w:i/>
        </w:rPr>
        <w:t>"Normativa en Elaboración".</w:t>
      </w:r>
    </w:p>
    <w:p w:rsidR="00F41EA4" w:rsidRPr="005A6843" w:rsidRDefault="00F41EA4" w:rsidP="00AA712B">
      <w:pPr>
        <w:jc w:val="both"/>
      </w:pPr>
      <w:r w:rsidRPr="005A6843">
        <w:t>"Pinchando" en el acceso a esta, el visitante se encuentra ante una nueva versión del menú por Ministerios</w:t>
      </w:r>
      <w:r w:rsidR="00BA14AC" w:rsidRPr="005A6843">
        <w:t xml:space="preserve">, encabezada por </w:t>
      </w:r>
      <w:r w:rsidRPr="005A6843">
        <w:t xml:space="preserve">una “entradilla”: </w:t>
      </w:r>
      <w:r w:rsidRPr="00780DF4">
        <w:rPr>
          <w:i/>
        </w:rPr>
        <w:t>“textos normativos en tramitación con carácter previo a su remisión a las Cortes Generales o su publicación en el Boletín Oficial del Estado”</w:t>
      </w:r>
      <w:r w:rsidRPr="005A6843">
        <w:t xml:space="preserve">. </w:t>
      </w:r>
    </w:p>
    <w:p w:rsidR="00F41EA4" w:rsidRPr="005A6843" w:rsidRDefault="00F41EA4" w:rsidP="00AA712B">
      <w:pPr>
        <w:jc w:val="both"/>
      </w:pPr>
      <w:r w:rsidRPr="005A6843">
        <w:t xml:space="preserve">La entrada va acompañada de un acceso a un desplegable con mayor información: ficha técnica de los datos -que señala al Secretariado del Gobierno del MPREAT como fuente de los mismos- y textos adicionales que indican que </w:t>
      </w:r>
      <w:r w:rsidRPr="00780DF4">
        <w:rPr>
          <w:i/>
        </w:rPr>
        <w:t xml:space="preserve">“se publican los Anteproyectos de </w:t>
      </w:r>
      <w:r w:rsidR="001C41A6">
        <w:rPr>
          <w:i/>
        </w:rPr>
        <w:t>Ley</w:t>
      </w:r>
      <w:r w:rsidRPr="00780DF4">
        <w:rPr>
          <w:i/>
        </w:rPr>
        <w:t xml:space="preserve"> y los Proyectos de Reales Decretos Legislativos en el momento en que se solicite dictamen a los órganos consultivos correspondientes”</w:t>
      </w:r>
      <w:r w:rsidRPr="005A6843">
        <w:t xml:space="preserve"> y que </w:t>
      </w:r>
      <w:r w:rsidRPr="00780DF4">
        <w:rPr>
          <w:i/>
        </w:rPr>
        <w:t xml:space="preserve">“si no resulta necesario solicitar ningún informe o dictamen, los textos se publicarán cuando sean remitidos a las Cortes Generales para su tramitación parlamentaria, en el caso de los Proyectos de </w:t>
      </w:r>
      <w:r w:rsidR="001C41A6">
        <w:rPr>
          <w:i/>
        </w:rPr>
        <w:t>Ley</w:t>
      </w:r>
      <w:r w:rsidRPr="00780DF4">
        <w:rPr>
          <w:i/>
        </w:rPr>
        <w:t>, o cuando sean aprobados y publicados, en el caso de los Reales Decretos Legislativos y los Reales Decretos”</w:t>
      </w:r>
      <w:r w:rsidRPr="005A6843">
        <w:t xml:space="preserve">. Un último texto aclara que </w:t>
      </w:r>
      <w:r w:rsidRPr="00780DF4">
        <w:rPr>
          <w:i/>
        </w:rPr>
        <w:t>“en coherencia con las directrices de técnica normativa, los anteproyectos y proyectos propuestos por varios Ministerios figuran entre las disposiciones del Ministerio de la Presidencia como PROPUESTAS CONJUNTAS”.</w:t>
      </w:r>
    </w:p>
    <w:p w:rsidR="00F41EA4" w:rsidRPr="005A6843" w:rsidRDefault="00F41EA4" w:rsidP="00AA712B">
      <w:pPr>
        <w:jc w:val="both"/>
      </w:pPr>
      <w:r w:rsidRPr="005A6843">
        <w:t xml:space="preserve">“Clicando” en cualquier opción de Ministerio se accede a una relación de normas, estructurada en tres columnas: </w:t>
      </w:r>
      <w:r w:rsidRPr="00780DF4">
        <w:rPr>
          <w:i/>
        </w:rPr>
        <w:t xml:space="preserve">“Título”, “Departamento” </w:t>
      </w:r>
      <w:r w:rsidRPr="005A6843">
        <w:t xml:space="preserve">y </w:t>
      </w:r>
      <w:r w:rsidRPr="00780DF4">
        <w:rPr>
          <w:i/>
        </w:rPr>
        <w:t>“Tipo de norma”</w:t>
      </w:r>
      <w:r w:rsidRPr="005A6843">
        <w:t xml:space="preserve"> -las dos últimas permiten ordenar la información para su manejo-. </w:t>
      </w:r>
      <w:r w:rsidR="007802CC" w:rsidRPr="005A6843">
        <w:t>"Pinchando" en la denominación de la iniciativa</w:t>
      </w:r>
      <w:r w:rsidR="00855350" w:rsidRPr="005A6843">
        <w:t>,</w:t>
      </w:r>
      <w:r w:rsidRPr="005A6843">
        <w:t xml:space="preserve"> se accede a un menú con vínculos al texto de la iniciativa y a los informes y dictámenes emitidos con ocasión de su tramitación. </w:t>
      </w:r>
      <w:r w:rsidR="007802CC" w:rsidRPr="005A6843">
        <w:t>El buscador permite filtrar los resultados por tipo de norma.</w:t>
      </w:r>
    </w:p>
    <w:p w:rsidR="00731D01" w:rsidRPr="005A6843" w:rsidRDefault="002D7A03" w:rsidP="00AA712B">
      <w:pPr>
        <w:jc w:val="both"/>
      </w:pPr>
      <w:r w:rsidRPr="005A6843">
        <w:t xml:space="preserve">En el caso concreto de los Anteproyectos de </w:t>
      </w:r>
      <w:r w:rsidR="001C41A6">
        <w:t>Ley</w:t>
      </w:r>
      <w:r w:rsidR="00393294" w:rsidRPr="005A6843">
        <w:t xml:space="preserve">, la relación presenta nueve resultados que </w:t>
      </w:r>
      <w:r w:rsidRPr="005A6843">
        <w:t>aparecen desdoblados en Anteproyectos y Proyectos. Como Anteproyectos figuran dos resultados</w:t>
      </w:r>
      <w:r w:rsidR="00DB024F" w:rsidRPr="005A6843">
        <w:t xml:space="preserve">: </w:t>
      </w:r>
      <w:r w:rsidRPr="005A6843">
        <w:t xml:space="preserve">el Anteproyecto de </w:t>
      </w:r>
      <w:r w:rsidR="001C41A6">
        <w:t>Ley</w:t>
      </w:r>
      <w:r w:rsidRPr="005A6843">
        <w:t xml:space="preserve"> Orgánica de Protección de Datos de Carácter Personal y el Anteproyecto de </w:t>
      </w:r>
      <w:r w:rsidR="001C41A6">
        <w:t>Ley</w:t>
      </w:r>
      <w:r w:rsidRPr="005A6843">
        <w:t xml:space="preserve"> por la que se modifica la </w:t>
      </w:r>
      <w:r w:rsidR="001C41A6">
        <w:t>Ley</w:t>
      </w:r>
      <w:r w:rsidRPr="005A6843">
        <w:t xml:space="preserve"> 28/2005, de 26 de diciembre, de medidas sanitarias frente al tabaquismo y reguladora de la venta, el suministro, el consumo y la publicidad de los productos del tabaco-; como Proyectos figuran siete: el Proyecto de </w:t>
      </w:r>
      <w:r w:rsidR="001C41A6">
        <w:t>Ley</w:t>
      </w:r>
      <w:r w:rsidRPr="005A6843">
        <w:t xml:space="preserve"> de asistencia jurídica gratuita</w:t>
      </w:r>
      <w:r w:rsidR="00BE2209" w:rsidRPr="005A6843">
        <w:t xml:space="preserve">; </w:t>
      </w:r>
      <w:r w:rsidRPr="005A6843">
        <w:t xml:space="preserve">el Proyecto de </w:t>
      </w:r>
      <w:r w:rsidR="001C41A6">
        <w:t>Ley</w:t>
      </w:r>
      <w:r w:rsidRPr="005A6843">
        <w:t xml:space="preserve"> por la que se modifica la </w:t>
      </w:r>
      <w:r w:rsidR="001C41A6">
        <w:t>Ley</w:t>
      </w:r>
      <w:r w:rsidRPr="005A6843">
        <w:t xml:space="preserve"> 30/1998, de 29 de julio, del Régimen Especial de las Illes Balears</w:t>
      </w:r>
      <w:r w:rsidR="00BE2209" w:rsidRPr="005A6843">
        <w:t>;</w:t>
      </w:r>
      <w:r w:rsidRPr="005A6843">
        <w:t xml:space="preserve"> el Proyecto de </w:t>
      </w:r>
      <w:r w:rsidR="001C41A6">
        <w:t>Ley</w:t>
      </w:r>
      <w:r w:rsidRPr="005A6843">
        <w:t xml:space="preserve"> de Contratos del Sector Público por la que se trasponen al ordenamiento jurídico español las Directivas del Parlamento Europeo y del Consejo, 2014/23/UE y 2014/24/UE, de 26 de febrero de 2014</w:t>
      </w:r>
      <w:r w:rsidR="00BE2209" w:rsidRPr="005A6843">
        <w:t>;</w:t>
      </w:r>
      <w:r w:rsidRPr="005A6843">
        <w:t xml:space="preserve"> el Proyecto de </w:t>
      </w:r>
      <w:r w:rsidR="001C41A6">
        <w:t>Ley</w:t>
      </w:r>
      <w:r w:rsidRPr="005A6843">
        <w:t xml:space="preserve"> sobre procedimientos de contratación en los sectores del agua, la energía, los transportes y los servicios postales por la que se traspone al ordenamiento jurídico español la Directiva 2014/25/UE, del Parlamento Europeo y del Consejo, de 26 de febrero de 2014</w:t>
      </w:r>
      <w:r w:rsidR="00BE2209" w:rsidRPr="005A6843">
        <w:t>;</w:t>
      </w:r>
      <w:r w:rsidRPr="005A6843">
        <w:t xml:space="preserve"> el Proyecto de </w:t>
      </w:r>
      <w:r w:rsidR="001C41A6">
        <w:t>Ley</w:t>
      </w:r>
      <w:r w:rsidRPr="005A6843">
        <w:t xml:space="preserve"> sobre precursores de explosivos</w:t>
      </w:r>
      <w:r w:rsidR="00BE2209" w:rsidRPr="005A6843">
        <w:t>;</w:t>
      </w:r>
      <w:r w:rsidRPr="005A6843">
        <w:t xml:space="preserve"> el Proyecto de </w:t>
      </w:r>
      <w:r w:rsidR="001C41A6">
        <w:t>Ley</w:t>
      </w:r>
      <w:r w:rsidRPr="005A6843">
        <w:t xml:space="preserve"> sobre restitución de bienes culturales que hayan salido de forma ilegal del territorio español o de otro Estado Miembro de la Unión Europea, por la que se incorpora al ordenamiento español la Directiva 2014/60/UE, del Parlamento Europeo y del Consejo de 15 de mayo de 2014</w:t>
      </w:r>
      <w:r w:rsidR="00BE2209" w:rsidRPr="005A6843">
        <w:t xml:space="preserve"> y el </w:t>
      </w:r>
      <w:r w:rsidRPr="005A6843">
        <w:t xml:space="preserve">Proyecto de </w:t>
      </w:r>
      <w:r w:rsidR="001C41A6">
        <w:t>Ley</w:t>
      </w:r>
      <w:r w:rsidRPr="005A6843">
        <w:t xml:space="preserve"> por la que se incorpora al ordenamiento jurídico español la Directiva 2013/11/UE, del Parlamento Europeo y del Consejo, de 21 de mayo de 2013, relativa a la resolución alternativa de litigios en materia de consumo. </w:t>
      </w:r>
    </w:p>
    <w:p w:rsidR="00731D01" w:rsidRPr="005A6843" w:rsidRDefault="00DB024F" w:rsidP="00AA712B">
      <w:pPr>
        <w:jc w:val="both"/>
      </w:pPr>
      <w:r w:rsidRPr="005A6843">
        <w:t>En el caso de los Anteproyectos de Reales Decretos Legislativos se obtienen cero resultados.</w:t>
      </w:r>
    </w:p>
    <w:p w:rsidR="00B10227" w:rsidRPr="005A6843" w:rsidRDefault="007802CC" w:rsidP="00AA712B">
      <w:pPr>
        <w:jc w:val="both"/>
      </w:pPr>
      <w:r w:rsidRPr="005A6843">
        <w:t xml:space="preserve">Considerando su contenido y </w:t>
      </w:r>
      <w:r w:rsidR="00B10227" w:rsidRPr="005A6843">
        <w:t xml:space="preserve">desde el punto de vista de la </w:t>
      </w:r>
      <w:r w:rsidR="0030754C">
        <w:t>l</w:t>
      </w:r>
      <w:r w:rsidR="001C41A6">
        <w:t>ey</w:t>
      </w:r>
      <w:r w:rsidR="00E768A4">
        <w:t xml:space="preserve"> de transparencia</w:t>
      </w:r>
      <w:r w:rsidR="00F41EA4" w:rsidRPr="005A6843">
        <w:t xml:space="preserve">, </w:t>
      </w:r>
      <w:r w:rsidR="00B10227" w:rsidRPr="005A6843">
        <w:t>cabe hacer las siguientes puntualizaciones:</w:t>
      </w:r>
    </w:p>
    <w:p w:rsidR="00B10227" w:rsidRDefault="00FB29D5" w:rsidP="005750D1">
      <w:pPr>
        <w:pStyle w:val="Prrafodelista"/>
        <w:numPr>
          <w:ilvl w:val="0"/>
          <w:numId w:val="32"/>
        </w:numPr>
        <w:spacing w:line="276" w:lineRule="auto"/>
        <w:ind w:left="714" w:hanging="357"/>
        <w:jc w:val="both"/>
      </w:pPr>
      <w:r w:rsidRPr="005A6843">
        <w:t>S</w:t>
      </w:r>
      <w:r w:rsidR="00B10227" w:rsidRPr="005A6843">
        <w:t xml:space="preserve">ería necesario, con vistas a aproximar en la mayor medida posible la estructura del Portal a la sistemática empleada por el art. 7 de la </w:t>
      </w:r>
      <w:r w:rsidR="0030754C">
        <w:t>l</w:t>
      </w:r>
      <w:r w:rsidR="001C41A6">
        <w:t>ey</w:t>
      </w:r>
      <w:r w:rsidR="00E768A4">
        <w:t xml:space="preserve"> de transparencia</w:t>
      </w:r>
      <w:r w:rsidR="00B10227" w:rsidRPr="005A6843">
        <w:t xml:space="preserve">, desdoblar la sub-categoría </w:t>
      </w:r>
      <w:r w:rsidR="00B10227" w:rsidRPr="00780DF4">
        <w:rPr>
          <w:i/>
        </w:rPr>
        <w:t>“Normativa en elaboración”</w:t>
      </w:r>
      <w:r w:rsidR="00B10227" w:rsidRPr="005A6843">
        <w:t xml:space="preserve"> en dos: </w:t>
      </w:r>
      <w:r w:rsidR="00B10227" w:rsidRPr="00780DF4">
        <w:rPr>
          <w:i/>
        </w:rPr>
        <w:t xml:space="preserve">“Anteproyectos de </w:t>
      </w:r>
      <w:r w:rsidR="001C41A6">
        <w:rPr>
          <w:i/>
        </w:rPr>
        <w:t>Ley</w:t>
      </w:r>
      <w:r w:rsidR="00B10227" w:rsidRPr="00780DF4">
        <w:rPr>
          <w:i/>
        </w:rPr>
        <w:t xml:space="preserve"> y Proyectos de Decreto-legislativo en elaboración”</w:t>
      </w:r>
      <w:r w:rsidR="00B10227" w:rsidRPr="005A6843">
        <w:t xml:space="preserve"> y </w:t>
      </w:r>
      <w:r w:rsidR="00B10227" w:rsidRPr="00780DF4">
        <w:rPr>
          <w:i/>
        </w:rPr>
        <w:t>“Proyectos de Reglamento en elaboración”</w:t>
      </w:r>
      <w:r w:rsidR="00B10227" w:rsidRPr="005A6843">
        <w:t>. En la primera se incluirían las iniciativas de normas legales y en la primera las iniciativas de normas reglamentarias.</w:t>
      </w:r>
    </w:p>
    <w:p w:rsidR="00FB29D5" w:rsidRDefault="00FB29D5" w:rsidP="005750D1">
      <w:pPr>
        <w:pStyle w:val="Prrafodelista"/>
        <w:numPr>
          <w:ilvl w:val="0"/>
          <w:numId w:val="32"/>
        </w:numPr>
        <w:spacing w:line="276" w:lineRule="auto"/>
        <w:ind w:left="714" w:hanging="357"/>
        <w:jc w:val="both"/>
      </w:pPr>
      <w:r w:rsidRPr="005A6843">
        <w:t xml:space="preserve">Debería revisarse el contenido de los listados, especialmente desde el punto de vista de su actualidad. Se trata de consignar normativa en tramitación y al menos uno de los resultados que figuran -el Proyecto de </w:t>
      </w:r>
      <w:r w:rsidR="001C41A6">
        <w:t>Ley</w:t>
      </w:r>
      <w:r w:rsidRPr="005A6843">
        <w:t xml:space="preserve"> de asistencia jurídica gratuita- ha sido ya objeto de aprobación -</w:t>
      </w:r>
      <w:r w:rsidR="001C41A6">
        <w:t>Ley</w:t>
      </w:r>
      <w:r w:rsidRPr="005A6843">
        <w:t xml:space="preserve"> 2/2017, de 21 de junio, de modificación de la </w:t>
      </w:r>
      <w:r w:rsidR="001C41A6">
        <w:t>Ley</w:t>
      </w:r>
      <w:r w:rsidRPr="005A6843">
        <w:t xml:space="preserve"> 1/1996, de 10 de enero, de asistencia jurídica gratuita-.</w:t>
      </w:r>
    </w:p>
    <w:p w:rsidR="00780DF4" w:rsidRDefault="00780DF4" w:rsidP="00780DF4">
      <w:pPr>
        <w:pStyle w:val="Prrafodelista"/>
      </w:pPr>
    </w:p>
    <w:p w:rsidR="0098631A" w:rsidRPr="00780DF4" w:rsidRDefault="0098631A" w:rsidP="00AA712B">
      <w:pPr>
        <w:jc w:val="both"/>
        <w:rPr>
          <w:b/>
          <w:u w:val="single"/>
        </w:rPr>
      </w:pPr>
      <w:r w:rsidRPr="00780DF4">
        <w:rPr>
          <w:b/>
          <w:u w:val="single"/>
        </w:rPr>
        <w:t>Proyectos de Reglamentos c</w:t>
      </w:r>
      <w:r w:rsidR="00780DF4">
        <w:rPr>
          <w:b/>
          <w:u w:val="single"/>
        </w:rPr>
        <w:t>uya iniciativa les corresponda.</w:t>
      </w:r>
    </w:p>
    <w:p w:rsidR="002679D2" w:rsidRPr="005A6843" w:rsidRDefault="002679D2" w:rsidP="00AA712B">
      <w:pPr>
        <w:jc w:val="both"/>
      </w:pPr>
      <w:r w:rsidRPr="005A6843">
        <w:t xml:space="preserve">Como se ha visto, la información figura subsumida en una sola sub-categoría, </w:t>
      </w:r>
      <w:r w:rsidRPr="00780DF4">
        <w:rPr>
          <w:i/>
        </w:rPr>
        <w:t>"Normativa en Elaboración"</w:t>
      </w:r>
      <w:r w:rsidR="00855350" w:rsidRPr="005A6843">
        <w:t>,</w:t>
      </w:r>
      <w:r w:rsidRPr="005A6843">
        <w:t xml:space="preserve"> junto con la correspondiente a los Anteproyectos de Ley</w:t>
      </w:r>
      <w:r w:rsidR="00393294" w:rsidRPr="005A6843">
        <w:t xml:space="preserve">es y </w:t>
      </w:r>
      <w:r w:rsidRPr="005A6843">
        <w:t>de Reales Decretos Legislativos.</w:t>
      </w:r>
    </w:p>
    <w:p w:rsidR="00393294" w:rsidRPr="005A6843" w:rsidRDefault="002679D2" w:rsidP="00AA712B">
      <w:pPr>
        <w:jc w:val="both"/>
      </w:pPr>
      <w:r w:rsidRPr="005A6843">
        <w:t xml:space="preserve">Consecuentemente, se ofrece en el mismo formato que aquella. En el caso concreto </w:t>
      </w:r>
      <w:r w:rsidR="00393294" w:rsidRPr="005A6843">
        <w:t xml:space="preserve">de los Proyectos de Reales Decretos, los listados ofrecen </w:t>
      </w:r>
      <w:r w:rsidR="00AB1BC7" w:rsidRPr="005A6843">
        <w:t xml:space="preserve">38 </w:t>
      </w:r>
      <w:r w:rsidR="00393294" w:rsidRPr="005A6843">
        <w:t>resultados.</w:t>
      </w:r>
    </w:p>
    <w:p w:rsidR="00393294" w:rsidRPr="005A6843" w:rsidRDefault="00393294" w:rsidP="00AA712B">
      <w:pPr>
        <w:jc w:val="both"/>
      </w:pPr>
      <w:r w:rsidRPr="005A6843">
        <w:t>Respecto de este contenido, a juicio de este CTBG, podrían introducirse las siguientes mejoras:</w:t>
      </w:r>
    </w:p>
    <w:p w:rsidR="0086086B" w:rsidRDefault="00393294" w:rsidP="005750D1">
      <w:pPr>
        <w:pStyle w:val="Prrafodelista"/>
        <w:numPr>
          <w:ilvl w:val="0"/>
          <w:numId w:val="33"/>
        </w:numPr>
        <w:spacing w:line="276" w:lineRule="auto"/>
        <w:ind w:left="714" w:hanging="357"/>
        <w:jc w:val="both"/>
      </w:pPr>
      <w:r w:rsidRPr="005A6843">
        <w:t xml:space="preserve">Primeramente sería necesario desdoblar la sub-categoría </w:t>
      </w:r>
      <w:r w:rsidRPr="00780DF4">
        <w:rPr>
          <w:i/>
        </w:rPr>
        <w:t>“Normativa en elaboración”</w:t>
      </w:r>
      <w:r w:rsidRPr="005A6843">
        <w:t xml:space="preserve"> en dos: </w:t>
      </w:r>
      <w:r w:rsidRPr="00780DF4">
        <w:rPr>
          <w:i/>
        </w:rPr>
        <w:t xml:space="preserve">“Anteproyectos de </w:t>
      </w:r>
      <w:r w:rsidR="001C41A6">
        <w:rPr>
          <w:i/>
        </w:rPr>
        <w:t>Ley</w:t>
      </w:r>
      <w:r w:rsidRPr="00780DF4">
        <w:rPr>
          <w:i/>
        </w:rPr>
        <w:t xml:space="preserve"> y Proyectos de Decreto-legislativo en elaboración”</w:t>
      </w:r>
      <w:r w:rsidRPr="005A6843">
        <w:t xml:space="preserve"> y </w:t>
      </w:r>
      <w:r w:rsidRPr="00780DF4">
        <w:rPr>
          <w:i/>
        </w:rPr>
        <w:t>“Proyectos de Reglamento en elaboración”</w:t>
      </w:r>
      <w:r w:rsidR="0086086B" w:rsidRPr="00780DF4">
        <w:rPr>
          <w:i/>
        </w:rPr>
        <w:t xml:space="preserve"> </w:t>
      </w:r>
      <w:r w:rsidR="0086086B" w:rsidRPr="005A6843">
        <w:t>e incluir el contenido descrito en esta última.</w:t>
      </w:r>
    </w:p>
    <w:p w:rsidR="00780DF4" w:rsidRPr="005A6843" w:rsidRDefault="00780DF4" w:rsidP="00780DF4">
      <w:pPr>
        <w:pStyle w:val="Prrafodelista"/>
        <w:spacing w:line="276" w:lineRule="auto"/>
        <w:ind w:left="714"/>
        <w:jc w:val="both"/>
      </w:pPr>
    </w:p>
    <w:p w:rsidR="00FB29D5" w:rsidRDefault="00393294" w:rsidP="005750D1">
      <w:pPr>
        <w:pStyle w:val="Prrafodelista"/>
        <w:numPr>
          <w:ilvl w:val="0"/>
          <w:numId w:val="33"/>
        </w:numPr>
        <w:spacing w:line="276" w:lineRule="auto"/>
        <w:ind w:left="714" w:hanging="357"/>
        <w:jc w:val="both"/>
      </w:pPr>
      <w:r w:rsidRPr="005A6843">
        <w:t xml:space="preserve">En </w:t>
      </w:r>
      <w:r w:rsidR="0086086B" w:rsidRPr="005A6843">
        <w:t>segundo lugar, sería conveniente revisar la integridad de la información. S</w:t>
      </w:r>
      <w:r w:rsidR="00FB29D5" w:rsidRPr="005A6843">
        <w:t>orprende que varios Ministerios presenten 0 resultados en sus listados, pues, aunque es concebible que en el momento de realización de la consulta no tengan en marcha ninguna iniciativa legislativa, es difícil imaginar la misma situación en relación con las disposiciones reglamentarias, especialmente considerando el elevado ritmo de producción normativa de las AAPP en la actualidad. Por ello, de darse realmente esta situación, sería imprescindible, a juicio de este CTBG, precisar expresamente que en el momento de la consulta no hay iniciativas ministeriales en marcha.</w:t>
      </w:r>
    </w:p>
    <w:p w:rsidR="00780DF4" w:rsidRDefault="00780DF4" w:rsidP="00780DF4">
      <w:pPr>
        <w:pStyle w:val="Prrafodelista"/>
      </w:pPr>
    </w:p>
    <w:p w:rsidR="004F1B6C" w:rsidRDefault="0086086B" w:rsidP="005750D1">
      <w:pPr>
        <w:pStyle w:val="Prrafodelista"/>
        <w:numPr>
          <w:ilvl w:val="0"/>
          <w:numId w:val="33"/>
        </w:numPr>
        <w:spacing w:line="276" w:lineRule="auto"/>
        <w:ind w:left="714" w:hanging="357"/>
        <w:jc w:val="both"/>
      </w:pPr>
      <w:r w:rsidRPr="005A6843">
        <w:t>Finalmente, deberían incluirse los datos relativos a los Proyectos de Órdenes ministeriales que tuvieran los M</w:t>
      </w:r>
      <w:r w:rsidR="00DB3560" w:rsidRPr="005A6843">
        <w:t>i</w:t>
      </w:r>
      <w:r w:rsidRPr="005A6843">
        <w:t>nisterios en elaboración. D</w:t>
      </w:r>
      <w:r w:rsidR="00FB29D5" w:rsidRPr="005A6843">
        <w:t xml:space="preserve">e acuerdo con el art. 7 de la </w:t>
      </w:r>
      <w:r w:rsidR="0030754C">
        <w:t>l</w:t>
      </w:r>
      <w:r w:rsidR="001C41A6">
        <w:t>ey</w:t>
      </w:r>
      <w:r w:rsidR="00E768A4">
        <w:t xml:space="preserve"> de transparencia</w:t>
      </w:r>
      <w:r w:rsidR="00FB29D5" w:rsidRPr="005A6843">
        <w:t xml:space="preserve">, </w:t>
      </w:r>
      <w:r w:rsidRPr="005A6843">
        <w:t xml:space="preserve">que se refiere a </w:t>
      </w:r>
      <w:r w:rsidR="00FB29D5" w:rsidRPr="005A6843">
        <w:t xml:space="preserve">Proyectos de </w:t>
      </w:r>
      <w:r w:rsidRPr="005A6843">
        <w:t>Reglamento, los P</w:t>
      </w:r>
      <w:r w:rsidR="00DB3560" w:rsidRPr="005A6843">
        <w:t xml:space="preserve">royectos de </w:t>
      </w:r>
      <w:r w:rsidR="00FB29D5" w:rsidRPr="005A6843">
        <w:t xml:space="preserve">Órdenes </w:t>
      </w:r>
      <w:r w:rsidR="00DB3560" w:rsidRPr="005A6843">
        <w:t xml:space="preserve">que constituyan normas jurídicas </w:t>
      </w:r>
      <w:r w:rsidR="00FB29D5" w:rsidRPr="005A6843">
        <w:t>–no actos administrativos-, en tanto que normas reglamentarias, debe</w:t>
      </w:r>
      <w:r w:rsidR="00DB3560" w:rsidRPr="005A6843">
        <w:t xml:space="preserve">n </w:t>
      </w:r>
      <w:r w:rsidR="00FB29D5" w:rsidRPr="005A6843">
        <w:t xml:space="preserve">publicarse </w:t>
      </w:r>
      <w:r w:rsidR="00DB3560" w:rsidRPr="005A6843">
        <w:t>en régimen de publicidad activa</w:t>
      </w:r>
      <w:r w:rsidR="004F1B6C" w:rsidRPr="005A6843">
        <w:t>.</w:t>
      </w:r>
    </w:p>
    <w:p w:rsidR="00780DF4" w:rsidRDefault="00780DF4" w:rsidP="00780DF4">
      <w:pPr>
        <w:pStyle w:val="Prrafodelista"/>
      </w:pPr>
    </w:p>
    <w:p w:rsidR="00761F42" w:rsidRDefault="00DB3560" w:rsidP="00AA712B">
      <w:pPr>
        <w:jc w:val="both"/>
      </w:pPr>
      <w:r w:rsidRPr="005A6843">
        <w:t xml:space="preserve">Probablemente, la razón </w:t>
      </w:r>
      <w:r w:rsidR="00FB29D5" w:rsidRPr="005A6843">
        <w:t xml:space="preserve">por la que los </w:t>
      </w:r>
      <w:r w:rsidRPr="005A6843">
        <w:t xml:space="preserve">proyectos de orden </w:t>
      </w:r>
      <w:r w:rsidR="00FB29D5" w:rsidRPr="005A6843">
        <w:t xml:space="preserve">no se han incorporado a la </w:t>
      </w:r>
      <w:r w:rsidR="00FB29D5" w:rsidRPr="00780DF4">
        <w:rPr>
          <w:i/>
        </w:rPr>
        <w:t>"Normativa en Elaboración"</w:t>
      </w:r>
      <w:r w:rsidR="00FB29D5" w:rsidRPr="005A6843">
        <w:t xml:space="preserve"> del Portal es la vinculación automática de este apartado con la base de datos de tramitación normativa del Secretariado del Gobierno, que no incluye </w:t>
      </w:r>
      <w:r w:rsidRPr="005A6843">
        <w:t>Ó</w:t>
      </w:r>
      <w:r w:rsidR="00FB29D5" w:rsidRPr="005A6843">
        <w:t xml:space="preserve">rdenes </w:t>
      </w:r>
      <w:r w:rsidRPr="005A6843">
        <w:t>M</w:t>
      </w:r>
      <w:r w:rsidR="00FB29D5" w:rsidRPr="005A6843">
        <w:t xml:space="preserve">inisteriales por no ser tramitadas por el Consejo de Ministros. En cualquier caso, y aunque no sea posible emplear el mismo recurso técnico, la información relativa a la elaboración de las Órdenes  debe incorporarse al Portal. </w:t>
      </w:r>
    </w:p>
    <w:p w:rsidR="0098631A" w:rsidRPr="00780DF4" w:rsidRDefault="0098631A" w:rsidP="00AA712B">
      <w:pPr>
        <w:jc w:val="both"/>
      </w:pPr>
      <w:r w:rsidRPr="00780DF4">
        <w:rPr>
          <w:b/>
          <w:u w:val="single"/>
        </w:rPr>
        <w:t>Memorias e Informes que conformen los expedientes de elabo</w:t>
      </w:r>
      <w:r w:rsidR="00780DF4">
        <w:rPr>
          <w:b/>
          <w:u w:val="single"/>
        </w:rPr>
        <w:t>ración de los textos normativos</w:t>
      </w:r>
      <w:r w:rsidRPr="00780DF4">
        <w:t xml:space="preserve"> </w:t>
      </w:r>
    </w:p>
    <w:p w:rsidR="00DE3F3A" w:rsidRPr="005A6843" w:rsidRDefault="003B333D" w:rsidP="00AA712B">
      <w:pPr>
        <w:jc w:val="both"/>
      </w:pPr>
      <w:r w:rsidRPr="005A6843">
        <w:t xml:space="preserve">La información está subsumida junto con la de las dos sub-categorías anteriores. De acuerdo con el art. 7 de la </w:t>
      </w:r>
      <w:r w:rsidR="0030754C">
        <w:t>l</w:t>
      </w:r>
      <w:r w:rsidR="001C41A6">
        <w:t>ey</w:t>
      </w:r>
      <w:r w:rsidR="00E768A4">
        <w:t xml:space="preserve"> de transparencia</w:t>
      </w:r>
      <w:r w:rsidRPr="005A6843">
        <w:t>, debería segregarse y situarse en un apartado o sub-categoría específica.</w:t>
      </w:r>
    </w:p>
    <w:p w:rsidR="0098631A" w:rsidRPr="00780DF4" w:rsidRDefault="0098631A" w:rsidP="00AA712B">
      <w:pPr>
        <w:jc w:val="both"/>
        <w:rPr>
          <w:b/>
          <w:u w:val="single"/>
        </w:rPr>
      </w:pPr>
      <w:r w:rsidRPr="00780DF4">
        <w:rPr>
          <w:b/>
          <w:u w:val="single"/>
        </w:rPr>
        <w:t>Documentos sometidos a información pública durante la tramitación de textos normativos.</w:t>
      </w:r>
    </w:p>
    <w:p w:rsidR="007A4DD2" w:rsidRPr="005A6843" w:rsidRDefault="00E176D1" w:rsidP="00AA712B">
      <w:pPr>
        <w:jc w:val="both"/>
      </w:pPr>
      <w:r w:rsidRPr="005A6843">
        <w:t xml:space="preserve">Como se ha visto, la información correspondiente a </w:t>
      </w:r>
      <w:r w:rsidR="00780DF4">
        <w:t>este apartado figura en la sub-</w:t>
      </w:r>
      <w:r w:rsidRPr="005A6843">
        <w:t xml:space="preserve">categoría </w:t>
      </w:r>
      <w:r w:rsidRPr="00780DF4">
        <w:rPr>
          <w:i/>
        </w:rPr>
        <w:t>"Otras disposiciones"</w:t>
      </w:r>
      <w:r w:rsidRPr="005A6843">
        <w:t xml:space="preserve"> y se concreta en nueve registros informativos de diversos </w:t>
      </w:r>
      <w:r w:rsidR="00CE6796" w:rsidRPr="005A6843">
        <w:t>Ministerios</w:t>
      </w:r>
      <w:r w:rsidRPr="005A6843">
        <w:t>: "</w:t>
      </w:r>
      <w:r w:rsidRPr="00780DF4">
        <w:rPr>
          <w:i/>
        </w:rPr>
        <w:t>Exposición al público de la Ponencia de valores Total por municipios durante 2014"</w:t>
      </w:r>
      <w:r w:rsidRPr="005A6843">
        <w:t xml:space="preserve"> (MINHAFP)</w:t>
      </w:r>
      <w:r w:rsidR="002A45F7" w:rsidRPr="005A6843">
        <w:t xml:space="preserve">, </w:t>
      </w:r>
      <w:r w:rsidR="002A45F7" w:rsidRPr="00780DF4">
        <w:rPr>
          <w:i/>
        </w:rPr>
        <w:t>"</w:t>
      </w:r>
      <w:r w:rsidRPr="00780DF4">
        <w:rPr>
          <w:i/>
        </w:rPr>
        <w:t>Normativa de información pública</w:t>
      </w:r>
      <w:r w:rsidR="002A45F7" w:rsidRPr="00780DF4">
        <w:rPr>
          <w:i/>
        </w:rPr>
        <w:t xml:space="preserve"> del </w:t>
      </w:r>
      <w:r w:rsidRPr="00780DF4">
        <w:rPr>
          <w:i/>
        </w:rPr>
        <w:t>Catastro</w:t>
      </w:r>
      <w:r w:rsidR="002A45F7" w:rsidRPr="00780DF4">
        <w:rPr>
          <w:i/>
        </w:rPr>
        <w:t>"</w:t>
      </w:r>
      <w:r w:rsidR="002A45F7" w:rsidRPr="005A6843">
        <w:t xml:space="preserve"> (MINHAFP)</w:t>
      </w:r>
      <w:r w:rsidR="00235F53">
        <w:t>,</w:t>
      </w:r>
      <w:r w:rsidR="002A45F7" w:rsidRPr="005A6843">
        <w:t xml:space="preserve"> </w:t>
      </w:r>
      <w:r w:rsidR="002A45F7" w:rsidRPr="00780DF4">
        <w:rPr>
          <w:i/>
        </w:rPr>
        <w:t>"</w:t>
      </w:r>
      <w:r w:rsidRPr="00780DF4">
        <w:rPr>
          <w:i/>
        </w:rPr>
        <w:t>Modificación de la Orden FOM/534/2014, de 20 de marzo, por la que se aprueba la norma 8.1 – IC señalización vertical de la Instrucción de Carreteras</w:t>
      </w:r>
      <w:r w:rsidR="002A45F7" w:rsidRPr="00780DF4">
        <w:rPr>
          <w:i/>
        </w:rPr>
        <w:t>"</w:t>
      </w:r>
      <w:r w:rsidR="002A45F7" w:rsidRPr="005A6843">
        <w:t xml:space="preserve"> (MFOM)</w:t>
      </w:r>
      <w:r w:rsidR="00235F53">
        <w:t>,</w:t>
      </w:r>
      <w:r w:rsidR="002A45F7" w:rsidRPr="005A6843">
        <w:t xml:space="preserve"> </w:t>
      </w:r>
      <w:r w:rsidR="002A45F7" w:rsidRPr="00780DF4">
        <w:rPr>
          <w:i/>
        </w:rPr>
        <w:t>"</w:t>
      </w:r>
      <w:r w:rsidRPr="00780DF4">
        <w:rPr>
          <w:i/>
        </w:rPr>
        <w:t xml:space="preserve">Nota informativa sobre la aplicación de la prestación por paternidad tras la entrada en vigor de la </w:t>
      </w:r>
      <w:r w:rsidR="001C41A6">
        <w:rPr>
          <w:i/>
        </w:rPr>
        <w:t>Ley</w:t>
      </w:r>
      <w:r w:rsidRPr="00780DF4">
        <w:rPr>
          <w:i/>
        </w:rPr>
        <w:t xml:space="preserve"> 9/2009, de 6 de octubre, de ampliación de la duración del permiso de paternidad en los casos de nacimiento, adopción o acogida</w:t>
      </w:r>
      <w:r w:rsidR="002A45F7" w:rsidRPr="00780DF4">
        <w:rPr>
          <w:i/>
        </w:rPr>
        <w:t>"</w:t>
      </w:r>
      <w:r w:rsidR="002A45F7" w:rsidRPr="005A6843">
        <w:t xml:space="preserve"> (MEYSS)</w:t>
      </w:r>
      <w:r w:rsidR="00235F53">
        <w:t>,</w:t>
      </w:r>
      <w:r w:rsidR="002A45F7" w:rsidRPr="005A6843">
        <w:t xml:space="preserve"> </w:t>
      </w:r>
      <w:r w:rsidR="002A45F7" w:rsidRPr="00780DF4">
        <w:rPr>
          <w:i/>
        </w:rPr>
        <w:t>"</w:t>
      </w:r>
      <w:r w:rsidRPr="00780DF4">
        <w:rPr>
          <w:i/>
        </w:rPr>
        <w:t>Documentos sometidos por la Confederación Hidrográfica del Júcar a fase de información pública</w:t>
      </w:r>
      <w:r w:rsidR="002A45F7" w:rsidRPr="00780DF4">
        <w:rPr>
          <w:i/>
        </w:rPr>
        <w:t>"</w:t>
      </w:r>
      <w:r w:rsidR="002A45F7" w:rsidRPr="005A6843">
        <w:t xml:space="preserve"> (MAPAMA)</w:t>
      </w:r>
      <w:r w:rsidR="00235F53">
        <w:t>,</w:t>
      </w:r>
      <w:r w:rsidR="002A45F7" w:rsidRPr="005A6843">
        <w:t xml:space="preserve"> </w:t>
      </w:r>
      <w:r w:rsidR="002A45F7" w:rsidRPr="00780DF4">
        <w:rPr>
          <w:i/>
        </w:rPr>
        <w:t xml:space="preserve">"Propuesta </w:t>
      </w:r>
      <w:r w:rsidR="00235F53">
        <w:rPr>
          <w:i/>
        </w:rPr>
        <w:t>d</w:t>
      </w:r>
      <w:r w:rsidR="002A45F7" w:rsidRPr="00780DF4">
        <w:rPr>
          <w:i/>
        </w:rPr>
        <w:t xml:space="preserve">e Proyecto </w:t>
      </w:r>
      <w:r w:rsidR="00235F53">
        <w:rPr>
          <w:i/>
        </w:rPr>
        <w:t>d</w:t>
      </w:r>
      <w:r w:rsidR="002A45F7" w:rsidRPr="00780DF4">
        <w:rPr>
          <w:i/>
        </w:rPr>
        <w:t xml:space="preserve">e Revisión </w:t>
      </w:r>
      <w:r w:rsidR="00235F53">
        <w:rPr>
          <w:i/>
        </w:rPr>
        <w:t>d</w:t>
      </w:r>
      <w:r w:rsidR="002A45F7" w:rsidRPr="00780DF4">
        <w:rPr>
          <w:i/>
        </w:rPr>
        <w:t xml:space="preserve">el Plan Hidrológico </w:t>
      </w:r>
      <w:r w:rsidR="00235F53">
        <w:rPr>
          <w:i/>
        </w:rPr>
        <w:t>d</w:t>
      </w:r>
      <w:r w:rsidR="002A45F7" w:rsidRPr="00780DF4">
        <w:rPr>
          <w:i/>
        </w:rPr>
        <w:t xml:space="preserve">e </w:t>
      </w:r>
      <w:r w:rsidR="00235F53">
        <w:rPr>
          <w:i/>
        </w:rPr>
        <w:t>l</w:t>
      </w:r>
      <w:r w:rsidR="002A45F7" w:rsidRPr="00780DF4">
        <w:rPr>
          <w:i/>
        </w:rPr>
        <w:t xml:space="preserve">a </w:t>
      </w:r>
      <w:r w:rsidR="00235F53">
        <w:rPr>
          <w:i/>
        </w:rPr>
        <w:t>c</w:t>
      </w:r>
      <w:r w:rsidR="002A45F7" w:rsidRPr="00780DF4">
        <w:rPr>
          <w:i/>
        </w:rPr>
        <w:t xml:space="preserve">uenca </w:t>
      </w:r>
      <w:r w:rsidR="00235F53">
        <w:rPr>
          <w:i/>
        </w:rPr>
        <w:t>d</w:t>
      </w:r>
      <w:r w:rsidR="002A45F7" w:rsidRPr="00780DF4">
        <w:rPr>
          <w:i/>
        </w:rPr>
        <w:t>el Ebro</w:t>
      </w:r>
      <w:r w:rsidRPr="00780DF4">
        <w:rPr>
          <w:i/>
        </w:rPr>
        <w:t xml:space="preserve"> 2010-2015</w:t>
      </w:r>
      <w:r w:rsidR="002A45F7" w:rsidRPr="00780DF4">
        <w:rPr>
          <w:i/>
        </w:rPr>
        <w:t>"</w:t>
      </w:r>
      <w:r w:rsidR="002A45F7" w:rsidRPr="005A6843">
        <w:t xml:space="preserve"> (MAPAMA)</w:t>
      </w:r>
      <w:r w:rsidR="00235F53">
        <w:t>,</w:t>
      </w:r>
      <w:r w:rsidR="002A45F7" w:rsidRPr="005A6843">
        <w:t xml:space="preserve"> </w:t>
      </w:r>
      <w:r w:rsidR="002A45F7" w:rsidRPr="00780DF4">
        <w:rPr>
          <w:i/>
        </w:rPr>
        <w:t>"</w:t>
      </w:r>
      <w:r w:rsidRPr="00780DF4">
        <w:rPr>
          <w:i/>
        </w:rPr>
        <w:t>Resolución de 25 de marzo del Organismo Autónomo Parques Nacionales, por la que se somete el borrador del Plan Director de la Red de Parques Nacionales a un periodo de información pública</w:t>
      </w:r>
      <w:r w:rsidR="002A45F7" w:rsidRPr="00780DF4">
        <w:rPr>
          <w:i/>
        </w:rPr>
        <w:t>"</w:t>
      </w:r>
      <w:r w:rsidR="002A45F7" w:rsidRPr="005A6843">
        <w:t xml:space="preserve"> (MAPAMA)</w:t>
      </w:r>
      <w:r w:rsidR="00235F53">
        <w:t>,</w:t>
      </w:r>
      <w:r w:rsidR="002A45F7" w:rsidRPr="005A6843">
        <w:t xml:space="preserve"> </w:t>
      </w:r>
      <w:r w:rsidR="002A45F7" w:rsidRPr="00780DF4">
        <w:rPr>
          <w:i/>
        </w:rPr>
        <w:t xml:space="preserve">"Proyecto </w:t>
      </w:r>
      <w:r w:rsidR="00235F53">
        <w:rPr>
          <w:i/>
        </w:rPr>
        <w:t>d</w:t>
      </w:r>
      <w:r w:rsidR="002A45F7" w:rsidRPr="00780DF4">
        <w:rPr>
          <w:i/>
        </w:rPr>
        <w:t xml:space="preserve">e Plan </w:t>
      </w:r>
      <w:r w:rsidR="00235F53">
        <w:rPr>
          <w:i/>
        </w:rPr>
        <w:t>d</w:t>
      </w:r>
      <w:r w:rsidR="002A45F7" w:rsidRPr="00780DF4">
        <w:rPr>
          <w:i/>
        </w:rPr>
        <w:t xml:space="preserve">e Gestión </w:t>
      </w:r>
      <w:r w:rsidR="00235F53">
        <w:rPr>
          <w:i/>
        </w:rPr>
        <w:t>d</w:t>
      </w:r>
      <w:r w:rsidR="002A45F7" w:rsidRPr="00780DF4">
        <w:rPr>
          <w:i/>
        </w:rPr>
        <w:t xml:space="preserve">e Riesgo </w:t>
      </w:r>
      <w:r w:rsidR="00235F53">
        <w:rPr>
          <w:i/>
        </w:rPr>
        <w:t>d</w:t>
      </w:r>
      <w:r w:rsidR="002A45F7" w:rsidRPr="00780DF4">
        <w:rPr>
          <w:i/>
        </w:rPr>
        <w:t xml:space="preserve">e Inundación </w:t>
      </w:r>
      <w:r w:rsidR="00235F53">
        <w:rPr>
          <w:i/>
        </w:rPr>
        <w:t>e</w:t>
      </w:r>
      <w:r w:rsidR="002A45F7" w:rsidRPr="00780DF4">
        <w:rPr>
          <w:i/>
        </w:rPr>
        <w:t xml:space="preserve">n </w:t>
      </w:r>
      <w:r w:rsidR="00235F53">
        <w:rPr>
          <w:i/>
        </w:rPr>
        <w:t>l</w:t>
      </w:r>
      <w:r w:rsidR="002A45F7" w:rsidRPr="00780DF4">
        <w:rPr>
          <w:i/>
        </w:rPr>
        <w:t xml:space="preserve">a </w:t>
      </w:r>
      <w:r w:rsidR="00235F53">
        <w:rPr>
          <w:i/>
        </w:rPr>
        <w:t>c</w:t>
      </w:r>
      <w:r w:rsidR="002A45F7" w:rsidRPr="00780DF4">
        <w:rPr>
          <w:i/>
        </w:rPr>
        <w:t xml:space="preserve">uenca </w:t>
      </w:r>
      <w:r w:rsidR="00235F53">
        <w:rPr>
          <w:i/>
        </w:rPr>
        <w:t>d</w:t>
      </w:r>
      <w:r w:rsidR="002A45F7" w:rsidRPr="00780DF4">
        <w:rPr>
          <w:i/>
        </w:rPr>
        <w:t>el Ebro 2015-2021"</w:t>
      </w:r>
      <w:r w:rsidR="00235F53">
        <w:rPr>
          <w:i/>
        </w:rPr>
        <w:t>,</w:t>
      </w:r>
      <w:r w:rsidR="002A45F7" w:rsidRPr="005A6843">
        <w:t xml:space="preserve"> </w:t>
      </w:r>
      <w:r w:rsidR="002A45F7" w:rsidRPr="00235F53">
        <w:rPr>
          <w:i/>
        </w:rPr>
        <w:t>"</w:t>
      </w:r>
      <w:r w:rsidRPr="00235F53">
        <w:rPr>
          <w:i/>
        </w:rPr>
        <w:t>Proyecto de orden por la que se determinan los criterios mínimos y procedimiento para la comunicación de la intención de adecuar los medicamentos homeopáticos comercializados al amparo de la Disposición transitoria segunda del Real Decreto 2208/1994, de 16 de noviembre, por el que se regulan los medicamentos homeopáticos de uso humano de fabricación industrial, al Real Decreto 1345/2007, de 11 de octubre</w:t>
      </w:r>
      <w:r w:rsidR="002A45F7" w:rsidRPr="00235F53">
        <w:rPr>
          <w:i/>
        </w:rPr>
        <w:t>"</w:t>
      </w:r>
      <w:r w:rsidR="002A45F7" w:rsidRPr="005A6843">
        <w:t xml:space="preserve"> (MSSSI)</w:t>
      </w:r>
      <w:r w:rsidR="00235F53">
        <w:t>,</w:t>
      </w:r>
      <w:r w:rsidR="002A45F7" w:rsidRPr="005A6843">
        <w:t xml:space="preserve"> </w:t>
      </w:r>
      <w:r w:rsidR="002A45F7" w:rsidRPr="00235F53">
        <w:rPr>
          <w:i/>
        </w:rPr>
        <w:t>"</w:t>
      </w:r>
      <w:r w:rsidRPr="00235F53">
        <w:rPr>
          <w:i/>
        </w:rPr>
        <w:t>Normativa de información pública</w:t>
      </w:r>
      <w:r w:rsidR="002A45F7" w:rsidRPr="00235F53">
        <w:rPr>
          <w:i/>
        </w:rPr>
        <w:t xml:space="preserve">. </w:t>
      </w:r>
      <w:r w:rsidRPr="00235F53">
        <w:rPr>
          <w:i/>
        </w:rPr>
        <w:t>Sector Químico</w:t>
      </w:r>
      <w:r w:rsidR="002A45F7" w:rsidRPr="00235F53">
        <w:rPr>
          <w:i/>
        </w:rPr>
        <w:t>"</w:t>
      </w:r>
      <w:r w:rsidR="002A45F7" w:rsidRPr="005A6843">
        <w:t xml:space="preserve"> (MINETAD) y </w:t>
      </w:r>
      <w:r w:rsidR="002A45F7" w:rsidRPr="00235F53">
        <w:rPr>
          <w:i/>
        </w:rPr>
        <w:t>"</w:t>
      </w:r>
      <w:r w:rsidRPr="00235F53">
        <w:rPr>
          <w:i/>
        </w:rPr>
        <w:t>Real Decreto sobre productos cosméticos</w:t>
      </w:r>
      <w:r w:rsidR="00DA3697" w:rsidRPr="00235F53">
        <w:rPr>
          <w:i/>
        </w:rPr>
        <w:t>"</w:t>
      </w:r>
      <w:r w:rsidR="00DA3697" w:rsidRPr="005A6843">
        <w:t xml:space="preserve"> (MSSSI)</w:t>
      </w:r>
      <w:r w:rsidR="007A4DD2" w:rsidRPr="005A6843">
        <w:t>.</w:t>
      </w:r>
    </w:p>
    <w:p w:rsidR="00DE3F3A" w:rsidRPr="005A6843" w:rsidRDefault="007A4DD2" w:rsidP="00AA712B">
      <w:pPr>
        <w:jc w:val="both"/>
      </w:pPr>
      <w:r w:rsidRPr="005A6843">
        <w:t>A juicio de este CTBG, esta información debería separarse de la propia de la sub-categoría "Otras Disposiciones" e integrarse en una sub-categoría específica. A este respecto debe recordarse que debería el</w:t>
      </w:r>
      <w:r w:rsidR="00DE3F3A" w:rsidRPr="005A6843">
        <w:t xml:space="preserve"> art. 7 letra e) de la </w:t>
      </w:r>
      <w:r w:rsidR="0030754C">
        <w:t>l</w:t>
      </w:r>
      <w:r w:rsidR="001C41A6">
        <w:t>ey</w:t>
      </w:r>
      <w:r w:rsidR="00E768A4">
        <w:t xml:space="preserve"> de transparencia</w:t>
      </w:r>
      <w:r w:rsidR="00DE3F3A" w:rsidRPr="005A6843">
        <w:t xml:space="preserve"> exige la publicación de “Los documentos que, conforme a la legislación sectorial vigente, deban ser sometidos a un período de información pública durante su tramitación”</w:t>
      </w:r>
      <w:r w:rsidRPr="005A6843">
        <w:t xml:space="preserve"> como una</w:t>
      </w:r>
      <w:r w:rsidR="00CE6796" w:rsidRPr="005A6843">
        <w:t xml:space="preserve"> obligación</w:t>
      </w:r>
      <w:r w:rsidRPr="005A6843">
        <w:t xml:space="preserve"> o ítem independiente</w:t>
      </w:r>
      <w:r w:rsidR="00DE3F3A" w:rsidRPr="005A6843">
        <w:t xml:space="preserve">. Como tal, esta información falta completamente del Portal. </w:t>
      </w:r>
    </w:p>
    <w:p w:rsidR="00221415" w:rsidRDefault="00052C14" w:rsidP="00AA712B">
      <w:pPr>
        <w:jc w:val="both"/>
      </w:pPr>
      <w:r w:rsidRPr="005A6843">
        <w:t>Así mismo debería revisarse su contenido. Particularmente porque en otras sub-categorías informativas del Portal se incluyen otros documentos -proyectos legislativos, proyectos de reglamentos, planes y programas, etc</w:t>
      </w:r>
      <w:r w:rsidR="00235F53">
        <w:t>.</w:t>
      </w:r>
      <w:r w:rsidRPr="005A6843">
        <w:t xml:space="preserve"> que de acuerdo c</w:t>
      </w:r>
      <w:r w:rsidR="00DE3F3A" w:rsidRPr="005A6843">
        <w:t>on la normativa vigente</w:t>
      </w:r>
      <w:r w:rsidRPr="005A6843">
        <w:t>,</w:t>
      </w:r>
      <w:r w:rsidR="00DE3F3A" w:rsidRPr="005A6843">
        <w:t xml:space="preserve"> deben ser sometidos a audiencia durante su tramitación</w:t>
      </w:r>
      <w:r w:rsidR="00144C6E" w:rsidRPr="005A6843">
        <w:t xml:space="preserve">. </w:t>
      </w:r>
      <w:r w:rsidRPr="005A6843">
        <w:t xml:space="preserve">Desde este punto de vista deberían replicarse en la nueva sub-categoría. Por otra parte, </w:t>
      </w:r>
      <w:r w:rsidR="00DE3F3A" w:rsidRPr="005A6843">
        <w:t xml:space="preserve">existen otros </w:t>
      </w:r>
      <w:r w:rsidR="00144C6E" w:rsidRPr="005A6843">
        <w:t xml:space="preserve">documentos </w:t>
      </w:r>
      <w:r w:rsidR="00DE3F3A" w:rsidRPr="005A6843">
        <w:t xml:space="preserve">-expedientes, actuaciones administrativas, procesos participativos, </w:t>
      </w:r>
      <w:r w:rsidR="00235F53">
        <w:t>etc.</w:t>
      </w:r>
      <w:r w:rsidR="00DE3F3A" w:rsidRPr="005A6843">
        <w:t xml:space="preserve">- que se someten al mismo trámite pero que no han accedido al Portal por no tener naturaleza normativa, contractual, organizativa, </w:t>
      </w:r>
      <w:r w:rsidR="00235F53">
        <w:t>etc.</w:t>
      </w:r>
      <w:r w:rsidR="00DE3F3A" w:rsidRPr="005A6843">
        <w:t xml:space="preserve"> </w:t>
      </w:r>
      <w:r w:rsidR="00144C6E" w:rsidRPr="005A6843">
        <w:t>S</w:t>
      </w:r>
      <w:r w:rsidR="00DE3F3A" w:rsidRPr="005A6843">
        <w:t xml:space="preserve">ería también necesario recabar de los Ministerios la información correspondiente e incluirla en </w:t>
      </w:r>
      <w:r w:rsidR="00144C6E" w:rsidRPr="005A6843">
        <w:t>aquélla.</w:t>
      </w:r>
    </w:p>
    <w:p w:rsidR="003316F3" w:rsidRPr="005A6843" w:rsidRDefault="003316F3" w:rsidP="002420B8">
      <w:pPr>
        <w:pStyle w:val="Ttulo3"/>
      </w:pPr>
      <w:bookmarkStart w:id="135" w:name="_Toc498345382"/>
      <w:r w:rsidRPr="005A6843">
        <w:t xml:space="preserve"> </w:t>
      </w:r>
      <w:bookmarkStart w:id="136" w:name="_Toc500414731"/>
      <w:bookmarkStart w:id="137" w:name="_Toc500416464"/>
      <w:bookmarkStart w:id="138" w:name="_Toc500416522"/>
      <w:bookmarkStart w:id="139" w:name="_Toc501110674"/>
      <w:r w:rsidRPr="005A6843">
        <w:t>Información económica, presupuestaria y estadística</w:t>
      </w:r>
      <w:bookmarkEnd w:id="135"/>
      <w:bookmarkEnd w:id="136"/>
      <w:bookmarkEnd w:id="137"/>
      <w:bookmarkEnd w:id="138"/>
      <w:bookmarkEnd w:id="139"/>
    </w:p>
    <w:p w:rsidR="00021100" w:rsidRDefault="005A7AEE" w:rsidP="005750D1">
      <w:pPr>
        <w:pStyle w:val="Prrafodelista"/>
        <w:numPr>
          <w:ilvl w:val="0"/>
          <w:numId w:val="34"/>
        </w:numPr>
        <w:ind w:left="284"/>
        <w:jc w:val="both"/>
        <w:rPr>
          <w:b/>
          <w:u w:val="single"/>
        </w:rPr>
      </w:pPr>
      <w:r>
        <w:rPr>
          <w:b/>
          <w:noProof/>
          <w:u w:val="single"/>
          <w:lang w:eastAsia="es-ES"/>
        </w:rPr>
        <w:drawing>
          <wp:anchor distT="0" distB="0" distL="114300" distR="114300" simplePos="0" relativeHeight="251798528" behindDoc="0" locked="0" layoutInCell="1" allowOverlap="1">
            <wp:simplePos x="0" y="0"/>
            <wp:positionH relativeFrom="column">
              <wp:posOffset>-34290</wp:posOffset>
            </wp:positionH>
            <wp:positionV relativeFrom="paragraph">
              <wp:posOffset>125095</wp:posOffset>
            </wp:positionV>
            <wp:extent cx="2754630" cy="1381125"/>
            <wp:effectExtent l="19050" t="0" r="7620" b="0"/>
            <wp:wrapSquare wrapText="bothSides"/>
            <wp:docPr id="6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11974928.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4630" cy="1381125"/>
                    </a:xfrm>
                    <a:prstGeom prst="rect">
                      <a:avLst/>
                    </a:prstGeom>
                  </pic:spPr>
                </pic:pic>
              </a:graphicData>
            </a:graphic>
          </wp:anchor>
        </w:drawing>
      </w:r>
      <w:r w:rsidR="00FC1022" w:rsidRPr="00235F53">
        <w:rPr>
          <w:b/>
          <w:u w:val="single"/>
        </w:rPr>
        <w:t>C</w:t>
      </w:r>
      <w:r w:rsidR="00235F53">
        <w:rPr>
          <w:b/>
          <w:u w:val="single"/>
        </w:rPr>
        <w:t>UESTIONES PREVIAS</w:t>
      </w:r>
    </w:p>
    <w:p w:rsidR="00235F53" w:rsidRPr="00235F53" w:rsidRDefault="00235F53" w:rsidP="00235F53">
      <w:pPr>
        <w:pStyle w:val="Prrafodelista"/>
        <w:ind w:left="284"/>
        <w:jc w:val="both"/>
        <w:rPr>
          <w:b/>
          <w:u w:val="single"/>
        </w:rPr>
      </w:pPr>
    </w:p>
    <w:p w:rsidR="0071759A" w:rsidRPr="005A6843" w:rsidRDefault="003316F3" w:rsidP="00AA712B">
      <w:pPr>
        <w:jc w:val="both"/>
      </w:pPr>
      <w:r w:rsidRPr="005A6843">
        <w:t xml:space="preserve">Como se ha </w:t>
      </w:r>
      <w:r w:rsidR="0071759A" w:rsidRPr="005A6843">
        <w:t>visto</w:t>
      </w:r>
      <w:r w:rsidRPr="005A6843">
        <w:t xml:space="preserve">, </w:t>
      </w:r>
      <w:r w:rsidR="0071759A" w:rsidRPr="005A6843">
        <w:t xml:space="preserve">a la hora de incorporar la información de naturaleza económica y presupuestaria del art. 8 de la </w:t>
      </w:r>
      <w:r w:rsidR="0030754C">
        <w:t>l</w:t>
      </w:r>
      <w:r w:rsidR="001C41A6">
        <w:t>ey</w:t>
      </w:r>
      <w:r w:rsidR="00E768A4">
        <w:t xml:space="preserve"> de transparencia</w:t>
      </w:r>
      <w:r w:rsidR="0071759A" w:rsidRPr="005A6843">
        <w:t xml:space="preserve"> a los contenidos de publicidad activa del Portal AGE, los diseñadores del mismo optaron por desdoblar aquélla en dos </w:t>
      </w:r>
      <w:r w:rsidRPr="005A6843">
        <w:t>categorías</w:t>
      </w:r>
      <w:r w:rsidR="0071759A" w:rsidRPr="005A6843">
        <w:t xml:space="preserve">: </w:t>
      </w:r>
      <w:r w:rsidR="0071759A" w:rsidRPr="00235F53">
        <w:rPr>
          <w:i/>
        </w:rPr>
        <w:t>“Contratos, convenios, subvenciones y bienes inmuebles”</w:t>
      </w:r>
      <w:r w:rsidR="0071759A" w:rsidRPr="005A6843">
        <w:t xml:space="preserve"> y </w:t>
      </w:r>
      <w:r w:rsidR="0071759A" w:rsidRPr="00235F53">
        <w:rPr>
          <w:i/>
        </w:rPr>
        <w:t>“Presupuestos, fiscalización e informes”</w:t>
      </w:r>
      <w:r w:rsidR="0071759A" w:rsidRPr="005A6843">
        <w:t xml:space="preserve">. De este modo, mientras que los arts. 5 a 8 de la </w:t>
      </w:r>
      <w:r w:rsidR="0030754C">
        <w:t>l</w:t>
      </w:r>
      <w:r w:rsidR="001C41A6">
        <w:t>ey</w:t>
      </w:r>
      <w:r w:rsidR="0071759A" w:rsidRPr="005A6843">
        <w:t xml:space="preserve"> establecen únicamente tres grupos a este nivel -</w:t>
      </w:r>
      <w:r w:rsidR="0071759A" w:rsidRPr="00235F53">
        <w:rPr>
          <w:i/>
        </w:rPr>
        <w:t>“Información institucional, organizativa y de planificación”</w:t>
      </w:r>
      <w:r w:rsidR="0071759A" w:rsidRPr="005A6843">
        <w:t xml:space="preserve">, </w:t>
      </w:r>
      <w:r w:rsidR="0071759A" w:rsidRPr="00235F53">
        <w:rPr>
          <w:i/>
        </w:rPr>
        <w:t>“Información de relevancia jurídica”</w:t>
      </w:r>
      <w:r w:rsidR="0071759A" w:rsidRPr="005A6843">
        <w:t xml:space="preserve"> e </w:t>
      </w:r>
      <w:r w:rsidR="0071759A" w:rsidRPr="00235F53">
        <w:rPr>
          <w:i/>
        </w:rPr>
        <w:t>“Información económica, presupuestaria y estadística”</w:t>
      </w:r>
      <w:r w:rsidR="0071759A" w:rsidRPr="005A6843">
        <w:t xml:space="preserve">- el menú de categorías del Portal establece cuatro: </w:t>
      </w:r>
      <w:r w:rsidRPr="00235F53">
        <w:rPr>
          <w:i/>
        </w:rPr>
        <w:t>“Institucional”, “Normativa”</w:t>
      </w:r>
      <w:r w:rsidR="0071759A" w:rsidRPr="005A6843">
        <w:t xml:space="preserve"> y las dos que acaban de citarse.</w:t>
      </w:r>
      <w:r w:rsidRPr="005A6843">
        <w:t xml:space="preserve"> </w:t>
      </w:r>
    </w:p>
    <w:p w:rsidR="009D0B30" w:rsidRPr="005A6843" w:rsidRDefault="0071759A" w:rsidP="00AA712B">
      <w:pPr>
        <w:jc w:val="both"/>
      </w:pPr>
      <w:r w:rsidRPr="005A6843">
        <w:t xml:space="preserve">Por otra parte -también se ha visto-, los diseñadores del sitio han incluido en la categoría </w:t>
      </w:r>
      <w:r w:rsidRPr="00235F53">
        <w:rPr>
          <w:i/>
        </w:rPr>
        <w:t>“Institucional”</w:t>
      </w:r>
      <w:r w:rsidRPr="005A6843">
        <w:t xml:space="preserve"> del menú principal tres de las sub-categorías o ítems informativos que el art. 8 de la </w:t>
      </w:r>
      <w:r w:rsidR="0030754C">
        <w:t>l</w:t>
      </w:r>
      <w:r w:rsidR="001C41A6">
        <w:t>ey</w:t>
      </w:r>
      <w:r w:rsidRPr="005A6843">
        <w:t xml:space="preserve"> incluye en la categoría de información económica: </w:t>
      </w:r>
      <w:r w:rsidRPr="00235F53">
        <w:rPr>
          <w:i/>
        </w:rPr>
        <w:t xml:space="preserve">“Retribuciones de Altos Cargos”, </w:t>
      </w:r>
      <w:r w:rsidR="009D0B30" w:rsidRPr="00235F53">
        <w:rPr>
          <w:i/>
        </w:rPr>
        <w:t>“Indemnizaciones con ocasión del abandono del cargo”</w:t>
      </w:r>
      <w:r w:rsidR="009D0B30" w:rsidRPr="005A6843">
        <w:t xml:space="preserve">, </w:t>
      </w:r>
      <w:r w:rsidR="009D0B30" w:rsidRPr="00235F53">
        <w:rPr>
          <w:i/>
        </w:rPr>
        <w:t>“Autorizaciones de actividad privada al cese de los Altos Cargos”</w:t>
      </w:r>
      <w:r w:rsidR="009D0B30" w:rsidRPr="005A6843">
        <w:t xml:space="preserve"> y </w:t>
      </w:r>
      <w:r w:rsidR="009D0B30" w:rsidRPr="00235F53">
        <w:rPr>
          <w:i/>
        </w:rPr>
        <w:t>“Autorizaciones y resoluciones de autorización de la compatibilidad de empleados públicos”</w:t>
      </w:r>
      <w:r w:rsidR="009E7FD8">
        <w:t>.</w:t>
      </w:r>
    </w:p>
    <w:p w:rsidR="003316F3" w:rsidRPr="005A6843" w:rsidRDefault="009D0B30" w:rsidP="00AA712B">
      <w:pPr>
        <w:jc w:val="both"/>
      </w:pPr>
      <w:r w:rsidRPr="005A6843">
        <w:t xml:space="preserve">A juicio de este CTBG, y aunque se trata de una cuestión de estructuración que no impide obtener los datos al visitante del Portal, </w:t>
      </w:r>
      <w:r w:rsidR="003316F3" w:rsidRPr="005A6843">
        <w:t xml:space="preserve">sería conveniente </w:t>
      </w:r>
      <w:r w:rsidRPr="005A6843">
        <w:t xml:space="preserve">reorganizar la información del Portal para aproximarla a las prescripciones de la </w:t>
      </w:r>
      <w:r w:rsidR="0030754C">
        <w:t>l</w:t>
      </w:r>
      <w:r w:rsidR="001C41A6">
        <w:t>ey</w:t>
      </w:r>
      <w:r w:rsidRPr="005A6843">
        <w:t xml:space="preserve"> y </w:t>
      </w:r>
      <w:r w:rsidR="003316F3" w:rsidRPr="005A6843">
        <w:t>facilitar las consultas.</w:t>
      </w:r>
    </w:p>
    <w:p w:rsidR="009D0B30" w:rsidRPr="005A6843" w:rsidRDefault="003316F3" w:rsidP="00AA712B">
      <w:pPr>
        <w:jc w:val="both"/>
      </w:pPr>
      <w:r w:rsidRPr="005A6843">
        <w:t xml:space="preserve">En cualquier caso, </w:t>
      </w:r>
      <w:r w:rsidR="009D0B30" w:rsidRPr="005A6843">
        <w:t xml:space="preserve">a efectos de este informe y para el análisis de los distintos elementos o sub-categorías de información económica del Portal, se seguirá el guión de la </w:t>
      </w:r>
      <w:r w:rsidR="0030754C">
        <w:t>l</w:t>
      </w:r>
      <w:r w:rsidR="001C41A6">
        <w:t>ey</w:t>
      </w:r>
      <w:r w:rsidR="009D0B30" w:rsidRPr="005A6843">
        <w:t>.</w:t>
      </w:r>
    </w:p>
    <w:p w:rsidR="00021100" w:rsidRDefault="00021100" w:rsidP="005750D1">
      <w:pPr>
        <w:pStyle w:val="Prrafodelista"/>
        <w:numPr>
          <w:ilvl w:val="0"/>
          <w:numId w:val="34"/>
        </w:numPr>
        <w:ind w:left="284"/>
        <w:jc w:val="both"/>
        <w:rPr>
          <w:b/>
          <w:u w:val="single"/>
        </w:rPr>
      </w:pPr>
      <w:r w:rsidRPr="009E7FD8">
        <w:rPr>
          <w:b/>
          <w:u w:val="single"/>
        </w:rPr>
        <w:t>A</w:t>
      </w:r>
      <w:r w:rsidR="009E7FD8">
        <w:rPr>
          <w:b/>
          <w:u w:val="single"/>
        </w:rPr>
        <w:t>NÁLISIS POR SUB-CATEGORÍAS O ELEMENTOS DE INFORMACIÓN</w:t>
      </w:r>
    </w:p>
    <w:p w:rsidR="009E7FD8" w:rsidRPr="009E7FD8" w:rsidRDefault="009E7FD8" w:rsidP="009E7FD8">
      <w:pPr>
        <w:pStyle w:val="Prrafodelista"/>
        <w:ind w:left="284"/>
        <w:jc w:val="both"/>
        <w:rPr>
          <w:b/>
          <w:u w:val="single"/>
        </w:rPr>
      </w:pPr>
    </w:p>
    <w:p w:rsidR="00021100" w:rsidRPr="009E7FD8" w:rsidRDefault="00021100" w:rsidP="00AA712B">
      <w:pPr>
        <w:jc w:val="both"/>
        <w:rPr>
          <w:b/>
          <w:u w:val="single"/>
        </w:rPr>
      </w:pPr>
      <w:r w:rsidRPr="009E7FD8">
        <w:rPr>
          <w:b/>
          <w:u w:val="single"/>
        </w:rPr>
        <w:t xml:space="preserve">Contratos: objeto, duración, importe de licitación, </w:t>
      </w:r>
      <w:r w:rsidR="00235F53" w:rsidRPr="009E7FD8">
        <w:rPr>
          <w:b/>
          <w:u w:val="single"/>
        </w:rPr>
        <w:t>etc.</w:t>
      </w:r>
    </w:p>
    <w:p w:rsidR="009D0B30" w:rsidRPr="005A6843" w:rsidRDefault="009D0B30" w:rsidP="00AA712B">
      <w:pPr>
        <w:jc w:val="both"/>
      </w:pPr>
      <w:r w:rsidRPr="005A6843">
        <w:t xml:space="preserve">La información sobre contratos inicia el contenido informativo de la categoría </w:t>
      </w:r>
      <w:r w:rsidRPr="009E7FD8">
        <w:rPr>
          <w:i/>
        </w:rPr>
        <w:t>“Contratos, Convenios, Subvenciones y Bienes Inmuebles”</w:t>
      </w:r>
      <w:r w:rsidRPr="005A6843">
        <w:t>. En este sentido, va precedida de una página inicia</w:t>
      </w:r>
      <w:r w:rsidR="00BD799B" w:rsidRPr="005A6843">
        <w:t xml:space="preserve">l, que </w:t>
      </w:r>
      <w:r w:rsidRPr="005A6843">
        <w:t xml:space="preserve">contiene una explicación </w:t>
      </w:r>
      <w:r w:rsidR="00BD799B" w:rsidRPr="005A6843">
        <w:t xml:space="preserve">general </w:t>
      </w:r>
      <w:r w:rsidRPr="005A6843">
        <w:t>del contenido de la categoría</w:t>
      </w:r>
      <w:r w:rsidR="00BD799B" w:rsidRPr="005A6843">
        <w:t xml:space="preserve"> -</w:t>
      </w:r>
      <w:r w:rsidRPr="005A6843">
        <w:t>“Información sobre actos de gestión administrativa, con repercusión económica, en el ámbito de la Administración General del Estado”</w:t>
      </w:r>
      <w:r w:rsidR="00BD799B" w:rsidRPr="005A6843">
        <w:t>- y una más detallada, accionando el bot</w:t>
      </w:r>
      <w:r w:rsidRPr="005A6843">
        <w:t>ón “¿Qué contiene esta categoría?”</w:t>
      </w:r>
      <w:r w:rsidR="00BD799B" w:rsidRPr="005A6843">
        <w:t xml:space="preserve">: el contenido del elemento se extiende a los </w:t>
      </w:r>
      <w:r w:rsidRPr="005A6843">
        <w:t xml:space="preserve">contratos adjudicados por la AGE; </w:t>
      </w:r>
      <w:r w:rsidR="00BD799B" w:rsidRPr="005A6843">
        <w:t xml:space="preserve">las </w:t>
      </w:r>
      <w:r w:rsidRPr="005A6843">
        <w:t xml:space="preserve">estadísticas de los contratos ofrecida por el Registro Público de Contratos;  los convenios de colaboración suscritos por aquélla; las encomiendas de gestión suscritas por ídem; las subvenciones y ayudas públicas concedidas por la AGE; las subvenciones concedidas a los partidos políticos </w:t>
      </w:r>
      <w:r w:rsidR="00BD799B" w:rsidRPr="005A6843">
        <w:t xml:space="preserve">y los </w:t>
      </w:r>
      <w:r w:rsidRPr="005A6843">
        <w:t>bienes inmuebles de que es titular la AGE.</w:t>
      </w:r>
    </w:p>
    <w:p w:rsidR="00BD799B" w:rsidRPr="005A6843" w:rsidRDefault="00BD799B" w:rsidP="00AA712B">
      <w:pPr>
        <w:jc w:val="both"/>
      </w:pPr>
      <w:r w:rsidRPr="005A6843">
        <w:t xml:space="preserve">Accediendo ya a la </w:t>
      </w:r>
      <w:r w:rsidR="009E7FD8">
        <w:t>sub-c</w:t>
      </w:r>
      <w:r w:rsidRPr="005A6843">
        <w:t>ategoría</w:t>
      </w:r>
      <w:r w:rsidR="00895FE5" w:rsidRPr="005A6843">
        <w:t xml:space="preserve"> "Contratos"</w:t>
      </w:r>
      <w:r w:rsidRPr="005A6843">
        <w:t xml:space="preserve">, el visitante se encuentra ante una nueva versión del menú por Ministerios, que, como ocurría con la sub-categoría </w:t>
      </w:r>
      <w:r w:rsidRPr="009E7FD8">
        <w:rPr>
          <w:i/>
        </w:rPr>
        <w:t>“Otras Disposiciones”</w:t>
      </w:r>
      <w:r w:rsidRPr="005A6843">
        <w:t xml:space="preserve"> de la categoría </w:t>
      </w:r>
      <w:r w:rsidRPr="009E7FD8">
        <w:rPr>
          <w:i/>
        </w:rPr>
        <w:t>“Normativa</w:t>
      </w:r>
      <w:r w:rsidRPr="005A6843">
        <w:t xml:space="preserve">” excluye a Presidencia del Gobierno que no tiene en su estructura órganos de contratación. </w:t>
      </w:r>
    </w:p>
    <w:p w:rsidR="00BD799B" w:rsidRPr="005A6843" w:rsidRDefault="00BD799B" w:rsidP="00AA712B">
      <w:pPr>
        <w:jc w:val="both"/>
      </w:pPr>
      <w:r w:rsidRPr="005A6843">
        <w:t>La página inicial presenta una “entradilla” explicativa según la cual el contenido informativo de la sub-categoría se refiere a “todos los contratos adjudicados</w:t>
      </w:r>
      <w:r w:rsidR="00391896" w:rsidRPr="005A6843">
        <w:t xml:space="preserve"> </w:t>
      </w:r>
      <w:r w:rsidRPr="005A6843">
        <w:t>desde el 1 de enero de 2014 que han sido celebrados por cualquier órgano de contratación que pertenezca a la Administración General del Estado según el</w:t>
      </w:r>
      <w:r w:rsidR="00391896" w:rsidRPr="005A6843">
        <w:t xml:space="preserve"> </w:t>
      </w:r>
      <w:r w:rsidRPr="005A6843">
        <w:t xml:space="preserve">Real Decreto Legislativo 3/2011, de 14 de noviembre, por el que se aprueba el texto refundido de la </w:t>
      </w:r>
      <w:r w:rsidR="001C41A6">
        <w:t>Ley</w:t>
      </w:r>
      <w:r w:rsidRPr="005A6843">
        <w:t xml:space="preserve"> de Contratos del Sector Público (TRLCSP)”.</w:t>
      </w:r>
    </w:p>
    <w:p w:rsidR="00BD799B" w:rsidRPr="005A6843" w:rsidRDefault="00BD799B" w:rsidP="00AA712B">
      <w:pPr>
        <w:jc w:val="both"/>
      </w:pPr>
      <w:r w:rsidRPr="005A6843">
        <w:t xml:space="preserve">Va acompañada de abundante información complementaria, que hay que desplegar accionando el botón </w:t>
      </w:r>
      <w:r w:rsidRPr="009E7FD8">
        <w:rPr>
          <w:i/>
        </w:rPr>
        <w:t>“Mas Información”</w:t>
      </w:r>
      <w:r w:rsidRPr="005A6843">
        <w:t xml:space="preserve">, y que, junto con la ficha técnica de los datos –la fuente de los mismos es, en este caso, la Dirección General de Patrimonio del Estado del MINHAFP-, ofrece una explicación adecuada sobre los procedimientos de contratación, que describe detalladamente, y unos instructivos sobre la organización de la información en el Portal. </w:t>
      </w:r>
    </w:p>
    <w:p w:rsidR="00BD799B" w:rsidRPr="005A6843" w:rsidRDefault="00BD799B" w:rsidP="00AA712B">
      <w:pPr>
        <w:jc w:val="both"/>
      </w:pPr>
      <w:r w:rsidRPr="005A6843">
        <w:t>Según éstos, está vinculada a un recurso centralizado de la AGE, la Plataforma de Contratación del Sector Público (PCSP), desde la que se actualiza diariamente, y contiene los siguientes datos para cada contrato: denominación, objeto del contrato, duración, importe de licitación, importe de adjudicación sin impuestos, procedimiento de contratación, instrumentos de publicidad utilizados en la licitación, número de licitadores, identidad del adjudicatario y número de expediente en la PCSP.</w:t>
      </w:r>
    </w:p>
    <w:p w:rsidR="00BD799B" w:rsidRPr="005A6843" w:rsidRDefault="00BD799B" w:rsidP="00AA712B">
      <w:pPr>
        <w:jc w:val="both"/>
      </w:pPr>
      <w:r w:rsidRPr="005A6843">
        <w:t>Adicionalmente, el Portal presenta para cada contrato un enlace a más información donde se puede acceder al detalle sobre el proceso de licitación y a los documentos del expediente.</w:t>
      </w:r>
    </w:p>
    <w:p w:rsidR="00BD799B" w:rsidRPr="005A6843" w:rsidRDefault="007A08FB" w:rsidP="00AA712B">
      <w:pPr>
        <w:jc w:val="both"/>
      </w:pPr>
      <w:r w:rsidRPr="005A6843">
        <w:t xml:space="preserve">En cuanto a los resultados, el </w:t>
      </w:r>
      <w:r w:rsidR="00BD799B" w:rsidRPr="005A6843">
        <w:t xml:space="preserve">listado </w:t>
      </w:r>
      <w:r w:rsidRPr="005A6843">
        <w:t xml:space="preserve">global </w:t>
      </w:r>
      <w:r w:rsidR="00BD799B" w:rsidRPr="005A6843">
        <w:t xml:space="preserve">de todos los </w:t>
      </w:r>
      <w:r w:rsidRPr="005A6843">
        <w:t xml:space="preserve">Ministerios agrupa los </w:t>
      </w:r>
      <w:r w:rsidR="00BD799B" w:rsidRPr="005A6843">
        <w:t xml:space="preserve">contratos adjudicados desde 2014 por </w:t>
      </w:r>
      <w:r w:rsidRPr="005A6843">
        <w:t xml:space="preserve">los </w:t>
      </w:r>
      <w:r w:rsidR="00BD799B" w:rsidRPr="005A6843">
        <w:t>Departamento</w:t>
      </w:r>
      <w:r w:rsidRPr="005A6843">
        <w:t>s y sus organismos vinculados o dependientes,</w:t>
      </w:r>
      <w:r w:rsidR="00BD799B" w:rsidRPr="005A6843">
        <w:t xml:space="preserve"> </w:t>
      </w:r>
      <w:r w:rsidRPr="005A6843">
        <w:t xml:space="preserve">con 148.568 resultados. </w:t>
      </w:r>
      <w:r w:rsidR="00BD799B" w:rsidRPr="005A6843">
        <w:t>–9.266 en el MINHAFP, 7.337 en el MFOM y 6.394 en el MINECO</w:t>
      </w:r>
      <w:r w:rsidR="009E7FD8">
        <w:t>-</w:t>
      </w:r>
      <w:r w:rsidR="00BD799B" w:rsidRPr="005A6843">
        <w:t xml:space="preserve"> por poner algunos ejemplos</w:t>
      </w:r>
      <w:r w:rsidRPr="005A6843">
        <w:t xml:space="preserve">. El listado se halla </w:t>
      </w:r>
      <w:r w:rsidR="00BD799B" w:rsidRPr="005A6843">
        <w:t xml:space="preserve">estructurado en seis columnas: </w:t>
      </w:r>
      <w:r w:rsidR="00BD799B" w:rsidRPr="009E7FD8">
        <w:rPr>
          <w:i/>
        </w:rPr>
        <w:t>“Título”, “Departamento”, “Órgano de contratación”, “Procedimiento de contratación”, “Fecha de adjudicación”</w:t>
      </w:r>
      <w:r w:rsidR="00BD799B" w:rsidRPr="005A6843">
        <w:t xml:space="preserve"> e </w:t>
      </w:r>
      <w:r w:rsidR="00BD799B" w:rsidRPr="009E7FD8">
        <w:rPr>
          <w:i/>
        </w:rPr>
        <w:t>“Importe de adjudicación”</w:t>
      </w:r>
      <w:r w:rsidR="00BD799B" w:rsidRPr="005A6843">
        <w:t>. “Clicando” en el título del contrato se accede a toda la información de la PCSP.</w:t>
      </w:r>
    </w:p>
    <w:p w:rsidR="00BD799B" w:rsidRPr="005A6843" w:rsidRDefault="00BD799B" w:rsidP="00AA712B">
      <w:pPr>
        <w:jc w:val="both"/>
      </w:pPr>
      <w:r w:rsidRPr="005A6843">
        <w:t>Los resultados se muestran ordenados, por defecto, por la fecha de adjudicación en sentido decreciente, mostrándose primero los contratos adjudicados más recientes.</w:t>
      </w:r>
      <w:r w:rsidR="00391896" w:rsidRPr="005A6843">
        <w:t xml:space="preserve"> </w:t>
      </w:r>
      <w:r w:rsidR="007A08FB" w:rsidRPr="005A6843">
        <w:t>Adicionalmente, el buscador de la sub-categoría permite filtrar la información por Departamentos u organismos responsables, importes de adjudicación y liquidación (con una horquilla), adjudicatario, existencia o no de lotes, procedimiento de adjudicación y fecha de adjudicación (con un intervalo).</w:t>
      </w:r>
    </w:p>
    <w:p w:rsidR="00BD799B" w:rsidRPr="005A6843" w:rsidRDefault="00BD799B" w:rsidP="00AA712B">
      <w:pPr>
        <w:jc w:val="both"/>
      </w:pPr>
      <w:r w:rsidRPr="005A6843">
        <w:t>Sin dejar de resaltar el esfuerzo realizado por los responsables del Portal y la PCSP para integrar y organizar un volumen muy importante de datos, así como lo adecuado de las explicaciones e instructivos incorporados a la página</w:t>
      </w:r>
      <w:r w:rsidR="007A08FB" w:rsidRPr="005A6843">
        <w:t xml:space="preserve"> y de los filtros a disposición del consultante -que facilitan el manejo de una información tan voluminosa-</w:t>
      </w:r>
      <w:r w:rsidRPr="005A6843">
        <w:t xml:space="preserve">, </w:t>
      </w:r>
      <w:r w:rsidR="00457458" w:rsidRPr="005A6843">
        <w:t xml:space="preserve">aún existen, </w:t>
      </w:r>
      <w:r w:rsidRPr="005A6843">
        <w:t>a juicio de este CTBG</w:t>
      </w:r>
      <w:r w:rsidR="00457458" w:rsidRPr="005A6843">
        <w:t xml:space="preserve">, </w:t>
      </w:r>
      <w:r w:rsidRPr="005A6843">
        <w:t xml:space="preserve">algunos factores necesitados de mejora. </w:t>
      </w:r>
    </w:p>
    <w:p w:rsidR="00BD799B" w:rsidRDefault="00457458" w:rsidP="005750D1">
      <w:pPr>
        <w:pStyle w:val="Prrafodelista"/>
        <w:numPr>
          <w:ilvl w:val="0"/>
          <w:numId w:val="35"/>
        </w:numPr>
        <w:spacing w:line="276" w:lineRule="auto"/>
        <w:ind w:left="714" w:hanging="357"/>
        <w:jc w:val="both"/>
      </w:pPr>
      <w:r w:rsidRPr="005A6843">
        <w:t xml:space="preserve">Primeramente, </w:t>
      </w:r>
      <w:r w:rsidR="00BD799B" w:rsidRPr="005A6843">
        <w:t>los contratos menores aparecen subsumidos en la totalidad de los contratos</w:t>
      </w:r>
      <w:r w:rsidR="00637B2B" w:rsidRPr="005A6843">
        <w:t xml:space="preserve"> y, aunque es posible i</w:t>
      </w:r>
      <w:r w:rsidR="00BD799B" w:rsidRPr="005A6843">
        <w:t xml:space="preserve">dentificarlos </w:t>
      </w:r>
      <w:r w:rsidR="00637B2B" w:rsidRPr="005A6843">
        <w:t>en bloque a través del filtro de procedimientos de contratación que incorpora el buscador (a fecha de hoy existen 114.530 contratos menores, un 77 por 100 del total de contrataciones), sería deseable una publicación separada</w:t>
      </w:r>
      <w:r w:rsidR="00BD799B" w:rsidRPr="005A6843">
        <w:t xml:space="preserve">. </w:t>
      </w:r>
      <w:r w:rsidR="00637B2B" w:rsidRPr="005A6843">
        <w:t>Especialmente t</w:t>
      </w:r>
      <w:r w:rsidR="00BD799B" w:rsidRPr="005A6843">
        <w:t xml:space="preserve">eniendo en cuenta </w:t>
      </w:r>
      <w:r w:rsidRPr="005A6843">
        <w:t xml:space="preserve">las disposiciones del art. 8 de la </w:t>
      </w:r>
      <w:r w:rsidR="0030754C">
        <w:t>l</w:t>
      </w:r>
      <w:r w:rsidR="001C41A6">
        <w:t>ey</w:t>
      </w:r>
      <w:r w:rsidRPr="005A6843">
        <w:t xml:space="preserve"> y </w:t>
      </w:r>
      <w:r w:rsidR="00BD799B" w:rsidRPr="005A6843">
        <w:t xml:space="preserve">que </w:t>
      </w:r>
      <w:r w:rsidR="00637B2B" w:rsidRPr="005A6843">
        <w:t xml:space="preserve">otra </w:t>
      </w:r>
      <w:r w:rsidR="00BD799B" w:rsidRPr="005A6843">
        <w:t xml:space="preserve">de las grandes novedades de la </w:t>
      </w:r>
      <w:r w:rsidRPr="005A6843">
        <w:t>misma</w:t>
      </w:r>
      <w:r w:rsidR="00BD799B" w:rsidRPr="005A6843">
        <w:t xml:space="preserve"> en materia de transparencia contractual es precisamente la obligatoriedad de publicar</w:t>
      </w:r>
      <w:r w:rsidR="00637B2B" w:rsidRPr="005A6843">
        <w:t xml:space="preserve"> estos contratos </w:t>
      </w:r>
      <w:r w:rsidR="00BD799B" w:rsidRPr="005A6843">
        <w:t>de forma proactiva.</w:t>
      </w:r>
    </w:p>
    <w:p w:rsidR="009E7FD8" w:rsidRPr="005A6843" w:rsidRDefault="009E7FD8" w:rsidP="009E7FD8">
      <w:pPr>
        <w:pStyle w:val="Prrafodelista"/>
        <w:spacing w:line="276" w:lineRule="auto"/>
        <w:ind w:left="714"/>
        <w:jc w:val="both"/>
      </w:pPr>
    </w:p>
    <w:p w:rsidR="003F651B" w:rsidRDefault="00457458" w:rsidP="005750D1">
      <w:pPr>
        <w:pStyle w:val="Prrafodelista"/>
        <w:numPr>
          <w:ilvl w:val="0"/>
          <w:numId w:val="35"/>
        </w:numPr>
        <w:spacing w:line="276" w:lineRule="auto"/>
        <w:ind w:left="714" w:hanging="357"/>
        <w:jc w:val="both"/>
      </w:pPr>
      <w:r w:rsidRPr="005A6843">
        <w:t xml:space="preserve">En segundo lugar, en la categoría de información sobre </w:t>
      </w:r>
      <w:r w:rsidRPr="009E7FD8">
        <w:rPr>
          <w:i/>
        </w:rPr>
        <w:t>“Contratos”</w:t>
      </w:r>
      <w:r w:rsidRPr="005A6843">
        <w:t xml:space="preserve"> del Portal, se observa la existencia de una sub-categoría específica de información, </w:t>
      </w:r>
      <w:r w:rsidRPr="009E7FD8">
        <w:rPr>
          <w:i/>
        </w:rPr>
        <w:t>“Contratos basados en Acuerdos-Marco”</w:t>
      </w:r>
      <w:r w:rsidRPr="005A6843">
        <w:t xml:space="preserve">, que no aparece enumerada entre los ítems de información obligatoria del art. 8 de la </w:t>
      </w:r>
      <w:r w:rsidR="0030754C">
        <w:t>l</w:t>
      </w:r>
      <w:r w:rsidR="001C41A6">
        <w:t>ey</w:t>
      </w:r>
      <w:r w:rsidRPr="005A6843">
        <w:t xml:space="preserve">. </w:t>
      </w:r>
    </w:p>
    <w:p w:rsidR="009E7FD8" w:rsidRDefault="009E7FD8" w:rsidP="009E7FD8">
      <w:pPr>
        <w:pStyle w:val="Prrafodelista"/>
      </w:pPr>
    </w:p>
    <w:p w:rsidR="00457458" w:rsidRDefault="003F651B" w:rsidP="005750D1">
      <w:pPr>
        <w:pStyle w:val="Prrafodelista"/>
        <w:numPr>
          <w:ilvl w:val="0"/>
          <w:numId w:val="35"/>
        </w:numPr>
        <w:spacing w:line="276" w:lineRule="auto"/>
        <w:ind w:left="714" w:hanging="357"/>
        <w:jc w:val="both"/>
      </w:pPr>
      <w:r w:rsidRPr="005A6843">
        <w:t xml:space="preserve">Accediendo a dicha sub-categoría, se llega a un listado global con 17.709 resultados, que viene acompañado de </w:t>
      </w:r>
      <w:r w:rsidR="00457458" w:rsidRPr="005A6843">
        <w:t xml:space="preserve">una explicación general acerca de su contenido: </w:t>
      </w:r>
      <w:r w:rsidR="00457458" w:rsidRPr="009E7FD8">
        <w:rPr>
          <w:i/>
        </w:rPr>
        <w:t xml:space="preserve">“Información de los contratos basados en Acuerdos Marco para adquisición de productos y prestación de servicios declarados de contratación centralizada, celebrados desde el 1 de enero de 2014, en el ámbito regulado en la </w:t>
      </w:r>
      <w:r w:rsidR="0030754C">
        <w:rPr>
          <w:i/>
        </w:rPr>
        <w:t>l</w:t>
      </w:r>
      <w:r w:rsidR="001C41A6">
        <w:rPr>
          <w:i/>
        </w:rPr>
        <w:t>ey</w:t>
      </w:r>
      <w:r w:rsidR="00E768A4">
        <w:rPr>
          <w:i/>
        </w:rPr>
        <w:t xml:space="preserve"> de transparencia</w:t>
      </w:r>
      <w:r w:rsidR="00457458" w:rsidRPr="009E7FD8">
        <w:rPr>
          <w:i/>
        </w:rPr>
        <w:t>, artículo 8.1 a)”</w:t>
      </w:r>
      <w:r w:rsidR="00457458" w:rsidRPr="005A6843">
        <w:t>.</w:t>
      </w:r>
      <w:r w:rsidRPr="005A6843">
        <w:t xml:space="preserve"> Accionando la opción </w:t>
      </w:r>
      <w:r w:rsidR="00457458" w:rsidRPr="009E7FD8">
        <w:rPr>
          <w:i/>
        </w:rPr>
        <w:t>“Mas Información”</w:t>
      </w:r>
      <w:r w:rsidR="00457458" w:rsidRPr="005A6843">
        <w:t xml:space="preserve">, se accede a </w:t>
      </w:r>
      <w:r w:rsidRPr="005A6843">
        <w:t xml:space="preserve">una </w:t>
      </w:r>
      <w:r w:rsidR="00457458" w:rsidRPr="005A6843">
        <w:t xml:space="preserve">ficha técnica de los datos –la fuente de los mismos es ahora la Dirección General de Racionalización y Centralización de la Contratación del MINHAFP- y a una </w:t>
      </w:r>
      <w:r w:rsidRPr="005A6843">
        <w:t xml:space="preserve">extensa </w:t>
      </w:r>
      <w:r w:rsidR="00457458" w:rsidRPr="005A6843">
        <w:t>explicación, muy adecuada y completa, sobre la contratación basada en Acuerdos-marco y los tipos de acuerdo existentes.</w:t>
      </w:r>
    </w:p>
    <w:p w:rsidR="009E7FD8" w:rsidRDefault="009E7FD8" w:rsidP="009E7FD8">
      <w:pPr>
        <w:pStyle w:val="Prrafodelista"/>
      </w:pPr>
    </w:p>
    <w:p w:rsidR="00457458" w:rsidRPr="005A6843" w:rsidRDefault="00387176" w:rsidP="00AA712B">
      <w:pPr>
        <w:jc w:val="both"/>
      </w:pPr>
      <w:r w:rsidRPr="005A6843">
        <w:t xml:space="preserve">El listado de resultados está </w:t>
      </w:r>
      <w:r w:rsidR="00457458" w:rsidRPr="005A6843">
        <w:t xml:space="preserve">estructurado en </w:t>
      </w:r>
      <w:r w:rsidR="00457458" w:rsidRPr="009E7FD8">
        <w:rPr>
          <w:i/>
        </w:rPr>
        <w:t xml:space="preserve">“Título”, “Órgano peticionario”, “Fecha de licitación” </w:t>
      </w:r>
      <w:r w:rsidR="00457458" w:rsidRPr="005A6843">
        <w:t xml:space="preserve">e </w:t>
      </w:r>
      <w:r w:rsidR="00457458" w:rsidRPr="009E7FD8">
        <w:rPr>
          <w:i/>
        </w:rPr>
        <w:t>“Importe de adjudicación”.</w:t>
      </w:r>
      <w:r w:rsidR="00457458" w:rsidRPr="005A6843">
        <w:t xml:space="preserve"> “Clicando” en el título, se accede a una ficha con información sobre el contrato que proporciona, además, un enlace a la información de la PCSP.  </w:t>
      </w:r>
    </w:p>
    <w:p w:rsidR="00457458" w:rsidRPr="005A6843" w:rsidRDefault="00457458" w:rsidP="00AA712B">
      <w:pPr>
        <w:jc w:val="both"/>
      </w:pPr>
      <w:r w:rsidRPr="005A6843">
        <w:t xml:space="preserve">A juicio de este CTBG, y teniendo en cuenta que todos estos contratos deben figurar igualmente entre la información incorporada a la sub-categoría general </w:t>
      </w:r>
      <w:r w:rsidRPr="009E7FD8">
        <w:rPr>
          <w:i/>
        </w:rPr>
        <w:t>“Contratos”</w:t>
      </w:r>
      <w:r w:rsidRPr="005A6843">
        <w:t xml:space="preserve">, los responsables del Portal deberían replantearse la procedencia de mantener este ítem informativo. Si bien el conocimiento de la contratación centralizada y su impacto en la racionalización del gasto público son aspectos de importancia para la rendición de cuentas, es un hecho que la </w:t>
      </w:r>
      <w:r w:rsidR="0030754C">
        <w:t>l</w:t>
      </w:r>
      <w:r w:rsidR="001C41A6">
        <w:t>ey</w:t>
      </w:r>
      <w:r w:rsidR="00E768A4">
        <w:t xml:space="preserve"> de transparencia</w:t>
      </w:r>
      <w:r w:rsidRPr="005A6843">
        <w:t xml:space="preserve"> no requiere una publicidad separada de estos contratos –sí de los contratos menores- y su mantenimiento puede inducir a confusión al visitante no experto en contratación, que, a la hora de buscar una determinada contratación en el Portal, dudará seguramente si intentarlo en el ítem </w:t>
      </w:r>
      <w:r w:rsidRPr="009E7FD8">
        <w:rPr>
          <w:i/>
        </w:rPr>
        <w:t>“Contratos”</w:t>
      </w:r>
      <w:r w:rsidRPr="005A6843">
        <w:t xml:space="preserve"> o en el ítem </w:t>
      </w:r>
      <w:r w:rsidRPr="009E7FD8">
        <w:rPr>
          <w:i/>
        </w:rPr>
        <w:t>“Contratos basados en Acuerdos-marco”</w:t>
      </w:r>
      <w:r w:rsidRPr="005A6843">
        <w:t xml:space="preserve">. </w:t>
      </w:r>
    </w:p>
    <w:p w:rsidR="00387176" w:rsidRPr="005A6843" w:rsidRDefault="00387176" w:rsidP="00AA712B">
      <w:pPr>
        <w:jc w:val="both"/>
      </w:pPr>
      <w:r w:rsidRPr="005A6843">
        <w:t>Finalmente, aunque como acaba de decirse el menú de la sub-categoría facilita al visitante un número adecuado de filtros y elementos de búsqueda, teniendo en cuenta el gran volumen de datos acumulados, podría ser conveniente incorporar al sistema un nuevo filtro temático o por materias. Pero tal vez esta cuestión no sea de sencilla solución e implique modificar la actual configuración de la PSCSP.</w:t>
      </w:r>
    </w:p>
    <w:p w:rsidR="00021100" w:rsidRPr="00B44712" w:rsidRDefault="00021100" w:rsidP="00AA712B">
      <w:pPr>
        <w:jc w:val="both"/>
        <w:rPr>
          <w:b/>
          <w:u w:val="single"/>
        </w:rPr>
      </w:pPr>
      <w:r w:rsidRPr="00B44712">
        <w:rPr>
          <w:b/>
          <w:u w:val="single"/>
        </w:rPr>
        <w:t>Modifica</w:t>
      </w:r>
      <w:r w:rsidR="00B44712" w:rsidRPr="00B44712">
        <w:rPr>
          <w:b/>
          <w:u w:val="single"/>
        </w:rPr>
        <w:t>ciones del contrato formalizado.</w:t>
      </w:r>
    </w:p>
    <w:p w:rsidR="003E22E9" w:rsidRPr="005A6843" w:rsidRDefault="00387176" w:rsidP="00AA712B">
      <w:pPr>
        <w:jc w:val="both"/>
      </w:pPr>
      <w:r w:rsidRPr="005A6843">
        <w:t>E</w:t>
      </w:r>
      <w:r w:rsidR="007A08FB" w:rsidRPr="005A6843">
        <w:t xml:space="preserve">l art. 8.1.a) de la </w:t>
      </w:r>
      <w:r w:rsidR="0030754C">
        <w:t>l</w:t>
      </w:r>
      <w:r w:rsidR="001C41A6">
        <w:t>ey</w:t>
      </w:r>
      <w:r w:rsidR="007A08FB" w:rsidRPr="005A6843">
        <w:t xml:space="preserve"> exige expresamente la publicación de los datos relativos a las modificaciones del contrato. </w:t>
      </w:r>
      <w:r w:rsidRPr="005A6843">
        <w:t xml:space="preserve">Entendiendo que la PCSP es el mecanismo arbitrado por el MINHAFP para canalizar la tramitación de las contrataciones del sector público, parece claro que las modificaciones, prórrogas, adendas, </w:t>
      </w:r>
      <w:r w:rsidR="00235F53">
        <w:t>etc.</w:t>
      </w:r>
      <w:r w:rsidRPr="005A6843">
        <w:t xml:space="preserve"> </w:t>
      </w:r>
      <w:r w:rsidR="003E22E9" w:rsidRPr="005A6843">
        <w:t xml:space="preserve">de los contratos, en la medida en </w:t>
      </w:r>
      <w:r w:rsidRPr="005A6843">
        <w:t>que determinan la alteración de elementos esenciales de los contratos, se canalizan también a través de ésta</w:t>
      </w:r>
      <w:r w:rsidR="003E22E9" w:rsidRPr="005A6843">
        <w:t xml:space="preserve">. </w:t>
      </w:r>
    </w:p>
    <w:p w:rsidR="00B66AA7" w:rsidRDefault="003E22E9" w:rsidP="00AA712B">
      <w:pPr>
        <w:jc w:val="both"/>
      </w:pPr>
      <w:r w:rsidRPr="005A6843">
        <w:t xml:space="preserve">En este sentido, y ante la imposibilidad práctica de realizar un análisis detallado de más de un centenar de miles de expedientes de contratación, se asume por este CTBG que la información actual del Portal incorpora los datos relativos a las modificaciones contractuales. Ello no obstante, y a efectos de </w:t>
      </w:r>
      <w:r w:rsidR="00A11353" w:rsidRPr="005A6843">
        <w:t xml:space="preserve">una </w:t>
      </w:r>
      <w:r w:rsidRPr="005A6843">
        <w:t xml:space="preserve">mayor claridad y accesibilidad de la información, </w:t>
      </w:r>
      <w:r w:rsidR="00A11353" w:rsidRPr="005A6843">
        <w:t xml:space="preserve">sería conveniente incorporar </w:t>
      </w:r>
      <w:r w:rsidR="009D30D9" w:rsidRPr="005A6843">
        <w:t xml:space="preserve">al buscador un filtro de </w:t>
      </w:r>
      <w:r w:rsidR="00A11353" w:rsidRPr="005A6843">
        <w:t xml:space="preserve">modificaciones </w:t>
      </w:r>
      <w:r w:rsidR="009D30D9" w:rsidRPr="005A6843">
        <w:t>o adendas</w:t>
      </w:r>
      <w:r w:rsidR="00A11353" w:rsidRPr="005A6843">
        <w:t xml:space="preserve">. </w:t>
      </w:r>
    </w:p>
    <w:p w:rsidR="00021100" w:rsidRPr="00B44712" w:rsidRDefault="00021100" w:rsidP="00AA712B">
      <w:pPr>
        <w:jc w:val="both"/>
        <w:rPr>
          <w:b/>
          <w:u w:val="single"/>
        </w:rPr>
      </w:pPr>
      <w:r w:rsidRPr="00B44712">
        <w:rPr>
          <w:b/>
          <w:u w:val="single"/>
        </w:rPr>
        <w:t>Desistimientos y re</w:t>
      </w:r>
      <w:r w:rsidR="00B44712" w:rsidRPr="00B44712">
        <w:rPr>
          <w:b/>
          <w:u w:val="single"/>
        </w:rPr>
        <w:t>nuncias de contrato formalizado.</w:t>
      </w:r>
    </w:p>
    <w:p w:rsidR="00A11353" w:rsidRPr="005A6843" w:rsidRDefault="00387176" w:rsidP="00AA712B">
      <w:pPr>
        <w:jc w:val="both"/>
      </w:pPr>
      <w:r w:rsidRPr="005A6843">
        <w:t xml:space="preserve">El art. 8.1.a) de la </w:t>
      </w:r>
      <w:r w:rsidR="0030754C">
        <w:t>l</w:t>
      </w:r>
      <w:r w:rsidR="001C41A6">
        <w:t>ey</w:t>
      </w:r>
      <w:r w:rsidRPr="005A6843">
        <w:t xml:space="preserve"> exige </w:t>
      </w:r>
      <w:r w:rsidR="00A11353" w:rsidRPr="005A6843">
        <w:t xml:space="preserve">también </w:t>
      </w:r>
      <w:r w:rsidRPr="005A6843">
        <w:t>expresamente la publicación de los datos relativos a las decisiones de desistimiento y renuncia de los contratos</w:t>
      </w:r>
      <w:r w:rsidR="009D30D9" w:rsidRPr="005A6843">
        <w:t xml:space="preserve">, En este sentido, </w:t>
      </w:r>
      <w:r w:rsidR="00A11353" w:rsidRPr="005A6843">
        <w:t>deben tenerse por reproducidas las consideraciones realizadas en torno a las modificaciones contractuales.</w:t>
      </w:r>
    </w:p>
    <w:p w:rsidR="00021100" w:rsidRPr="00B44712" w:rsidRDefault="00021100" w:rsidP="00AA712B">
      <w:pPr>
        <w:jc w:val="both"/>
        <w:rPr>
          <w:b/>
          <w:u w:val="single"/>
        </w:rPr>
      </w:pPr>
      <w:r w:rsidRPr="00B44712">
        <w:rPr>
          <w:b/>
          <w:u w:val="single"/>
        </w:rPr>
        <w:t>Datos estadísticos sobre el porcentaje de contratos adjudicados a través de cada uno d</w:t>
      </w:r>
      <w:r w:rsidR="00B44712" w:rsidRPr="00B44712">
        <w:rPr>
          <w:b/>
          <w:u w:val="single"/>
        </w:rPr>
        <w:t>e los procedimientos previstos.</w:t>
      </w:r>
    </w:p>
    <w:p w:rsidR="00021100" w:rsidRPr="005A6843" w:rsidRDefault="00A11353" w:rsidP="00AA712B">
      <w:pPr>
        <w:jc w:val="both"/>
      </w:pPr>
      <w:r w:rsidRPr="005A6843">
        <w:t xml:space="preserve">En este caso, la categoría de información sobre </w:t>
      </w:r>
      <w:r w:rsidR="00637B2B" w:rsidRPr="00B44712">
        <w:rPr>
          <w:i/>
        </w:rPr>
        <w:t>“Contratos, Convenios, Subvenciones y Bienes Inmuebles”</w:t>
      </w:r>
      <w:r w:rsidR="00637B2B" w:rsidRPr="005A6843">
        <w:t xml:space="preserve"> del Portal sí incluye un apartado informativo específico.</w:t>
      </w:r>
    </w:p>
    <w:p w:rsidR="00021100" w:rsidRPr="005A6843" w:rsidRDefault="00637B2B" w:rsidP="00AA712B">
      <w:pPr>
        <w:jc w:val="both"/>
      </w:pPr>
      <w:r w:rsidRPr="005A6843">
        <w:t xml:space="preserve">Accediendo al mismo, se llega a un menú precedido por una “entradilla” explicativa, como en la mayor parte de los menús de opciones del Portal. </w:t>
      </w:r>
      <w:r w:rsidR="00021100" w:rsidRPr="005A6843">
        <w:t xml:space="preserve">En este caso, la entradilla es menos divulgativa y se limita a informar al visitante de que el TRLCSP </w:t>
      </w:r>
      <w:r w:rsidR="00021100" w:rsidRPr="00B44712">
        <w:rPr>
          <w:i/>
        </w:rPr>
        <w:t>“establece la obligatoriedad de todos los órganos de contratación, tanto centrales como periféricos, organismos autónomos y restantes Entidades de Derecho Público, de enviar la información relativa a los contratos adjudicados, al Registro Público de Contratos de la Junta Consultiva de Contratación Administrativa”</w:t>
      </w:r>
      <w:r w:rsidR="00021100" w:rsidRPr="005A6843">
        <w:t xml:space="preserve"> y a reenviarle al sitio </w:t>
      </w:r>
      <w:r w:rsidR="00FC4B2E" w:rsidRPr="00FC4B2E">
        <w:rPr>
          <w:i/>
        </w:rPr>
        <w:t>web</w:t>
      </w:r>
      <w:r w:rsidR="00021100" w:rsidRPr="005A6843">
        <w:t xml:space="preserve"> del Registro Público de Contratos (RPC) en la página institucional del MINHAFP</w:t>
      </w:r>
      <w:r w:rsidR="00391896" w:rsidRPr="005A6843">
        <w:t>.</w:t>
      </w:r>
    </w:p>
    <w:p w:rsidR="00021100" w:rsidRPr="005A6843" w:rsidRDefault="00021100" w:rsidP="00AA712B">
      <w:pPr>
        <w:jc w:val="both"/>
      </w:pPr>
      <w:r w:rsidRPr="005A6843">
        <w:t xml:space="preserve">Accionando el botón </w:t>
      </w:r>
      <w:r w:rsidRPr="00B44712">
        <w:rPr>
          <w:i/>
        </w:rPr>
        <w:t>“Más información”</w:t>
      </w:r>
      <w:r w:rsidRPr="005A6843">
        <w:t xml:space="preserve"> se accede a la ficha técnica de los datos –</w:t>
      </w:r>
      <w:r w:rsidR="00637B2B" w:rsidRPr="005A6843">
        <w:t xml:space="preserve">esta vez </w:t>
      </w:r>
      <w:r w:rsidRPr="005A6843">
        <w:t>la fuente de los mismos es la Junta Consultiva de Contratación Administrativa- y a una serie de enlaces a las</w:t>
      </w:r>
      <w:r w:rsidRPr="00B44712">
        <w:rPr>
          <w:i/>
        </w:rPr>
        <w:t xml:space="preserve"> </w:t>
      </w:r>
      <w:hyperlink r:id="rId48" w:anchor="collapse_6d688b03-121a-44ba-8a91-c06ae7c40f92_2" w:history="1">
        <w:r w:rsidRPr="006A6363">
          <w:rPr>
            <w:rStyle w:val="Hipervnculo"/>
            <w:i/>
          </w:rPr>
          <w:t>Estadísticas del año 2015</w:t>
        </w:r>
      </w:hyperlink>
      <w:r w:rsidRPr="00B44712">
        <w:rPr>
          <w:i/>
        </w:rPr>
        <w:t xml:space="preserve">, </w:t>
      </w:r>
      <w:hyperlink r:id="rId49" w:anchor="collapse_6d688b03-121a-44ba-8a91-c06ae7c40f92_2" w:history="1">
        <w:r w:rsidRPr="00B44712">
          <w:rPr>
            <w:rStyle w:val="Hipervnculo"/>
            <w:i/>
          </w:rPr>
          <w:t>Estadísticas del Año 2014</w:t>
        </w:r>
      </w:hyperlink>
      <w:r w:rsidRPr="005A6843">
        <w:t xml:space="preserve"> y</w:t>
      </w:r>
      <w:r w:rsidRPr="00B44712">
        <w:rPr>
          <w:i/>
        </w:rPr>
        <w:t xml:space="preserve"> </w:t>
      </w:r>
      <w:hyperlink r:id="rId50" w:anchor="collapse_6d688b03-121a-44ba-8a91-c06ae7c40f92_2" w:history="1">
        <w:r w:rsidRPr="006A6363">
          <w:rPr>
            <w:rStyle w:val="Hipervnculo"/>
            <w:i/>
          </w:rPr>
          <w:t>Estadísticas del Año 2013</w:t>
        </w:r>
      </w:hyperlink>
      <w:r w:rsidRPr="00B44712">
        <w:rPr>
          <w:i/>
        </w:rPr>
        <w:t xml:space="preserve"> </w:t>
      </w:r>
      <w:r w:rsidRPr="005A6843">
        <w:t>que ofrecen la información del RPC sobre el número de contratos y el i</w:t>
      </w:r>
      <w:hyperlink r:id="rId51" w:tgtFrame="_blank" w:tooltip="Abrir en una ventana nueva: Abre nueva ventana " w:history="1">
        <w:r w:rsidRPr="005A6843">
          <w:rPr>
            <w:rStyle w:val="Hipervnculo"/>
          </w:rPr>
          <w:t>mporte adjudicado</w:t>
        </w:r>
      </w:hyperlink>
      <w:r w:rsidR="00391896" w:rsidRPr="005A6843">
        <w:t>.</w:t>
      </w:r>
    </w:p>
    <w:p w:rsidR="00021100" w:rsidRPr="005A6843" w:rsidRDefault="00021100" w:rsidP="00AA712B">
      <w:pPr>
        <w:jc w:val="both"/>
      </w:pPr>
      <w:r w:rsidRPr="005A6843">
        <w:t>A criterio de este CTBG, la información presenta un cierto margen de mejora, especialmente a efectos de actualización –falta la información de 2016- y a que las tablas de datos que se proporcionan presentan un excesivo grado de simplificación en cuanto a los procedimientos de contratación que desglosan -únicamente</w:t>
      </w:r>
      <w:r w:rsidRPr="006A6363">
        <w:rPr>
          <w:i/>
        </w:rPr>
        <w:t xml:space="preserve"> “Abierto”, “Restringido”</w:t>
      </w:r>
      <w:r w:rsidRPr="005A6843">
        <w:t xml:space="preserve"> y </w:t>
      </w:r>
      <w:r w:rsidRPr="006A6363">
        <w:rPr>
          <w:i/>
        </w:rPr>
        <w:t>“Otros”</w:t>
      </w:r>
      <w:r w:rsidRPr="005A6843">
        <w:t>-. Hay que considerar que el conocimiento de los importes adjudicados mediante contrataciones abiertas a la libre concurrencia y mediante contrataciones cerradas o restringidas es de importancia esencial para la rendición de cuentas.</w:t>
      </w:r>
    </w:p>
    <w:p w:rsidR="00021100" w:rsidRPr="006A6363" w:rsidRDefault="00021100" w:rsidP="00AA712B">
      <w:pPr>
        <w:jc w:val="both"/>
        <w:rPr>
          <w:b/>
          <w:u w:val="single"/>
        </w:rPr>
      </w:pPr>
      <w:r w:rsidRPr="006A6363">
        <w:rPr>
          <w:b/>
          <w:u w:val="single"/>
        </w:rPr>
        <w:t xml:space="preserve">Relación </w:t>
      </w:r>
      <w:r w:rsidR="006A6363" w:rsidRPr="006A6363">
        <w:rPr>
          <w:b/>
          <w:u w:val="single"/>
        </w:rPr>
        <w:t>trimestral de contratos menores.</w:t>
      </w:r>
    </w:p>
    <w:p w:rsidR="00205ECA" w:rsidRPr="005A6843" w:rsidRDefault="00205ECA" w:rsidP="00AA712B">
      <w:pPr>
        <w:jc w:val="both"/>
      </w:pPr>
      <w:r w:rsidRPr="005A6843">
        <w:t>Hay que traer aquí a colación lo dicho respecto de los contratos menores en el epíg</w:t>
      </w:r>
      <w:r w:rsidR="009D30D9" w:rsidRPr="005A6843">
        <w:t>r</w:t>
      </w:r>
      <w:r w:rsidRPr="005A6843">
        <w:t>afe de información sobre contratos.</w:t>
      </w:r>
    </w:p>
    <w:p w:rsidR="00B66AA7" w:rsidRDefault="00205ECA" w:rsidP="00AA712B">
      <w:pPr>
        <w:jc w:val="both"/>
      </w:pPr>
      <w:r w:rsidRPr="005A6843">
        <w:t xml:space="preserve">Adicionalmente, hay que señalar que, a falta de explicaciones, se produce cierta duda acerca de </w:t>
      </w:r>
      <w:r w:rsidR="00457458" w:rsidRPr="005A6843">
        <w:t xml:space="preserve">solo han accedido a la PCSP aquellos </w:t>
      </w:r>
      <w:r w:rsidRPr="005A6843">
        <w:t xml:space="preserve">contratos menores </w:t>
      </w:r>
      <w:r w:rsidR="00457458" w:rsidRPr="005A6843">
        <w:t>en que ha habido un proceso de concurrencia o</w:t>
      </w:r>
      <w:r w:rsidRPr="005A6843">
        <w:t>,</w:t>
      </w:r>
      <w:r w:rsidR="00457458" w:rsidRPr="005A6843">
        <w:t xml:space="preserve"> por el contrario</w:t>
      </w:r>
      <w:r w:rsidRPr="005A6843">
        <w:t>,</w:t>
      </w:r>
      <w:r w:rsidR="00457458" w:rsidRPr="005A6843">
        <w:t xml:space="preserve"> se han incorporado todos.</w:t>
      </w:r>
    </w:p>
    <w:p w:rsidR="00021100" w:rsidRPr="006A6363" w:rsidRDefault="00021100" w:rsidP="00AA712B">
      <w:pPr>
        <w:jc w:val="both"/>
        <w:rPr>
          <w:b/>
          <w:u w:val="single"/>
        </w:rPr>
      </w:pPr>
      <w:r w:rsidRPr="006A6363">
        <w:rPr>
          <w:b/>
          <w:u w:val="single"/>
        </w:rPr>
        <w:t>Convenios</w:t>
      </w:r>
      <w:r w:rsidR="009D30D9" w:rsidRPr="006A6363">
        <w:rPr>
          <w:b/>
          <w:u w:val="single"/>
        </w:rPr>
        <w:t xml:space="preserve"> </w:t>
      </w:r>
      <w:r w:rsidR="009828DA" w:rsidRPr="006A6363">
        <w:rPr>
          <w:b/>
          <w:u w:val="single"/>
        </w:rPr>
        <w:t xml:space="preserve">de colaboración: partes firmantes, plazo, objeto, </w:t>
      </w:r>
      <w:r w:rsidR="00235F53" w:rsidRPr="006A6363">
        <w:rPr>
          <w:b/>
          <w:u w:val="single"/>
        </w:rPr>
        <w:t>etc.</w:t>
      </w:r>
    </w:p>
    <w:p w:rsidR="00F7132F" w:rsidRPr="005A6843" w:rsidRDefault="00F7132F" w:rsidP="00AA712B">
      <w:pPr>
        <w:jc w:val="both"/>
      </w:pPr>
      <w:r w:rsidRPr="005A6843">
        <w:t xml:space="preserve">El menú de </w:t>
      </w:r>
      <w:r w:rsidRPr="006A6363">
        <w:rPr>
          <w:i/>
        </w:rPr>
        <w:t>“Contratos, Convenios, Subvenciones y Bienes Inmuebles”</w:t>
      </w:r>
      <w:r w:rsidRPr="005A6843">
        <w:t xml:space="preserve"> del Portal agrupa la información sobre convenios de colaboración y encomiendas de gestión del art. 8 de la </w:t>
      </w:r>
      <w:r w:rsidR="0030754C">
        <w:t>l</w:t>
      </w:r>
      <w:r w:rsidR="001C41A6">
        <w:t>ey</w:t>
      </w:r>
      <w:r w:rsidR="00E768A4">
        <w:t xml:space="preserve"> de transparencia</w:t>
      </w:r>
      <w:r w:rsidRPr="005A6843">
        <w:t xml:space="preserve"> en una sola sub-categoría, denominada justamente </w:t>
      </w:r>
      <w:r w:rsidRPr="006A6363">
        <w:rPr>
          <w:i/>
        </w:rPr>
        <w:t>“Convenios y Encomiendas”</w:t>
      </w:r>
      <w:r w:rsidRPr="005A6843">
        <w:t>.</w:t>
      </w:r>
    </w:p>
    <w:p w:rsidR="00F7132F" w:rsidRPr="005A6843" w:rsidRDefault="00F7132F" w:rsidP="00AA712B">
      <w:pPr>
        <w:jc w:val="both"/>
      </w:pPr>
      <w:r w:rsidRPr="005A6843">
        <w:t xml:space="preserve">La pantalla inicial de este elemento o apartado informativo presenta una explicación general acerca de su contenido: </w:t>
      </w:r>
      <w:r w:rsidRPr="006A6363">
        <w:rPr>
          <w:i/>
        </w:rPr>
        <w:t>“Convenios y encomiendas de gestión realizadas por órganos de la Administración del Estado”</w:t>
      </w:r>
      <w:r w:rsidRPr="005A6843">
        <w:t xml:space="preserve">. Accionando el botón </w:t>
      </w:r>
      <w:r w:rsidRPr="006A6363">
        <w:rPr>
          <w:i/>
        </w:rPr>
        <w:t>“Mas Información”</w:t>
      </w:r>
      <w:r w:rsidRPr="005A6843">
        <w:t xml:space="preserve">, se accede a la ficha técnica de los datos –la fuente de los mismos es ahora la Base de Datos Nacional de Convenios (BDNC) del MPREAT- y a una explicación muy completa sobre el concepto, la naturaleza y el régimen jurídico de los convenios de colaboración y las encomiendas de gestión, que ´contiene además un </w:t>
      </w:r>
      <w:r w:rsidR="00FC4B2E" w:rsidRPr="00FC4B2E">
        <w:rPr>
          <w:i/>
        </w:rPr>
        <w:t>link</w:t>
      </w:r>
      <w:r w:rsidRPr="005A6843">
        <w:t xml:space="preserve"> o vínculo electrónico con el texto consolidado del BOE de la LRJSP, norma reguladora de ambos instrumentos.</w:t>
      </w:r>
    </w:p>
    <w:p w:rsidR="001D02E8" w:rsidRPr="005A6843" w:rsidRDefault="00F7132F" w:rsidP="00AA712B">
      <w:pPr>
        <w:jc w:val="both"/>
      </w:pPr>
      <w:r w:rsidRPr="005A6843">
        <w:t xml:space="preserve">La información se ofrece por Ministerios a través del correspondiente menú que, como sucedía en el caso de los contratos, excluye a Presidencia del Gobierno -no suscribe convenios ni otorga encomiendas-. “Clicando” en cualquier Ministerio, se accede a un listado estructurado en cuatro columnas: </w:t>
      </w:r>
      <w:r w:rsidRPr="006A6363">
        <w:rPr>
          <w:i/>
        </w:rPr>
        <w:t>“Título”, “Departamento”, “Tipología”</w:t>
      </w:r>
      <w:r w:rsidRPr="005A6843">
        <w:t xml:space="preserve"> y </w:t>
      </w:r>
      <w:r w:rsidRPr="006A6363">
        <w:rPr>
          <w:i/>
        </w:rPr>
        <w:t>“Vigente Sí/No”</w:t>
      </w:r>
      <w:r w:rsidRPr="005A6843">
        <w:t>, que permite, accionando sobre el título de uno de los convenios o encomiendas, acceder a una ficha informativa con enlaces a la BDNC para ampliar todavía más la información.</w:t>
      </w:r>
    </w:p>
    <w:p w:rsidR="00F7132F" w:rsidRPr="005A6843" w:rsidRDefault="001D02E8" w:rsidP="00AA712B">
      <w:pPr>
        <w:jc w:val="both"/>
      </w:pPr>
      <w:r w:rsidRPr="005A6843">
        <w:t xml:space="preserve">El buscador de la sub-categoría permite filtrar la información por tipología, área sectorial, </w:t>
      </w:r>
      <w:r w:rsidR="00F7132F" w:rsidRPr="005A6843">
        <w:t xml:space="preserve"> </w:t>
      </w:r>
      <w:r w:rsidRPr="005A6843">
        <w:t xml:space="preserve">régimen financiero, vigencia sí o no y fecha de vigencia (con un intervalo). Como se ha visto </w:t>
      </w:r>
      <w:r w:rsidR="0070113C" w:rsidRPr="005A6843">
        <w:t xml:space="preserve">más atrás, </w:t>
      </w:r>
      <w:r w:rsidRPr="005A6843">
        <w:t>en el análisis del buscador del Portal</w:t>
      </w:r>
      <w:r w:rsidR="0070113C" w:rsidRPr="005A6843">
        <w:t>, l</w:t>
      </w:r>
      <w:r w:rsidRPr="005A6843">
        <w:t>a clasificación o categorización de los datos que e</w:t>
      </w:r>
      <w:r w:rsidR="0070113C" w:rsidRPr="005A6843">
        <w:t xml:space="preserve">mplea </w:t>
      </w:r>
      <w:r w:rsidRPr="005A6843">
        <w:t xml:space="preserve">el filtro </w:t>
      </w:r>
      <w:r w:rsidRPr="006A6363">
        <w:rPr>
          <w:i/>
        </w:rPr>
        <w:t>“</w:t>
      </w:r>
      <w:r w:rsidR="0008113D" w:rsidRPr="006A6363">
        <w:rPr>
          <w:i/>
        </w:rPr>
        <w:t>Área</w:t>
      </w:r>
      <w:r w:rsidRPr="006A6363">
        <w:rPr>
          <w:i/>
        </w:rPr>
        <w:t xml:space="preserve"> Sectorial”</w:t>
      </w:r>
      <w:r w:rsidRPr="005A6843">
        <w:t xml:space="preserve"> incluye 60 ítems</w:t>
      </w:r>
      <w:r w:rsidR="0070113C" w:rsidRPr="005A6843">
        <w:t xml:space="preserve"> que, teniendo en cuenta el origen de la información figurada en el Portal, sean propias del diseño de la BDNC.</w:t>
      </w:r>
    </w:p>
    <w:p w:rsidR="00365F8F" w:rsidRPr="005A6843" w:rsidRDefault="00F7132F" w:rsidP="00AA712B">
      <w:pPr>
        <w:jc w:val="both"/>
      </w:pPr>
      <w:r w:rsidRPr="005A6843">
        <w:t xml:space="preserve">La información agregada proporciona </w:t>
      </w:r>
      <w:r w:rsidR="00A70D2E" w:rsidRPr="005A6843">
        <w:t>12.029 resultados a día de hoy</w:t>
      </w:r>
      <w:r w:rsidR="009828DA" w:rsidRPr="005A6843">
        <w:t xml:space="preserve">, entre los que se cuentan </w:t>
      </w:r>
      <w:r w:rsidR="00A70D2E" w:rsidRPr="005A6843">
        <w:t>9.045 convenios</w:t>
      </w:r>
      <w:r w:rsidR="009828DA" w:rsidRPr="005A6843">
        <w:t xml:space="preserve">. De ellos, </w:t>
      </w:r>
      <w:r w:rsidR="00E27DF5" w:rsidRPr="005A6843">
        <w:t>3.907 tienen financiación (hay que entender que a cargo del Departamento u organismo) y 5.168 no la tienen. Curiosamente, la suma de los datos “filtrados” es de (3.907 + 5.168) 9.075, 30 más que el total que se ofrece.</w:t>
      </w:r>
    </w:p>
    <w:p w:rsidR="00E27DF5" w:rsidRPr="005A6843" w:rsidRDefault="00E27DF5" w:rsidP="00AA712B">
      <w:pPr>
        <w:jc w:val="both"/>
      </w:pPr>
      <w:r w:rsidRPr="005A6843">
        <w:t xml:space="preserve">De acuerdo con los filtros proporcionados por el buscador, de los 9.045 convenios listados están vigentes actualmente 4.859 y 4.187 están concluidos. </w:t>
      </w:r>
    </w:p>
    <w:p w:rsidR="005D0B55" w:rsidRPr="005A6843" w:rsidRDefault="00E27DF5" w:rsidP="00AA712B">
      <w:pPr>
        <w:jc w:val="both"/>
      </w:pPr>
      <w:r w:rsidRPr="005A6843">
        <w:t>En principio</w:t>
      </w:r>
      <w:r w:rsidR="005D0B55" w:rsidRPr="005A6843">
        <w:t xml:space="preserve">, y tal y como exige el art. 8.1 b) de la </w:t>
      </w:r>
      <w:r w:rsidR="0030754C">
        <w:t>l</w:t>
      </w:r>
      <w:r w:rsidR="001C41A6">
        <w:t>ey</w:t>
      </w:r>
      <w:r w:rsidR="00E768A4">
        <w:t xml:space="preserve"> de transparencia</w:t>
      </w:r>
      <w:r w:rsidR="005D0B55" w:rsidRPr="005A6843">
        <w:t xml:space="preserve">, la información facilitada  incluye las </w:t>
      </w:r>
      <w:r w:rsidRPr="005A6843">
        <w:t xml:space="preserve">modificaciones </w:t>
      </w:r>
      <w:r w:rsidR="005D0B55" w:rsidRPr="005A6843">
        <w:t xml:space="preserve">introducidas después de la firma de </w:t>
      </w:r>
      <w:r w:rsidRPr="005A6843">
        <w:t>los convenios.</w:t>
      </w:r>
      <w:r w:rsidR="005D0B55" w:rsidRPr="005A6843">
        <w:t xml:space="preserve"> Así, a reserva de un análisis exhaustivo de los registros de información incorporados al listado, se comprueba acudiendo al buscador por texto de la sub-categoría e ingresando el término </w:t>
      </w:r>
      <w:r w:rsidR="005D0B55" w:rsidRPr="006A6363">
        <w:t xml:space="preserve">“adenda” </w:t>
      </w:r>
      <w:r w:rsidR="005D0B55" w:rsidRPr="005A6843">
        <w:t>en</w:t>
      </w:r>
      <w:r w:rsidR="006A6363">
        <w:t xml:space="preserve"> el formulario (476 resultados).</w:t>
      </w:r>
    </w:p>
    <w:p w:rsidR="00F9191B" w:rsidRPr="005A6843" w:rsidRDefault="005D0B55" w:rsidP="00AA712B">
      <w:pPr>
        <w:jc w:val="both"/>
      </w:pPr>
      <w:r w:rsidRPr="005A6843">
        <w:t xml:space="preserve">También la información facilitada incluye la designación de las partes y la descripción de las obligaciones económicas, ítems informativos exigidos expresamente por la </w:t>
      </w:r>
      <w:r w:rsidR="0030754C">
        <w:t>l</w:t>
      </w:r>
      <w:r w:rsidR="001C41A6">
        <w:t>ey</w:t>
      </w:r>
      <w:r w:rsidRPr="005A6843">
        <w:t>. Pero los datos no se facilitan directamente sino que ha</w:t>
      </w:r>
      <w:r w:rsidR="0008113D" w:rsidRPr="005A6843">
        <w:t>n</w:t>
      </w:r>
      <w:r w:rsidRPr="005A6843">
        <w:t xml:space="preserve"> de ser obtenidos por el visitante del texto del convenio, a cuya reproducción en pdf se accede </w:t>
      </w:r>
      <w:r w:rsidR="00F9191B" w:rsidRPr="005A6843">
        <w:t xml:space="preserve">a través de </w:t>
      </w:r>
      <w:r w:rsidRPr="005A6843">
        <w:t>los enlaces situados en la ficha informativa de cada convenio</w:t>
      </w:r>
      <w:r w:rsidR="00F9191B" w:rsidRPr="005A6843">
        <w:t>.</w:t>
      </w:r>
    </w:p>
    <w:p w:rsidR="00C62284" w:rsidRPr="005A6843" w:rsidRDefault="00F9191B" w:rsidP="00AA712B">
      <w:pPr>
        <w:jc w:val="both"/>
      </w:pPr>
      <w:r w:rsidRPr="005A6843">
        <w:t>Visto lo dicho, y si</w:t>
      </w:r>
      <w:r w:rsidR="00F7132F" w:rsidRPr="005A6843">
        <w:t xml:space="preserve"> bien la información </w:t>
      </w:r>
      <w:r w:rsidRPr="005A6843">
        <w:t xml:space="preserve">facilitada por el Portal </w:t>
      </w:r>
      <w:r w:rsidR="00C62284" w:rsidRPr="005A6843">
        <w:t xml:space="preserve">puede ser </w:t>
      </w:r>
      <w:r w:rsidR="00F7132F" w:rsidRPr="005A6843">
        <w:t>suficiente</w:t>
      </w:r>
      <w:r w:rsidRPr="005A6843">
        <w:t xml:space="preserve"> a efectos de la </w:t>
      </w:r>
      <w:r w:rsidR="0030754C">
        <w:t>l</w:t>
      </w:r>
      <w:r w:rsidR="001C41A6">
        <w:t>ey</w:t>
      </w:r>
      <w:r w:rsidR="00E768A4">
        <w:t xml:space="preserve"> de transparencia</w:t>
      </w:r>
      <w:r w:rsidR="00C62284" w:rsidRPr="005A6843">
        <w:t xml:space="preserve">, </w:t>
      </w:r>
      <w:r w:rsidRPr="005A6843">
        <w:t xml:space="preserve">presenta todavía un cierto margen de mejora a juicio de </w:t>
      </w:r>
      <w:r w:rsidR="00F7132F" w:rsidRPr="005A6843">
        <w:t>e</w:t>
      </w:r>
      <w:r w:rsidRPr="005A6843">
        <w:t>ste CTBG:</w:t>
      </w:r>
      <w:r w:rsidR="00F7132F" w:rsidRPr="005A6843">
        <w:t xml:space="preserve"> </w:t>
      </w:r>
    </w:p>
    <w:p w:rsidR="00B30D6D" w:rsidRDefault="00F7132F" w:rsidP="005750D1">
      <w:pPr>
        <w:pStyle w:val="Prrafodelista"/>
        <w:numPr>
          <w:ilvl w:val="0"/>
          <w:numId w:val="36"/>
        </w:numPr>
        <w:spacing w:line="276" w:lineRule="auto"/>
        <w:ind w:left="714" w:hanging="357"/>
        <w:jc w:val="both"/>
      </w:pPr>
      <w:r w:rsidRPr="005A6843">
        <w:t xml:space="preserve">Primeramente, </w:t>
      </w:r>
      <w:r w:rsidR="00C62284" w:rsidRPr="005A6843">
        <w:t>debe</w:t>
      </w:r>
      <w:r w:rsidR="00B30D6D" w:rsidRPr="005A6843">
        <w:t xml:space="preserve">rían </w:t>
      </w:r>
      <w:r w:rsidR="00C62284" w:rsidRPr="005A6843">
        <w:t xml:space="preserve">separarse los datos de convenios y encomiendas de gestión, incluyéndose </w:t>
      </w:r>
      <w:r w:rsidR="009D30D9" w:rsidRPr="005A6843">
        <w:t xml:space="preserve">en este segundo grupo los datos correspondientes a las encomiendas mediante convenio. Ambos instrumentos responden a objetivos distintos y tienen distinta naturaleza, siendo diferentes los motivos ligados a la rendición de cuentas que han aconsejado su inclusión en el régimen de publicidad activa de la </w:t>
      </w:r>
      <w:r w:rsidR="0030754C">
        <w:t>l</w:t>
      </w:r>
      <w:r w:rsidR="001C41A6">
        <w:t>ey</w:t>
      </w:r>
      <w:r w:rsidR="009D30D9" w:rsidRPr="005A6843">
        <w:t xml:space="preserve">: en el caso de los convenios, se trata de elucidar si encubren o no contrataciones, tal y como ha venido reiterando el Tribunal de Cuentas en sus informes sobre los convenios de la AGE; en el caso de las encomiendas, si infringen las normas del libre mercado o la competencia. </w:t>
      </w:r>
      <w:r w:rsidR="00B30D6D" w:rsidRPr="005A6843">
        <w:t>Es cierto que el buscador permite segregar los datos de un instrumento y de otro pero, a efectos de incrementar la claridad de la información, parecería mejor publicarlos en listados separados.</w:t>
      </w:r>
    </w:p>
    <w:p w:rsidR="006A6363" w:rsidRPr="005A6843" w:rsidRDefault="006A6363" w:rsidP="006A6363">
      <w:pPr>
        <w:pStyle w:val="Prrafodelista"/>
        <w:spacing w:line="276" w:lineRule="auto"/>
        <w:ind w:left="714"/>
        <w:jc w:val="both"/>
      </w:pPr>
    </w:p>
    <w:p w:rsidR="00B30D6D" w:rsidRDefault="00B30D6D" w:rsidP="005750D1">
      <w:pPr>
        <w:pStyle w:val="Prrafodelista"/>
        <w:numPr>
          <w:ilvl w:val="0"/>
          <w:numId w:val="36"/>
        </w:numPr>
        <w:spacing w:line="276" w:lineRule="auto"/>
        <w:ind w:left="714" w:hanging="357"/>
        <w:jc w:val="both"/>
      </w:pPr>
      <w:r w:rsidRPr="005A6843">
        <w:t>En segundo lugar, y por razones ya expuestas en relación con otros elementos de información, debería</w:t>
      </w:r>
      <w:r w:rsidR="0070113C" w:rsidRPr="005A6843">
        <w:t>n</w:t>
      </w:r>
      <w:r w:rsidRPr="005A6843">
        <w:t xml:space="preserve"> eliminarse los datos </w:t>
      </w:r>
      <w:r w:rsidR="00F9191B" w:rsidRPr="005A6843">
        <w:t xml:space="preserve">correspondientes a </w:t>
      </w:r>
      <w:r w:rsidRPr="005A6843">
        <w:t>convenios no vigentes. La finalidad de la transparencia activa es ofrecer al ciudadano visitante del Portal una información sobre la actividad actual de los organismos y entidades públicas, no sobre su dimensión histórica.</w:t>
      </w:r>
    </w:p>
    <w:p w:rsidR="006A6363" w:rsidRDefault="006A6363" w:rsidP="006A6363">
      <w:pPr>
        <w:pStyle w:val="Prrafodelista"/>
      </w:pPr>
    </w:p>
    <w:p w:rsidR="00F9191B" w:rsidRDefault="00F9191B" w:rsidP="005750D1">
      <w:pPr>
        <w:pStyle w:val="Prrafodelista"/>
        <w:numPr>
          <w:ilvl w:val="0"/>
          <w:numId w:val="36"/>
        </w:numPr>
        <w:spacing w:line="276" w:lineRule="auto"/>
        <w:ind w:left="714" w:hanging="357"/>
        <w:jc w:val="both"/>
      </w:pPr>
      <w:r w:rsidRPr="005A6843">
        <w:t>En tercer lugar, debería mejorarse la información sobre modificaciones, probablemente añadiendo un nuevo filtro al buscador. Esta solución tal vez no sea sencilla pues requeriría re</w:t>
      </w:r>
      <w:r w:rsidR="00AD338C" w:rsidRPr="005A6843">
        <w:t>-</w:t>
      </w:r>
      <w:r w:rsidRPr="005A6843">
        <w:t xml:space="preserve">catalogar la información obrante en la BDNC. </w:t>
      </w:r>
    </w:p>
    <w:p w:rsidR="006A6363" w:rsidRDefault="006A6363" w:rsidP="006A6363">
      <w:pPr>
        <w:pStyle w:val="Prrafodelista"/>
      </w:pPr>
    </w:p>
    <w:p w:rsidR="005109E0" w:rsidRDefault="0070113C" w:rsidP="005750D1">
      <w:pPr>
        <w:pStyle w:val="Prrafodelista"/>
        <w:numPr>
          <w:ilvl w:val="0"/>
          <w:numId w:val="36"/>
        </w:numPr>
        <w:spacing w:line="276" w:lineRule="auto"/>
        <w:ind w:left="714" w:hanging="357"/>
        <w:jc w:val="both"/>
      </w:pPr>
      <w:r w:rsidRPr="005A6843">
        <w:t xml:space="preserve">En </w:t>
      </w:r>
      <w:r w:rsidR="00F9191B" w:rsidRPr="005A6843">
        <w:t>cuarto</w:t>
      </w:r>
      <w:r w:rsidRPr="005A6843">
        <w:t xml:space="preserve"> lugar, si bien la posibilidad de filtrar la información por materias </w:t>
      </w:r>
      <w:r w:rsidR="009828DA" w:rsidRPr="005A6843">
        <w:t xml:space="preserve">que proporciona el buscador se estima como una utilidad muy importante para el ciudadano </w:t>
      </w:r>
      <w:r w:rsidRPr="005A6843">
        <w:t xml:space="preserve">-más tratándose de registros con un </w:t>
      </w:r>
      <w:r w:rsidR="009828DA" w:rsidRPr="005A6843">
        <w:t>significativo</w:t>
      </w:r>
      <w:r w:rsidRPr="005A6843">
        <w:t xml:space="preserve"> volumen de datos</w:t>
      </w:r>
      <w:r w:rsidR="009828DA" w:rsidRPr="005A6843">
        <w:t>-</w:t>
      </w:r>
      <w:r w:rsidR="00F9191B" w:rsidRPr="005A6843">
        <w:t>, es de advertir que existe una discrepancia entre el filtro material empleado en esta sub-categoría -</w:t>
      </w:r>
      <w:r w:rsidR="00F9191B" w:rsidRPr="006A6363">
        <w:rPr>
          <w:i/>
        </w:rPr>
        <w:t>“</w:t>
      </w:r>
      <w:r w:rsidR="005109E0" w:rsidRPr="006A6363">
        <w:rPr>
          <w:i/>
        </w:rPr>
        <w:t>Á</w:t>
      </w:r>
      <w:r w:rsidR="00F9191B" w:rsidRPr="006A6363">
        <w:rPr>
          <w:i/>
        </w:rPr>
        <w:t>rea Sectorial”</w:t>
      </w:r>
      <w:r w:rsidR="00F9191B" w:rsidRPr="005A6843">
        <w:t>- y el empleado en otras -la clasificación por categorías RISP del menú de “Normativa”-. Aunque se comprende que la clasificación por áreas sectoriales es propia de BDNC  y estaba incorporada a ella antes de su sindicación con el Portal de Transparencia, debería estudiarse alguna posible solución para facilitar las b</w:t>
      </w:r>
      <w:r w:rsidR="005109E0" w:rsidRPr="005A6843">
        <w:t>ú</w:t>
      </w:r>
      <w:r w:rsidR="00F9191B" w:rsidRPr="005A6843">
        <w:t>squedas</w:t>
      </w:r>
      <w:r w:rsidR="005109E0" w:rsidRPr="005A6843">
        <w:t xml:space="preserve"> y evitar confusiones.</w:t>
      </w:r>
    </w:p>
    <w:p w:rsidR="006A6363" w:rsidRDefault="006A6363" w:rsidP="006A6363">
      <w:pPr>
        <w:pStyle w:val="Prrafodelista"/>
      </w:pPr>
    </w:p>
    <w:p w:rsidR="005109E0" w:rsidRDefault="005109E0" w:rsidP="005750D1">
      <w:pPr>
        <w:pStyle w:val="Prrafodelista"/>
        <w:numPr>
          <w:ilvl w:val="0"/>
          <w:numId w:val="36"/>
        </w:numPr>
        <w:spacing w:line="276" w:lineRule="auto"/>
        <w:ind w:left="714" w:hanging="357"/>
        <w:jc w:val="both"/>
      </w:pPr>
      <w:r w:rsidRPr="005A6843">
        <w:t>Finalmente, debe revisarse el funcionamiento de los filtros numéricos del buscador para evitar errores aritméticos.</w:t>
      </w:r>
    </w:p>
    <w:p w:rsidR="006A6363" w:rsidRDefault="006A6363" w:rsidP="006A6363">
      <w:pPr>
        <w:pStyle w:val="Prrafodelista"/>
      </w:pPr>
    </w:p>
    <w:p w:rsidR="00021100" w:rsidRPr="006A6363" w:rsidRDefault="000B7A64" w:rsidP="00AA712B">
      <w:pPr>
        <w:jc w:val="both"/>
        <w:rPr>
          <w:b/>
          <w:u w:val="single"/>
        </w:rPr>
      </w:pPr>
      <w:r w:rsidRPr="006A6363">
        <w:rPr>
          <w:b/>
          <w:u w:val="single"/>
        </w:rPr>
        <w:t>E</w:t>
      </w:r>
      <w:r w:rsidR="00021100" w:rsidRPr="006A6363">
        <w:rPr>
          <w:b/>
          <w:u w:val="single"/>
        </w:rPr>
        <w:t xml:space="preserve">ncomiendas: objeto, presupuesto, plazo, </w:t>
      </w:r>
      <w:r w:rsidR="00235F53" w:rsidRPr="006A6363">
        <w:rPr>
          <w:b/>
          <w:u w:val="single"/>
        </w:rPr>
        <w:t>etc.</w:t>
      </w:r>
      <w:r w:rsidR="00E6480D" w:rsidRPr="006A6363">
        <w:rPr>
          <w:b/>
          <w:u w:val="single"/>
        </w:rPr>
        <w:t xml:space="preserve"> </w:t>
      </w:r>
    </w:p>
    <w:p w:rsidR="00677F8A" w:rsidRPr="005A6843" w:rsidRDefault="005109E0" w:rsidP="00AA712B">
      <w:pPr>
        <w:jc w:val="both"/>
      </w:pPr>
      <w:r w:rsidRPr="005A6843">
        <w:t>La información está subsumida con la de convenios</w:t>
      </w:r>
      <w:r w:rsidR="00677F8A" w:rsidRPr="005A6843">
        <w:t>,</w:t>
      </w:r>
      <w:r w:rsidRPr="005A6843">
        <w:t xml:space="preserve"> por lo que se presenta en los mismos listados y utiliza los mismos menús. Comprende </w:t>
      </w:r>
      <w:r w:rsidR="009828DA" w:rsidRPr="005A6843">
        <w:t xml:space="preserve">2.515 encomiendas de gestión y 228 encomiendas de gestión mediante convenio. </w:t>
      </w:r>
      <w:r w:rsidR="00677F8A" w:rsidRPr="005A6843">
        <w:t xml:space="preserve">Únicamente </w:t>
      </w:r>
      <w:r w:rsidRPr="005A6843">
        <w:t xml:space="preserve">681 </w:t>
      </w:r>
      <w:r w:rsidR="00677F8A" w:rsidRPr="005A6843">
        <w:t xml:space="preserve">encomiendas </w:t>
      </w:r>
      <w:r w:rsidRPr="005A6843">
        <w:t xml:space="preserve">y </w:t>
      </w:r>
      <w:r w:rsidR="00677F8A" w:rsidRPr="005A6843">
        <w:t>184 encomiendas mediante conven</w:t>
      </w:r>
      <w:r w:rsidR="006A6363">
        <w:t>io están en vigencia.</w:t>
      </w:r>
    </w:p>
    <w:p w:rsidR="00FC1C35" w:rsidRPr="005A6843" w:rsidRDefault="00FC1C35" w:rsidP="00AA712B">
      <w:pPr>
        <w:jc w:val="both"/>
      </w:pPr>
      <w:r w:rsidRPr="005A6843">
        <w:t xml:space="preserve">Son de plena aplicación a este apartado las consideraciones efectuadas respecto del anterior. Únicamente debe recordarse que el art. 8.1 b) de la </w:t>
      </w:r>
      <w:r w:rsidR="0030754C">
        <w:t>l</w:t>
      </w:r>
      <w:r w:rsidR="001C41A6">
        <w:t>ey</w:t>
      </w:r>
      <w:r w:rsidR="00E768A4">
        <w:t xml:space="preserve"> de transparencia</w:t>
      </w:r>
      <w:r w:rsidRPr="005A6843">
        <w:t xml:space="preserve"> exige la publicación de los datos de sub-contrataciones en el ámbito de las encomiendas de gestión. </w:t>
      </w:r>
    </w:p>
    <w:p w:rsidR="006A6363" w:rsidRDefault="00FC1C35" w:rsidP="00AA712B">
      <w:pPr>
        <w:jc w:val="both"/>
      </w:pPr>
      <w:r w:rsidRPr="005A6843">
        <w:t>Después de haber ensayado varias búsquedas infructuosas con el buscador textual, se entiende que, en caso de existir alguna subcontratación, la información correspondiente estaría incorporada a la ficha informativa de la encomienda. Pero sin realizar un análisis detallado de las distintas entradas del listado este extremo no puede acreditarse.</w:t>
      </w:r>
    </w:p>
    <w:p w:rsidR="00E6480D" w:rsidRPr="006A6363" w:rsidRDefault="000B7A64" w:rsidP="00AA712B">
      <w:pPr>
        <w:jc w:val="both"/>
        <w:rPr>
          <w:b/>
          <w:u w:val="single"/>
        </w:rPr>
      </w:pPr>
      <w:r w:rsidRPr="006A6363">
        <w:rPr>
          <w:b/>
          <w:u w:val="single"/>
        </w:rPr>
        <w:t>S</w:t>
      </w:r>
      <w:r w:rsidR="00E6480D" w:rsidRPr="006A6363">
        <w:rPr>
          <w:b/>
          <w:u w:val="single"/>
        </w:rPr>
        <w:t>ubvenciones y ayudas públicas concedidas: Importe, objetivo, beneficiario</w:t>
      </w:r>
      <w:r w:rsidR="00FC1C35" w:rsidRPr="006A6363">
        <w:rPr>
          <w:b/>
          <w:u w:val="single"/>
        </w:rPr>
        <w:t>.</w:t>
      </w:r>
    </w:p>
    <w:p w:rsidR="00AD338C" w:rsidRPr="005A6843" w:rsidRDefault="00E6480D" w:rsidP="00AA712B">
      <w:pPr>
        <w:jc w:val="both"/>
      </w:pPr>
      <w:r w:rsidRPr="005A6843">
        <w:t>La</w:t>
      </w:r>
      <w:r w:rsidR="00AD338C" w:rsidRPr="005A6843">
        <w:t xml:space="preserve"> información sobre subvenciones y ayudas públicas se contiene en un apartado específico del menú de </w:t>
      </w:r>
      <w:r w:rsidR="00AD338C" w:rsidRPr="006A6363">
        <w:rPr>
          <w:i/>
        </w:rPr>
        <w:t>“Contratos, Convenios, Subvenciones y Bienes Inmuebles”</w:t>
      </w:r>
      <w:r w:rsidR="00AD338C" w:rsidRPr="005A6843">
        <w:t xml:space="preserve"> del Portal.</w:t>
      </w:r>
    </w:p>
    <w:p w:rsidR="00E6480D" w:rsidRPr="005A6843" w:rsidRDefault="00AD338C" w:rsidP="00AA712B">
      <w:pPr>
        <w:jc w:val="both"/>
      </w:pPr>
      <w:r w:rsidRPr="005A6843">
        <w:t xml:space="preserve">Accediendo al mismo, se llega a un menú general -no distribuido por Ministerios- con diferentes textos explicativos, tal vez </w:t>
      </w:r>
      <w:r w:rsidR="00E6480D" w:rsidRPr="005A6843">
        <w:t>menos ilustrativ</w:t>
      </w:r>
      <w:r w:rsidRPr="005A6843">
        <w:t>o</w:t>
      </w:r>
      <w:r w:rsidR="00E6480D" w:rsidRPr="005A6843">
        <w:t xml:space="preserve">s que en otros ítems o sub-categorías. Se limitan a informar sobre el contenido del </w:t>
      </w:r>
      <w:r w:rsidRPr="005A6843">
        <w:t xml:space="preserve">elemento </w:t>
      </w:r>
      <w:r w:rsidR="00E6480D" w:rsidRPr="005A6843">
        <w:t>-</w:t>
      </w:r>
      <w:r w:rsidR="00E6480D" w:rsidRPr="006A6363">
        <w:rPr>
          <w:i/>
        </w:rPr>
        <w:t>“subvenciones a personas físicas y jurídicas otorgadas por las Administraciones Públicas desde 2016”</w:t>
      </w:r>
      <w:r w:rsidR="00E6480D" w:rsidRPr="005A6843">
        <w:t xml:space="preserve"> y </w:t>
      </w:r>
      <w:r w:rsidR="00E6480D" w:rsidRPr="006A6363">
        <w:rPr>
          <w:i/>
        </w:rPr>
        <w:t>“subvenciones y ayudas públicas concedidas por la Administración General del Estado desde enero de 2014”</w:t>
      </w:r>
      <w:r w:rsidR="00E6480D" w:rsidRPr="005A6843">
        <w:t xml:space="preserve"> y a ofrecer un enlace directo al Sistema Nacional de Publicidad de Subvenciones (SPNS) del MINHAFP, gestionado por la I</w:t>
      </w:r>
      <w:r w:rsidR="00362223" w:rsidRPr="005A6843">
        <w:t>ntervención General de la Administración del Estado (I</w:t>
      </w:r>
      <w:r w:rsidR="00E6480D" w:rsidRPr="005A6843">
        <w:t>GAE</w:t>
      </w:r>
      <w:r w:rsidR="00362223" w:rsidRPr="005A6843">
        <w:t>)</w:t>
      </w:r>
      <w:r w:rsidR="00E6480D" w:rsidRPr="005A6843">
        <w:t>.</w:t>
      </w:r>
    </w:p>
    <w:p w:rsidR="00E6480D" w:rsidRPr="005A6843" w:rsidRDefault="00E6480D" w:rsidP="00AA712B">
      <w:pPr>
        <w:jc w:val="both"/>
      </w:pPr>
      <w:r w:rsidRPr="005A6843">
        <w:t xml:space="preserve">Por toda información complementaria, </w:t>
      </w:r>
      <w:r w:rsidR="00AD338C" w:rsidRPr="005A6843">
        <w:t xml:space="preserve">la opción </w:t>
      </w:r>
      <w:r w:rsidR="00AD338C" w:rsidRPr="006A6363">
        <w:rPr>
          <w:i/>
        </w:rPr>
        <w:t>“Más Información”</w:t>
      </w:r>
      <w:r w:rsidR="00AD338C" w:rsidRPr="005A6843">
        <w:t xml:space="preserve"> </w:t>
      </w:r>
      <w:r w:rsidRPr="005A6843">
        <w:t>agrega a la entrada una síntesis de la información que puede hallarse en el SNPS -organismo convocante, importe, objeto o finalidad y beneficiarios- y un acceso al documento de</w:t>
      </w:r>
      <w:r w:rsidR="007610F3" w:rsidRPr="005A6843">
        <w:t xml:space="preserve"> </w:t>
      </w:r>
      <w:r w:rsidRPr="005A6843">
        <w:t xml:space="preserve">ayuda del </w:t>
      </w:r>
      <w:r w:rsidR="00AD338C" w:rsidRPr="005A6843">
        <w:t>mismo</w:t>
      </w:r>
      <w:r w:rsidRPr="005A6843">
        <w:t>, con tres videos tutoriales sobre el acceso y manejo de la base de datos. Hay también una ficha técnica de los datos que identifica la fuente: la Oficina Nacional de Auditoría de la IGAE.</w:t>
      </w:r>
    </w:p>
    <w:p w:rsidR="00996ACA" w:rsidRPr="005A6843" w:rsidRDefault="00AD338C" w:rsidP="00AA712B">
      <w:pPr>
        <w:jc w:val="both"/>
      </w:pPr>
      <w:r w:rsidRPr="005A6843">
        <w:t xml:space="preserve">El enlace con el SPNS sitúa al visitante en la página inicial del mismo. Esta informa a los consultantes de que </w:t>
      </w:r>
      <w:r w:rsidRPr="006A6363">
        <w:rPr>
          <w:i/>
        </w:rPr>
        <w:t>“En este Portal se muestra la información suministrada desde 2016 por los órganos concedentes; en el caso del sector público estatal se incluye, además, la suministrada desde 2014”</w:t>
      </w:r>
      <w:r w:rsidRPr="005A6843">
        <w:t xml:space="preserve"> y ofrece un listado de las últimas convocatorias registradas en la </w:t>
      </w:r>
      <w:r w:rsidR="00996ACA" w:rsidRPr="005A6843">
        <w:t>p</w:t>
      </w:r>
      <w:r w:rsidRPr="005A6843">
        <w:t>lataforma</w:t>
      </w:r>
      <w:r w:rsidR="00996ACA" w:rsidRPr="005A6843">
        <w:t xml:space="preserve">, estructurado en siete columnas: </w:t>
      </w:r>
      <w:r w:rsidR="00996ACA" w:rsidRPr="006A6363">
        <w:rPr>
          <w:i/>
        </w:rPr>
        <w:t>“Administración”, “Departamento”, “Órgano”, Fecha de Registro”, “Título de la Convocatoria”, “Bases Reguladoras”</w:t>
      </w:r>
      <w:r w:rsidR="00996ACA" w:rsidRPr="005A6843">
        <w:t xml:space="preserve"> (URL de la publicación), </w:t>
      </w:r>
      <w:r w:rsidR="00996ACA" w:rsidRPr="006A6363">
        <w:rPr>
          <w:i/>
        </w:rPr>
        <w:t>“Identificativo BDNS”</w:t>
      </w:r>
      <w:r w:rsidR="00996ACA" w:rsidRPr="005A6843">
        <w:t xml:space="preserve"> y acceso a la información.</w:t>
      </w:r>
    </w:p>
    <w:p w:rsidR="00AD338C" w:rsidRPr="005A6843" w:rsidRDefault="00996ACA" w:rsidP="00AA712B">
      <w:pPr>
        <w:jc w:val="both"/>
      </w:pPr>
      <w:r w:rsidRPr="005A6843">
        <w:t>A partir de ahí, el visitante ayudado por los tutoriales, puede buscar información por convocatorias, por subvenciones y ayudas y por ayudas de Estado, así como acceder a información sobre sanciones o suscribirse a un sistema de alertas. Las búsquedas permiten filtrar los datos por Administración Pública, Departamento y Órgano convocante o concedente, título de la convocatoria, región NUTS</w:t>
      </w:r>
      <w:r w:rsidR="003D0644" w:rsidRPr="005A6843">
        <w:t xml:space="preserve"> (Denominaciones Territoriales Estadísticas</w:t>
      </w:r>
      <w:r w:rsidRPr="005A6843">
        <w:t xml:space="preserve">) </w:t>
      </w:r>
      <w:r w:rsidR="003D0644" w:rsidRPr="005A6843">
        <w:t>de concesión, actividad NACE (Nomenclatura Estadística de Actividades Económicas) del beneficiario, nombre y apellidos del beneficiario y por instrumento (aportación de financiación, garantía, otros instrumentos de ayuda, préstamo, subvención y entrega dineraria o ventaja fiscal)</w:t>
      </w:r>
      <w:r w:rsidR="00AD338C" w:rsidRPr="005A6843">
        <w:t xml:space="preserve">. </w:t>
      </w:r>
    </w:p>
    <w:p w:rsidR="0034316D" w:rsidRPr="005A6843" w:rsidRDefault="00E6480D" w:rsidP="00AA712B">
      <w:pPr>
        <w:jc w:val="both"/>
      </w:pPr>
      <w:r w:rsidRPr="005A6843">
        <w:t xml:space="preserve">A juicio de este CTBG, y </w:t>
      </w:r>
      <w:r w:rsidR="003D0644" w:rsidRPr="005A6843">
        <w:t>si bien es evidente que el recurso a</w:t>
      </w:r>
      <w:r w:rsidR="00874D4E" w:rsidRPr="005A6843">
        <w:t>l SNPS</w:t>
      </w:r>
      <w:r w:rsidR="003D0644" w:rsidRPr="005A6843">
        <w:t xml:space="preserve"> permite al interesado acceder a todos los datos de subvenciones y ayudas exigidos por el art. 8.1 c) de la </w:t>
      </w:r>
      <w:r w:rsidR="0030754C">
        <w:t>l</w:t>
      </w:r>
      <w:r w:rsidR="001C41A6">
        <w:t>ey</w:t>
      </w:r>
      <w:r w:rsidR="00E768A4">
        <w:t xml:space="preserve"> de transparencia</w:t>
      </w:r>
      <w:r w:rsidR="003D0644" w:rsidRPr="005A6843">
        <w:t xml:space="preserve">, </w:t>
      </w:r>
      <w:r w:rsidRPr="005A6843">
        <w:t>sería necesario</w:t>
      </w:r>
      <w:r w:rsidR="0034316D" w:rsidRPr="005A6843">
        <w:t xml:space="preserve"> perfeccionar la solución a efectos tanto de </w:t>
      </w:r>
      <w:r w:rsidR="003D0644" w:rsidRPr="005A6843">
        <w:t xml:space="preserve">claridad </w:t>
      </w:r>
      <w:r w:rsidR="0034316D" w:rsidRPr="005A6843">
        <w:t xml:space="preserve">como de </w:t>
      </w:r>
      <w:r w:rsidR="003D0644" w:rsidRPr="005A6843">
        <w:t>accesibilidad de la información</w:t>
      </w:r>
      <w:r w:rsidR="0034316D" w:rsidRPr="005A6843">
        <w:t xml:space="preserve">. La búsqueda en la </w:t>
      </w:r>
      <w:r w:rsidR="00874D4E" w:rsidRPr="005A6843">
        <w:t>Base de Datos del SPNS (</w:t>
      </w:r>
      <w:r w:rsidR="0034316D" w:rsidRPr="005A6843">
        <w:t>BDNS</w:t>
      </w:r>
      <w:r w:rsidR="00874D4E" w:rsidRPr="005A6843">
        <w:t>)</w:t>
      </w:r>
      <w:r w:rsidR="0034316D" w:rsidRPr="005A6843">
        <w:t xml:space="preserve"> </w:t>
      </w:r>
      <w:r w:rsidR="003D0644" w:rsidRPr="005A6843">
        <w:t xml:space="preserve">resulta </w:t>
      </w:r>
      <w:r w:rsidR="0034316D" w:rsidRPr="005A6843">
        <w:t xml:space="preserve">técnicamente </w:t>
      </w:r>
      <w:r w:rsidR="003D0644" w:rsidRPr="005A6843">
        <w:t>compleja, difícil para el sujeto no experto en cuestiones administrativas y prácticamente imposible para el consultante</w:t>
      </w:r>
      <w:r w:rsidR="0034316D" w:rsidRPr="005A6843">
        <w:t xml:space="preserve"> que no conozca detalles precisos sobre la subvención o subvenciones que desea c</w:t>
      </w:r>
      <w:r w:rsidR="006A6363">
        <w:t>onsultar.</w:t>
      </w:r>
    </w:p>
    <w:p w:rsidR="00D90BEA" w:rsidRPr="005A6843" w:rsidRDefault="0034316D" w:rsidP="00AA712B">
      <w:pPr>
        <w:jc w:val="both"/>
      </w:pPr>
      <w:r w:rsidRPr="005A6843">
        <w:t>Es evidente -y esta es una de las razones por las que este Consejo no es completamente partidario de la utilización de recursos centralizados para incorporar la información</w:t>
      </w:r>
      <w:r w:rsidR="000B7463" w:rsidRPr="005A6843">
        <w:t xml:space="preserve"> de publicidad activa</w:t>
      </w:r>
      <w:r w:rsidRPr="005A6843">
        <w:t>- que la introducción de cambios o mejoras en los sistemas de la IGAE es ajena a las competencias de los responsables del Portal y que la plataforma está pensada para usuarios diferentes a los de la transparencia. Pero nada impide introducir en el Portal</w:t>
      </w:r>
      <w:r w:rsidR="00EF0090" w:rsidRPr="005A6843">
        <w:t xml:space="preserve"> algún elemento que contribuya a facil</w:t>
      </w:r>
      <w:r w:rsidR="00D90BEA" w:rsidRPr="005A6843">
        <w:t>i</w:t>
      </w:r>
      <w:r w:rsidR="00EF0090" w:rsidRPr="005A6843">
        <w:t>tar a los in</w:t>
      </w:r>
      <w:r w:rsidR="00D90BEA" w:rsidRPr="005A6843">
        <w:t>t</w:t>
      </w:r>
      <w:r w:rsidR="00EF0090" w:rsidRPr="005A6843">
        <w:t>eresados la navegación</w:t>
      </w:r>
      <w:r w:rsidR="000B7463" w:rsidRPr="005A6843">
        <w:t xml:space="preserve"> </w:t>
      </w:r>
      <w:r w:rsidR="00EF0090" w:rsidRPr="005A6843">
        <w:t xml:space="preserve">por el Portal de Subvenciones. Así p. ej. </w:t>
      </w:r>
      <w:r w:rsidR="000B4B25" w:rsidRPr="005A6843">
        <w:t>una</w:t>
      </w:r>
      <w:r w:rsidR="00D90BEA" w:rsidRPr="005A6843">
        <w:t xml:space="preserve"> </w:t>
      </w:r>
      <w:r w:rsidR="000B4B25" w:rsidRPr="005A6843">
        <w:t>e</w:t>
      </w:r>
      <w:r w:rsidR="00D90BEA" w:rsidRPr="005A6843">
        <w:t>x</w:t>
      </w:r>
      <w:r w:rsidR="000B4B25" w:rsidRPr="005A6843">
        <w:t>plicación detallada de la t</w:t>
      </w:r>
      <w:r w:rsidR="00D90BEA" w:rsidRPr="005A6843">
        <w:t>i</w:t>
      </w:r>
      <w:r w:rsidR="000B4B25" w:rsidRPr="005A6843">
        <w:t xml:space="preserve">pología de ayudas </w:t>
      </w:r>
      <w:r w:rsidR="00874D4E" w:rsidRPr="005A6843">
        <w:t>utilizada en el SPNS</w:t>
      </w:r>
      <w:r w:rsidR="000B4B25" w:rsidRPr="005A6843">
        <w:t xml:space="preserve"> (ayudas, ayudas de Estado, garantías, préstamos, etc.) con ejemplos de las más frecuentes (subvenciones, becas), el glosario de denominaciones NYTS o NACE  o, incluso, una relación sucinta de las convocatorias</w:t>
      </w:r>
      <w:r w:rsidR="00D90BEA" w:rsidRPr="005A6843">
        <w:t xml:space="preserve"> y </w:t>
      </w:r>
      <w:r w:rsidR="00BB2A3E" w:rsidRPr="005A6843">
        <w:t>d</w:t>
      </w:r>
      <w:r w:rsidR="00D90BEA" w:rsidRPr="005A6843">
        <w:t>e las concesiones de cada Ministerio, elaborada por cada Departamento y con actualización trimestral.</w:t>
      </w:r>
    </w:p>
    <w:p w:rsidR="00874D4E" w:rsidRPr="005A6843" w:rsidRDefault="00D90BEA" w:rsidP="00AA712B">
      <w:pPr>
        <w:jc w:val="both"/>
      </w:pPr>
      <w:r w:rsidRPr="005A6843">
        <w:t xml:space="preserve">En relación con la información de subvenciones, es de señalar que la categoría </w:t>
      </w:r>
      <w:r w:rsidR="006A6363" w:rsidRPr="006A6363">
        <w:rPr>
          <w:i/>
        </w:rPr>
        <w:t>“</w:t>
      </w:r>
      <w:r w:rsidRPr="006A6363">
        <w:rPr>
          <w:i/>
        </w:rPr>
        <w:t>Contratos, Convenios, Subvenciones y Bienes Inmuebles”</w:t>
      </w:r>
      <w:r w:rsidRPr="005A6843">
        <w:t xml:space="preserve"> del Portal AGE incluye un segundo epígrafe específico sobre la cuestión</w:t>
      </w:r>
      <w:r w:rsidR="00874D4E" w:rsidRPr="005A6843">
        <w:t xml:space="preserve">, el apartado </w:t>
      </w:r>
      <w:r w:rsidR="00874D4E" w:rsidRPr="006A6363">
        <w:rPr>
          <w:i/>
        </w:rPr>
        <w:t>"</w:t>
      </w:r>
      <w:r w:rsidR="00E6480D" w:rsidRPr="006A6363">
        <w:rPr>
          <w:i/>
        </w:rPr>
        <w:t>Subvenciones a partidos políticos</w:t>
      </w:r>
      <w:r w:rsidR="00874D4E" w:rsidRPr="006A6363">
        <w:rPr>
          <w:i/>
        </w:rPr>
        <w:t>"</w:t>
      </w:r>
      <w:r w:rsidR="009E71E6" w:rsidRPr="005A6843">
        <w:t>.</w:t>
      </w:r>
    </w:p>
    <w:p w:rsidR="00874D4E" w:rsidRPr="005A6843" w:rsidRDefault="00E6480D" w:rsidP="00AA712B">
      <w:pPr>
        <w:jc w:val="both"/>
      </w:pPr>
      <w:r w:rsidRPr="005A6843">
        <w:t xml:space="preserve">En la primera pantalla se advierte del contenido de la sub-categoría: </w:t>
      </w:r>
      <w:r w:rsidRPr="006A6363">
        <w:rPr>
          <w:i/>
        </w:rPr>
        <w:t>“Se publica en este apartado la información de las subvenciones estatales anuales abonadas a las diferentes formaciones políticas con representación en el Congreso de los Diputados, durante el primer trimestre del ejercicio 2017 para atender los gastos de funcionamiento ordinario y sufragar los gastos electorales y de seguridad”</w:t>
      </w:r>
      <w:r w:rsidRPr="005A6843">
        <w:t>.</w:t>
      </w:r>
    </w:p>
    <w:p w:rsidR="00874D4E" w:rsidRPr="005A6843" w:rsidRDefault="00E6480D" w:rsidP="00AA712B">
      <w:pPr>
        <w:jc w:val="both"/>
      </w:pPr>
      <w:r w:rsidRPr="005A6843">
        <w:t xml:space="preserve">La información se suministra por dos vías: A) Un enlace al SNPS, que ofrece información más completa pero obliga al visitante a acceder al Sistema, seleccionar las subvenciones del Ministerio del Interior y, dentro de él, a la Dirección General de Política Interior. B) Una información extractada en un menú con tres opciones: gastos ordinarios; gastos de seguridad y gastos electorales, que accede a una serie de listados con información de ejercicios anteriores (2015 y 2016). </w:t>
      </w:r>
    </w:p>
    <w:p w:rsidR="00E6480D" w:rsidRPr="005A6843" w:rsidRDefault="00E6480D" w:rsidP="00AA712B">
      <w:pPr>
        <w:jc w:val="both"/>
      </w:pPr>
      <w:r w:rsidRPr="005A6843">
        <w:t xml:space="preserve">A juicio de este CTBG, y tal y como se ha dicho en relación con la información de los contratos basados en Acuerdos-marco, cabría plantearse la procedencia de mantener este ítem informativo. Los datos ya figuran entre la información incorporada a la sub-categoría general </w:t>
      </w:r>
      <w:r w:rsidRPr="006A6363">
        <w:rPr>
          <w:i/>
        </w:rPr>
        <w:t>“Subvenciones”</w:t>
      </w:r>
      <w:r w:rsidRPr="005A6843">
        <w:t xml:space="preserve"> y su mantenimiento separado puede inducir a confusión al visitante.</w:t>
      </w:r>
    </w:p>
    <w:p w:rsidR="00E6480D" w:rsidRPr="006A6363" w:rsidRDefault="00E6480D" w:rsidP="00AA712B">
      <w:pPr>
        <w:jc w:val="both"/>
        <w:rPr>
          <w:b/>
          <w:u w:val="single"/>
        </w:rPr>
      </w:pPr>
      <w:r w:rsidRPr="006A6363">
        <w:rPr>
          <w:b/>
          <w:u w:val="single"/>
        </w:rPr>
        <w:t>Presupuestos: Descripción de las princ</w:t>
      </w:r>
      <w:r w:rsidR="006A6363" w:rsidRPr="006A6363">
        <w:rPr>
          <w:b/>
          <w:u w:val="single"/>
        </w:rPr>
        <w:t>ipales partidas presupuestarias.</w:t>
      </w:r>
    </w:p>
    <w:p w:rsidR="00895FE5" w:rsidRPr="005A6843" w:rsidRDefault="009D0B30" w:rsidP="00AA712B">
      <w:pPr>
        <w:jc w:val="both"/>
      </w:pPr>
      <w:r w:rsidRPr="005A6843">
        <w:t xml:space="preserve">La </w:t>
      </w:r>
      <w:r w:rsidR="00874D4E" w:rsidRPr="005A6843">
        <w:t xml:space="preserve">información presupuestaria inicia el contenido informativo de la categoría </w:t>
      </w:r>
      <w:r w:rsidRPr="006A6363">
        <w:rPr>
          <w:i/>
        </w:rPr>
        <w:t xml:space="preserve">“Presupuestos, </w:t>
      </w:r>
      <w:r w:rsidR="009E71E6" w:rsidRPr="006A6363">
        <w:rPr>
          <w:i/>
        </w:rPr>
        <w:t>Fiscalización</w:t>
      </w:r>
      <w:r w:rsidRPr="006A6363">
        <w:rPr>
          <w:i/>
        </w:rPr>
        <w:t xml:space="preserve"> e Informes”</w:t>
      </w:r>
      <w:r w:rsidRPr="005A6843">
        <w:t xml:space="preserve"> </w:t>
      </w:r>
      <w:r w:rsidR="00874D4E" w:rsidRPr="005A6843">
        <w:t>de</w:t>
      </w:r>
      <w:r w:rsidR="00895FE5" w:rsidRPr="005A6843">
        <w:t xml:space="preserve">l Portal AGE. "Clicando" en el acceso a esta categoría, </w:t>
      </w:r>
      <w:r w:rsidRPr="005A6843">
        <w:t xml:space="preserve">se </w:t>
      </w:r>
      <w:r w:rsidR="00895FE5" w:rsidRPr="005A6843">
        <w:t xml:space="preserve">llega a una página inicial </w:t>
      </w:r>
      <w:r w:rsidRPr="005A6843">
        <w:t>con una explicación de su contenido</w:t>
      </w:r>
      <w:r w:rsidR="00895FE5" w:rsidRPr="005A6843">
        <w:t>:</w:t>
      </w:r>
      <w:r w:rsidRPr="005A6843">
        <w:t xml:space="preserve"> </w:t>
      </w:r>
      <w:r w:rsidRPr="00807B32">
        <w:rPr>
          <w:i/>
        </w:rPr>
        <w:t>“Información sobre actos de gestión administrativa, con repercusión presupuestaria, así como información estadística de relevancia en el ámbito de la Administración General del Estado”</w:t>
      </w:r>
      <w:r w:rsidR="00807B32">
        <w:t>.</w:t>
      </w:r>
    </w:p>
    <w:p w:rsidR="009D0B30" w:rsidRPr="005A6843" w:rsidRDefault="009D0B30" w:rsidP="00AA712B">
      <w:pPr>
        <w:jc w:val="both"/>
      </w:pPr>
      <w:r w:rsidRPr="005A6843">
        <w:t>A juicio de este CTBG, y considerando que tal y como sucede con la categoría anterior –</w:t>
      </w:r>
      <w:r w:rsidRPr="00807B32">
        <w:rPr>
          <w:i/>
        </w:rPr>
        <w:t xml:space="preserve">“Contratos, </w:t>
      </w:r>
      <w:r w:rsidR="00235F53" w:rsidRPr="00807B32">
        <w:rPr>
          <w:i/>
        </w:rPr>
        <w:t>etc.</w:t>
      </w:r>
      <w:r w:rsidR="00807B32" w:rsidRPr="00807B32">
        <w:rPr>
          <w:i/>
        </w:rPr>
        <w:t>”</w:t>
      </w:r>
      <w:r w:rsidRPr="005A6843">
        <w:t xml:space="preserve">- supone una diferencia con las previsiones del art. 8 de la </w:t>
      </w:r>
      <w:r w:rsidR="0030754C">
        <w:t>l</w:t>
      </w:r>
      <w:r w:rsidR="001C41A6">
        <w:t>ey</w:t>
      </w:r>
      <w:r w:rsidR="00E768A4">
        <w:t xml:space="preserve"> de transparencia</w:t>
      </w:r>
      <w:r w:rsidRPr="005A6843">
        <w:t xml:space="preserve">, sería conveniente, para mayor claridad, justificar en el texto la diferencia entre actos con </w:t>
      </w:r>
      <w:r w:rsidRPr="00807B32">
        <w:rPr>
          <w:i/>
        </w:rPr>
        <w:t>“repercusión económica”</w:t>
      </w:r>
      <w:r w:rsidRPr="005A6843">
        <w:t xml:space="preserve"> y actos con </w:t>
      </w:r>
      <w:r w:rsidRPr="00807B32">
        <w:rPr>
          <w:i/>
        </w:rPr>
        <w:t>“repercusión presupuestaria”</w:t>
      </w:r>
      <w:r w:rsidRPr="005A6843">
        <w:t xml:space="preserve">. </w:t>
      </w:r>
    </w:p>
    <w:p w:rsidR="009D0B30" w:rsidRPr="005A6843" w:rsidRDefault="009D0B30" w:rsidP="00AA712B">
      <w:pPr>
        <w:jc w:val="both"/>
      </w:pPr>
      <w:r w:rsidRPr="005A6843">
        <w:t xml:space="preserve">A continuación, </w:t>
      </w:r>
      <w:r w:rsidR="00895FE5" w:rsidRPr="005A6843">
        <w:t xml:space="preserve">en el </w:t>
      </w:r>
      <w:r w:rsidRPr="005A6843">
        <w:t xml:space="preserve">botón </w:t>
      </w:r>
      <w:r w:rsidRPr="00807B32">
        <w:rPr>
          <w:i/>
        </w:rPr>
        <w:t>“¿Qué contiene esta categoría?”</w:t>
      </w:r>
      <w:r w:rsidRPr="005A6843">
        <w:t>, se detalla la información que proporciona: información de carácter presupuestario, identificando las principales partidas asignadas a los diferentes organismos y entidades e incluyendo el seguimiento de su ejecución; informe anual sobre el grado de cumplimiento del objetivo de estabilidad presupuestaria, previsto en el artículo 17.3 de la</w:t>
      </w:r>
      <w:r w:rsidR="009E71E6" w:rsidRPr="005A6843">
        <w:t xml:space="preserve"> </w:t>
      </w:r>
      <w:r w:rsidR="001C41A6">
        <w:t>Ley</w:t>
      </w:r>
      <w:r w:rsidRPr="005A6843">
        <w:t xml:space="preserve"> Orgánica 2/2012, de 27 de abril, de Estabilidad Presupuestaria y Sostenibilidad Financiera; información sobre las cuentas anuales, así como los informes de auditoría y fiscalización de los que sean objeto e información de carácter estadístico que permita valorar el nivel de cumplimiento y la calidad de los servicios públicos por ellos prestados.</w:t>
      </w:r>
    </w:p>
    <w:p w:rsidR="00E6480D" w:rsidRPr="005A6843" w:rsidRDefault="00895FE5" w:rsidP="00AA712B">
      <w:pPr>
        <w:jc w:val="both"/>
      </w:pPr>
      <w:r w:rsidRPr="005A6843">
        <w:t>La primera de las sub-categorías que agrupa la categoría es la denominada</w:t>
      </w:r>
      <w:r w:rsidR="00BE060C" w:rsidRPr="005A6843">
        <w:t xml:space="preserve"> </w:t>
      </w:r>
      <w:r w:rsidR="00BE060C" w:rsidRPr="00807B32">
        <w:rPr>
          <w:i/>
        </w:rPr>
        <w:t>"</w:t>
      </w:r>
      <w:r w:rsidR="00E6480D" w:rsidRPr="00807B32">
        <w:rPr>
          <w:i/>
        </w:rPr>
        <w:t>Presupuestos Generales del Estado</w:t>
      </w:r>
      <w:r w:rsidR="00BE060C" w:rsidRPr="00807B32">
        <w:rPr>
          <w:i/>
        </w:rPr>
        <w:t>"</w:t>
      </w:r>
      <w:r w:rsidR="00BE060C" w:rsidRPr="005A6843">
        <w:t xml:space="preserve"> que, de </w:t>
      </w:r>
      <w:r w:rsidR="00E6480D" w:rsidRPr="005A6843">
        <w:t xml:space="preserve">acuerdo con la explicación inicial, </w:t>
      </w:r>
      <w:r w:rsidR="00E6480D" w:rsidRPr="00807B32">
        <w:rPr>
          <w:i/>
        </w:rPr>
        <w:t xml:space="preserve">“este apartado contiene la información relativa a los Presupuestos Generales del Estado desde el año 2014, de acuerdo con el ámbito previsto en la </w:t>
      </w:r>
      <w:r w:rsidR="001C41A6">
        <w:rPr>
          <w:i/>
        </w:rPr>
        <w:t>Ley</w:t>
      </w:r>
      <w:r w:rsidR="00E6480D" w:rsidRPr="00807B32">
        <w:rPr>
          <w:i/>
        </w:rPr>
        <w:t xml:space="preserve"> 19/2013, de 9 de diciembre, de transparencia, acceso a la información pública y buen gobierno, para el Portal de la Transparencia”</w:t>
      </w:r>
      <w:r w:rsidR="00E6480D" w:rsidRPr="005A6843">
        <w:t>. Hay que entender</w:t>
      </w:r>
      <w:r w:rsidR="00BE060C" w:rsidRPr="005A6843">
        <w:t xml:space="preserve"> q</w:t>
      </w:r>
      <w:r w:rsidR="00E6480D" w:rsidRPr="005A6843">
        <w:t>ue se refiere a los Presupuestos de los órganos y entidades integrantes de la AGE.</w:t>
      </w:r>
    </w:p>
    <w:p w:rsidR="00E6480D" w:rsidRPr="005A6843" w:rsidRDefault="00E6480D" w:rsidP="00AA712B">
      <w:pPr>
        <w:jc w:val="both"/>
      </w:pPr>
      <w:r w:rsidRPr="005A6843">
        <w:t xml:space="preserve">El botón </w:t>
      </w:r>
      <w:r w:rsidRPr="00807B32">
        <w:rPr>
          <w:i/>
        </w:rPr>
        <w:t>“Más información”</w:t>
      </w:r>
      <w:r w:rsidRPr="005A6843">
        <w:t xml:space="preserve"> ofrece una ficha técnica de los datos –la fuente es </w:t>
      </w:r>
      <w:r w:rsidR="00BE060C" w:rsidRPr="005A6843">
        <w:t xml:space="preserve">ahora </w:t>
      </w:r>
      <w:r w:rsidRPr="005A6843">
        <w:t xml:space="preserve">la Dirección General de Presupuestos del MINHAFP- y una explicación adecuada del concepto de  Presupuestos Generales del Estado (PGE), de </w:t>
      </w:r>
      <w:r w:rsidR="00BE060C" w:rsidRPr="005A6843">
        <w:t xml:space="preserve">la </w:t>
      </w:r>
      <w:r w:rsidRPr="005A6843">
        <w:t>tramitación</w:t>
      </w:r>
      <w:r w:rsidR="00BE060C" w:rsidRPr="005A6843">
        <w:t xml:space="preserve"> de los mismos</w:t>
      </w:r>
      <w:r w:rsidRPr="005A6843">
        <w:t xml:space="preserve">, de su contenido y de la noción de </w:t>
      </w:r>
      <w:r w:rsidRPr="00807B32">
        <w:rPr>
          <w:i/>
        </w:rPr>
        <w:t>“presupuestos consolidados”</w:t>
      </w:r>
      <w:r w:rsidR="00BE060C" w:rsidRPr="005A6843">
        <w:t>,</w:t>
      </w:r>
      <w:r w:rsidRPr="005A6843">
        <w:t xml:space="preserve"> </w:t>
      </w:r>
      <w:r w:rsidR="00BE060C" w:rsidRPr="005A6843">
        <w:t>q</w:t>
      </w:r>
      <w:r w:rsidRPr="005A6843">
        <w:t xml:space="preserve">ue se completa con </w:t>
      </w:r>
      <w:r w:rsidR="00FC4B2E" w:rsidRPr="00FC4B2E">
        <w:rPr>
          <w:i/>
        </w:rPr>
        <w:t>link</w:t>
      </w:r>
      <w:r w:rsidRPr="00807B32">
        <w:rPr>
          <w:i/>
        </w:rPr>
        <w:t>s</w:t>
      </w:r>
      <w:r w:rsidRPr="005A6843">
        <w:t xml:space="preserve"> o vínculos electrónicos al</w:t>
      </w:r>
      <w:r w:rsidR="009E71E6" w:rsidRPr="005A6843">
        <w:t xml:space="preserve"> </w:t>
      </w:r>
      <w:r w:rsidRPr="005A6843">
        <w:t>P</w:t>
      </w:r>
      <w:r w:rsidR="00BE060C" w:rsidRPr="005A6843">
        <w:t>ortal de Administración Presupuestaria (P</w:t>
      </w:r>
      <w:r w:rsidRPr="005A6843">
        <w:t>AP</w:t>
      </w:r>
      <w:r w:rsidR="00BE060C" w:rsidRPr="005A6843">
        <w:t>)</w:t>
      </w:r>
      <w:r w:rsidRPr="005A6843">
        <w:t xml:space="preserve"> del MINHAFP</w:t>
      </w:r>
    </w:p>
    <w:p w:rsidR="00E6480D" w:rsidRPr="005A6843" w:rsidRDefault="0045179C" w:rsidP="00AA712B">
      <w:pPr>
        <w:jc w:val="both"/>
      </w:pPr>
      <w:r>
        <w:rPr>
          <w:noProof/>
          <w:lang w:eastAsia="es-ES"/>
        </w:rPr>
        <w:drawing>
          <wp:anchor distT="0" distB="0" distL="114300" distR="114300" simplePos="0" relativeHeight="251778048" behindDoc="1" locked="0" layoutInCell="1" allowOverlap="1">
            <wp:simplePos x="0" y="0"/>
            <wp:positionH relativeFrom="column">
              <wp:posOffset>43180</wp:posOffset>
            </wp:positionH>
            <wp:positionV relativeFrom="paragraph">
              <wp:posOffset>316865</wp:posOffset>
            </wp:positionV>
            <wp:extent cx="2819400" cy="1668780"/>
            <wp:effectExtent l="19050" t="0" r="0" b="0"/>
            <wp:wrapSquare wrapText="bothSides"/>
            <wp:docPr id="6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os.jpg"/>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105"/>
                    <a:stretch/>
                  </pic:blipFill>
                  <pic:spPr bwMode="auto">
                    <a:xfrm>
                      <a:off x="0" y="0"/>
                      <a:ext cx="2819400" cy="1668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6480D" w:rsidRPr="005A6843">
        <w:t xml:space="preserve">La información se ofrece a través de dos opciones: </w:t>
      </w:r>
      <w:r w:rsidR="00E6480D" w:rsidRPr="00807B32">
        <w:rPr>
          <w:i/>
        </w:rPr>
        <w:t>“PGE ingresos”</w:t>
      </w:r>
      <w:r w:rsidR="00E6480D" w:rsidRPr="005A6843">
        <w:t xml:space="preserve"> y </w:t>
      </w:r>
      <w:r w:rsidR="00E6480D" w:rsidRPr="00807B32">
        <w:rPr>
          <w:i/>
        </w:rPr>
        <w:t>“PGE gastos”</w:t>
      </w:r>
      <w:r w:rsidR="00E6480D" w:rsidRPr="005A6843">
        <w:t>.</w:t>
      </w:r>
    </w:p>
    <w:p w:rsidR="00E6480D" w:rsidRPr="005A6843" w:rsidRDefault="00E6480D" w:rsidP="00AA712B">
      <w:pPr>
        <w:jc w:val="both"/>
      </w:pPr>
      <w:r w:rsidRPr="005A6843">
        <w:t>En el apartado de ingresos, la información se ofrece a través de cinco opciones -</w:t>
      </w:r>
      <w:r w:rsidRPr="00807B32">
        <w:rPr>
          <w:i/>
        </w:rPr>
        <w:t>“Estado”, “Organismos Autónomos”, “Agencias Estatales”, “Organismos Públicos”</w:t>
      </w:r>
      <w:r w:rsidRPr="005A6843">
        <w:t xml:space="preserve"> y </w:t>
      </w:r>
      <w:r w:rsidRPr="00807B32">
        <w:rPr>
          <w:i/>
        </w:rPr>
        <w:t>“Seguridad Social”</w:t>
      </w:r>
      <w:r w:rsidRPr="005A6843">
        <w:t xml:space="preserve">-, que conducen directamente a la versión en pdf del texto del Estado de Ingresos de los PGE para 2016 correspondiente a la opción elegida. </w:t>
      </w:r>
    </w:p>
    <w:p w:rsidR="00E6480D" w:rsidRPr="005A6843" w:rsidRDefault="00E6480D" w:rsidP="00AA712B">
      <w:pPr>
        <w:jc w:val="both"/>
      </w:pPr>
      <w:r w:rsidRPr="005A6843">
        <w:t>En el apartado de gastos, la información se ofrece a través de un desplegable por Ministerios –no se incluye el Presupuesto de Gastos de Presidencia del Gobierno- que, a través de un menú intermedio -innecesario a simple vista-, conducen a la versión en pdf del texto del Estado de Gastos de los PGE para 2016 correspondiente al Ministerio escogido.</w:t>
      </w:r>
    </w:p>
    <w:p w:rsidR="00E6480D" w:rsidRPr="005A6843" w:rsidRDefault="00E6480D" w:rsidP="00AA712B">
      <w:pPr>
        <w:jc w:val="both"/>
      </w:pPr>
      <w:r w:rsidRPr="005A6843">
        <w:t xml:space="preserve">La información de ejercicios anteriores (2014 y 2015) aparece en el botón </w:t>
      </w:r>
      <w:r w:rsidRPr="00807B32">
        <w:rPr>
          <w:i/>
        </w:rPr>
        <w:t>“Ver toda la información”</w:t>
      </w:r>
      <w:r w:rsidRPr="005A6843">
        <w:t xml:space="preserve"> que aparece al término de la página inicial tanto de la opción “PGE: ingresos” como de la opción </w:t>
      </w:r>
      <w:r w:rsidRPr="00807B32">
        <w:rPr>
          <w:i/>
        </w:rPr>
        <w:t>“PGE: gastos”</w:t>
      </w:r>
      <w:r w:rsidRPr="005A6843">
        <w:t>. Adicionalmente, si se accede por esta última opción, se ofrece un segundo botón -</w:t>
      </w:r>
      <w:r w:rsidRPr="00807B32">
        <w:rPr>
          <w:i/>
        </w:rPr>
        <w:t>“Ver histórico”</w:t>
      </w:r>
      <w:r w:rsidRPr="005A6843">
        <w:t>- que ofrece la información desglosada por Ministerios.</w:t>
      </w:r>
    </w:p>
    <w:p w:rsidR="00E6480D" w:rsidRPr="005A6843" w:rsidRDefault="00E6480D" w:rsidP="00AA712B">
      <w:pPr>
        <w:jc w:val="both"/>
      </w:pPr>
      <w:r w:rsidRPr="005A6843">
        <w:t xml:space="preserve">A criterio de este CTBG, la información podría mejorarse desde el punto de vista de la comprensibilidad. La materia presupuestaria, además de presentar de suyo un alto grado de complejidad, no suele ser conocida por el ciudadano de a pie y se expresa en un lenguaje </w:t>
      </w:r>
      <w:r w:rsidR="000561BA" w:rsidRPr="005A6843">
        <w:t xml:space="preserve">excesivamente </w:t>
      </w:r>
      <w:r w:rsidRPr="005A6843">
        <w:t xml:space="preserve">repleto de tecnicismos. Sería conveniente completar los datos con material gráfico –tablas, cuadros, infografías, </w:t>
      </w:r>
      <w:r w:rsidR="00235F53">
        <w:t>etc.</w:t>
      </w:r>
      <w:r w:rsidRPr="005A6843">
        <w:t>- que suelen ser un elemento básico de comprensión en materia de rendición de cuentas.</w:t>
      </w:r>
    </w:p>
    <w:p w:rsidR="000B7A64" w:rsidRPr="005A6843" w:rsidRDefault="00E6480D" w:rsidP="00AA712B">
      <w:pPr>
        <w:jc w:val="both"/>
      </w:pPr>
      <w:r w:rsidRPr="005A6843">
        <w:t>Igualmente, teniendo en cuenta que las bases de datos centralizadas a que recurre el Portal -en este caso el PAP- no se limitan a la AGE sino que se extienden al ámbito del Estado, incluyendo los organismos y el sector público, sería conveniente identificar claramente los sujetos y organizaciones involucradas y sistematizar la información con epígrafes más adecuados para facilitar las búsquedas y las  consultas de los visitantes.</w:t>
      </w:r>
    </w:p>
    <w:p w:rsidR="00E6480D" w:rsidRPr="00807B32" w:rsidRDefault="00E6480D" w:rsidP="00AA712B">
      <w:pPr>
        <w:jc w:val="both"/>
        <w:rPr>
          <w:b/>
          <w:u w:val="single"/>
        </w:rPr>
      </w:pPr>
      <w:r w:rsidRPr="00807B32">
        <w:rPr>
          <w:b/>
          <w:u w:val="single"/>
        </w:rPr>
        <w:t>Presupuestos: Informaci</w:t>
      </w:r>
      <w:r w:rsidR="00807B32">
        <w:rPr>
          <w:b/>
          <w:u w:val="single"/>
        </w:rPr>
        <w:t>ón sobre estado de su ejecución.</w:t>
      </w:r>
    </w:p>
    <w:p w:rsidR="00E6480D" w:rsidRPr="005A6843" w:rsidRDefault="000561BA" w:rsidP="00AA712B">
      <w:pPr>
        <w:jc w:val="both"/>
      </w:pPr>
      <w:bookmarkStart w:id="140" w:name="_Toc489350903"/>
      <w:bookmarkStart w:id="141" w:name="_Toc489352013"/>
      <w:bookmarkStart w:id="142" w:name="_Toc489353680"/>
      <w:bookmarkStart w:id="143" w:name="_Toc498344291"/>
      <w:bookmarkStart w:id="144" w:name="_Toc498344957"/>
      <w:bookmarkStart w:id="145" w:name="_Toc498345383"/>
      <w:r w:rsidRPr="005A6843">
        <w:t xml:space="preserve">La información relativa al estado de ejecución de los </w:t>
      </w:r>
      <w:r w:rsidR="00EB57AE" w:rsidRPr="005A6843">
        <w:t xml:space="preserve">Presupuestos de la AGE se incluye en una sub-categoría específica, </w:t>
      </w:r>
      <w:r w:rsidR="00EB57AE" w:rsidRPr="00807B32">
        <w:rPr>
          <w:i/>
        </w:rPr>
        <w:t>"</w:t>
      </w:r>
      <w:r w:rsidR="00E6480D" w:rsidRPr="00807B32">
        <w:rPr>
          <w:i/>
        </w:rPr>
        <w:t>Ejecución presupuestaria</w:t>
      </w:r>
      <w:r w:rsidR="00EB57AE" w:rsidRPr="00807B32">
        <w:rPr>
          <w:i/>
        </w:rPr>
        <w:t>"</w:t>
      </w:r>
      <w:r w:rsidR="00EB57AE" w:rsidRPr="005A6843">
        <w:t>, del menú de información económica del Portal.</w:t>
      </w:r>
      <w:bookmarkEnd w:id="140"/>
      <w:bookmarkEnd w:id="141"/>
      <w:bookmarkEnd w:id="142"/>
      <w:bookmarkEnd w:id="143"/>
      <w:bookmarkEnd w:id="144"/>
      <w:bookmarkEnd w:id="145"/>
    </w:p>
    <w:p w:rsidR="00E6480D" w:rsidRPr="005A6843" w:rsidRDefault="00E6480D" w:rsidP="00AA712B">
      <w:pPr>
        <w:jc w:val="both"/>
      </w:pPr>
      <w:r w:rsidRPr="005A6843">
        <w:t>Según la “entradilla” informativa que presenta</w:t>
      </w:r>
      <w:r w:rsidR="00EB57AE" w:rsidRPr="005A6843">
        <w:t xml:space="preserve"> la página de inicio del ítem o elemento informativo</w:t>
      </w:r>
      <w:r w:rsidRPr="005A6843">
        <w:t xml:space="preserve">, la sub-categoría recoge </w:t>
      </w:r>
      <w:r w:rsidRPr="00807B32">
        <w:rPr>
          <w:i/>
        </w:rPr>
        <w:t>“informes de grado de ejecución presupuestaria”</w:t>
      </w:r>
      <w:r w:rsidRPr="005A6843">
        <w:t xml:space="preserve">. Esta sucinta explicación se detalla algo más en la opción </w:t>
      </w:r>
      <w:r w:rsidRPr="00807B32">
        <w:rPr>
          <w:i/>
        </w:rPr>
        <w:t>“Más información”</w:t>
      </w:r>
      <w:r w:rsidR="00472ED8" w:rsidRPr="005A6843">
        <w:t xml:space="preserve"> </w:t>
      </w:r>
      <w:r w:rsidRPr="005A6843">
        <w:t xml:space="preserve">que indica que se trata de </w:t>
      </w:r>
      <w:r w:rsidRPr="00807B32">
        <w:rPr>
          <w:i/>
        </w:rPr>
        <w:t>“información sobre la ejecución de los Presupuestos Generales del Estado en aplicación de los artículos 135 y 136 de la</w:t>
      </w:r>
      <w:r w:rsidR="00472ED8" w:rsidRPr="00807B32">
        <w:rPr>
          <w:i/>
        </w:rPr>
        <w:t xml:space="preserve"> </w:t>
      </w:r>
      <w:r w:rsidR="001C41A6">
        <w:rPr>
          <w:i/>
        </w:rPr>
        <w:t>Ley</w:t>
      </w:r>
      <w:r w:rsidRPr="00807B32">
        <w:rPr>
          <w:i/>
        </w:rPr>
        <w:t xml:space="preserve"> 47/2003, de 26 de noviembre, General Presupuestaria, la Liquidación de los presupuestos que acompaña al proyecto de </w:t>
      </w:r>
      <w:r w:rsidR="001C41A6">
        <w:rPr>
          <w:i/>
        </w:rPr>
        <w:t>ley</w:t>
      </w:r>
      <w:r w:rsidRPr="00807B32">
        <w:rPr>
          <w:i/>
        </w:rPr>
        <w:t xml:space="preserve"> de Presupuestos Generales del Estado prevista en el artículo 37.2 de la citada </w:t>
      </w:r>
      <w:r w:rsidR="0030754C">
        <w:rPr>
          <w:i/>
        </w:rPr>
        <w:t>l</w:t>
      </w:r>
      <w:r w:rsidR="001C41A6">
        <w:rPr>
          <w:i/>
        </w:rPr>
        <w:t>ey</w:t>
      </w:r>
      <w:r w:rsidRPr="00807B32">
        <w:rPr>
          <w:i/>
        </w:rPr>
        <w:t xml:space="preserve"> y otra información contable”</w:t>
      </w:r>
      <w:r w:rsidRPr="005A6843">
        <w:t>. Igualmente, la información es farragosa e incomprensible para el ciudadano.</w:t>
      </w:r>
    </w:p>
    <w:p w:rsidR="00E6480D" w:rsidRPr="005A6843" w:rsidRDefault="00EB57AE" w:rsidP="00AA712B">
      <w:pPr>
        <w:jc w:val="both"/>
      </w:pPr>
      <w:r w:rsidRPr="005A6843">
        <w:t xml:space="preserve">Los datos </w:t>
      </w:r>
      <w:r w:rsidR="00E6480D" w:rsidRPr="005A6843">
        <w:t>aparece</w:t>
      </w:r>
      <w:r w:rsidRPr="005A6843">
        <w:t>n</w:t>
      </w:r>
      <w:r w:rsidR="00E6480D" w:rsidRPr="005A6843">
        <w:t xml:space="preserve"> en el botón </w:t>
      </w:r>
      <w:r w:rsidR="00E6480D" w:rsidRPr="00807B32">
        <w:rPr>
          <w:i/>
        </w:rPr>
        <w:t>“Ver toda la información”</w:t>
      </w:r>
      <w:r w:rsidR="009E0E23" w:rsidRPr="005A6843">
        <w:t xml:space="preserve"> -cualquier otra vía de acceso conduce a un aviso de error-</w:t>
      </w:r>
      <w:r w:rsidR="00E6480D" w:rsidRPr="005A6843">
        <w:t xml:space="preserve">, solución que debería mejorarse pues </w:t>
      </w:r>
      <w:r w:rsidR="009E0E23" w:rsidRPr="005A6843">
        <w:t xml:space="preserve">no solo produce al visitante una impresión desfavorable sino </w:t>
      </w:r>
      <w:r w:rsidR="00E6480D" w:rsidRPr="005A6843">
        <w:t>es difícil de anticipar</w:t>
      </w:r>
      <w:r w:rsidR="009E0E23" w:rsidRPr="005A6843">
        <w:t xml:space="preserve">. Corresponden </w:t>
      </w:r>
      <w:r w:rsidR="00E6480D" w:rsidRPr="005A6843">
        <w:t xml:space="preserve">a varios informes de los ejercicios 2014 a 2016, obrantes en el </w:t>
      </w:r>
      <w:r w:rsidRPr="005A6843">
        <w:t>PAP</w:t>
      </w:r>
      <w:r w:rsidR="00E6480D" w:rsidRPr="005A6843">
        <w:t xml:space="preserve">: </w:t>
      </w:r>
      <w:r w:rsidR="00E6480D" w:rsidRPr="00807B32">
        <w:rPr>
          <w:i/>
        </w:rPr>
        <w:t>“Extracto de ejecución del Presupuesto. Administración General del Estado”; “Ejecución Presupuestos de Gastos del Estado. Avance comentado de pagos. Administración General del Estado”; “Ejecución del Presupuesto. Administración General del Estado”; “Operaciones de ejecución del presupuesto y sus modificaciones y operaciones de tesorería. Administración General del Estado”; “Ejecución del presupuesto. Organismos”; “Liquidación del Presupuesto. Estado”; “Liquidación del Presupuesto. Organismos”</w:t>
      </w:r>
      <w:r w:rsidR="00807B32">
        <w:rPr>
          <w:i/>
        </w:rPr>
        <w:t>;</w:t>
      </w:r>
      <w:r w:rsidR="00E6480D" w:rsidRPr="00807B32">
        <w:rPr>
          <w:i/>
        </w:rPr>
        <w:t xml:space="preserve"> “Avance de liquidación del Presupuesto. Estado”; “Avance de liquidación del Presupuesto. Organismos”</w:t>
      </w:r>
      <w:r w:rsidR="00E6480D" w:rsidRPr="005A6843">
        <w:t xml:space="preserve"> y </w:t>
      </w:r>
      <w:r w:rsidR="00E6480D" w:rsidRPr="00807B32">
        <w:rPr>
          <w:i/>
        </w:rPr>
        <w:t>“Liquidación del Presupuesto. Explotación y capital”</w:t>
      </w:r>
      <w:r w:rsidR="00472ED8" w:rsidRPr="005A6843">
        <w:t>.</w:t>
      </w:r>
    </w:p>
    <w:p w:rsidR="0060730F" w:rsidRPr="005A6843" w:rsidRDefault="00E6480D" w:rsidP="00AA712B">
      <w:pPr>
        <w:jc w:val="both"/>
      </w:pPr>
      <w:r w:rsidRPr="005A6843">
        <w:t>Se trata de información muy técnica que debería tratar de aligerarse mediante representaciones gráficas y resúmenes para incrementar la comprensibilidad de los datos. Además, como se ha dicho en el epígrafe anterior, sería conveniente identificar claramente los sujetos y organizaciones involucradas y sistematizar la información con epígrafes más adecuados para facilitar las búsquedas y las  consultas.</w:t>
      </w:r>
    </w:p>
    <w:p w:rsidR="00E6480D" w:rsidRPr="00807B32" w:rsidRDefault="00E6480D" w:rsidP="00AA712B">
      <w:pPr>
        <w:jc w:val="both"/>
        <w:rPr>
          <w:b/>
          <w:u w:val="single"/>
        </w:rPr>
      </w:pPr>
      <w:r w:rsidRPr="00807B32">
        <w:rPr>
          <w:b/>
          <w:u w:val="single"/>
        </w:rPr>
        <w:t>Cumplimiento de los objetivo</w:t>
      </w:r>
      <w:r w:rsidR="00807B32">
        <w:rPr>
          <w:b/>
          <w:u w:val="single"/>
        </w:rPr>
        <w:t>s de estabilidad presupuestaria.</w:t>
      </w:r>
    </w:p>
    <w:p w:rsidR="004007F9" w:rsidRPr="005A6843" w:rsidRDefault="009E0E23" w:rsidP="00AA712B">
      <w:pPr>
        <w:jc w:val="both"/>
      </w:pPr>
      <w:bookmarkStart w:id="146" w:name="_Toc489350904"/>
      <w:bookmarkStart w:id="147" w:name="_Toc489352014"/>
      <w:bookmarkStart w:id="148" w:name="_Toc489353681"/>
      <w:bookmarkStart w:id="149" w:name="_Toc498344292"/>
      <w:bookmarkStart w:id="150" w:name="_Toc498344958"/>
      <w:bookmarkStart w:id="151" w:name="_Toc498345384"/>
      <w:r w:rsidRPr="005A6843">
        <w:t>L</w:t>
      </w:r>
      <w:r w:rsidR="004007F9" w:rsidRPr="005A6843">
        <w:t xml:space="preserve">a información sobre el cumplimiento por la AGE de los objetivos de estabilidad presupuestaria se incluye en una sub-categoría específica, </w:t>
      </w:r>
      <w:r w:rsidR="004007F9" w:rsidRPr="00807B32">
        <w:rPr>
          <w:i/>
        </w:rPr>
        <w:t>"Estabilidad presupuestaria"</w:t>
      </w:r>
      <w:r w:rsidR="004007F9" w:rsidRPr="005A6843">
        <w:t>, del menú de información económica del Portal.</w:t>
      </w:r>
      <w:bookmarkEnd w:id="146"/>
      <w:bookmarkEnd w:id="147"/>
      <w:bookmarkEnd w:id="148"/>
      <w:bookmarkEnd w:id="149"/>
      <w:bookmarkEnd w:id="150"/>
      <w:bookmarkEnd w:id="151"/>
    </w:p>
    <w:p w:rsidR="004007F9" w:rsidRPr="005A6843" w:rsidRDefault="004007F9" w:rsidP="00AA712B">
      <w:pPr>
        <w:jc w:val="both"/>
      </w:pPr>
      <w:r w:rsidRPr="005A6843">
        <w:t xml:space="preserve">En la pantalla inicial de la sub-categoría se informa de que </w:t>
      </w:r>
      <w:r w:rsidRPr="00807B32">
        <w:rPr>
          <w:i/>
        </w:rPr>
        <w:t>“este elemento de información ofrece los datos ofrecidos por la Central de Información Económico-Financiera del Ministerio de Hacienda y Administraciones Públicas (hoy MINHAFP)”</w:t>
      </w:r>
      <w:r w:rsidR="00DD5C9F" w:rsidRPr="005A6843">
        <w:t>.</w:t>
      </w:r>
    </w:p>
    <w:p w:rsidR="004007F9" w:rsidRPr="005A6843" w:rsidRDefault="009E0E23" w:rsidP="00AA712B">
      <w:pPr>
        <w:jc w:val="both"/>
      </w:pPr>
      <w:bookmarkStart w:id="152" w:name="_Toc489350905"/>
      <w:bookmarkStart w:id="153" w:name="_Toc489352015"/>
      <w:bookmarkStart w:id="154" w:name="_Toc489353682"/>
      <w:bookmarkStart w:id="155" w:name="_Toc498344293"/>
      <w:bookmarkStart w:id="156" w:name="_Toc498344959"/>
      <w:bookmarkStart w:id="157" w:name="_Toc498345385"/>
      <w:r w:rsidRPr="005A6843">
        <w:t>Como en la información relativa al estado de ejecución de los Presupuestos, l</w:t>
      </w:r>
      <w:bookmarkEnd w:id="152"/>
      <w:bookmarkEnd w:id="153"/>
      <w:bookmarkEnd w:id="154"/>
      <w:bookmarkEnd w:id="155"/>
      <w:bookmarkEnd w:id="156"/>
      <w:bookmarkEnd w:id="157"/>
      <w:r w:rsidRPr="005A6843">
        <w:t xml:space="preserve">os datos aparecen en el botón </w:t>
      </w:r>
      <w:r w:rsidRPr="00807B32">
        <w:rPr>
          <w:i/>
        </w:rPr>
        <w:t>“Ver toda la información”</w:t>
      </w:r>
      <w:r w:rsidRPr="005A6843">
        <w:t xml:space="preserve"> -cualquier otra vía de acceso conduce a un aviso de error-, solución que ya se ha visto que debería mejorarse</w:t>
      </w:r>
      <w:r w:rsidR="00DD5C9F" w:rsidRPr="005A6843">
        <w:t>.</w:t>
      </w:r>
      <w:r w:rsidRPr="005A6843">
        <w:t xml:space="preserve"> </w:t>
      </w:r>
      <w:r w:rsidR="004007F9" w:rsidRPr="005A6843">
        <w:t>La información se suministra mediante un enlace directo a los datos de la</w:t>
      </w:r>
      <w:r w:rsidR="00B84595" w:rsidRPr="005A6843">
        <w:t xml:space="preserve"> citada </w:t>
      </w:r>
      <w:r w:rsidR="004007F9" w:rsidRPr="005A6843">
        <w:t xml:space="preserve">Central de Información Económico-Financiera </w:t>
      </w:r>
      <w:r w:rsidR="00B84595" w:rsidRPr="005A6843">
        <w:t>(</w:t>
      </w:r>
      <w:r w:rsidR="004007F9" w:rsidRPr="005A6843">
        <w:t>CEIF</w:t>
      </w:r>
      <w:r w:rsidR="00B84595" w:rsidRPr="005A6843">
        <w:t>),</w:t>
      </w:r>
      <w:r w:rsidR="004007F9" w:rsidRPr="005A6843">
        <w:t xml:space="preserve"> q</w:t>
      </w:r>
      <w:r w:rsidR="00B84595" w:rsidRPr="005A6843">
        <w:t>u</w:t>
      </w:r>
      <w:r w:rsidR="004007F9" w:rsidRPr="005A6843">
        <w:t xml:space="preserve">e da acceso a cuatro documentos en versión </w:t>
      </w:r>
      <w:r w:rsidR="00807B32">
        <w:t>pdf</w:t>
      </w:r>
      <w:r w:rsidR="004007F9" w:rsidRPr="005A6843">
        <w:t xml:space="preserve">: </w:t>
      </w:r>
      <w:r w:rsidR="004007F9" w:rsidRPr="00807B32">
        <w:rPr>
          <w:i/>
        </w:rPr>
        <w:t>“Grado de cumplimiento del Objetivo de Estabilidad Presupuestaria, Deuda Pública y Regla de Gasto”</w:t>
      </w:r>
      <w:r w:rsidR="004007F9" w:rsidRPr="005A6843">
        <w:t xml:space="preserve"> (2015); </w:t>
      </w:r>
      <w:r w:rsidR="004007F9" w:rsidRPr="00807B32">
        <w:rPr>
          <w:i/>
        </w:rPr>
        <w:t>“Objetivos de Estabilidad Presupuestaria, Deuda Pública, Regla de Gasto y Límite de Gasto no Financiero del Estado”</w:t>
      </w:r>
      <w:r w:rsidR="004007F9" w:rsidRPr="005A6843">
        <w:t xml:space="preserve"> (2017-2019); </w:t>
      </w:r>
      <w:r w:rsidR="004007F9" w:rsidRPr="00807B32">
        <w:rPr>
          <w:i/>
        </w:rPr>
        <w:t>“Escenario Macroeconómico”</w:t>
      </w:r>
      <w:r w:rsidR="004007F9" w:rsidRPr="005A6843">
        <w:t xml:space="preserve"> (2016-2017) e </w:t>
      </w:r>
      <w:r w:rsidR="004007F9" w:rsidRPr="00807B32">
        <w:rPr>
          <w:i/>
        </w:rPr>
        <w:t xml:space="preserve">“Informe de situación de la Economía Española artículo 15.5 LOEPSF” </w:t>
      </w:r>
      <w:r w:rsidR="004007F9" w:rsidRPr="005A6843">
        <w:t xml:space="preserve">(2016). El acrónimo LOEPSF hace referencia a la </w:t>
      </w:r>
      <w:r w:rsidR="001C41A6">
        <w:t>Ley</w:t>
      </w:r>
      <w:r w:rsidR="004007F9" w:rsidRPr="005A6843">
        <w:t xml:space="preserve"> Orgánica 2/2012, de 27 de abril, de Estabilidad Presupuestaria y Sostenibilidad Financiera. </w:t>
      </w:r>
    </w:p>
    <w:p w:rsidR="00B84595" w:rsidRPr="005A6843" w:rsidRDefault="004007F9" w:rsidP="00AA712B">
      <w:pPr>
        <w:jc w:val="both"/>
      </w:pPr>
      <w:r w:rsidRPr="005A6843">
        <w:t xml:space="preserve">Se trata de información muy técnica y difícil de procesar por ciudadanos no expertos. Sería conveniente complementarla con explicaciones similares a las incluidas en las entradas a otros ítems o sub-categorías -ahora referidas a los objetivos de estabilidad, la noción de regla de gasto, el concepto de sostenibilidad financiera, </w:t>
      </w:r>
      <w:r w:rsidR="00235F53">
        <w:t>etc.</w:t>
      </w:r>
      <w:r w:rsidRPr="005A6843">
        <w:t>- y con resúmenes de los documentos suministrados</w:t>
      </w:r>
      <w:r w:rsidR="00B84595" w:rsidRPr="005A6843">
        <w:t xml:space="preserve">. </w:t>
      </w:r>
    </w:p>
    <w:p w:rsidR="004007F9" w:rsidRPr="005A6843" w:rsidRDefault="00D17B3B" w:rsidP="00AA712B">
      <w:pPr>
        <w:jc w:val="both"/>
      </w:pPr>
      <w:r w:rsidRPr="005A6843">
        <w:t xml:space="preserve">Respecto de la actualidad de la información, hay que señalar que, aunque </w:t>
      </w:r>
      <w:r w:rsidR="00B84595" w:rsidRPr="005A6843">
        <w:t>falta</w:t>
      </w:r>
      <w:r w:rsidRPr="005A6843">
        <w:t xml:space="preserve">n los datos de </w:t>
      </w:r>
      <w:r w:rsidR="00B84595" w:rsidRPr="005A6843">
        <w:t xml:space="preserve">cumplimiento de los objetivos en 2016, </w:t>
      </w:r>
      <w:r w:rsidRPr="005A6843">
        <w:t xml:space="preserve">no puede considerarse que el Portal en este punto está desactualizado </w:t>
      </w:r>
      <w:r w:rsidR="00053F68" w:rsidRPr="005A6843">
        <w:t xml:space="preserve">pues, considerando que los datos de estabilidad presupuestaria han de tomarse después del cierre de los Presupuestos y que su elaboración es compleja, probablemente sea </w:t>
      </w:r>
      <w:r w:rsidR="006E6E0A" w:rsidRPr="005A6843">
        <w:t>im</w:t>
      </w:r>
      <w:r w:rsidR="00053F68" w:rsidRPr="005A6843">
        <w:t>posible disponer de ellos hasta el último trimestre de 2017.</w:t>
      </w:r>
      <w:r w:rsidR="006E6E0A" w:rsidRPr="005A6843">
        <w:t xml:space="preserve"> En todo caso, de darse esta circunstancia, sería aconsejable que, para mayor claridad, se hiciera constar una advertencia en este sentido en las explicaciones iniciales de la sub-categoría</w:t>
      </w:r>
      <w:r w:rsidR="00C87DD5" w:rsidRPr="005A6843">
        <w:t>.</w:t>
      </w:r>
    </w:p>
    <w:p w:rsidR="00E6480D" w:rsidRPr="00807B32" w:rsidRDefault="00E6480D" w:rsidP="00AA712B">
      <w:pPr>
        <w:jc w:val="both"/>
        <w:rPr>
          <w:b/>
          <w:u w:val="single"/>
        </w:rPr>
      </w:pPr>
      <w:r w:rsidRPr="00807B32">
        <w:rPr>
          <w:b/>
          <w:u w:val="single"/>
        </w:rPr>
        <w:t>Cumplimiento de los objetiv</w:t>
      </w:r>
      <w:r w:rsidR="00807B32">
        <w:rPr>
          <w:b/>
          <w:u w:val="single"/>
        </w:rPr>
        <w:t>os de sostenibilidad financiera.</w:t>
      </w:r>
    </w:p>
    <w:p w:rsidR="00E6480D" w:rsidRPr="005A6843" w:rsidRDefault="00B07951" w:rsidP="00AA712B">
      <w:pPr>
        <w:jc w:val="both"/>
      </w:pPr>
      <w:r w:rsidRPr="005A6843">
        <w:t>L</w:t>
      </w:r>
      <w:r w:rsidR="00C87DD5" w:rsidRPr="005A6843">
        <w:t xml:space="preserve">a información aparece subsumida en una sub-categoría mucho más amplia, etiquetada </w:t>
      </w:r>
      <w:r w:rsidR="00C87DD5" w:rsidRPr="00807B32">
        <w:rPr>
          <w:i/>
        </w:rPr>
        <w:t>"</w:t>
      </w:r>
      <w:r w:rsidR="00E6480D" w:rsidRPr="00807B32">
        <w:rPr>
          <w:i/>
        </w:rPr>
        <w:t>Más información presupuestaria</w:t>
      </w:r>
      <w:r w:rsidR="00C87DD5" w:rsidRPr="00807B32">
        <w:rPr>
          <w:i/>
        </w:rPr>
        <w:t>"</w:t>
      </w:r>
      <w:r w:rsidRPr="005A6843">
        <w:t>, que constituye una especie de "cajón de sastre" de datos e informaciones de índole presupuestaria.</w:t>
      </w:r>
    </w:p>
    <w:p w:rsidR="00E6480D" w:rsidRPr="005A6843" w:rsidRDefault="00B07951" w:rsidP="00AA712B">
      <w:pPr>
        <w:jc w:val="both"/>
      </w:pPr>
      <w:r w:rsidRPr="005A6843">
        <w:t xml:space="preserve">La entrada en la sub-categoría </w:t>
      </w:r>
      <w:r w:rsidR="00E6480D" w:rsidRPr="005A6843">
        <w:t xml:space="preserve">da acceso a un menú de opciones con diferentes entradas temáticas: </w:t>
      </w:r>
      <w:r w:rsidR="00E6480D" w:rsidRPr="00807B32">
        <w:rPr>
          <w:i/>
        </w:rPr>
        <w:t>“Cuentas de resultados y pérdidas y ganancias”, “Techo de gasto no financiero aprobado para cada ejercicio”, “Créditos extraordinarios, suplementos o modificaciones de crédito”, “Periodo medio de pago a proveedores”, “Importe de los gastos de representación autorizados al inicio del ejercicio”, “La deuda pública de la Administración con indicación de su evolución y endeudamiento”, “Estructura de la cartera de deuda”</w:t>
      </w:r>
      <w:r w:rsidR="00E6480D" w:rsidRPr="005A6843">
        <w:t xml:space="preserve"> e </w:t>
      </w:r>
      <w:r w:rsidR="00E6480D" w:rsidRPr="00807B32">
        <w:rPr>
          <w:i/>
        </w:rPr>
        <w:t>“Información estadística  de naturaleza tributaria”.</w:t>
      </w:r>
      <w:r w:rsidR="00E6480D" w:rsidRPr="005A6843">
        <w:t xml:space="preserve"> </w:t>
      </w:r>
    </w:p>
    <w:p w:rsidR="00E6480D" w:rsidRPr="005A6843" w:rsidRDefault="00E6480D" w:rsidP="00AA712B">
      <w:pPr>
        <w:jc w:val="both"/>
      </w:pPr>
      <w:r w:rsidRPr="005A6843">
        <w:t xml:space="preserve">Cada una de ellas da acceso a un determinado sitio electrónico de las </w:t>
      </w:r>
      <w:r w:rsidR="00FC4B2E" w:rsidRPr="00FC4B2E">
        <w:rPr>
          <w:i/>
        </w:rPr>
        <w:t>web</w:t>
      </w:r>
      <w:r w:rsidRPr="005A6843">
        <w:t xml:space="preserve"> institucionales del MINHAFP (IGAE, PAP, CEIF, </w:t>
      </w:r>
      <w:r w:rsidR="00235F53">
        <w:t>etc.</w:t>
      </w:r>
      <w:r w:rsidRPr="005A6843">
        <w:t xml:space="preserve">) y del Banco de España con información sobre la cuenta de pérdidas y ganancias y de resultados de las Entidades Públicas Estatales; el límite de gasto no financiero del presupuesto del Estado del próximo ejercicio; las modificaciones de créditos aprobadas en el ejercicio para cada una de las secciones de gasto de la AGE; el desglose del subconcepto presupuestario </w:t>
      </w:r>
      <w:r w:rsidRPr="00807B32">
        <w:rPr>
          <w:i/>
        </w:rPr>
        <w:t>“Atenciones protocolarias y representativas”</w:t>
      </w:r>
      <w:r w:rsidRPr="005A6843">
        <w:t xml:space="preserve"> de los Presupuestos del año en curso; el periodo medio de pago a proveedores del ejercicio correspondiente a la AGE y otros organismos públicos; las estadísticas de la deuda pública según el Protocolo de Déficit Excesivo (PDE) y las estadísticas de los ingresos tributarios del Estado, tanto por separado como de forma consolidada, así como de la estructura y magnitudes esenciales de los impuestos más relevantes.</w:t>
      </w:r>
    </w:p>
    <w:p w:rsidR="00E6480D" w:rsidRPr="005A6843" w:rsidRDefault="00B07951" w:rsidP="00AA712B">
      <w:pPr>
        <w:jc w:val="both"/>
      </w:pPr>
      <w:r w:rsidRPr="005A6843">
        <w:t xml:space="preserve">Fácilmente se comprende que la información requerida por el art. 8 de </w:t>
      </w:r>
      <w:r w:rsidR="00DE0B2C" w:rsidRPr="005A6843">
        <w:t xml:space="preserve">la </w:t>
      </w:r>
      <w:r w:rsidR="0030754C">
        <w:t>l</w:t>
      </w:r>
      <w:r w:rsidR="001C41A6">
        <w:t>ey</w:t>
      </w:r>
      <w:r w:rsidR="00E768A4">
        <w:t xml:space="preserve"> de transparencia</w:t>
      </w:r>
      <w:r w:rsidR="00DE0B2C" w:rsidRPr="005A6843">
        <w:t xml:space="preserve"> se circunscribe a la información sobre el período de pago a proveedores y sobre el techo de gasto (sostenibilidad financiera). El resto constituye una </w:t>
      </w:r>
      <w:r w:rsidR="00E6480D" w:rsidRPr="005A6843">
        <w:t>información completa y de interés para la rendición de cuentas, especialmente en lo relativo a las modificaciones presupuestarias y el desglose de los gastos de representación</w:t>
      </w:r>
      <w:r w:rsidR="00DE0B2C" w:rsidRPr="005A6843">
        <w:t xml:space="preserve">, pero </w:t>
      </w:r>
      <w:r w:rsidR="00E6480D" w:rsidRPr="005A6843">
        <w:t>no</w:t>
      </w:r>
      <w:r w:rsidR="00DE0B2C" w:rsidRPr="005A6843">
        <w:t xml:space="preserve"> está </w:t>
      </w:r>
      <w:r w:rsidR="00E6480D" w:rsidRPr="005A6843">
        <w:t xml:space="preserve"> exigida </w:t>
      </w:r>
      <w:r w:rsidR="00DE0B2C" w:rsidRPr="005A6843">
        <w:t xml:space="preserve">de forma legal, </w:t>
      </w:r>
      <w:r w:rsidR="00E6480D" w:rsidRPr="005A6843">
        <w:t>por lo que pertenece al ámbito del cumplimiento voluntario</w:t>
      </w:r>
      <w:r w:rsidR="00DE0B2C" w:rsidRPr="005A6843">
        <w:t xml:space="preserve"> de ésta y debería integrarse en la nueva sub-categoría de </w:t>
      </w:r>
      <w:r w:rsidR="00DE0B2C" w:rsidRPr="00777976">
        <w:rPr>
          <w:i/>
        </w:rPr>
        <w:t>"Transparencia Voluntaria"</w:t>
      </w:r>
      <w:r w:rsidR="00DE0B2C" w:rsidRPr="005A6843">
        <w:t xml:space="preserve"> que este CTBG recomienda sea creada en el Portal.</w:t>
      </w:r>
    </w:p>
    <w:p w:rsidR="00E6480D" w:rsidRPr="00777976" w:rsidRDefault="00E6480D" w:rsidP="00AA712B">
      <w:pPr>
        <w:jc w:val="both"/>
        <w:rPr>
          <w:b/>
          <w:u w:val="single"/>
        </w:rPr>
      </w:pPr>
      <w:r w:rsidRPr="00777976">
        <w:rPr>
          <w:b/>
          <w:u w:val="single"/>
        </w:rPr>
        <w:t>Cuentas anuales que deban rendirs</w:t>
      </w:r>
      <w:r w:rsidR="00777976">
        <w:rPr>
          <w:b/>
          <w:u w:val="single"/>
        </w:rPr>
        <w:t>e.</w:t>
      </w:r>
    </w:p>
    <w:p w:rsidR="00E6480D" w:rsidRPr="005A6843" w:rsidRDefault="00F97F22" w:rsidP="00AA712B">
      <w:pPr>
        <w:jc w:val="both"/>
      </w:pPr>
      <w:r w:rsidRPr="005A6843">
        <w:t xml:space="preserve">La información se contiene en una sub-categoría específica denominada </w:t>
      </w:r>
      <w:r w:rsidRPr="00777976">
        <w:rPr>
          <w:i/>
          <w:u w:val="single"/>
        </w:rPr>
        <w:t>"</w:t>
      </w:r>
      <w:r w:rsidR="00E6480D" w:rsidRPr="00777976">
        <w:rPr>
          <w:i/>
          <w:u w:val="single"/>
        </w:rPr>
        <w:t>Cuentas anuales e informes de auditoría</w:t>
      </w:r>
      <w:r w:rsidRPr="00777976">
        <w:rPr>
          <w:i/>
          <w:u w:val="single"/>
        </w:rPr>
        <w:t>"</w:t>
      </w:r>
      <w:r w:rsidR="00777976">
        <w:rPr>
          <w:i/>
          <w:u w:val="single"/>
        </w:rPr>
        <w:t>.</w:t>
      </w:r>
    </w:p>
    <w:p w:rsidR="00E6480D" w:rsidRPr="005A6843" w:rsidRDefault="00F97F22" w:rsidP="00AA712B">
      <w:pPr>
        <w:jc w:val="both"/>
      </w:pPr>
      <w:r w:rsidRPr="005A6843">
        <w:t>Este elemento c</w:t>
      </w:r>
      <w:r w:rsidR="00E6480D" w:rsidRPr="005A6843">
        <w:t xml:space="preserve">ontiene información sobre las cuentas anuales de la AGE y los correspondientes informes de auditoría de la IGAE. Concretamente, según se explica en la entrada -botón </w:t>
      </w:r>
      <w:r w:rsidR="00E6480D" w:rsidRPr="00777976">
        <w:rPr>
          <w:i/>
        </w:rPr>
        <w:t>“Más Información”</w:t>
      </w:r>
      <w:r w:rsidR="00E6480D" w:rsidRPr="005A6843">
        <w:t xml:space="preserve">-, recoge la información publicada en el Registro de Cuentas Anuales del Sector Público de acuerdo con el art. 136.2 de la </w:t>
      </w:r>
      <w:r w:rsidR="001C41A6">
        <w:t>Ley</w:t>
      </w:r>
      <w:r w:rsidR="00E6480D" w:rsidRPr="005A6843">
        <w:t xml:space="preserve"> 47/2003, de 26 de noviembre, General Presupuestaria, que encomienda a la I</w:t>
      </w:r>
      <w:r w:rsidR="00362223" w:rsidRPr="005A6843">
        <w:t>ntervención</w:t>
      </w:r>
      <w:r w:rsidR="00E6480D" w:rsidRPr="005A6843">
        <w:t xml:space="preserve"> hacer públicas las cuentas anuales e informes de auditoría de las entidades integrantes del sector público estatal. </w:t>
      </w:r>
    </w:p>
    <w:p w:rsidR="00E6480D" w:rsidRPr="005A6843" w:rsidRDefault="00E6480D" w:rsidP="00AA712B">
      <w:pPr>
        <w:jc w:val="both"/>
      </w:pPr>
      <w:r w:rsidRPr="005A6843">
        <w:t>En concreto, se incorporan los datos correspondientes a la Cuenta General del Estado, la Cuenta de la Administración General del Estado, las Cuentas Anuales de la Seguridad Social y las Cuentas de las Entidades Públicas Estatales -Entidades del Sector Público Administrativo Estatal y Entidades del Sector Público Empresarial y Fundacional Estatal-.</w:t>
      </w:r>
    </w:p>
    <w:p w:rsidR="00E6480D" w:rsidRPr="005A6843" w:rsidRDefault="00E6480D" w:rsidP="00AA712B">
      <w:pPr>
        <w:jc w:val="both"/>
      </w:pPr>
      <w:r w:rsidRPr="005A6843">
        <w:t xml:space="preserve">Las Cuentas Generales del Estado y la Seguridad Social se ofrecen en versión </w:t>
      </w:r>
      <w:r w:rsidR="00777976">
        <w:t>.</w:t>
      </w:r>
      <w:r w:rsidRPr="005A6843">
        <w:t xml:space="preserve">pdf con datos correspondientes al año 2015 pero se ofrece la opción de consultar años anteriores. </w:t>
      </w:r>
    </w:p>
    <w:p w:rsidR="00E6480D" w:rsidRPr="005A6843" w:rsidRDefault="00E6480D" w:rsidP="00AA712B">
      <w:pPr>
        <w:jc w:val="both"/>
      </w:pPr>
      <w:r w:rsidRPr="005A6843">
        <w:t>La información se completa con una opción -</w:t>
      </w:r>
      <w:r w:rsidRPr="00777976">
        <w:rPr>
          <w:i/>
        </w:rPr>
        <w:t>“Ver histórico”</w:t>
      </w:r>
      <w:r w:rsidRPr="005A6843">
        <w:t xml:space="preserve">- que permite el acceso a los datos en versión </w:t>
      </w:r>
      <w:r w:rsidR="00777976">
        <w:t>pdf</w:t>
      </w:r>
      <w:r w:rsidRPr="005A6843">
        <w:t xml:space="preserve"> de los años 2014 y 2015, incluidos los referidos a las Entidades Públicas Estatales. </w:t>
      </w:r>
    </w:p>
    <w:p w:rsidR="00E6480D" w:rsidRPr="005A6843" w:rsidRDefault="00E6480D" w:rsidP="00AA712B">
      <w:pPr>
        <w:jc w:val="both"/>
      </w:pPr>
      <w:r w:rsidRPr="005A6843">
        <w:t xml:space="preserve">Nuevamente, como se ha dicho en los apartados anteriores, sería necesario aligerar la información mediante representaciones gráficas y resúmenes y diferenciar claramente la correspondiente a la AGE y los restantes sujetos y organizaciones involucradas. </w:t>
      </w:r>
    </w:p>
    <w:p w:rsidR="004541D8" w:rsidRPr="005A6843" w:rsidRDefault="004541D8" w:rsidP="00AA712B">
      <w:pPr>
        <w:jc w:val="both"/>
      </w:pPr>
      <w:r w:rsidRPr="005A6843">
        <w:t>Respecto de la actualidad de l</w:t>
      </w:r>
      <w:r w:rsidR="006E6E0A" w:rsidRPr="005A6843">
        <w:t>a información</w:t>
      </w:r>
      <w:r w:rsidRPr="005A6843">
        <w:t xml:space="preserve">, cabe señalar </w:t>
      </w:r>
      <w:r w:rsidR="006E6E0A" w:rsidRPr="005A6843">
        <w:t xml:space="preserve">como en los apartados anteriores </w:t>
      </w:r>
      <w:r w:rsidRPr="005A6843">
        <w:t>que</w:t>
      </w:r>
      <w:r w:rsidR="00A65918" w:rsidRPr="005A6843">
        <w:t>,</w:t>
      </w:r>
      <w:r w:rsidRPr="005A6843">
        <w:t xml:space="preserve"> aunque los últimos </w:t>
      </w:r>
      <w:r w:rsidR="006E6E0A" w:rsidRPr="005A6843">
        <w:t xml:space="preserve">datos </w:t>
      </w:r>
      <w:r w:rsidR="00A65918" w:rsidRPr="005A6843">
        <w:t xml:space="preserve">incorporados correspondan a </w:t>
      </w:r>
      <w:r w:rsidRPr="005A6843">
        <w:t>2015</w:t>
      </w:r>
      <w:r w:rsidR="006E6E0A" w:rsidRPr="005A6843">
        <w:t xml:space="preserve"> y no a 2016</w:t>
      </w:r>
      <w:r w:rsidRPr="005A6843">
        <w:t xml:space="preserve">, </w:t>
      </w:r>
      <w:r w:rsidR="00A65918" w:rsidRPr="005A6843">
        <w:t>no se trata de un defecto de actualización del Portal sino de una consecuencia directa del período de cierre del ejercicio y de la necesidad de esperar al mismo para empezar a elaborar las Cuentas. En todo caso, como también se ha dicho, debería advertirse expresamente de esta circunstancia.</w:t>
      </w:r>
      <w:r w:rsidRPr="005A6843">
        <w:t xml:space="preserve"> </w:t>
      </w:r>
    </w:p>
    <w:p w:rsidR="00E6480D" w:rsidRPr="00777976" w:rsidRDefault="00E6480D" w:rsidP="00AA712B">
      <w:pPr>
        <w:jc w:val="both"/>
        <w:rPr>
          <w:b/>
          <w:u w:val="single"/>
        </w:rPr>
      </w:pPr>
      <w:r w:rsidRPr="00777976">
        <w:rPr>
          <w:b/>
          <w:u w:val="single"/>
        </w:rPr>
        <w:t>Informes de auditoría de cuentas y de fiscalización por part</w:t>
      </w:r>
      <w:r w:rsidR="00777976" w:rsidRPr="00777976">
        <w:rPr>
          <w:b/>
          <w:u w:val="single"/>
        </w:rPr>
        <w:t>e de órganos de control externo.</w:t>
      </w:r>
    </w:p>
    <w:p w:rsidR="00233F0F" w:rsidRPr="005A6843" w:rsidRDefault="00362223" w:rsidP="00AA712B">
      <w:pPr>
        <w:jc w:val="both"/>
      </w:pPr>
      <w:r w:rsidRPr="005A6843">
        <w:t>La información se integra en un epígrafe específico</w:t>
      </w:r>
      <w:r w:rsidR="00233F0F" w:rsidRPr="005A6843">
        <w:t xml:space="preserve"> del menú económico del Portal, justamente titulado </w:t>
      </w:r>
      <w:r w:rsidR="00233F0F" w:rsidRPr="00777976">
        <w:rPr>
          <w:i/>
        </w:rPr>
        <w:t>"</w:t>
      </w:r>
      <w:r w:rsidR="005A1C67" w:rsidRPr="00777976">
        <w:rPr>
          <w:i/>
        </w:rPr>
        <w:t>Informes de fiscalización</w:t>
      </w:r>
      <w:r w:rsidR="00233F0F" w:rsidRPr="00777976">
        <w:rPr>
          <w:i/>
        </w:rPr>
        <w:t>"</w:t>
      </w:r>
      <w:r w:rsidR="00233F0F" w:rsidRPr="005A6843">
        <w:t>.</w:t>
      </w:r>
    </w:p>
    <w:p w:rsidR="005A1C67" w:rsidRPr="005A6843" w:rsidRDefault="005A1C67" w:rsidP="00AA712B">
      <w:pPr>
        <w:jc w:val="both"/>
      </w:pPr>
      <w:r w:rsidRPr="005A6843">
        <w:t xml:space="preserve">Según se hace explícito en la información inicial de este apartado, el mismo contiene los informes de fiscalización realizados por el Tribunal de Cuentas (TCU). </w:t>
      </w:r>
    </w:p>
    <w:p w:rsidR="005A1C67" w:rsidRPr="005A6843" w:rsidRDefault="005A1C67" w:rsidP="00AA712B">
      <w:pPr>
        <w:jc w:val="both"/>
      </w:pPr>
      <w:r w:rsidRPr="005A6843">
        <w:t xml:space="preserve">De este modo, agregando estos informes a los de auditoría de la IGAE que se suministraban en el apartado anterior, se completan los requerimientos del art. 8.1 e) de la </w:t>
      </w:r>
      <w:r w:rsidR="0030754C">
        <w:t>l</w:t>
      </w:r>
      <w:r w:rsidR="001C41A6">
        <w:t>ey</w:t>
      </w:r>
      <w:r w:rsidR="00E768A4">
        <w:t xml:space="preserve"> de transparencia</w:t>
      </w:r>
      <w:r w:rsidRPr="005A6843">
        <w:t xml:space="preserve"> en la materia, esto es, publicidad de los </w:t>
      </w:r>
      <w:r w:rsidRPr="006069A1">
        <w:rPr>
          <w:i/>
        </w:rPr>
        <w:t>“informes de auditoría de cuentas y de fiscalización por parte de los órganos de control externo que sobre ellos los emitan”</w:t>
      </w:r>
      <w:r w:rsidRPr="005A6843">
        <w:t xml:space="preserve">. No obstante, teniendo en cuenta las exigencias legales de claridad y comprensibilidad, se plantea la duda de si no hubiera sido más adecuado unificar los informes en un solo apartado y dejar el apartado anterior restringido exclusivamente a la información sobre las cuentas anuales. </w:t>
      </w:r>
    </w:p>
    <w:p w:rsidR="005A1C67" w:rsidRPr="005A6843" w:rsidRDefault="005A1C67" w:rsidP="00AA712B">
      <w:pPr>
        <w:jc w:val="both"/>
      </w:pPr>
      <w:r w:rsidRPr="005A6843">
        <w:t xml:space="preserve">La información se suministra mediante varios enlaces directos a la </w:t>
      </w:r>
      <w:r w:rsidR="00FC4B2E" w:rsidRPr="00FC4B2E">
        <w:rPr>
          <w:i/>
        </w:rPr>
        <w:t>web</w:t>
      </w:r>
      <w:r w:rsidRPr="005A6843">
        <w:t xml:space="preserve"> del TCU, que dirigen a: A) Los informes de fiscalización de la A</w:t>
      </w:r>
      <w:r w:rsidR="00233F0F" w:rsidRPr="005A6843">
        <w:t>GE</w:t>
      </w:r>
      <w:r w:rsidRPr="005A6843">
        <w:t xml:space="preserve"> y sus organismos autónomos; B) Los informes de fiscalización de la Seguridad Social; C) Los informes de fiscalización de las Sociedades Públicas Estatales y D) Los informes de fiscalización de las Fundaciones públicas.</w:t>
      </w:r>
    </w:p>
    <w:p w:rsidR="005A1C67" w:rsidRPr="005A6843" w:rsidRDefault="005A1C67" w:rsidP="00AA712B">
      <w:pPr>
        <w:jc w:val="both"/>
      </w:pPr>
      <w:r w:rsidRPr="005A6843">
        <w:t xml:space="preserve">Cada una de estas opciones facilita el acceso a todos los informes realizados por el TCU desde el primero </w:t>
      </w:r>
      <w:r w:rsidR="00942942" w:rsidRPr="005A6843">
        <w:t xml:space="preserve">(1983) </w:t>
      </w:r>
      <w:r w:rsidRPr="005A6843">
        <w:t xml:space="preserve">al más reciente </w:t>
      </w:r>
      <w:r w:rsidR="00942942" w:rsidRPr="005A6843">
        <w:t xml:space="preserve">(2017) </w:t>
      </w:r>
      <w:r w:rsidRPr="005A6843">
        <w:t xml:space="preserve">pero es necesario efectuar la búsqueda por organismo, lo que implica que el visitante debe consultar informes determinados, no datos globales, y que debe conocer de antemano si el informe deseado corresponde a un organismo o entidad de la AGE o la Seguridad Social o si éste tiene carácter de Sociedad Estatal o Fundación. </w:t>
      </w:r>
    </w:p>
    <w:p w:rsidR="00942942" w:rsidRPr="005A6843" w:rsidRDefault="005A1C67" w:rsidP="00AA712B">
      <w:pPr>
        <w:jc w:val="both"/>
      </w:pPr>
      <w:r w:rsidRPr="005A6843">
        <w:t>Es evidente que esta circunstancia se debe al recurso directo a la plataforma del TCU que, como en los demás casos de bases centralizadas, impone su lógica organizativa y de funcionamiento al Portal. Pero, en todo caso y a juicio de este CTBG, desde el punto de vista de la claridad de la información y la facilidad de la consulta, sería necesario simplificarla.</w:t>
      </w:r>
    </w:p>
    <w:p w:rsidR="00761F42" w:rsidRDefault="00942942" w:rsidP="00AA712B">
      <w:pPr>
        <w:jc w:val="both"/>
      </w:pPr>
      <w:r w:rsidRPr="005A6843">
        <w:t>Como en los apartado</w:t>
      </w:r>
      <w:r w:rsidR="001C47EE" w:rsidRPr="005A6843">
        <w:t>s</w:t>
      </w:r>
      <w:r w:rsidRPr="005A6843">
        <w:t xml:space="preserve"> anteriores, es necesario tener en cuenta la cuestión de la actualidad de la información. El primer y más reciente informe de fiscalización del TCU que figura en la </w:t>
      </w:r>
      <w:r w:rsidR="001C47EE" w:rsidRPr="005A6843">
        <w:t>plataforma corresponde a la cuenta de la Agencia Estatal Boletín Oficial del Estado</w:t>
      </w:r>
      <w:r w:rsidRPr="005A6843">
        <w:t xml:space="preserve"> </w:t>
      </w:r>
      <w:r w:rsidR="005A1C67" w:rsidRPr="005A6843">
        <w:t xml:space="preserve"> </w:t>
      </w:r>
      <w:r w:rsidR="001C47EE" w:rsidRPr="005A6843">
        <w:t xml:space="preserve">para 2014 -es cierto que figura también un documento referido a las cuentas de la AGE para 2015 pero no es un informe sino una declaración general-. </w:t>
      </w:r>
      <w:r w:rsidR="00172828" w:rsidRPr="005A6843">
        <w:t>Segura</w:t>
      </w:r>
      <w:r w:rsidR="001C47EE" w:rsidRPr="005A6843">
        <w:t xml:space="preserve">mente la desactualización de la información </w:t>
      </w:r>
      <w:r w:rsidR="00172828" w:rsidRPr="005A6843">
        <w:t xml:space="preserve">es </w:t>
      </w:r>
      <w:r w:rsidR="001C47EE" w:rsidRPr="005A6843">
        <w:t xml:space="preserve">inevitable teniendo en cuenta </w:t>
      </w:r>
      <w:r w:rsidR="00A42063" w:rsidRPr="005A6843">
        <w:t xml:space="preserve">la complejidad de la materia y </w:t>
      </w:r>
      <w:r w:rsidR="001C47EE" w:rsidRPr="005A6843">
        <w:t xml:space="preserve">los plazos de formación de las cuentas, de remisión al TCU </w:t>
      </w:r>
      <w:r w:rsidR="00A42063" w:rsidRPr="005A6843">
        <w:t xml:space="preserve">y de realización del correspondiente informe. </w:t>
      </w:r>
      <w:r w:rsidR="00172828" w:rsidRPr="005A6843">
        <w:t xml:space="preserve">En cualquier caso, </w:t>
      </w:r>
      <w:r w:rsidR="006069A1" w:rsidRPr="005A6843">
        <w:t>aun</w:t>
      </w:r>
      <w:r w:rsidR="00A42063" w:rsidRPr="005A6843">
        <w:t xml:space="preserve"> siendo así, debería advertirse expresamente esta circunstancia </w:t>
      </w:r>
      <w:r w:rsidR="00172828" w:rsidRPr="005A6843">
        <w:t>en la página inicial de la sub-categoría.</w:t>
      </w:r>
    </w:p>
    <w:p w:rsidR="005A1C67" w:rsidRPr="006069A1" w:rsidRDefault="005A1C67" w:rsidP="00AA712B">
      <w:pPr>
        <w:jc w:val="both"/>
        <w:rPr>
          <w:b/>
          <w:u w:val="single"/>
        </w:rPr>
      </w:pPr>
      <w:r w:rsidRPr="006069A1">
        <w:rPr>
          <w:b/>
          <w:u w:val="single"/>
        </w:rPr>
        <w:t xml:space="preserve">Retribuciones percibidas anualmente por </w:t>
      </w:r>
      <w:r w:rsidR="00172828" w:rsidRPr="006069A1">
        <w:rPr>
          <w:b/>
          <w:u w:val="single"/>
        </w:rPr>
        <w:t>A</w:t>
      </w:r>
      <w:r w:rsidRPr="006069A1">
        <w:rPr>
          <w:b/>
          <w:u w:val="single"/>
        </w:rPr>
        <w:t xml:space="preserve">ltos </w:t>
      </w:r>
      <w:r w:rsidR="00172828" w:rsidRPr="006069A1">
        <w:rPr>
          <w:b/>
          <w:u w:val="single"/>
        </w:rPr>
        <w:t>C</w:t>
      </w:r>
      <w:r w:rsidRPr="006069A1">
        <w:rPr>
          <w:b/>
          <w:u w:val="single"/>
        </w:rPr>
        <w:t>argos</w:t>
      </w:r>
      <w:r w:rsidR="00172828" w:rsidRPr="006069A1">
        <w:rPr>
          <w:b/>
          <w:u w:val="single"/>
        </w:rPr>
        <w:t xml:space="preserve"> y máximos responsables</w:t>
      </w:r>
      <w:r w:rsidR="006069A1">
        <w:rPr>
          <w:b/>
          <w:u w:val="single"/>
        </w:rPr>
        <w:t>.</w:t>
      </w:r>
    </w:p>
    <w:p w:rsidR="005A1C67" w:rsidRPr="005A6843" w:rsidRDefault="00385078" w:rsidP="00AA712B">
      <w:pPr>
        <w:jc w:val="both"/>
      </w:pPr>
      <w:bookmarkStart w:id="158" w:name="_Toc489350906"/>
      <w:bookmarkStart w:id="159" w:name="_Toc489352016"/>
      <w:bookmarkStart w:id="160" w:name="_Toc489353683"/>
      <w:bookmarkStart w:id="161" w:name="_Toc498344294"/>
      <w:bookmarkStart w:id="162" w:name="_Toc498344960"/>
      <w:bookmarkStart w:id="163" w:name="_Toc498345386"/>
      <w:r w:rsidRPr="005A6843">
        <w:t>Como se ha dicho más atrás, l</w:t>
      </w:r>
      <w:r w:rsidR="00921CA3" w:rsidRPr="005A6843">
        <w:t xml:space="preserve">a información figura en una sub-categoría </w:t>
      </w:r>
      <w:r w:rsidR="00606C80" w:rsidRPr="005A6843">
        <w:t>específica</w:t>
      </w:r>
      <w:r w:rsidR="00921CA3" w:rsidRPr="005A6843">
        <w:t xml:space="preserve">, </w:t>
      </w:r>
      <w:r w:rsidR="00921CA3" w:rsidRPr="006069A1">
        <w:rPr>
          <w:i/>
        </w:rPr>
        <w:t>"</w:t>
      </w:r>
      <w:r w:rsidR="005A1C67" w:rsidRPr="006069A1">
        <w:rPr>
          <w:i/>
        </w:rPr>
        <w:t xml:space="preserve">Retribuciones de </w:t>
      </w:r>
      <w:r w:rsidR="00921CA3" w:rsidRPr="006069A1">
        <w:rPr>
          <w:i/>
        </w:rPr>
        <w:t>A</w:t>
      </w:r>
      <w:r w:rsidR="005A1C67" w:rsidRPr="006069A1">
        <w:rPr>
          <w:i/>
        </w:rPr>
        <w:t xml:space="preserve">ltos </w:t>
      </w:r>
      <w:r w:rsidR="00921CA3" w:rsidRPr="006069A1">
        <w:rPr>
          <w:i/>
        </w:rPr>
        <w:t>C</w:t>
      </w:r>
      <w:r w:rsidR="005A1C67" w:rsidRPr="006069A1">
        <w:rPr>
          <w:i/>
        </w:rPr>
        <w:t>argos</w:t>
      </w:r>
      <w:r w:rsidR="00921CA3" w:rsidRPr="006069A1">
        <w:rPr>
          <w:i/>
        </w:rPr>
        <w:t>"</w:t>
      </w:r>
      <w:r w:rsidR="00373F87" w:rsidRPr="005A6843">
        <w:t>,</w:t>
      </w:r>
      <w:r w:rsidR="00921CA3" w:rsidRPr="005A6843">
        <w:t xml:space="preserve"> de la categoría </w:t>
      </w:r>
      <w:r w:rsidRPr="005A6843">
        <w:t>de información</w:t>
      </w:r>
      <w:bookmarkEnd w:id="158"/>
      <w:bookmarkEnd w:id="159"/>
      <w:bookmarkEnd w:id="160"/>
      <w:bookmarkEnd w:id="161"/>
      <w:bookmarkEnd w:id="162"/>
      <w:bookmarkEnd w:id="163"/>
      <w:r w:rsidRPr="005A6843">
        <w:t xml:space="preserve"> </w:t>
      </w:r>
      <w:r w:rsidR="005A1C67" w:rsidRPr="006069A1">
        <w:rPr>
          <w:i/>
        </w:rPr>
        <w:t>“</w:t>
      </w:r>
      <w:r w:rsidRPr="006069A1">
        <w:rPr>
          <w:i/>
        </w:rPr>
        <w:t>Institucional</w:t>
      </w:r>
      <w:r w:rsidR="00921CA3" w:rsidRPr="006069A1">
        <w:rPr>
          <w:i/>
        </w:rPr>
        <w:t>"</w:t>
      </w:r>
      <w:r w:rsidR="00921CA3" w:rsidRPr="005A6843">
        <w:t xml:space="preserve"> del Portal.</w:t>
      </w:r>
      <w:r w:rsidRPr="005A6843">
        <w:t xml:space="preserve"> Se trata de un defecto de estructuración que debería corregirse</w:t>
      </w:r>
      <w:r w:rsidR="006069A1">
        <w:t>.</w:t>
      </w:r>
    </w:p>
    <w:p w:rsidR="005A1C67" w:rsidRPr="005A6843" w:rsidRDefault="005A1C67" w:rsidP="00AA712B">
      <w:pPr>
        <w:jc w:val="both"/>
      </w:pPr>
      <w:r w:rsidRPr="005A6843">
        <w:t xml:space="preserve">Accediendo a la información, se entra en un </w:t>
      </w:r>
      <w:r w:rsidR="00921CA3" w:rsidRPr="005A6843">
        <w:t xml:space="preserve">nuevo </w:t>
      </w:r>
      <w:r w:rsidRPr="005A6843">
        <w:t xml:space="preserve">menú </w:t>
      </w:r>
      <w:r w:rsidR="00921CA3" w:rsidRPr="005A6843">
        <w:t>por Ministerios</w:t>
      </w:r>
      <w:r w:rsidRPr="005A6843">
        <w:t xml:space="preserve">. Va precedido de una entrada informativa que señala que la información se refiere a las </w:t>
      </w:r>
      <w:r w:rsidRPr="006069A1">
        <w:rPr>
          <w:i/>
        </w:rPr>
        <w:t>“retribuciones íntegras de los altos cargos de la Administración General del Estado”</w:t>
      </w:r>
      <w:r w:rsidRPr="005A6843">
        <w:t xml:space="preserve"> y advierte que corresponde a las retribuciones del año anterior al de la consulta y de que, en el caso de las retribuciones del año 2015, </w:t>
      </w:r>
      <w:r w:rsidRPr="006069A1">
        <w:rPr>
          <w:i/>
        </w:rPr>
        <w:t>“incluyen, en su caso, la recuperación de parte de la paga extraordinaria año 2012”</w:t>
      </w:r>
      <w:r w:rsidRPr="005A6843">
        <w:t>. Finalmente, advierte también de que la información es la vigente antes del Real Decreto 415/2016</w:t>
      </w:r>
      <w:r w:rsidR="006A5EF9" w:rsidRPr="005A6843">
        <w:t>.</w:t>
      </w:r>
    </w:p>
    <w:p w:rsidR="005A1C67" w:rsidRPr="005A6843" w:rsidRDefault="005A1C67" w:rsidP="00AA712B">
      <w:pPr>
        <w:jc w:val="both"/>
      </w:pPr>
      <w:r w:rsidRPr="005A6843">
        <w:t xml:space="preserve">Existe una opción que permite acceder a </w:t>
      </w:r>
      <w:r w:rsidRPr="006069A1">
        <w:rPr>
          <w:i/>
        </w:rPr>
        <w:t>“Más información”</w:t>
      </w:r>
      <w:r w:rsidRPr="005A6843">
        <w:t xml:space="preserve"> y conduce a la ficha técnica de los datos -que informa de que la fuente de los </w:t>
      </w:r>
      <w:r w:rsidR="00921CA3" w:rsidRPr="005A6843">
        <w:t xml:space="preserve">mismos </w:t>
      </w:r>
      <w:r w:rsidRPr="005A6843">
        <w:t>son nuevamente los Departamentos ministeriales, que la actualización es anual y que los datos están organizados por años- y una serie de contenidos mucho más extensos que las ampliaciones informativas de otras sub-categorías.</w:t>
      </w:r>
    </w:p>
    <w:p w:rsidR="005A1C67" w:rsidRPr="005A6843" w:rsidRDefault="005A1C67" w:rsidP="00AA712B">
      <w:pPr>
        <w:jc w:val="both"/>
      </w:pPr>
      <w:r w:rsidRPr="005A6843">
        <w:t>Se advierte, así, que los primeros datos que se recogen corresponden al ejercicio 2013; que, para el caso de que el Alto Cargo sea funcionario, la información incluye la retribución por trienios correspondiente en cada caso y que los Altos Cargos que ostentan la condición de parlamentarios nacionales reciben únicamente su retribución de la AGE, sin perjuicio de las indemnizaciones por gastos que perciben de las Cámaras.</w:t>
      </w:r>
    </w:p>
    <w:p w:rsidR="005A1C67" w:rsidRPr="005A6843" w:rsidRDefault="00921CA3" w:rsidP="00AA712B">
      <w:pPr>
        <w:jc w:val="both"/>
      </w:pPr>
      <w:r w:rsidRPr="005A6843">
        <w:t>Un tanto s</w:t>
      </w:r>
      <w:r w:rsidR="005A1C67" w:rsidRPr="005A6843">
        <w:t>orprendentemente</w:t>
      </w:r>
      <w:r w:rsidRPr="005A6843">
        <w:t xml:space="preserve"> -no hay ninguna advertencia previa-</w:t>
      </w:r>
      <w:r w:rsidR="005A1C67" w:rsidRPr="005A6843">
        <w:t xml:space="preserve"> en este menú complementario y bajo el epígrafe </w:t>
      </w:r>
      <w:r w:rsidR="005A1C67" w:rsidRPr="006069A1">
        <w:rPr>
          <w:i/>
        </w:rPr>
        <w:t>“Más transparencia”</w:t>
      </w:r>
      <w:r w:rsidR="005A1C67" w:rsidRPr="005A6843">
        <w:t xml:space="preserve">, se incluye además una información extensa, con los correspondientes vínculos y enlaces electrónicos, a la publicación en el «BOE» de las declaraciones de bienes y derechos patrimoniales de los miembros del Gobierno (Presidentes, Vicepresidentes y Ministros) y los Secretarios de Estado. No se trata de información exigida por la </w:t>
      </w:r>
      <w:r w:rsidR="0030754C">
        <w:t>l</w:t>
      </w:r>
      <w:r w:rsidR="001C41A6">
        <w:t>ey</w:t>
      </w:r>
      <w:r w:rsidR="00E768A4">
        <w:t xml:space="preserve"> de transparencia</w:t>
      </w:r>
      <w:r w:rsidR="005A1C67" w:rsidRPr="005A6843">
        <w:t xml:space="preserve"> sino de información complementaria que corresponde al ámbito de cumplimiento voluntario del Portal.</w:t>
      </w:r>
    </w:p>
    <w:p w:rsidR="005A1C67" w:rsidRPr="005A6843" w:rsidRDefault="005A1C67" w:rsidP="00AA712B">
      <w:pPr>
        <w:jc w:val="both"/>
      </w:pPr>
      <w:r w:rsidRPr="005A6843">
        <w:t xml:space="preserve">Dentro de cada Ministerio se accede a un menú con cuatro registros informativos de retribuciones de Altos Cargos -ejercicio 2016, ejercicio 2015, ejercicio 2014 y ejercicio 2013- que dan acceso, respectivamente, a dos listados, </w:t>
      </w:r>
      <w:r w:rsidRPr="006069A1">
        <w:rPr>
          <w:i/>
        </w:rPr>
        <w:t>"Retribuciones ministeriales"</w:t>
      </w:r>
      <w:r w:rsidRPr="005A6843">
        <w:t xml:space="preserve"> y </w:t>
      </w:r>
      <w:r w:rsidRPr="006069A1">
        <w:rPr>
          <w:i/>
        </w:rPr>
        <w:t>"Organismos vinculados y dependientes"</w:t>
      </w:r>
      <w:r w:rsidRPr="005A6843">
        <w:t xml:space="preserve">, con dos columnas en cada caso, </w:t>
      </w:r>
      <w:r w:rsidRPr="006069A1">
        <w:rPr>
          <w:i/>
        </w:rPr>
        <w:t>“Cargo”</w:t>
      </w:r>
      <w:r w:rsidRPr="005A6843">
        <w:t xml:space="preserve"> y </w:t>
      </w:r>
      <w:r w:rsidRPr="006069A1">
        <w:rPr>
          <w:i/>
        </w:rPr>
        <w:t>"Retribución"</w:t>
      </w:r>
      <w:r w:rsidRPr="005A6843">
        <w:t xml:space="preserve">. En el caso del MAEC, estos dos listados se acompañan de un tercero, </w:t>
      </w:r>
      <w:r w:rsidRPr="006069A1">
        <w:rPr>
          <w:i/>
        </w:rPr>
        <w:t>"Retribuciones exteriores"</w:t>
      </w:r>
      <w:r w:rsidRPr="005A6843">
        <w:t>, en el que constan las retribuciones de los Embajadores y Representantes Permanentes de España en el exterior.</w:t>
      </w:r>
    </w:p>
    <w:p w:rsidR="005A1C67" w:rsidRPr="005A6843" w:rsidRDefault="005A1C67" w:rsidP="00AA712B">
      <w:pPr>
        <w:jc w:val="both"/>
      </w:pPr>
      <w:r w:rsidRPr="005A6843">
        <w:t xml:space="preserve">El conjunto de menús ministeriales </w:t>
      </w:r>
      <w:r w:rsidR="00071699" w:rsidRPr="005A6843">
        <w:t xml:space="preserve">y de años </w:t>
      </w:r>
      <w:r w:rsidRPr="005A6843">
        <w:t>proporciona al visitante 62 registros informativos de las retribuciones anuales íntegras de los Altos Cargos ministeriales y de los organismos públicos vinculados y dependientes de los Ministerios, incluidos, como se ha visto, los Embajadores de España y los Delegados del Gobierno en las CCAA, que, a diferencia de lo que sucedía con los currículos, aparecen ahora incorporados al MINHAFP. Sería necesario corregir esta anomalía, probablemente incorporando los datos correspondientes al MPREAT al que, probablemente y a reserva de la aprobación de los futuros Reales Decretos de estructura, corresponderá en el futuro la adscripción jerárquica</w:t>
      </w:r>
      <w:r w:rsidR="006069A1">
        <w:t xml:space="preserve"> de los Delegados del Gobierno.</w:t>
      </w:r>
    </w:p>
    <w:p w:rsidR="00BB07BC" w:rsidRDefault="005A1C67" w:rsidP="00AA712B">
      <w:pPr>
        <w:jc w:val="both"/>
      </w:pPr>
      <w:r w:rsidRPr="005A6843">
        <w:t>A diferencia de lo que sucedía con los currículos, los Altos Cargos no aparecen identificados con nombre y apellidos. A criterio de este CTBG, y desde el punto de vista de la claridad y la accesibilidad de la información, debería corregirse esta circunstancia pues para el ciudadano medio, potencial usuario del Portal, resulta más sencillo identificar a los Altos Cargos po</w:t>
      </w:r>
      <w:r w:rsidR="006069A1">
        <w:t>r su nombre que por el cargo.</w:t>
      </w:r>
    </w:p>
    <w:p w:rsidR="005A1C67" w:rsidRPr="006069A1" w:rsidRDefault="005A1C67" w:rsidP="00AA712B">
      <w:pPr>
        <w:jc w:val="both"/>
        <w:rPr>
          <w:b/>
          <w:u w:val="single"/>
        </w:rPr>
      </w:pPr>
      <w:r w:rsidRPr="006069A1">
        <w:rPr>
          <w:b/>
          <w:u w:val="single"/>
        </w:rPr>
        <w:t>Indemnizaciones percibidas por éstos con ocasión del abandono del cargo.</w:t>
      </w:r>
    </w:p>
    <w:p w:rsidR="005A1C67" w:rsidRPr="005A6843" w:rsidRDefault="005A1C67" w:rsidP="00AA712B">
      <w:pPr>
        <w:jc w:val="both"/>
      </w:pPr>
      <w:r w:rsidRPr="005A6843">
        <w:t xml:space="preserve">Al igual que sucede con el supuesto precedente, se trata de información que </w:t>
      </w:r>
      <w:r w:rsidR="00385078" w:rsidRPr="005A6843">
        <w:t xml:space="preserve">figura en el menú de información </w:t>
      </w:r>
      <w:r w:rsidR="00385078" w:rsidRPr="006069A1">
        <w:rPr>
          <w:i/>
        </w:rPr>
        <w:t>"Institucional"</w:t>
      </w:r>
      <w:r w:rsidR="00385078" w:rsidRPr="005A6843">
        <w:t xml:space="preserve"> pero </w:t>
      </w:r>
      <w:r w:rsidRPr="005A6843">
        <w:t xml:space="preserve">debería figurar en la categoría de </w:t>
      </w:r>
      <w:r w:rsidR="00385078" w:rsidRPr="005A6843">
        <w:t xml:space="preserve">información económica del </w:t>
      </w:r>
      <w:r w:rsidR="00EA3A3D" w:rsidRPr="005A6843">
        <w:t>Portal.</w:t>
      </w:r>
    </w:p>
    <w:p w:rsidR="005A1C67" w:rsidRPr="005A6843" w:rsidRDefault="005A1C67" w:rsidP="00AA712B">
      <w:pPr>
        <w:jc w:val="both"/>
      </w:pPr>
      <w:r w:rsidRPr="005A6843">
        <w:t xml:space="preserve">Como en el caso </w:t>
      </w:r>
      <w:r w:rsidR="00385078" w:rsidRPr="005A6843">
        <w:t xml:space="preserve">de las retribuciones de los Altos Cargos, </w:t>
      </w:r>
      <w:r w:rsidRPr="005A6843">
        <w:t>la información se presenta globalizada. Va precedida de un texto explicativo sobre su contenido –</w:t>
      </w:r>
      <w:r w:rsidRPr="006069A1">
        <w:rPr>
          <w:i/>
        </w:rPr>
        <w:t>“Indemnizaciones percibidas por altos cargos tras el abandono de su cargo”</w:t>
      </w:r>
      <w:r w:rsidRPr="005A6843">
        <w:t xml:space="preserve">- y una advertencia expresa </w:t>
      </w:r>
      <w:r w:rsidR="006069A1">
        <w:t xml:space="preserve">de </w:t>
      </w:r>
      <w:r w:rsidR="006069A1" w:rsidRPr="005A6843">
        <w:t>que</w:t>
      </w:r>
      <w:r w:rsidRPr="005A6843">
        <w:t xml:space="preserve"> los datos corresponden a la estructura ministerial vigente antes del Real Decreto 415/2016. </w:t>
      </w:r>
    </w:p>
    <w:p w:rsidR="005A1C67" w:rsidRPr="005A6843" w:rsidRDefault="005A1C67" w:rsidP="00AA712B">
      <w:pPr>
        <w:jc w:val="both"/>
      </w:pPr>
      <w:r w:rsidRPr="005A6843">
        <w:t xml:space="preserve">La entrada ofrece también una opción de </w:t>
      </w:r>
      <w:r w:rsidRPr="006069A1">
        <w:rPr>
          <w:i/>
        </w:rPr>
        <w:t>“Más información”</w:t>
      </w:r>
      <w:r w:rsidRPr="005A6843">
        <w:t>, que presenta la ficha técnica de los datos -la fuente de los mismos son los organismos pagadores de las indemnizaciones y el MPREAT- y una serie de explicaciones que se evalúan positivamente desde el punto de vista de la claridad y comprensibilidad de la información para el visitante no experto. Las explicaciones indican que sólo determinados altos cargos tienen derecho a esta pensión -los miembros del Gobierno, los Secretarios de Estado, el Fiscal General del Estado, los máximos responsables de los organismos reguladores, el Jefe y Secretario General de la Casa de S</w:t>
      </w:r>
      <w:r w:rsidR="00F97780" w:rsidRPr="005A6843">
        <w:t>.</w:t>
      </w:r>
      <w:r w:rsidRPr="005A6843">
        <w:t xml:space="preserve">M. </w:t>
      </w:r>
      <w:r w:rsidR="00F97780" w:rsidRPr="005A6843">
        <w:t>e</w:t>
      </w:r>
      <w:r w:rsidRPr="005A6843">
        <w:t xml:space="preserve">l Rey- y que la pensión indemnizatoria tras el abandono del cargo </w:t>
      </w:r>
      <w:r w:rsidR="00F97780" w:rsidRPr="005A6843">
        <w:t xml:space="preserve">resulta </w:t>
      </w:r>
      <w:r w:rsidRPr="005A6843">
        <w:t xml:space="preserve">equivalente al 80% de su retribución anual durante, como máximo, los dos años siguientes al cese. Así mismo advierten de que, desde el año 2012, la compensación es incompatible con cualquier otra retribución derivada de actividades públicas o privadas. Las citas de normativa van acompañadas de un </w:t>
      </w:r>
      <w:r w:rsidR="00FC4B2E" w:rsidRPr="00FC4B2E">
        <w:rPr>
          <w:i/>
        </w:rPr>
        <w:t>link</w:t>
      </w:r>
      <w:r w:rsidRPr="005A6843">
        <w:t xml:space="preserve"> a los correspondientes textos consolidados del «BOE», lo que es una importante facilidad para los visitantes del Portal.</w:t>
      </w:r>
    </w:p>
    <w:p w:rsidR="005A1C67" w:rsidRPr="005A6843" w:rsidRDefault="005A1C67" w:rsidP="00AA712B">
      <w:pPr>
        <w:jc w:val="both"/>
      </w:pPr>
      <w:r w:rsidRPr="005A6843">
        <w:t>La información aparece en un listado con 28 resultados, ordenada por la fecha de la autorización</w:t>
      </w:r>
      <w:r w:rsidR="002A7BED" w:rsidRPr="005A6843">
        <w:t xml:space="preserve"> </w:t>
      </w:r>
      <w:r w:rsidRPr="005A6843">
        <w:t>(primero las más recientes). A igual fecha de autorización, el criterio de ordenación es la fecha de cese (primero las más recientes).</w:t>
      </w:r>
    </w:p>
    <w:p w:rsidR="005A1C67" w:rsidRPr="005A6843" w:rsidRDefault="005A1C67" w:rsidP="00AA712B">
      <w:pPr>
        <w:jc w:val="both"/>
      </w:pPr>
      <w:r w:rsidRPr="005A6843">
        <w:t xml:space="preserve">El listado recoge los siguientes datos, organizados en ocho columnas: </w:t>
      </w:r>
      <w:r w:rsidRPr="006069A1">
        <w:rPr>
          <w:i/>
        </w:rPr>
        <w:t>“Nombre”, “Departamento”, “Cargo”, “Fecha de Cese”, “Fecha de inicio de percepción”, “Fecha de fin de percepción”, “Percepción mensual”</w:t>
      </w:r>
      <w:r w:rsidRPr="005A6843">
        <w:t xml:space="preserve"> y </w:t>
      </w:r>
      <w:r w:rsidRPr="006069A1">
        <w:rPr>
          <w:i/>
        </w:rPr>
        <w:t>“Total recibido”</w:t>
      </w:r>
      <w:r w:rsidRPr="005A6843">
        <w:t>. No presenta vínculos ni enlaces electrónicos pero las cabeceras de las columnas permiten el "filtrado" de la información.</w:t>
      </w:r>
    </w:p>
    <w:p w:rsidR="005A1C67" w:rsidRPr="006069A1" w:rsidRDefault="005A1C67" w:rsidP="00AA712B">
      <w:pPr>
        <w:jc w:val="both"/>
        <w:rPr>
          <w:b/>
          <w:u w:val="single"/>
        </w:rPr>
      </w:pPr>
      <w:r w:rsidRPr="006069A1">
        <w:rPr>
          <w:b/>
          <w:u w:val="single"/>
        </w:rPr>
        <w:t>Resoluciones de autorización o reconocimiento de compatibilidad que a</w:t>
      </w:r>
      <w:r w:rsidR="006069A1" w:rsidRPr="006069A1">
        <w:rPr>
          <w:b/>
          <w:u w:val="single"/>
        </w:rPr>
        <w:t>fecten a los empleados públicos.</w:t>
      </w:r>
    </w:p>
    <w:p w:rsidR="005A1C67" w:rsidRPr="005A6843" w:rsidRDefault="00F97780" w:rsidP="00AA712B">
      <w:pPr>
        <w:jc w:val="both"/>
      </w:pPr>
      <w:bookmarkStart w:id="164" w:name="_Toc489350907"/>
      <w:bookmarkStart w:id="165" w:name="_Toc489352017"/>
      <w:bookmarkStart w:id="166" w:name="_Toc489353684"/>
      <w:bookmarkStart w:id="167" w:name="_Toc498344295"/>
      <w:bookmarkStart w:id="168" w:name="_Toc498344961"/>
      <w:bookmarkStart w:id="169" w:name="_Toc498345387"/>
      <w:r w:rsidRPr="005A6843">
        <w:t>Como en los casos anteriores, l</w:t>
      </w:r>
      <w:r w:rsidR="002A7BED" w:rsidRPr="005A6843">
        <w:t>o</w:t>
      </w:r>
      <w:r w:rsidRPr="005A6843">
        <w:t>s datos se recogen en una sub-categoría o elemento informativo del menú</w:t>
      </w:r>
      <w:r w:rsidRPr="006069A1">
        <w:rPr>
          <w:i/>
        </w:rPr>
        <w:t xml:space="preserve"> "Institucional"</w:t>
      </w:r>
      <w:r w:rsidRPr="005A6843">
        <w:t xml:space="preserve"> del Portal, circunstancia que debería rectificarse.</w:t>
      </w:r>
      <w:bookmarkEnd w:id="164"/>
      <w:bookmarkEnd w:id="165"/>
      <w:bookmarkEnd w:id="166"/>
      <w:bookmarkEnd w:id="167"/>
      <w:bookmarkEnd w:id="168"/>
      <w:bookmarkEnd w:id="169"/>
      <w:r w:rsidR="005A1C67" w:rsidRPr="005A6843">
        <w:t xml:space="preserve"> </w:t>
      </w:r>
    </w:p>
    <w:p w:rsidR="005A1C67" w:rsidRPr="005A6843" w:rsidRDefault="00F97780" w:rsidP="00AA712B">
      <w:pPr>
        <w:jc w:val="both"/>
      </w:pPr>
      <w:r w:rsidRPr="005A6843">
        <w:t>El</w:t>
      </w:r>
      <w:r w:rsidR="00CD421F" w:rsidRPr="005A6843">
        <w:t xml:space="preserve"> acceso a la sub-categoría sitúa al visitante frente </w:t>
      </w:r>
      <w:r w:rsidR="005A1C67" w:rsidRPr="005A6843">
        <w:t xml:space="preserve">a un menú con dos opciones: compatibilidades de los empleados públicos para actividad pública o compatibilidades de los empleados públicos para actividad privada. Según se advierte en el desplegable </w:t>
      </w:r>
      <w:r w:rsidR="005A1C67" w:rsidRPr="006069A1">
        <w:rPr>
          <w:i/>
        </w:rPr>
        <w:t>“Más Información”</w:t>
      </w:r>
      <w:r w:rsidR="005A1C67" w:rsidRPr="005A6843">
        <w:t>, la primera opción contiene las compatibilidades autorizadas para desempeñar un segundo puesto, cargo o actividad en el sector público y la segunda las compatibilidades reconocidas para desempeñar a</w:t>
      </w:r>
      <w:r w:rsidR="006069A1">
        <w:t>ctividades de carácter privado.</w:t>
      </w:r>
    </w:p>
    <w:p w:rsidR="005A1C67" w:rsidRPr="005A6843" w:rsidRDefault="005A1C67" w:rsidP="00AA712B">
      <w:pPr>
        <w:jc w:val="both"/>
      </w:pPr>
      <w:r w:rsidRPr="005A6843">
        <w:t xml:space="preserve">De acuerdo con la ficha técnica de los datos, </w:t>
      </w:r>
      <w:r w:rsidR="00222BF2" w:rsidRPr="005A6843">
        <w:t xml:space="preserve">esta vez </w:t>
      </w:r>
      <w:r w:rsidRPr="005A6843">
        <w:t xml:space="preserve">la fuente de los mismos es </w:t>
      </w:r>
      <w:r w:rsidR="00222BF2" w:rsidRPr="005A6843">
        <w:t>la Oficina de Conflictos de Intereses (OCI) de la Secretaría de Estado de Función Pública (SEFP</w:t>
      </w:r>
      <w:r w:rsidR="00E06B66" w:rsidRPr="005A6843">
        <w:t>)</w:t>
      </w:r>
      <w:r w:rsidRPr="005A6843">
        <w:t xml:space="preserve"> y la actualización </w:t>
      </w:r>
      <w:r w:rsidR="00222BF2" w:rsidRPr="005A6843">
        <w:t xml:space="preserve">se produce </w:t>
      </w:r>
      <w:r w:rsidRPr="005A6843">
        <w:t>mensual</w:t>
      </w:r>
      <w:r w:rsidR="00222BF2" w:rsidRPr="005A6843">
        <w:t>mente</w:t>
      </w:r>
      <w:r w:rsidRPr="005A6843">
        <w:t>.</w:t>
      </w:r>
    </w:p>
    <w:p w:rsidR="005A1C67" w:rsidRPr="005A6843" w:rsidRDefault="005A1C67" w:rsidP="00AA712B">
      <w:pPr>
        <w:jc w:val="both"/>
      </w:pPr>
      <w:r w:rsidRPr="005A6843">
        <w:t xml:space="preserve">La información se suministra en dos listados por año: </w:t>
      </w:r>
      <w:r w:rsidRPr="006069A1">
        <w:rPr>
          <w:i/>
        </w:rPr>
        <w:t>“Resoluciones de autorización de compatibilidad para Actividades Públicas”</w:t>
      </w:r>
      <w:r w:rsidRPr="005A6843">
        <w:t xml:space="preserve"> y </w:t>
      </w:r>
      <w:r w:rsidRPr="006069A1">
        <w:rPr>
          <w:i/>
        </w:rPr>
        <w:t>“Resoluciones de Compatibilidad para Actividades Privadas”</w:t>
      </w:r>
      <w:r w:rsidRPr="005A6843">
        <w:t xml:space="preserve">. El primero presenta 752 resultados; el segundo, 2.321. Ambos listados, además de los datos del empleado, presentan la siguiente información en columnas: </w:t>
      </w:r>
      <w:r w:rsidRPr="006069A1">
        <w:rPr>
          <w:i/>
        </w:rPr>
        <w:t>“Departamento”, “Actividad principal”, “Organismo principal”, “Provincia principal”, “Actividad compatible”</w:t>
      </w:r>
      <w:r w:rsidRPr="005A6843">
        <w:t xml:space="preserve"> y </w:t>
      </w:r>
      <w:r w:rsidRPr="006069A1">
        <w:rPr>
          <w:i/>
        </w:rPr>
        <w:t>“Fecha de resolución“.</w:t>
      </w:r>
    </w:p>
    <w:p w:rsidR="005A1C67" w:rsidRPr="005A6843" w:rsidRDefault="005A1C67" w:rsidP="00AA712B">
      <w:pPr>
        <w:jc w:val="both"/>
      </w:pPr>
      <w:r w:rsidRPr="005A6843">
        <w:t>Además del acceso a ambos listados, la página ofrece vínculos electrónicos a los textos consolidados del BOE de las normas sobre incompatibilidades de empleados públicos e instrucciones de procedimiento para obtener la resolución o la autorización de compatibilidad, acompañadas de un gráfico explicativo.</w:t>
      </w:r>
    </w:p>
    <w:p w:rsidR="005A1C67" w:rsidRPr="005A6843" w:rsidRDefault="005A1C67" w:rsidP="00AA712B">
      <w:pPr>
        <w:jc w:val="both"/>
      </w:pPr>
      <w:r w:rsidRPr="005A6843">
        <w:t>Si bien esta abundancia de instructivos y textos explicativos se estima muy conveniente para la claridad de la información, este apartado del Portal presenta una grave deficiencia en lo que se refiere al contenido sustancial de los datos: los listados no proporcionan una información completa acerca de la identidad del beneficiario de la declaración de compatibilidad, que aparece identificado únicamente por sus iniciales. Teniendo en cuenta que la finalidad de la rendición de cuentas en esta materia no es otra que facilitar al ciudadano la posibilidad de conocer si un empleado que realiza una actividad privada está debidamente autorizado para ello, la falta de información sobre su identidad hace imposible en la práctica el c</w:t>
      </w:r>
      <w:r w:rsidR="006069A1">
        <w:t>umplimiento de dicha finalidad.</w:t>
      </w:r>
    </w:p>
    <w:p w:rsidR="005A1C67" w:rsidRPr="005A6843" w:rsidRDefault="005A1C67" w:rsidP="00AA712B">
      <w:pPr>
        <w:jc w:val="both"/>
      </w:pPr>
      <w:r w:rsidRPr="005A6843">
        <w:t xml:space="preserve">Por otra parte, el art. 8.1.g) de la </w:t>
      </w:r>
      <w:r w:rsidR="0030754C">
        <w:t>l</w:t>
      </w:r>
      <w:r w:rsidR="001C41A6">
        <w:t>ey</w:t>
      </w:r>
      <w:r w:rsidR="00E768A4">
        <w:t xml:space="preserve"> de transparencia</w:t>
      </w:r>
      <w:r w:rsidRPr="005A6843">
        <w:t xml:space="preserve"> establece que lo que habrán de publicarse son las resoluciones de autorización o de reconocimiento de compatibilidad y no meramente los datos.</w:t>
      </w:r>
    </w:p>
    <w:p w:rsidR="005A1C67" w:rsidRPr="005A6843" w:rsidRDefault="005A1C67" w:rsidP="00AA712B">
      <w:pPr>
        <w:jc w:val="both"/>
      </w:pPr>
      <w:r w:rsidRPr="005A6843">
        <w:t>A juicio de este CTBG, debería rectificarse la configuración actual del Portal para incluir el nombre y apellidos de los beneficiarios de las autorizaciones y cumplimentar la exigencia legal de publicar los acuerdos completos.</w:t>
      </w:r>
    </w:p>
    <w:p w:rsidR="005A1C67" w:rsidRPr="006069A1" w:rsidRDefault="0060730F" w:rsidP="00AA712B">
      <w:pPr>
        <w:jc w:val="both"/>
        <w:rPr>
          <w:b/>
          <w:u w:val="single"/>
        </w:rPr>
      </w:pPr>
      <w:r w:rsidRPr="006069A1">
        <w:rPr>
          <w:b/>
          <w:u w:val="single"/>
        </w:rPr>
        <w:t>A</w:t>
      </w:r>
      <w:r w:rsidR="005A1C67" w:rsidRPr="006069A1">
        <w:rPr>
          <w:b/>
          <w:u w:val="single"/>
        </w:rPr>
        <w:t xml:space="preserve">utorización para actividad privada al cese de altos cargos en la </w:t>
      </w:r>
      <w:r w:rsidR="006069A1">
        <w:rPr>
          <w:b/>
          <w:u w:val="single"/>
        </w:rPr>
        <w:t>AGE o asimilados en CCAA o EELL.</w:t>
      </w:r>
    </w:p>
    <w:p w:rsidR="005A1C67" w:rsidRPr="005A6843" w:rsidRDefault="000C1A00" w:rsidP="00AA712B">
      <w:pPr>
        <w:jc w:val="both"/>
      </w:pPr>
      <w:r w:rsidRPr="005A6843">
        <w:t xml:space="preserve">Como en los supuestos anteriores, se </w:t>
      </w:r>
      <w:r w:rsidR="005A1C67" w:rsidRPr="005A6843">
        <w:t xml:space="preserve">trata de información que </w:t>
      </w:r>
      <w:r w:rsidRPr="005A6843">
        <w:t xml:space="preserve">no </w:t>
      </w:r>
      <w:r w:rsidR="005A1C67" w:rsidRPr="005A6843">
        <w:t xml:space="preserve">debería figurar en la categoría </w:t>
      </w:r>
      <w:r w:rsidRPr="005A6843">
        <w:t xml:space="preserve">de información </w:t>
      </w:r>
      <w:r w:rsidRPr="006069A1">
        <w:rPr>
          <w:i/>
        </w:rPr>
        <w:t>"Institucional"</w:t>
      </w:r>
      <w:r w:rsidRPr="005A6843">
        <w:t xml:space="preserve"> del Portal sino en la correspondiente a información de naturaleza económica.</w:t>
      </w:r>
    </w:p>
    <w:p w:rsidR="005A1C67" w:rsidRPr="005A6843" w:rsidRDefault="000C1A00" w:rsidP="00AA712B">
      <w:pPr>
        <w:jc w:val="both"/>
      </w:pPr>
      <w:r w:rsidRPr="005A6843">
        <w:t xml:space="preserve">Accediendo a la sub-categoría, se llega a </w:t>
      </w:r>
      <w:r w:rsidR="005A1C67" w:rsidRPr="005A6843">
        <w:t xml:space="preserve">un menú </w:t>
      </w:r>
      <w:r w:rsidR="00425201" w:rsidRPr="005A6843">
        <w:t xml:space="preserve">encabezado por </w:t>
      </w:r>
      <w:r w:rsidR="005A1C67" w:rsidRPr="005A6843">
        <w:t xml:space="preserve">una entrada informativa que señala que la información se refiere a las </w:t>
      </w:r>
      <w:r w:rsidR="005A1C67" w:rsidRPr="006069A1">
        <w:rPr>
          <w:i/>
        </w:rPr>
        <w:t>“autorizaciones emitidas para el ejercicio de la actividad privada tras el cese del ejercicio de alto cargo”</w:t>
      </w:r>
      <w:r w:rsidR="005A1C67" w:rsidRPr="005A6843">
        <w:t xml:space="preserve">, concepto que, de forma muy adecuada para la comprensibilidad de la información, se explicita acto seguido: </w:t>
      </w:r>
      <w:r w:rsidR="005A1C67" w:rsidRPr="006069A1">
        <w:rPr>
          <w:i/>
        </w:rPr>
        <w:t>“Durante un período de dos años tras el cese, los altos cargos que quieran prestar servicios en entidades privadas afectadas por decisiones relacionadas con el cargo desempeñado deben solicitar y obtener la autorización de compatibilidad por parte de la Oficina de Conflictos de Intereses”</w:t>
      </w:r>
      <w:r w:rsidR="005A1C67" w:rsidRPr="005A6843">
        <w:t>. La información advierte también de que es la vigente antes del Real Decreto 415/2016</w:t>
      </w:r>
      <w:r w:rsidR="00E06B66" w:rsidRPr="005A6843">
        <w:t>.</w:t>
      </w:r>
    </w:p>
    <w:p w:rsidR="005A1C67" w:rsidRPr="005A6843" w:rsidRDefault="005A1C67" w:rsidP="00AA712B">
      <w:pPr>
        <w:jc w:val="both"/>
      </w:pPr>
      <w:r w:rsidRPr="005A6843">
        <w:t xml:space="preserve">Accediendo a la opción </w:t>
      </w:r>
      <w:r w:rsidRPr="006069A1">
        <w:rPr>
          <w:i/>
        </w:rPr>
        <w:t>“Más información”</w:t>
      </w:r>
      <w:r w:rsidRPr="005A6843">
        <w:t xml:space="preserve">, se encuentra la ficha técnica de los datos -la fuente de los mismos es </w:t>
      </w:r>
      <w:r w:rsidR="00222BF2" w:rsidRPr="005A6843">
        <w:t xml:space="preserve">otra vez la </w:t>
      </w:r>
      <w:r w:rsidRPr="005A6843">
        <w:t>OCI- y la advertencia de que las autorizaciones aparecen ordenadas por fecha de cese y, dentro de ésta, por fecha de autorización.</w:t>
      </w:r>
    </w:p>
    <w:p w:rsidR="005A1C67" w:rsidRPr="005A6843" w:rsidRDefault="00425201" w:rsidP="00AA712B">
      <w:pPr>
        <w:jc w:val="both"/>
      </w:pPr>
      <w:r w:rsidRPr="005A6843">
        <w:t>L</w:t>
      </w:r>
      <w:r w:rsidR="005A1C67" w:rsidRPr="005A6843">
        <w:t xml:space="preserve">a información </w:t>
      </w:r>
      <w:r w:rsidRPr="005A6843">
        <w:t>a</w:t>
      </w:r>
      <w:r w:rsidR="005A1C67" w:rsidRPr="005A6843">
        <w:t xml:space="preserve">parece directamente en un listado con 132 resultados, estructurado en seis columnas: </w:t>
      </w:r>
      <w:r w:rsidR="005A1C67" w:rsidRPr="006069A1">
        <w:rPr>
          <w:i/>
        </w:rPr>
        <w:t xml:space="preserve">“Nombre”, “Cargo”, “Departamento”, “Fecha de cese”, “Empresa/Actividad autorizada” </w:t>
      </w:r>
      <w:r w:rsidR="005A1C67" w:rsidRPr="005A6843">
        <w:t xml:space="preserve">y </w:t>
      </w:r>
      <w:r w:rsidR="005A1C67" w:rsidRPr="006069A1">
        <w:rPr>
          <w:i/>
        </w:rPr>
        <w:t>“Fecha de Autorización”</w:t>
      </w:r>
      <w:r w:rsidR="005A1C67" w:rsidRPr="005A6843">
        <w:t>. No contiene vínculos ni accesos electrónicos pero las cabeceras de las columnas permiten el "filtrado" de los datos y, en consecuencia, un manejo adecuado de la información. La autorización más antigua que se recoge corresponde a 29 de enero de 2014, autorizándose al ex Director de la Fundación "Pluralismo y Democracia" de MJUS a compatibilizar esa actividad con la de Director del Centro de Estudios Económicos y Sociales de la Fundación "Tomillo".</w:t>
      </w:r>
    </w:p>
    <w:p w:rsidR="005A1C67" w:rsidRPr="00761F42" w:rsidRDefault="0060730F" w:rsidP="00AA712B">
      <w:pPr>
        <w:jc w:val="both"/>
        <w:rPr>
          <w:b/>
          <w:u w:val="single"/>
        </w:rPr>
      </w:pPr>
      <w:r w:rsidRPr="00761F42">
        <w:rPr>
          <w:b/>
          <w:u w:val="single"/>
        </w:rPr>
        <w:t>I</w:t>
      </w:r>
      <w:r w:rsidR="005A1C67" w:rsidRPr="00761F42">
        <w:rPr>
          <w:b/>
          <w:u w:val="single"/>
        </w:rPr>
        <w:t>nformación estadística necesaria para valorar el grado de cumplimiento y calidad de los servicios p</w:t>
      </w:r>
      <w:r w:rsidR="006069A1" w:rsidRPr="00761F42">
        <w:rPr>
          <w:b/>
          <w:u w:val="single"/>
        </w:rPr>
        <w:t>úblicos.</w:t>
      </w:r>
    </w:p>
    <w:p w:rsidR="005A1C67" w:rsidRPr="005A6843" w:rsidRDefault="00425201" w:rsidP="00AA712B">
      <w:pPr>
        <w:jc w:val="both"/>
      </w:pPr>
      <w:r w:rsidRPr="005A6843">
        <w:t xml:space="preserve">En principio, el Portal no contiene información relacionada con este </w:t>
      </w:r>
      <w:r w:rsidR="000E001A" w:rsidRPr="005A6843">
        <w:t xml:space="preserve">ítem, expresamente previsto en el art. 8.1 letra i) de la </w:t>
      </w:r>
      <w:r w:rsidR="008249FA">
        <w:t>l</w:t>
      </w:r>
      <w:r w:rsidR="001C41A6">
        <w:t>ey</w:t>
      </w:r>
      <w:r w:rsidR="00E768A4">
        <w:t xml:space="preserve"> de transparencia</w:t>
      </w:r>
      <w:r w:rsidR="000E001A" w:rsidRPr="005A6843">
        <w:t>. Ni siquiera incluye una sub-categoría o elemento informativo con este contenido.</w:t>
      </w:r>
      <w:r w:rsidRPr="005A6843">
        <w:t xml:space="preserve"> </w:t>
      </w:r>
    </w:p>
    <w:p w:rsidR="000E001A" w:rsidRPr="005A6843" w:rsidRDefault="000C4416" w:rsidP="00AA712B">
      <w:pPr>
        <w:jc w:val="both"/>
      </w:pPr>
      <w:r w:rsidRPr="005A6843">
        <w:t>Ahora bien:</w:t>
      </w:r>
      <w:r w:rsidR="00D6283C" w:rsidRPr="005A6843">
        <w:t xml:space="preserve"> en la categoría de información </w:t>
      </w:r>
      <w:r w:rsidR="00D6283C" w:rsidRPr="006069A1">
        <w:rPr>
          <w:i/>
        </w:rPr>
        <w:t>"Presupuestos, Fiscalización y Estadísticas"</w:t>
      </w:r>
      <w:r w:rsidR="00D6283C" w:rsidRPr="005A6843">
        <w:t xml:space="preserve"> se incorpora un ítem o elemento denominado </w:t>
      </w:r>
      <w:r w:rsidR="00D6283C" w:rsidRPr="006069A1">
        <w:rPr>
          <w:i/>
        </w:rPr>
        <w:t>"Informes y Estadísticas Relevantes"</w:t>
      </w:r>
      <w:r w:rsidR="00D6283C" w:rsidRPr="005A6843">
        <w:t xml:space="preserve"> que </w:t>
      </w:r>
      <w:r w:rsidR="00026167" w:rsidRPr="005A6843">
        <w:t xml:space="preserve">en algunos Departamentos ministeriales -se trata de información "departamentalizada"- </w:t>
      </w:r>
      <w:r w:rsidR="00D6283C" w:rsidRPr="005A6843">
        <w:t>recoge</w:t>
      </w:r>
      <w:r w:rsidR="00026167" w:rsidRPr="005A6843">
        <w:t xml:space="preserve"> documentos de diversa naturaleza que podrían proporcionar al visitante los datos estadísticos necesarios para conocer el grado de cumplimiento de los estándares y compromisos de calidad de los servicios públicos. </w:t>
      </w:r>
      <w:r w:rsidR="006E5E56" w:rsidRPr="005A6843">
        <w:t>Así, en el caso del Ministerio de Justicia (MJUS) se publican varios informes sobre el grado de satisfacción de los ciudadanos con los servicios de de información en los tres canales –electrónico, telefónico y presencial- o conteniendo evaluaciones de los resultados de determinados programas del Ministerio. O en el caso del MEYSS, que publica en este apartado un</w:t>
      </w:r>
      <w:r w:rsidR="003C797D" w:rsidRPr="005A6843">
        <w:t xml:space="preserve"> documento titulado </w:t>
      </w:r>
      <w:r w:rsidR="006E5E56" w:rsidRPr="00F40011">
        <w:rPr>
          <w:i/>
        </w:rPr>
        <w:t>Marco General para la mejora de la calidad en la Administración General del Estado para 2015</w:t>
      </w:r>
      <w:r w:rsidR="003C797D" w:rsidRPr="005A6843">
        <w:t>.</w:t>
      </w:r>
    </w:p>
    <w:p w:rsidR="001D152B" w:rsidRPr="005A6843" w:rsidRDefault="003C797D" w:rsidP="00AA712B">
      <w:pPr>
        <w:jc w:val="both"/>
      </w:pPr>
      <w:r w:rsidRPr="005A6843">
        <w:t xml:space="preserve">A juicio de este CTBG, debería revisarse el contenido de la sub-categoría </w:t>
      </w:r>
      <w:r w:rsidRPr="00F40011">
        <w:rPr>
          <w:i/>
        </w:rPr>
        <w:t>"Informes y Estadísticas Relevantes"</w:t>
      </w:r>
      <w:r w:rsidRPr="005A6843">
        <w:t xml:space="preserve"> para separar este tipo de documentos del resto de la información que, eventualmente, debería incorporarse a una nueva categoría de </w:t>
      </w:r>
      <w:r w:rsidRPr="00F40011">
        <w:rPr>
          <w:i/>
        </w:rPr>
        <w:t>"Transparencia Voluntaria"</w:t>
      </w:r>
      <w:r w:rsidRPr="005A6843">
        <w:t xml:space="preserve"> del Portal. En todo caso, </w:t>
      </w:r>
      <w:r w:rsidR="001D152B" w:rsidRPr="005A6843">
        <w:t xml:space="preserve">desde el punto de vista del art. 8 de la </w:t>
      </w:r>
      <w:r w:rsidR="008249FA">
        <w:t>l</w:t>
      </w:r>
      <w:r w:rsidR="001C41A6">
        <w:t>ey</w:t>
      </w:r>
      <w:r w:rsidR="00E768A4">
        <w:t xml:space="preserve"> de transparencia</w:t>
      </w:r>
      <w:r w:rsidR="001D152B" w:rsidRPr="005A6843">
        <w:t xml:space="preserve"> y </w:t>
      </w:r>
      <w:r w:rsidRPr="005A6843">
        <w:t xml:space="preserve">teniendo en cuenta la precariedad de la información </w:t>
      </w:r>
      <w:r w:rsidR="001D152B" w:rsidRPr="005A6843">
        <w:t>publicada respecto de las estadísticas de calidad de los servicios, sería necesario recabar mayores datos de los Ministerios.</w:t>
      </w:r>
    </w:p>
    <w:p w:rsidR="00AB1AB1" w:rsidRDefault="001D152B" w:rsidP="00AA712B">
      <w:pPr>
        <w:jc w:val="both"/>
      </w:pPr>
      <w:r w:rsidRPr="005A6843">
        <w:t>Para finalizar hay que señalar que</w:t>
      </w:r>
      <w:r w:rsidR="00AB1AB1" w:rsidRPr="005A6843">
        <w:t>,</w:t>
      </w:r>
      <w:r w:rsidRPr="005A6843">
        <w:t xml:space="preserve"> si bien </w:t>
      </w:r>
      <w:r w:rsidR="00AB1AB1" w:rsidRPr="005A6843">
        <w:t>-</w:t>
      </w:r>
      <w:r w:rsidRPr="005A6843">
        <w:t xml:space="preserve">como se ha visto- figuran </w:t>
      </w:r>
      <w:r w:rsidR="00AB1AB1" w:rsidRPr="005A6843">
        <w:t xml:space="preserve">en el </w:t>
      </w:r>
      <w:r w:rsidRPr="005A6843">
        <w:t xml:space="preserve">apartado de información sobre </w:t>
      </w:r>
      <w:r w:rsidRPr="00F40011">
        <w:rPr>
          <w:i/>
        </w:rPr>
        <w:t>"Contratos, Convenios, Subvenciones y Bienes</w:t>
      </w:r>
      <w:r w:rsidR="00AB1AB1" w:rsidRPr="00F40011">
        <w:rPr>
          <w:i/>
        </w:rPr>
        <w:t xml:space="preserve"> </w:t>
      </w:r>
      <w:r w:rsidRPr="00F40011">
        <w:rPr>
          <w:i/>
        </w:rPr>
        <w:t>Inmuebles"</w:t>
      </w:r>
      <w:r w:rsidR="00AB1AB1" w:rsidRPr="005A6843">
        <w:t xml:space="preserve"> del Portal, buena parte de las Cartas de Servicios de los Departamentos y los organismos públicos, no se trata de información que pueda sustituir a la del art. 8.1 i). Las Cartas enuncian compromisos de calidad y lo que se trata aquí es, justamente, de la información necesaria para valorar</w:t>
      </w:r>
      <w:r w:rsidR="00F40011">
        <w:t xml:space="preserve"> el cumplimiento de los mismos.</w:t>
      </w:r>
    </w:p>
    <w:p w:rsidR="005A1C67" w:rsidRPr="005A6843" w:rsidRDefault="005A1C67" w:rsidP="002420B8">
      <w:pPr>
        <w:pStyle w:val="Ttulo3"/>
      </w:pPr>
      <w:bookmarkStart w:id="170" w:name="_Toc498345388"/>
      <w:bookmarkStart w:id="171" w:name="_Toc500414732"/>
      <w:bookmarkStart w:id="172" w:name="_Toc500416465"/>
      <w:bookmarkStart w:id="173" w:name="_Toc500416523"/>
      <w:bookmarkStart w:id="174" w:name="_Toc501110675"/>
      <w:r w:rsidRPr="005A6843">
        <w:t>Relación de los biene</w:t>
      </w:r>
      <w:r w:rsidR="0045179C">
        <w:t xml:space="preserve">s inmuebles que sean propiedad </w:t>
      </w:r>
      <w:r w:rsidRPr="005A6843">
        <w:t>de las AAPP o sobre los que ostenten algún derecho real.</w:t>
      </w:r>
      <w:bookmarkEnd w:id="170"/>
      <w:bookmarkEnd w:id="171"/>
      <w:bookmarkEnd w:id="172"/>
      <w:bookmarkEnd w:id="173"/>
      <w:bookmarkEnd w:id="174"/>
    </w:p>
    <w:p w:rsidR="003316F3" w:rsidRPr="005A6843" w:rsidRDefault="00380137" w:rsidP="00AA712B">
      <w:pPr>
        <w:jc w:val="both"/>
      </w:pPr>
      <w:r w:rsidRPr="005A6843">
        <w:t xml:space="preserve">La información está incluida en la última sub-categoría, "Bienes Inmuebles",  de la categoría informativa </w:t>
      </w:r>
      <w:r w:rsidRPr="00F40011">
        <w:rPr>
          <w:i/>
        </w:rPr>
        <w:t xml:space="preserve">"Contratos, Convenios, Subvenciones y Bienes Inmuebles" </w:t>
      </w:r>
      <w:r w:rsidRPr="005A6843">
        <w:t xml:space="preserve">del Portal. </w:t>
      </w:r>
    </w:p>
    <w:p w:rsidR="003316F3" w:rsidRPr="005A6843" w:rsidRDefault="003316F3" w:rsidP="00AA712B">
      <w:pPr>
        <w:jc w:val="both"/>
      </w:pPr>
      <w:r w:rsidRPr="005A6843">
        <w:t xml:space="preserve">La primera pantalla </w:t>
      </w:r>
      <w:r w:rsidR="00380137" w:rsidRPr="005A6843">
        <w:t xml:space="preserve">de la sub-categoría presenta </w:t>
      </w:r>
      <w:r w:rsidRPr="005A6843">
        <w:t>un descriptivo de</w:t>
      </w:r>
      <w:r w:rsidR="00380137" w:rsidRPr="005A6843">
        <w:t xml:space="preserve"> su contenido: </w:t>
      </w:r>
      <w:r w:rsidRPr="000D4965">
        <w:rPr>
          <w:i/>
        </w:rPr>
        <w:t>“La relación de los bienes inmuebles que son propiedad de la Administración General del Estado o sobre los que ésta ostente algún derecho real y que figuran en el Inventario General de Bienes y Derechos del Estado”.</w:t>
      </w:r>
      <w:r w:rsidRPr="005A6843">
        <w:t xml:space="preserve"> </w:t>
      </w:r>
    </w:p>
    <w:p w:rsidR="003316F3" w:rsidRPr="005A6843" w:rsidRDefault="003316F3" w:rsidP="00AA712B">
      <w:pPr>
        <w:jc w:val="both"/>
      </w:pPr>
      <w:r w:rsidRPr="005A6843">
        <w:t xml:space="preserve">En el botón </w:t>
      </w:r>
      <w:r w:rsidRPr="000D4965">
        <w:rPr>
          <w:i/>
        </w:rPr>
        <w:t>“Más información”</w:t>
      </w:r>
      <w:r w:rsidR="00380137" w:rsidRPr="005A6843">
        <w:t xml:space="preserve"> de la pantalla</w:t>
      </w:r>
      <w:r w:rsidRPr="005A6843">
        <w:t>, junto a la ficha técnica de los datos -que señala a la Dirección General de Patrimonio del MINHAFP</w:t>
      </w:r>
      <w:r w:rsidR="00380137" w:rsidRPr="005A6843">
        <w:t xml:space="preserve"> como fuente de los mismos</w:t>
      </w:r>
      <w:r w:rsidRPr="005A6843">
        <w:t xml:space="preserve">-, se presenta un vínculo </w:t>
      </w:r>
      <w:r w:rsidR="00285053" w:rsidRPr="005A6843">
        <w:t xml:space="preserve">electrónico </w:t>
      </w:r>
      <w:r w:rsidRPr="005A6843">
        <w:t xml:space="preserve">con los preceptos de la </w:t>
      </w:r>
      <w:r w:rsidR="001C41A6">
        <w:t>Ley</w:t>
      </w:r>
      <w:r w:rsidRPr="005A6843">
        <w:t xml:space="preserve"> 33/2003, del Patrimonio de las Administraciones Públicas, que establecen los conceptos de bienes</w:t>
      </w:r>
      <w:r w:rsidR="00E06B66" w:rsidRPr="005A6843">
        <w:t xml:space="preserve"> </w:t>
      </w:r>
      <w:r w:rsidRPr="005A6843">
        <w:t xml:space="preserve">demaniales y patrimoniales y advierte expresamente de que, </w:t>
      </w:r>
      <w:r w:rsidR="00285053" w:rsidRPr="005A6843">
        <w:t xml:space="preserve">de acuerdo </w:t>
      </w:r>
      <w:r w:rsidRPr="005A6843">
        <w:t xml:space="preserve">con el artículo 14 de la </w:t>
      </w:r>
      <w:r w:rsidR="008249FA">
        <w:t>l</w:t>
      </w:r>
      <w:r w:rsidR="001C41A6">
        <w:t>ey</w:t>
      </w:r>
      <w:r w:rsidR="00E768A4">
        <w:t xml:space="preserve"> de transparencia</w:t>
      </w:r>
      <w:r w:rsidRPr="005A6843">
        <w:t>, se excluye la información cuya publicidad pueda ocasionar un perjuicio en la seguridad nacional, la defensa, las relaciones exteriores y la seguridad pública.</w:t>
      </w:r>
    </w:p>
    <w:p w:rsidR="003316F3" w:rsidRPr="005A6843" w:rsidRDefault="003316F3" w:rsidP="00AA712B">
      <w:pPr>
        <w:jc w:val="both"/>
      </w:pPr>
      <w:r w:rsidRPr="005A6843">
        <w:t xml:space="preserve">La información se presenta por Departamentos Ministeriales y, dentro de cada uno de ellos, está ordenada alfabéticamente por localización. Se ofrece información sobre 72.874 inmuebles. Los datos se refieren a la situación geográfica del inmueble -calle, número y localidad-, al órgano al que está afectado -Ministerio u organismo- y a la superficie ocupada. </w:t>
      </w:r>
    </w:p>
    <w:p w:rsidR="003316F3" w:rsidRPr="005A6843" w:rsidRDefault="003316F3" w:rsidP="00AA712B">
      <w:pPr>
        <w:jc w:val="both"/>
      </w:pPr>
      <w:r w:rsidRPr="005A6843">
        <w:t xml:space="preserve">A juicio de este CTBG, y desde la perspectiva de la </w:t>
      </w:r>
      <w:r w:rsidR="008249FA">
        <w:t>l</w:t>
      </w:r>
      <w:r w:rsidR="001C41A6">
        <w:t>ey</w:t>
      </w:r>
      <w:r w:rsidR="00E768A4">
        <w:t xml:space="preserve"> de transparencia</w:t>
      </w:r>
      <w:r w:rsidRPr="005A6843">
        <w:t xml:space="preserve"> y la rendición de cuentas, la información debería especificar si la titularidad de la AGE se basa en la propiedad o en otro derecho real y proporcionar alguna indicación sobre el uso a que se destina el inmueble.</w:t>
      </w:r>
    </w:p>
    <w:p w:rsidR="003316F3" w:rsidRPr="005A6843" w:rsidRDefault="00C250CA" w:rsidP="002420B8">
      <w:pPr>
        <w:pStyle w:val="Ttulo3"/>
      </w:pPr>
      <w:bookmarkStart w:id="175" w:name="_Toc498345389"/>
      <w:bookmarkStart w:id="176" w:name="_Toc500414733"/>
      <w:bookmarkStart w:id="177" w:name="_Toc500416466"/>
      <w:bookmarkStart w:id="178" w:name="_Toc500416524"/>
      <w:bookmarkStart w:id="179" w:name="_Toc501110676"/>
      <w:r w:rsidRPr="005A6843">
        <w:t>Transparencia</w:t>
      </w:r>
      <w:r w:rsidR="003316F3" w:rsidRPr="005A6843">
        <w:t xml:space="preserve"> voluntaria</w:t>
      </w:r>
      <w:bookmarkEnd w:id="175"/>
      <w:bookmarkEnd w:id="176"/>
      <w:bookmarkEnd w:id="177"/>
      <w:bookmarkEnd w:id="178"/>
      <w:bookmarkEnd w:id="179"/>
      <w:r w:rsidR="003316F3" w:rsidRPr="005A6843">
        <w:t xml:space="preserve"> </w:t>
      </w:r>
    </w:p>
    <w:p w:rsidR="003316F3" w:rsidRPr="005A6843" w:rsidRDefault="003316F3" w:rsidP="00AA712B">
      <w:pPr>
        <w:jc w:val="both"/>
      </w:pPr>
      <w:r w:rsidRPr="005A6843">
        <w:t xml:space="preserve">Como se ha dicho en el precedente epígrafe 2.3, la </w:t>
      </w:r>
      <w:r w:rsidR="008249FA">
        <w:t>l</w:t>
      </w:r>
      <w:r w:rsidR="001C41A6">
        <w:t>ey</w:t>
      </w:r>
      <w:r w:rsidR="00E768A4">
        <w:t xml:space="preserve"> de transparencia</w:t>
      </w:r>
      <w:r w:rsidRPr="005A6843">
        <w:t xml:space="preserve">, además de la publicación obligatoria de los datos e informaciones enumerados en los arts. 6 a 8, ha establecido en el art. 5.2 una obligación genérica de publicar de forma periódica y actualizada la información relevante para garantizar la transparencia de su actividad, cuya interpretación y cumplimiento quedan en principio abiertas a la decisión de los órganos, entidades y organismos sujetos a la aplicación de la </w:t>
      </w:r>
      <w:r w:rsidR="008249FA">
        <w:t>l</w:t>
      </w:r>
      <w:r w:rsidR="001C41A6">
        <w:t>ey</w:t>
      </w:r>
      <w:r w:rsidRPr="005A6843">
        <w:t>.</w:t>
      </w:r>
    </w:p>
    <w:p w:rsidR="003316F3" w:rsidRPr="005A6843" w:rsidRDefault="003316F3" w:rsidP="00AA712B">
      <w:pPr>
        <w:jc w:val="both"/>
      </w:pPr>
      <w:r w:rsidRPr="005A6843">
        <w:t>En esta línea, los responsables del Portal AGE, además de cumplir con la publicación de la información obligatoria en los términos expuestos en este informe, han optado por incorporar de forma voluntaria distintas informaciones adicionales.</w:t>
      </w:r>
    </w:p>
    <w:p w:rsidR="003316F3" w:rsidRPr="005A6843" w:rsidRDefault="003316F3" w:rsidP="00AA712B">
      <w:pPr>
        <w:jc w:val="both"/>
      </w:pPr>
      <w:r w:rsidRPr="005A6843">
        <w:t>Así, dentro de los indicadores de cumplimiento voluntario</w:t>
      </w:r>
      <w:r w:rsidR="000D4965">
        <w:t>s</w:t>
      </w:r>
      <w:r w:rsidRPr="005A6843">
        <w:t xml:space="preserve"> de la </w:t>
      </w:r>
      <w:r w:rsidR="008249FA">
        <w:t>l</w:t>
      </w:r>
      <w:r w:rsidR="001C41A6">
        <w:t>ey</w:t>
      </w:r>
      <w:r w:rsidR="00E768A4">
        <w:t xml:space="preserve"> de transparencia</w:t>
      </w:r>
      <w:r w:rsidRPr="005A6843">
        <w:t xml:space="preserve"> señalados en MESTA y considerados preferentemente por este CTBG -ver epígrafe 2.3- se hacen públicas en el Portal las Agendas institucionales del Presidente y los miembros del Gobierno. Las Agendas aparecen en un acceso específico del menú lateral de opciones destacadas de la parte central de la página </w:t>
      </w:r>
      <w:r w:rsidRPr="000D4965">
        <w:rPr>
          <w:i/>
        </w:rPr>
        <w:t>home</w:t>
      </w:r>
      <w:r w:rsidRPr="005A6843">
        <w:t xml:space="preserve"> del Portal y se publican mediante un </w:t>
      </w:r>
      <w:r w:rsidR="00FC4B2E" w:rsidRPr="00FC4B2E">
        <w:rPr>
          <w:i/>
        </w:rPr>
        <w:t>link</w:t>
      </w:r>
      <w:r w:rsidRPr="005A6843">
        <w:t xml:space="preserve"> o vínculo electrónico directo con la página </w:t>
      </w:r>
      <w:r w:rsidR="00FC4B2E" w:rsidRPr="00FC4B2E">
        <w:rPr>
          <w:i/>
        </w:rPr>
        <w:t>web</w:t>
      </w:r>
      <w:r w:rsidRPr="005A6843">
        <w:t xml:space="preserve"> de La Moncloa.</w:t>
      </w:r>
    </w:p>
    <w:p w:rsidR="003316F3" w:rsidRPr="005A6843" w:rsidRDefault="003316F3" w:rsidP="00AA712B">
      <w:pPr>
        <w:jc w:val="both"/>
      </w:pPr>
      <w:r w:rsidRPr="005A6843">
        <w:t xml:space="preserve">Así también, dentro de los indicadores de MESTA, el portal publica información sobre personal eventual y “de confianza”. Concretamente, a través del buscador, puede accederse un documento titulado </w:t>
      </w:r>
      <w:r w:rsidRPr="000D4965">
        <w:rPr>
          <w:i/>
        </w:rPr>
        <w:t>“Información sobre los Gabinetes de los Departamentos Ministeriales”</w:t>
      </w:r>
      <w:r w:rsidRPr="005A6843">
        <w:t xml:space="preserve">, fechado a 7 de enero de 2015 en que aparecen identificadas las personas que ocupan o han ocupado un puesto de asesor con carácter eventual, no funcionarios, durante los años 2013 y 2014, con sus retribuciones en cómputo anual. También, en la sub-categoría </w:t>
      </w:r>
      <w:r w:rsidRPr="000D4965">
        <w:rPr>
          <w:i/>
        </w:rPr>
        <w:t>“Relaciones de Puestos de Trabajo”</w:t>
      </w:r>
      <w:r w:rsidRPr="005A6843">
        <w:t xml:space="preserve"> puede accederse a las distintas RPT</w:t>
      </w:r>
      <w:r w:rsidR="000D4965">
        <w:t>s</w:t>
      </w:r>
      <w:r w:rsidRPr="005A6843">
        <w:t xml:space="preserve"> ministeriales donde aparecen identificados los puestos a proveer por personal de confianza.</w:t>
      </w:r>
    </w:p>
    <w:p w:rsidR="003316F3" w:rsidRPr="005A6843" w:rsidRDefault="003316F3" w:rsidP="00AA712B">
      <w:pPr>
        <w:jc w:val="both"/>
      </w:pPr>
      <w:r w:rsidRPr="005A6843">
        <w:t>Fuera de los indicadores de MESTA, el Portal proporciona información de cumplimiento voluntario sobre:</w:t>
      </w:r>
    </w:p>
    <w:p w:rsidR="003316F3" w:rsidRDefault="003316F3" w:rsidP="005750D1">
      <w:pPr>
        <w:pStyle w:val="Prrafodelista"/>
        <w:numPr>
          <w:ilvl w:val="0"/>
          <w:numId w:val="37"/>
        </w:numPr>
        <w:spacing w:line="276" w:lineRule="auto"/>
        <w:jc w:val="both"/>
      </w:pPr>
      <w:r w:rsidRPr="005A6843">
        <w:t xml:space="preserve">Las </w:t>
      </w:r>
      <w:r w:rsidRPr="000D4965">
        <w:rPr>
          <w:u w:val="single"/>
        </w:rPr>
        <w:t>declaraciones de bienes y derechos patrimoniales</w:t>
      </w:r>
      <w:r w:rsidRPr="005A6843">
        <w:t xml:space="preserve"> de los miembros del Gobierno (Presidentes, Vicepresidentes y Ministros) y los Secretarios de Estado, que desde la aprobación de la </w:t>
      </w:r>
      <w:r w:rsidR="008249FA">
        <w:t>l</w:t>
      </w:r>
      <w:r w:rsidR="001C41A6">
        <w:t>ey</w:t>
      </w:r>
      <w:r w:rsidR="00E768A4">
        <w:t xml:space="preserve"> de transparencia</w:t>
      </w:r>
      <w:r w:rsidRPr="005A6843">
        <w:t xml:space="preserve"> se han ampliado al resto de altos cargos que tomen posesión o cesen en el periodo reglamentariamente establecido. La información figura en el epígrafe </w:t>
      </w:r>
      <w:r w:rsidRPr="000D4965">
        <w:rPr>
          <w:i/>
        </w:rPr>
        <w:t>“Más transparencia”</w:t>
      </w:r>
      <w:r w:rsidRPr="005A6843">
        <w:t xml:space="preserve"> de la sub-categoría </w:t>
      </w:r>
      <w:r w:rsidRPr="000D4965">
        <w:rPr>
          <w:i/>
        </w:rPr>
        <w:t>“Retribuciones de Altos Cargos”</w:t>
      </w:r>
      <w:r w:rsidRPr="005A6843">
        <w:t>.</w:t>
      </w:r>
    </w:p>
    <w:p w:rsidR="000D4965" w:rsidRPr="005A6843" w:rsidRDefault="000D4965" w:rsidP="000D4965">
      <w:pPr>
        <w:pStyle w:val="Prrafodelista"/>
        <w:spacing w:line="276" w:lineRule="auto"/>
        <w:jc w:val="both"/>
      </w:pPr>
    </w:p>
    <w:p w:rsidR="009B5639" w:rsidRDefault="003316F3" w:rsidP="005750D1">
      <w:pPr>
        <w:pStyle w:val="Prrafodelista"/>
        <w:numPr>
          <w:ilvl w:val="0"/>
          <w:numId w:val="37"/>
        </w:numPr>
        <w:spacing w:line="276" w:lineRule="auto"/>
        <w:jc w:val="both"/>
      </w:pPr>
      <w:r w:rsidRPr="000D4965">
        <w:rPr>
          <w:u w:val="single"/>
        </w:rPr>
        <w:t>Gobierno Abierto</w:t>
      </w:r>
      <w:r w:rsidRPr="005A6843">
        <w:t xml:space="preserve">. España forma parte de la Alianza para el Gobierno Abierto (Open Government Partnership, O.G.P en sus siglas en inglés). El Portal proporciona información y enlaces al I y II Plan de Acción de España, la hoja de ruta y el desarrollo de la Fase I (Preparatoria) y la Fase II (aprobación del Plan y constitución de un Foro Multisectorial) del III Plan de Acción. Los datos figuran en un acceso específico, abierto en el menú de opciones destacadas </w:t>
      </w:r>
      <w:r w:rsidRPr="000D4965">
        <w:rPr>
          <w:i/>
        </w:rPr>
        <w:t>“Y además …”</w:t>
      </w:r>
      <w:r w:rsidRPr="005A6843">
        <w:t xml:space="preserve"> de la parte central de la página inicial del Portal.</w:t>
      </w:r>
    </w:p>
    <w:p w:rsidR="000D4965" w:rsidRDefault="000D4965" w:rsidP="000D4965">
      <w:pPr>
        <w:pStyle w:val="Prrafodelista"/>
      </w:pPr>
    </w:p>
    <w:p w:rsidR="009B5639" w:rsidRPr="005A6843" w:rsidRDefault="003316F3" w:rsidP="005750D1">
      <w:pPr>
        <w:pStyle w:val="Prrafodelista"/>
        <w:numPr>
          <w:ilvl w:val="0"/>
          <w:numId w:val="37"/>
        </w:numPr>
        <w:spacing w:line="276" w:lineRule="auto"/>
        <w:jc w:val="both"/>
      </w:pPr>
      <w:r w:rsidRPr="000D4965">
        <w:rPr>
          <w:u w:val="single"/>
        </w:rPr>
        <w:t>Participación pública en proyectos normativos</w:t>
      </w:r>
      <w:r w:rsidRPr="005A6843">
        <w:t xml:space="preserve">. Esta participación está recogida en el artículo 133 de la </w:t>
      </w:r>
      <w:r w:rsidR="001C41A6">
        <w:t>Ley</w:t>
      </w:r>
      <w:r w:rsidRPr="005A6843">
        <w:t xml:space="preserve"> 39/2015, de 1 de octubre, y en el artículo 26</w:t>
      </w:r>
      <w:r w:rsidR="00E06B66" w:rsidRPr="005A6843">
        <w:t xml:space="preserve"> </w:t>
      </w:r>
      <w:r w:rsidRPr="005A6843">
        <w:t xml:space="preserve">de la </w:t>
      </w:r>
      <w:r w:rsidR="001C41A6">
        <w:t>Ley</w:t>
      </w:r>
      <w:r w:rsidRPr="005A6843">
        <w:t xml:space="preserve"> 50/1997, de 27 de noviembre, así como en la Orden PRE/1590/2016, de 3 de octubre, por la que se publica el Acuerdo del Consejo de Ministros de 30 de septiembre de 2016, por el que se dictan instrucciones para habilitar la participación pública en el proceso de elaboración normativa a través de los portales </w:t>
      </w:r>
      <w:r w:rsidR="00FC4B2E" w:rsidRPr="00FC4B2E">
        <w:rPr>
          <w:i/>
        </w:rPr>
        <w:t>web</w:t>
      </w:r>
      <w:r w:rsidRPr="005A6843">
        <w:t xml:space="preserve"> de los departamentos. El Portal ofrece un espacio tanto para la consulta pública previa, como para el trámite de audiencia e información pública en el proceso de elaboración de normas de la AGE y proporciona información actualizada a 09-06-2017 sobre procesos participativos en MJUS, </w:t>
      </w:r>
      <w:r w:rsidR="008F0476" w:rsidRPr="005A6843">
        <w:t xml:space="preserve">Ministerio de Defensa (MINDEF), </w:t>
      </w:r>
      <w:r w:rsidRPr="005A6843">
        <w:t>MINHAFP, Ministerio del Interior</w:t>
      </w:r>
      <w:r w:rsidR="00C250CA" w:rsidRPr="005A6843">
        <w:t xml:space="preserve"> (MIR)</w:t>
      </w:r>
      <w:r w:rsidRPr="005A6843">
        <w:t>, MFOM. MECD, MEYSS, MINETAD, M</w:t>
      </w:r>
      <w:r w:rsidR="00C250CA" w:rsidRPr="005A6843">
        <w:t>APAMA</w:t>
      </w:r>
      <w:r w:rsidRPr="005A6843">
        <w:t xml:space="preserve">, </w:t>
      </w:r>
      <w:r w:rsidR="008F0476" w:rsidRPr="005A6843">
        <w:t xml:space="preserve">MPREAT, </w:t>
      </w:r>
      <w:r w:rsidRPr="005A6843">
        <w:t>MINECO y MSSSI. La información cuenta con un acceso específico en el menú lateral de opciones destacadas de la parte central de la página home del Porta</w:t>
      </w:r>
      <w:r w:rsidR="009B5639" w:rsidRPr="005A6843">
        <w:t>l</w:t>
      </w:r>
      <w:r w:rsidRPr="005A6843">
        <w:t>.</w:t>
      </w:r>
    </w:p>
    <w:p w:rsidR="009B5639" w:rsidRPr="005A6843" w:rsidRDefault="009B5639" w:rsidP="000D4965">
      <w:pPr>
        <w:ind w:left="708"/>
        <w:jc w:val="both"/>
      </w:pPr>
      <w:r w:rsidRPr="005A6843">
        <w:t xml:space="preserve">Es de señalar que el último proceso participativo abierto a fecha de hoy es la consulta pública previa sobre el Proyecto de Real Decreto de desarrollo de la </w:t>
      </w:r>
      <w:r w:rsidR="001C41A6">
        <w:t>Ley</w:t>
      </w:r>
      <w:r w:rsidRPr="005A6843">
        <w:t xml:space="preserve"> 19/2013 de Transparencia, Acceso a la Información Pública y Buen Gobierno</w:t>
      </w:r>
    </w:p>
    <w:p w:rsidR="00C250CA" w:rsidRDefault="003316F3" w:rsidP="005750D1">
      <w:pPr>
        <w:pStyle w:val="Prrafodelista"/>
        <w:numPr>
          <w:ilvl w:val="0"/>
          <w:numId w:val="38"/>
        </w:numPr>
        <w:spacing w:line="276" w:lineRule="auto"/>
        <w:jc w:val="both"/>
      </w:pPr>
      <w:r w:rsidRPr="000D4965">
        <w:rPr>
          <w:u w:val="single"/>
        </w:rPr>
        <w:t>Reforma de las AAPP</w:t>
      </w:r>
      <w:r w:rsidRPr="005A6843">
        <w:t xml:space="preserve">. La Comisión para la Reforma de las Administraciones Públicas (CORA)  fue creada en octubre de 2012 por la Vicepresidenta del Gobierno, para dar cumplimiento a un acuerdo de la Conferencia de Presidentes de las CCAA de efectuar un estudio integral del funcionamiento de las AAPP cuyos resultados permitieran elaborar un programa de racionalización administrativa con la finalidad de eliminar duplicidades orgánicas, reducir cargas burocráticas, mejorar la eficacia en la gestión y analizar los entes administrativos para plantear las modificaciones necesarias en cuanto a su número y configuración jurídica. El Portal proporciona información y enlaces al </w:t>
      </w:r>
      <w:r w:rsidRPr="000D4965">
        <w:rPr>
          <w:i/>
        </w:rPr>
        <w:t>“Informe de la Comisión para la Reforma de las Administraciones Públicas”</w:t>
      </w:r>
      <w:r w:rsidRPr="005A6843">
        <w:t xml:space="preserve"> de 2013, al </w:t>
      </w:r>
      <w:r w:rsidRPr="000D4965">
        <w:rPr>
          <w:i/>
        </w:rPr>
        <w:t>“Informe ejecutivo. Balance CORA”</w:t>
      </w:r>
      <w:r w:rsidRPr="005A6843">
        <w:t xml:space="preserve"> de mayo de 2016 y al </w:t>
      </w:r>
      <w:r w:rsidRPr="000D4965">
        <w:rPr>
          <w:i/>
        </w:rPr>
        <w:t>“Informe trimestral de seguimiento”</w:t>
      </w:r>
      <w:r w:rsidRPr="005A6843">
        <w:t xml:space="preserve"> de junio de 2016. Los accesos se encuentran en el menú de opciones destacadas </w:t>
      </w:r>
      <w:r w:rsidRPr="000D4965">
        <w:rPr>
          <w:i/>
        </w:rPr>
        <w:t xml:space="preserve">“Y </w:t>
      </w:r>
      <w:r w:rsidR="0045179C" w:rsidRPr="000D4965">
        <w:rPr>
          <w:i/>
        </w:rPr>
        <w:t>además…</w:t>
      </w:r>
      <w:r w:rsidRPr="000D4965">
        <w:rPr>
          <w:i/>
        </w:rPr>
        <w:t>”</w:t>
      </w:r>
      <w:r w:rsidRPr="005A6843">
        <w:t xml:space="preserve"> de la parte</w:t>
      </w:r>
      <w:r w:rsidR="000D4965">
        <w:t xml:space="preserve"> central de la home del Portal.</w:t>
      </w:r>
    </w:p>
    <w:p w:rsidR="000D4965" w:rsidRPr="005A6843" w:rsidRDefault="000D4965" w:rsidP="000D4965">
      <w:pPr>
        <w:pStyle w:val="Prrafodelista"/>
        <w:spacing w:line="276" w:lineRule="auto"/>
        <w:jc w:val="both"/>
      </w:pPr>
    </w:p>
    <w:p w:rsidR="00C250CA" w:rsidRDefault="003316F3" w:rsidP="005750D1">
      <w:pPr>
        <w:pStyle w:val="Prrafodelista"/>
        <w:numPr>
          <w:ilvl w:val="0"/>
          <w:numId w:val="38"/>
        </w:numPr>
        <w:spacing w:line="276" w:lineRule="auto"/>
        <w:jc w:val="both"/>
      </w:pPr>
      <w:r w:rsidRPr="005A6843">
        <w:t xml:space="preserve">Los </w:t>
      </w:r>
      <w:r w:rsidRPr="000D4965">
        <w:rPr>
          <w:u w:val="single"/>
        </w:rPr>
        <w:t>entes públicos</w:t>
      </w:r>
      <w:r w:rsidRPr="005A6843">
        <w:t xml:space="preserve">. </w:t>
      </w:r>
      <w:r w:rsidR="00C250CA" w:rsidRPr="005A6843">
        <w:t xml:space="preserve">La información se encuentra en un ítem informativo específico de la categoría de información </w:t>
      </w:r>
      <w:r w:rsidR="00C250CA" w:rsidRPr="000D4965">
        <w:rPr>
          <w:i/>
        </w:rPr>
        <w:t>“Institucional”</w:t>
      </w:r>
      <w:r w:rsidR="00C250CA" w:rsidRPr="005A6843">
        <w:t xml:space="preserve">. </w:t>
      </w:r>
      <w:r w:rsidRPr="005A6843">
        <w:t xml:space="preserve">Se ofrece un listado con datos de 411 organismos y entidades públicas </w:t>
      </w:r>
      <w:r w:rsidR="00C250CA" w:rsidRPr="005A6843">
        <w:t xml:space="preserve">precedido de un pequeño texto explicativo </w:t>
      </w:r>
      <w:r w:rsidR="00C250CA" w:rsidRPr="000D4965">
        <w:rPr>
          <w:i/>
        </w:rPr>
        <w:t>“La publicación del inventario de entes del sector público estatal tiene como objetivo ofrecer el conocimiento de su estructura, dimensión y composición”</w:t>
      </w:r>
      <w:r w:rsidR="00C250CA" w:rsidRPr="005A6843">
        <w:t xml:space="preserve"> y de dos enlaces: uno al Inventario de Entes del Sector Público Estatal (INVESPE) y otro al Inventario de Entes Públicos (INVENTE),</w:t>
      </w:r>
      <w:r w:rsidR="000D4965">
        <w:t xml:space="preserve"> ambos gestionados por la IGAE.</w:t>
      </w:r>
    </w:p>
    <w:p w:rsidR="000D4965" w:rsidRDefault="000D4965" w:rsidP="000D4965">
      <w:pPr>
        <w:pStyle w:val="Prrafodelista"/>
      </w:pPr>
    </w:p>
    <w:p w:rsidR="00C250CA" w:rsidRPr="005A6843" w:rsidRDefault="00C250CA" w:rsidP="000D4965">
      <w:pPr>
        <w:ind w:left="708"/>
        <w:jc w:val="both"/>
      </w:pPr>
      <w:r w:rsidRPr="005A6843">
        <w:t>Si bien, en principio, el contenido de esta sub-categoría o elemento informativo podría resultar muy útil para informar al visitante del Portal de la estructura de las AAPP y de los distintos organismos públicos existente</w:t>
      </w:r>
      <w:r w:rsidR="009B5639" w:rsidRPr="005A6843">
        <w:t>s</w:t>
      </w:r>
      <w:r w:rsidRPr="005A6843">
        <w:t xml:space="preserve"> en España, la falta de explicaciones sobre qué son las AAPP, qué órganos forman parte de ella, qué es el sector público o cuál es la diferencia entre sector público estatal, sector público autonómico y sector público local, puede llegar  a confundir a los usuarios no expertos. Sería necesario acompañar la información de algún texto explicativo, redactado de forma asequible, que permitiera al visitante comprender y manejar adecuadamente el gran número de datos que se le ofrecen.</w:t>
      </w:r>
    </w:p>
    <w:p w:rsidR="003316F3" w:rsidRDefault="003316F3" w:rsidP="005750D1">
      <w:pPr>
        <w:pStyle w:val="Prrafodelista"/>
        <w:numPr>
          <w:ilvl w:val="0"/>
          <w:numId w:val="39"/>
        </w:numPr>
        <w:spacing w:line="276" w:lineRule="auto"/>
        <w:jc w:val="both"/>
      </w:pPr>
      <w:r w:rsidRPr="005A6843">
        <w:t>La</w:t>
      </w:r>
      <w:r w:rsidRPr="000D4965">
        <w:rPr>
          <w:u w:val="single"/>
        </w:rPr>
        <w:t xml:space="preserve"> transparencia en las CCAA</w:t>
      </w:r>
      <w:r w:rsidRPr="005A6843">
        <w:t xml:space="preserve">. Se ofrece un mapa y un desplegable de opciones con acceso a las leyes de transparencia, los portales de transparencia y los organismos garantes de Andalucía, Aragón, Principado de Asturias, Baleares, Canarias, Cantabria,  Castilla y León, Castilla-La Mancha, Cataluña, Ciudad de Ceuta, Ciudad de Melilla, Comunidad de Madrid, Comunidad Valenciana, Extremadura, Galicia, Región de Murcia, Comunidad Foral de Navarra, País Vasco y La Rioja. La información figura en el menú de opciones destacadas </w:t>
      </w:r>
      <w:r w:rsidRPr="000D4965">
        <w:rPr>
          <w:i/>
        </w:rPr>
        <w:t>“Y además …”</w:t>
      </w:r>
      <w:r w:rsidRPr="005A6843">
        <w:t xml:space="preserve"> de la parte central de la </w:t>
      </w:r>
      <w:r w:rsidRPr="000D4965">
        <w:rPr>
          <w:i/>
        </w:rPr>
        <w:t>home</w:t>
      </w:r>
      <w:r w:rsidR="009E594A">
        <w:t xml:space="preserve"> del Portal.</w:t>
      </w:r>
    </w:p>
    <w:p w:rsidR="009E594A" w:rsidRPr="005A6843" w:rsidRDefault="009E594A" w:rsidP="009E594A">
      <w:pPr>
        <w:pStyle w:val="Prrafodelista"/>
        <w:spacing w:line="276" w:lineRule="auto"/>
        <w:jc w:val="both"/>
      </w:pPr>
    </w:p>
    <w:p w:rsidR="003316F3" w:rsidRDefault="003316F3" w:rsidP="005750D1">
      <w:pPr>
        <w:pStyle w:val="Prrafodelista"/>
        <w:numPr>
          <w:ilvl w:val="0"/>
          <w:numId w:val="39"/>
        </w:numPr>
        <w:spacing w:line="276" w:lineRule="auto"/>
        <w:jc w:val="both"/>
      </w:pPr>
      <w:r w:rsidRPr="005A6843">
        <w:t xml:space="preserve">Las </w:t>
      </w:r>
      <w:r w:rsidRPr="000D4965">
        <w:rPr>
          <w:u w:val="single"/>
        </w:rPr>
        <w:t>disposiciones normativas</w:t>
      </w:r>
      <w:r w:rsidRPr="005A6843">
        <w:t xml:space="preserve"> directa o indirectamente relacionadas con el ámbito de actividad de los Departamentos ministeriales y otros órganos de la AGE</w:t>
      </w:r>
      <w:r w:rsidR="008D15EA" w:rsidRPr="005A6843">
        <w:t xml:space="preserve">. Los datos figuran en la </w:t>
      </w:r>
      <w:r w:rsidRPr="005A6843">
        <w:t xml:space="preserve">categoría </w:t>
      </w:r>
      <w:r w:rsidRPr="000D4965">
        <w:rPr>
          <w:i/>
        </w:rPr>
        <w:t>“Normativa destacada</w:t>
      </w:r>
      <w:r w:rsidR="008D15EA" w:rsidRPr="000D4965">
        <w:rPr>
          <w:i/>
        </w:rPr>
        <w:t>”</w:t>
      </w:r>
      <w:r w:rsidR="008D15EA" w:rsidRPr="005A6843">
        <w:t xml:space="preserve"> del menú de información normativa del Portal.</w:t>
      </w:r>
    </w:p>
    <w:p w:rsidR="009E594A" w:rsidRDefault="009E594A" w:rsidP="009E594A">
      <w:pPr>
        <w:pStyle w:val="Prrafodelista"/>
      </w:pPr>
    </w:p>
    <w:p w:rsidR="003316F3" w:rsidRDefault="003316F3" w:rsidP="005750D1">
      <w:pPr>
        <w:pStyle w:val="Prrafodelista"/>
        <w:numPr>
          <w:ilvl w:val="0"/>
          <w:numId w:val="39"/>
        </w:numPr>
        <w:spacing w:line="276" w:lineRule="auto"/>
        <w:jc w:val="both"/>
      </w:pPr>
      <w:r w:rsidRPr="000D4965">
        <w:rPr>
          <w:u w:val="single"/>
        </w:rPr>
        <w:t>Información presupuestaria.</w:t>
      </w:r>
      <w:r w:rsidRPr="005A6843">
        <w:t xml:space="preserve"> Diversos informes y documentos</w:t>
      </w:r>
      <w:r w:rsidR="00EA2D15" w:rsidRPr="005A6843">
        <w:t>,</w:t>
      </w:r>
      <w:r w:rsidRPr="005A6843">
        <w:t xml:space="preserve"> algunos de los cuales revisten gran interés para la rendición de cuentas (p.ej. los datos sobre las modificaciones presupuestarias aprobadas en el ejercicio y el desglose de los gastos de representación), </w:t>
      </w:r>
      <w:r w:rsidR="00EA2D15" w:rsidRPr="005A6843">
        <w:t>f</w:t>
      </w:r>
      <w:r w:rsidRPr="005A6843">
        <w:t xml:space="preserve">iguran en la sub-categoría </w:t>
      </w:r>
      <w:r w:rsidRPr="000D4965">
        <w:rPr>
          <w:i/>
        </w:rPr>
        <w:t>“Más Información presupuestaria”</w:t>
      </w:r>
      <w:r w:rsidRPr="005A6843">
        <w:t xml:space="preserve"> de la categoría </w:t>
      </w:r>
      <w:r w:rsidRPr="000D4965">
        <w:rPr>
          <w:i/>
        </w:rPr>
        <w:t>“Presupuestos, Fiscalización e Informes”</w:t>
      </w:r>
      <w:r w:rsidR="009E594A">
        <w:t>.</w:t>
      </w:r>
    </w:p>
    <w:p w:rsidR="009E594A" w:rsidRDefault="009E594A" w:rsidP="009E594A">
      <w:pPr>
        <w:pStyle w:val="Prrafodelista"/>
      </w:pPr>
    </w:p>
    <w:p w:rsidR="00FB0EC3" w:rsidRDefault="00FB0EC3" w:rsidP="005750D1">
      <w:pPr>
        <w:pStyle w:val="Prrafodelista"/>
        <w:numPr>
          <w:ilvl w:val="0"/>
          <w:numId w:val="39"/>
        </w:numPr>
        <w:spacing w:line="276" w:lineRule="auto"/>
        <w:jc w:val="both"/>
      </w:pPr>
      <w:r w:rsidRPr="000D4965">
        <w:rPr>
          <w:u w:val="single"/>
        </w:rPr>
        <w:t>Informes y estadísticas relevantes:</w:t>
      </w:r>
      <w:r w:rsidRPr="005A6843">
        <w:t xml:space="preserve"> La información se encuentra en el ítem </w:t>
      </w:r>
      <w:r w:rsidRPr="000D4965">
        <w:rPr>
          <w:i/>
        </w:rPr>
        <w:t>“Informes y Estadísticas Relevantes”</w:t>
      </w:r>
      <w:r w:rsidRPr="005A6843">
        <w:t xml:space="preserve"> de la categoría </w:t>
      </w:r>
      <w:r w:rsidRPr="000D4965">
        <w:rPr>
          <w:i/>
        </w:rPr>
        <w:t>“Presupuestos, Fiscalización e Informes”</w:t>
      </w:r>
      <w:r w:rsidRPr="005A6843">
        <w:t xml:space="preserve">. Se ofrecen 318 documentos, de naturaleza heterogénea, que incluyen programas de actuación, cartas servicios, programas editoriales, </w:t>
      </w:r>
      <w:r w:rsidR="00235F53">
        <w:t>etc.</w:t>
      </w:r>
      <w:r w:rsidRPr="005A6843">
        <w:t xml:space="preserve"> que en buena parte de los casos deberían figurar entre los contenidos de planificación de la categoría de inform</w:t>
      </w:r>
      <w:r w:rsidR="009E594A">
        <w:t>ación institucional del Portal.</w:t>
      </w:r>
    </w:p>
    <w:p w:rsidR="009E594A" w:rsidRDefault="009E594A" w:rsidP="009E594A">
      <w:pPr>
        <w:pStyle w:val="Prrafodelista"/>
      </w:pPr>
    </w:p>
    <w:p w:rsidR="00C250CA" w:rsidRPr="005A6843" w:rsidRDefault="00C250CA" w:rsidP="000D4965">
      <w:pPr>
        <w:ind w:left="708"/>
        <w:jc w:val="both"/>
      </w:pPr>
      <w:r w:rsidRPr="005A6843">
        <w:t>Una segunda opción informativa que ofrece el apartado es el recurso al Inventario de Operaciones Estadísticas, que es un repertorio de las operaciones estadísticas realizadas por el Instituto Nacional de Estadística de MINECO, otros Ministerios, el Banco de España y el Consejo General del Poder Judicial. Como puede comprenderse, estas operaciones son ciertamente variadas -desde “cortes de madera” hasta “aguas minerales”- y no guardan relación con la finalidad de rendición de cuentas propia de la publicidad activa en este apartado</w:t>
      </w:r>
    </w:p>
    <w:p w:rsidR="00C250CA" w:rsidRDefault="00C250CA" w:rsidP="005750D1">
      <w:pPr>
        <w:pStyle w:val="Prrafodelista"/>
        <w:numPr>
          <w:ilvl w:val="0"/>
          <w:numId w:val="40"/>
        </w:numPr>
        <w:spacing w:line="276" w:lineRule="auto"/>
        <w:jc w:val="both"/>
      </w:pPr>
      <w:bookmarkStart w:id="180" w:name="_Toc489350910"/>
      <w:bookmarkStart w:id="181" w:name="_Toc489352020"/>
      <w:bookmarkStart w:id="182" w:name="_Toc489353687"/>
      <w:bookmarkStart w:id="183" w:name="_Toc498344298"/>
      <w:bookmarkStart w:id="184" w:name="_Toc498344964"/>
      <w:bookmarkStart w:id="185" w:name="_Toc498345390"/>
      <w:r w:rsidRPr="000D4965">
        <w:rPr>
          <w:u w:val="single"/>
        </w:rPr>
        <w:t>Relaciones de Puestos de Trabajo</w:t>
      </w:r>
      <w:bookmarkEnd w:id="180"/>
      <w:bookmarkEnd w:id="181"/>
      <w:bookmarkEnd w:id="182"/>
      <w:bookmarkEnd w:id="183"/>
      <w:bookmarkEnd w:id="184"/>
      <w:bookmarkEnd w:id="185"/>
      <w:r w:rsidRPr="000D4965">
        <w:rPr>
          <w:u w:val="single"/>
        </w:rPr>
        <w:t>:</w:t>
      </w:r>
      <w:r w:rsidRPr="005A6843">
        <w:t xml:space="preserve"> En la última sub-categoría del menú de información institucional del Portal aparecen los datos de las Relaciones de Puestos de Trabajo (RPT) de los distintos Departamentos Ministeriales y sus organismos vinculados y dependientes.</w:t>
      </w:r>
    </w:p>
    <w:p w:rsidR="000D4965" w:rsidRPr="005A6843" w:rsidRDefault="000D4965" w:rsidP="000D4965">
      <w:pPr>
        <w:pStyle w:val="Prrafodelista"/>
        <w:spacing w:line="276" w:lineRule="auto"/>
        <w:jc w:val="both"/>
      </w:pPr>
    </w:p>
    <w:p w:rsidR="00C250CA" w:rsidRDefault="00C250CA" w:rsidP="000D4965">
      <w:pPr>
        <w:ind w:left="708"/>
        <w:jc w:val="both"/>
      </w:pPr>
      <w:r w:rsidRPr="005A6843">
        <w:t>La información se acompaña de una transcripción del art. 74 del</w:t>
      </w:r>
      <w:r w:rsidR="00EA2D15" w:rsidRPr="005A6843">
        <w:t xml:space="preserve"> </w:t>
      </w:r>
      <w:r w:rsidRPr="005A6843">
        <w:t xml:space="preserve">Real Decreto Legislativo 5/2015, de 30 de octubre, por el que se aprueba el texto refundido de la </w:t>
      </w:r>
      <w:r w:rsidR="001C41A6">
        <w:t>Ley</w:t>
      </w:r>
      <w:r w:rsidRPr="005A6843">
        <w:t xml:space="preserve"> del Estatuto Básico del Empleado Público (EBEP) que define las RPT y da indicaciones de su contenido: </w:t>
      </w:r>
      <w:r w:rsidRPr="000D4965">
        <w:rPr>
          <w:i/>
        </w:rPr>
        <w:t>"Las Administraciones Públicas estructurarán su organización a través de relaciones de puestos de trabajo u otros instrumentos organizativos similares que comprenderán, al menos, la denominación de los puestos, los grupos de clasificación profesional, los cuerpos o escalas, en su caso, a que estén adscritos, los sistemas de provisión y las retribuciones complementarias. Dic</w:t>
      </w:r>
      <w:r w:rsidR="000D4965">
        <w:rPr>
          <w:i/>
        </w:rPr>
        <w:t>hos instrumentos serán públicos</w:t>
      </w:r>
      <w:r w:rsidRPr="000D4965">
        <w:rPr>
          <w:i/>
        </w:rPr>
        <w:t>".</w:t>
      </w:r>
      <w:r w:rsidRPr="005A6843">
        <w:t xml:space="preserve"> Así mismo, incluye varias explicaciones complementarias: advierte que la información corresponde a la estructura vigente antes del Real Decreto 415/2016, de que la información se corresponde con la existente a la fecha de extracción de los datos y de que la calificación de un puesto como vacante no ha sido objeto de actualización y no excluye que, a la fecha de extracción de datos, un puesto concreto esté comprometido o se prevea su compromiso en algún procedimiento de provisión o en una modificación de la propia RPT.</w:t>
      </w:r>
    </w:p>
    <w:p w:rsidR="00C250CA" w:rsidRPr="005A6843" w:rsidRDefault="00C250CA" w:rsidP="000D4965">
      <w:pPr>
        <w:ind w:left="708"/>
        <w:jc w:val="both"/>
      </w:pPr>
      <w:r w:rsidRPr="005A6843">
        <w:t xml:space="preserve">La incorporación de los códigos y claves propios de las RPT –se publican versiones pdf de las mismas- </w:t>
      </w:r>
      <w:r w:rsidR="009B5639" w:rsidRPr="005A6843">
        <w:t>, puede inducir a confusión pues, aunq</w:t>
      </w:r>
      <w:r w:rsidRPr="005A6843">
        <w:t xml:space="preserve">ue van acompañadas de un glosario, son difícilmente identificables fuera del entorno administrativo, por lo que deberían explicarse (puesto singularizado, libre designación, reserva, </w:t>
      </w:r>
      <w:r w:rsidR="000D4965">
        <w:t>etc.).</w:t>
      </w:r>
    </w:p>
    <w:p w:rsidR="0060730F" w:rsidRPr="005A6843" w:rsidRDefault="0060730F" w:rsidP="002420B8">
      <w:pPr>
        <w:pStyle w:val="Ttulo2"/>
      </w:pPr>
      <w:bookmarkStart w:id="186" w:name="_Toc498345391"/>
      <w:bookmarkStart w:id="187" w:name="_Toc500414734"/>
      <w:bookmarkStart w:id="188" w:name="_Toc500416467"/>
      <w:bookmarkStart w:id="189" w:name="_Toc500416525"/>
      <w:bookmarkStart w:id="190" w:name="_Toc501110677"/>
      <w:r w:rsidRPr="005A6843">
        <w:t xml:space="preserve">Acceso </w:t>
      </w:r>
      <w:r w:rsidR="00606C80">
        <w:t>a la</w:t>
      </w:r>
      <w:r w:rsidRPr="005A6843">
        <w:t xml:space="preserve"> Información</w:t>
      </w:r>
      <w:bookmarkEnd w:id="186"/>
      <w:bookmarkEnd w:id="187"/>
      <w:bookmarkEnd w:id="188"/>
      <w:bookmarkEnd w:id="189"/>
      <w:bookmarkEnd w:id="190"/>
    </w:p>
    <w:p w:rsidR="0060730F" w:rsidRPr="005A6843" w:rsidRDefault="0060730F" w:rsidP="00AA712B">
      <w:pPr>
        <w:jc w:val="both"/>
      </w:pPr>
      <w:r w:rsidRPr="005A6843">
        <w:t xml:space="preserve">En materia de acceso a la información, el Portal AGE ofrece varias facilidades al ciudadano que desee presentar una solicitud de información o, simplemente, informarse sobre el derecho de acceso y su ejercicio. </w:t>
      </w:r>
    </w:p>
    <w:p w:rsidR="0060730F" w:rsidRDefault="0060730F" w:rsidP="005750D1">
      <w:pPr>
        <w:pStyle w:val="Prrafodelista"/>
        <w:numPr>
          <w:ilvl w:val="0"/>
          <w:numId w:val="40"/>
        </w:numPr>
        <w:spacing w:line="276" w:lineRule="auto"/>
        <w:ind w:left="714" w:hanging="357"/>
        <w:jc w:val="both"/>
      </w:pPr>
      <w:r w:rsidRPr="005A6843">
        <w:t xml:space="preserve">Para la </w:t>
      </w:r>
      <w:r w:rsidRPr="00825198">
        <w:rPr>
          <w:u w:val="single"/>
        </w:rPr>
        <w:t>presentación de las solicitudes</w:t>
      </w:r>
      <w:r w:rsidRPr="005A6843">
        <w:t xml:space="preserve">, la página inicial del Portal ha situado un banner o escudo específico, </w:t>
      </w:r>
      <w:r w:rsidRPr="00825198">
        <w:rPr>
          <w:i/>
        </w:rPr>
        <w:t>“Solicite información pública - Ejercite su derecho de acceso a la información pública”</w:t>
      </w:r>
      <w:r w:rsidRPr="005A6843">
        <w:t>, posicionado en un lugar destacado del lateral derecho de la página.</w:t>
      </w:r>
    </w:p>
    <w:p w:rsidR="00825198" w:rsidRPr="005A6843" w:rsidRDefault="00825198" w:rsidP="00825198">
      <w:pPr>
        <w:pStyle w:val="Prrafodelista"/>
        <w:spacing w:line="276" w:lineRule="auto"/>
        <w:ind w:left="714"/>
        <w:jc w:val="both"/>
      </w:pPr>
    </w:p>
    <w:p w:rsidR="0060730F" w:rsidRPr="005A6843" w:rsidRDefault="0060730F" w:rsidP="00825198">
      <w:pPr>
        <w:ind w:left="708"/>
        <w:jc w:val="both"/>
      </w:pPr>
      <w:r w:rsidRPr="005A6843">
        <w:t xml:space="preserve">El acceso muestra, primeramente, una entrada explicativa: </w:t>
      </w:r>
      <w:r w:rsidRPr="00825198">
        <w:rPr>
          <w:i/>
        </w:rPr>
        <w:t>“El ciudadano puede ejercer el derecho de acceso. Este derecho garantiza la posibilidad de llevar a cabo consultas sobre datos e información pública”</w:t>
      </w:r>
      <w:r w:rsidRPr="005A6843">
        <w:t xml:space="preserve">. El texto incluye también una advertencia: </w:t>
      </w:r>
      <w:r w:rsidRPr="00825198">
        <w:rPr>
          <w:i/>
        </w:rPr>
        <w:t xml:space="preserve">“El derecho de acceso podrá ser limitado en los supuestos que contempla la </w:t>
      </w:r>
      <w:r w:rsidR="008249FA">
        <w:rPr>
          <w:i/>
        </w:rPr>
        <w:t>l</w:t>
      </w:r>
      <w:r w:rsidR="001C41A6">
        <w:rPr>
          <w:i/>
        </w:rPr>
        <w:t>ey</w:t>
      </w:r>
      <w:r w:rsidRPr="00825198">
        <w:rPr>
          <w:i/>
        </w:rPr>
        <w:t xml:space="preserve"> en sus artículos 14 y 15. Entre otros: Seguridad Nacional, Defensa, Política económica y monetaria, para la protección de datos de carácter personal, </w:t>
      </w:r>
      <w:r w:rsidR="00235F53" w:rsidRPr="00825198">
        <w:rPr>
          <w:i/>
        </w:rPr>
        <w:t>etc.</w:t>
      </w:r>
      <w:r w:rsidRPr="00825198">
        <w:rPr>
          <w:i/>
        </w:rPr>
        <w:t>”</w:t>
      </w:r>
    </w:p>
    <w:p w:rsidR="0060730F" w:rsidRPr="00825198" w:rsidRDefault="0060730F" w:rsidP="00825198">
      <w:pPr>
        <w:ind w:left="708"/>
        <w:jc w:val="both"/>
        <w:rPr>
          <w:i/>
        </w:rPr>
      </w:pPr>
      <w:r w:rsidRPr="005A6843">
        <w:t xml:space="preserve">A juicio de este CTBG, y en orden a mejorar la claridad y comprensibilidad de la información, podría completarse este texto, excesivamente escueto, con una explicación de qué es la publicidad activa, qué es el derecho de acceso, qué es información pública, quiénes son los sujetos titulares del derecho, </w:t>
      </w:r>
      <w:r w:rsidR="00825198">
        <w:t>etc.</w:t>
      </w:r>
      <w:r w:rsidR="00825198" w:rsidRPr="005A6843">
        <w:t xml:space="preserve"> </w:t>
      </w:r>
      <w:r w:rsidRPr="005A6843">
        <w:t xml:space="preserve">Es cierto que todas estas respuestas se encuentran en la </w:t>
      </w:r>
      <w:r w:rsidRPr="00825198">
        <w:rPr>
          <w:i/>
        </w:rPr>
        <w:t>“Guía del ciudadano. Derecho de acceso”.</w:t>
      </w:r>
    </w:p>
    <w:p w:rsidR="0060730F" w:rsidRPr="005A6843" w:rsidRDefault="0060730F" w:rsidP="00825198">
      <w:pPr>
        <w:ind w:left="708"/>
        <w:jc w:val="both"/>
      </w:pPr>
      <w:r w:rsidRPr="005A6843">
        <w:t xml:space="preserve">Tras la explicación inicial, la pantalla presenta dos preguntas: </w:t>
      </w:r>
      <w:r w:rsidRPr="00825198">
        <w:rPr>
          <w:i/>
        </w:rPr>
        <w:t>“¿Por qué debo identificarme?”</w:t>
      </w:r>
      <w:r w:rsidRPr="005A6843">
        <w:t xml:space="preserve"> y </w:t>
      </w:r>
      <w:r w:rsidRPr="00825198">
        <w:rPr>
          <w:i/>
        </w:rPr>
        <w:t>“¿Cómo puedo presentar una solicitud?”</w:t>
      </w:r>
      <w:r w:rsidRPr="005A6843">
        <w:t xml:space="preserve">, que se auto-responden: </w:t>
      </w:r>
      <w:r w:rsidRPr="00825198">
        <w:rPr>
          <w:i/>
        </w:rPr>
        <w:t xml:space="preserve">“El ejercicio del derecho de acceso abre con la Administración un procedimiento administrativo que exige la identificación del solicitante” y “de forma telemática o por otros medios previstos en la </w:t>
      </w:r>
      <w:r w:rsidR="001C41A6">
        <w:rPr>
          <w:i/>
        </w:rPr>
        <w:t>ley</w:t>
      </w:r>
      <w:r w:rsidRPr="00825198">
        <w:rPr>
          <w:i/>
        </w:rPr>
        <w:t>”</w:t>
      </w:r>
      <w:r w:rsidRPr="005A6843">
        <w:t>.</w:t>
      </w:r>
    </w:p>
    <w:p w:rsidR="0060730F" w:rsidRPr="005A6843" w:rsidRDefault="0060730F" w:rsidP="00825198">
      <w:pPr>
        <w:ind w:left="708"/>
        <w:jc w:val="both"/>
      </w:pPr>
      <w:r w:rsidRPr="005A6843">
        <w:t xml:space="preserve">Prescindiendo de la sintaxis, la información es correcta, aunque sería necesario completarla con las necesarias referencias y </w:t>
      </w:r>
      <w:r w:rsidR="00FC4B2E" w:rsidRPr="00FC4B2E">
        <w:rPr>
          <w:i/>
        </w:rPr>
        <w:t>link</w:t>
      </w:r>
      <w:r w:rsidRPr="00825198">
        <w:rPr>
          <w:i/>
        </w:rPr>
        <w:t>s</w:t>
      </w:r>
      <w:r w:rsidRPr="005A6843">
        <w:t xml:space="preserve"> electrónicos al art. 17 de la </w:t>
      </w:r>
      <w:r w:rsidR="008249FA">
        <w:t>l</w:t>
      </w:r>
      <w:r w:rsidR="001C41A6">
        <w:t>ey</w:t>
      </w:r>
      <w:r w:rsidR="00E768A4">
        <w:t xml:space="preserve"> de transparencia</w:t>
      </w:r>
      <w:r w:rsidRPr="005A6843">
        <w:t xml:space="preserve"> -que pide constancia en la solicitud de la identidad del solicitante- y a las normas de la </w:t>
      </w:r>
      <w:r w:rsidR="001C41A6">
        <w:t>Ley</w:t>
      </w:r>
      <w:r w:rsidRPr="005A6843">
        <w:t xml:space="preserve"> 39/2015, de 1 de octubre, del Procedimiento Administrativo Común de las Administraciones Públicas (LPACAP), sobre ini</w:t>
      </w:r>
      <w:r w:rsidR="00825198">
        <w:t>ciación de los procedimientos.</w:t>
      </w:r>
    </w:p>
    <w:p w:rsidR="0060730F" w:rsidRPr="00825198" w:rsidRDefault="0060730F" w:rsidP="00825198">
      <w:pPr>
        <w:ind w:left="708"/>
        <w:jc w:val="both"/>
      </w:pPr>
      <w:r w:rsidRPr="005A6843">
        <w:t xml:space="preserve">Debajo de los textos introductorios, el Portal ofrece al visitante un acceso a la presentación telemática de su solicitud de información, precedido de una advertencia: </w:t>
      </w:r>
      <w:r w:rsidRPr="00825198">
        <w:rPr>
          <w:i/>
        </w:rPr>
        <w:t>“Para presentar una solicitud de derecho de acceso telemáticamente necesita identificarse utilizando cualquiera de las modalidades del sistema Cl@ve”.</w:t>
      </w:r>
    </w:p>
    <w:p w:rsidR="0060730F" w:rsidRPr="005A6843" w:rsidRDefault="0060730F" w:rsidP="00825198">
      <w:pPr>
        <w:ind w:left="708"/>
        <w:jc w:val="both"/>
      </w:pPr>
      <w:r w:rsidRPr="005A6843">
        <w:t xml:space="preserve">A este respecto, y aunque la consideración de las cuestiones relacionadas con la identificación y firma electrónica de las solicitudes de información presentadas por medios electrónicos no es el objeto de este informe, es necesario dejar sentado que, por parte de este CTBG, se mantienen serias dudas -y así ha sido expresado en múltiples informes, comunicados, intervenciones públicas y artículos de prensa- sobre la procedencia de aplicar el Sistema Cl@ve o cualquier otro sistema de identificación y firma electrónica avanzada al ejercicio del derecho de acceso. Si bien es cierto que las solicitudes de información inician un procedimiento administrativo, no es necesariamente un procedimiento administrativo común, regulado por la LPACAP, sino un procedimiento específico, regulado por la </w:t>
      </w:r>
      <w:r w:rsidR="008249FA">
        <w:t>l</w:t>
      </w:r>
      <w:r w:rsidR="001C41A6">
        <w:t>ey</w:t>
      </w:r>
      <w:r w:rsidR="00E768A4">
        <w:t xml:space="preserve"> de transparencia</w:t>
      </w:r>
      <w:r w:rsidRPr="005A6843">
        <w:t xml:space="preserve">, que corresponde al ejercicio de un derecho universal no requiere la condición de interesado y, por lo tanto, podría jurídicamente eximirse de los requisitos propios de la firma avanzada. </w:t>
      </w:r>
    </w:p>
    <w:p w:rsidR="00825198" w:rsidRDefault="0060730F" w:rsidP="00825198">
      <w:pPr>
        <w:ind w:left="708"/>
        <w:jc w:val="both"/>
      </w:pPr>
      <w:r w:rsidRPr="005A6843">
        <w:t xml:space="preserve">Volviendo al Portal AGE y al objeto propio de este documento, hay que destacar que, fuera de la referencia al Sistema Cl@ve -que presenta, además, un vínculo electrónico a un tutorial específico </w:t>
      </w:r>
      <w:r w:rsidRPr="00825198">
        <w:rPr>
          <w:i/>
        </w:rPr>
        <w:t>“¿Qué es Cl@ve?”</w:t>
      </w:r>
      <w:r w:rsidRPr="005A6843">
        <w:t>-, la información figurada en el Portal es correcta: describe adecuadamente los pasos del procedimiento y proporciona acceso a un formulario on line para la presentación de las solicitudes de información.</w:t>
      </w:r>
    </w:p>
    <w:p w:rsidR="0060730F" w:rsidRPr="00825198" w:rsidRDefault="00825198" w:rsidP="00825198">
      <w:pPr>
        <w:ind w:left="709"/>
        <w:jc w:val="both"/>
        <w:rPr>
          <w:u w:val="single"/>
        </w:rPr>
      </w:pPr>
      <w:r w:rsidRPr="00825198">
        <w:rPr>
          <w:u w:val="single"/>
        </w:rPr>
        <w:t>Identificación</w:t>
      </w:r>
    </w:p>
    <w:p w:rsidR="0060730F" w:rsidRPr="005A6843" w:rsidRDefault="0045179C" w:rsidP="00825198">
      <w:pPr>
        <w:ind w:left="709"/>
        <w:jc w:val="both"/>
      </w:pPr>
      <w:r>
        <w:rPr>
          <w:noProof/>
          <w:lang w:eastAsia="es-ES"/>
        </w:rPr>
        <w:drawing>
          <wp:anchor distT="0" distB="0" distL="114300" distR="114300" simplePos="0" relativeHeight="251745280" behindDoc="1" locked="0" layoutInCell="1" allowOverlap="1">
            <wp:simplePos x="0" y="0"/>
            <wp:positionH relativeFrom="column">
              <wp:posOffset>768985</wp:posOffset>
            </wp:positionH>
            <wp:positionV relativeFrom="paragraph">
              <wp:posOffset>-255270</wp:posOffset>
            </wp:positionV>
            <wp:extent cx="671830" cy="669290"/>
            <wp:effectExtent l="19050" t="0" r="0" b="0"/>
            <wp:wrapTight wrapText="right">
              <wp:wrapPolygon edited="0">
                <wp:start x="7962" y="0"/>
                <wp:lineTo x="3675" y="1844"/>
                <wp:lineTo x="-612" y="7378"/>
                <wp:lineTo x="-612" y="13526"/>
                <wp:lineTo x="2450" y="19674"/>
                <wp:lineTo x="6737" y="20903"/>
                <wp:lineTo x="15312" y="20903"/>
                <wp:lineTo x="15924" y="20903"/>
                <wp:lineTo x="17762" y="19674"/>
                <wp:lineTo x="18987" y="19674"/>
                <wp:lineTo x="21437" y="12911"/>
                <wp:lineTo x="21437" y="6148"/>
                <wp:lineTo x="18374" y="1844"/>
                <wp:lineTo x="14087" y="0"/>
                <wp:lineTo x="7962" y="0"/>
              </wp:wrapPolygon>
            </wp:wrapTight>
            <wp:docPr id="12" name="Imagen 3" descr="Icono de identif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de identificacion">
                      <a:hlinkClick r:id="rId53" tooltip="&quot;#&quot;"/>
                    </pic:cNvPr>
                    <pic:cNvPicPr>
                      <a:picLocks noChangeAspect="1" noChangeArrowheads="1"/>
                    </pic:cNvPicPr>
                  </pic:nvPicPr>
                  <pic:blipFill>
                    <a:blip r:embed="rId54" cstate="print"/>
                    <a:srcRect/>
                    <a:stretch>
                      <a:fillRect/>
                    </a:stretch>
                  </pic:blipFill>
                  <pic:spPr bwMode="auto">
                    <a:xfrm>
                      <a:off x="0" y="0"/>
                      <a:ext cx="671830" cy="669290"/>
                    </a:xfrm>
                    <a:prstGeom prst="rect">
                      <a:avLst/>
                    </a:prstGeom>
                    <a:noFill/>
                    <a:ln w="9525">
                      <a:noFill/>
                      <a:miter lim="800000"/>
                      <a:headEnd/>
                      <a:tailEnd/>
                    </a:ln>
                  </pic:spPr>
                </pic:pic>
              </a:graphicData>
            </a:graphic>
          </wp:anchor>
        </w:drawing>
      </w:r>
      <w:r w:rsidR="0060730F" w:rsidRPr="005A6843">
        <w:t>Se le redirigirá al sistema Cl@ve de autenticación que le permitirá seleccionar el modo de identificación que le resulte más cómodo</w:t>
      </w:r>
    </w:p>
    <w:p w:rsidR="0060730F" w:rsidRPr="005A6843" w:rsidRDefault="0045179C" w:rsidP="00825198">
      <w:pPr>
        <w:ind w:left="709"/>
        <w:jc w:val="both"/>
      </w:pPr>
      <w:r>
        <w:rPr>
          <w:noProof/>
          <w:lang w:eastAsia="es-ES"/>
        </w:rPr>
        <w:drawing>
          <wp:anchor distT="0" distB="0" distL="114300" distR="114300" simplePos="0" relativeHeight="251746304" behindDoc="0" locked="0" layoutInCell="1" allowOverlap="1">
            <wp:simplePos x="0" y="0"/>
            <wp:positionH relativeFrom="column">
              <wp:posOffset>797560</wp:posOffset>
            </wp:positionH>
            <wp:positionV relativeFrom="paragraph">
              <wp:posOffset>285115</wp:posOffset>
            </wp:positionV>
            <wp:extent cx="669925" cy="669290"/>
            <wp:effectExtent l="19050" t="0" r="0" b="0"/>
            <wp:wrapSquare wrapText="right"/>
            <wp:docPr id="17" name="Imagen 4" descr="Icono de solic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o de solicitud">
                      <a:hlinkClick r:id="rId53" tooltip="&quot;#&quot;"/>
                    </pic:cNvPr>
                    <pic:cNvPicPr>
                      <a:picLocks noChangeAspect="1" noChangeArrowheads="1"/>
                    </pic:cNvPicPr>
                  </pic:nvPicPr>
                  <pic:blipFill>
                    <a:blip r:embed="rId55" cstate="print"/>
                    <a:srcRect/>
                    <a:stretch>
                      <a:fillRect/>
                    </a:stretch>
                  </pic:blipFill>
                  <pic:spPr bwMode="auto">
                    <a:xfrm>
                      <a:off x="0" y="0"/>
                      <a:ext cx="669925" cy="669290"/>
                    </a:xfrm>
                    <a:prstGeom prst="rect">
                      <a:avLst/>
                    </a:prstGeom>
                    <a:noFill/>
                    <a:ln w="9525">
                      <a:noFill/>
                      <a:miter lim="800000"/>
                      <a:headEnd/>
                      <a:tailEnd/>
                    </a:ln>
                  </pic:spPr>
                </pic:pic>
              </a:graphicData>
            </a:graphic>
          </wp:anchor>
        </w:drawing>
      </w:r>
    </w:p>
    <w:p w:rsidR="0060730F" w:rsidRPr="00825198" w:rsidRDefault="0060730F" w:rsidP="00825198">
      <w:pPr>
        <w:ind w:left="709"/>
        <w:jc w:val="both"/>
        <w:rPr>
          <w:u w:val="single"/>
        </w:rPr>
      </w:pPr>
      <w:r w:rsidRPr="00825198">
        <w:rPr>
          <w:u w:val="single"/>
        </w:rPr>
        <w:t xml:space="preserve">Solicitud </w:t>
      </w:r>
    </w:p>
    <w:p w:rsidR="0060730F" w:rsidRPr="005A6843" w:rsidRDefault="0060730F" w:rsidP="00825198">
      <w:pPr>
        <w:ind w:left="709"/>
        <w:jc w:val="both"/>
      </w:pPr>
      <w:r w:rsidRPr="005A6843">
        <w:t>Una vez identificado, se le redirigirá un formulario a través del cual podrá realizar su consulta</w:t>
      </w:r>
    </w:p>
    <w:p w:rsidR="0060730F" w:rsidRPr="005A6843" w:rsidRDefault="0060730F" w:rsidP="00825198">
      <w:pPr>
        <w:ind w:left="709"/>
        <w:jc w:val="both"/>
      </w:pPr>
    </w:p>
    <w:p w:rsidR="0060730F" w:rsidRPr="00825198" w:rsidRDefault="0045179C" w:rsidP="00825198">
      <w:pPr>
        <w:ind w:left="709"/>
        <w:jc w:val="both"/>
        <w:rPr>
          <w:u w:val="single"/>
        </w:rPr>
      </w:pPr>
      <w:r>
        <w:rPr>
          <w:noProof/>
          <w:u w:val="single"/>
          <w:lang w:eastAsia="es-ES"/>
        </w:rPr>
        <w:drawing>
          <wp:anchor distT="0" distB="0" distL="114300" distR="114300" simplePos="0" relativeHeight="251747328" behindDoc="0" locked="0" layoutInCell="1" allowOverlap="1">
            <wp:simplePos x="0" y="0"/>
            <wp:positionH relativeFrom="column">
              <wp:posOffset>776605</wp:posOffset>
            </wp:positionH>
            <wp:positionV relativeFrom="paragraph">
              <wp:posOffset>26035</wp:posOffset>
            </wp:positionV>
            <wp:extent cx="659130" cy="669290"/>
            <wp:effectExtent l="19050" t="0" r="7620" b="0"/>
            <wp:wrapSquare wrapText="right"/>
            <wp:docPr id="16" name="Imagen 5" descr="Icono de remisión y env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de remisión y envío">
                      <a:hlinkClick r:id="rId53" tooltip="&quot;#&quot;"/>
                    </pic:cNvPr>
                    <pic:cNvPicPr>
                      <a:picLocks noChangeAspect="1" noChangeArrowheads="1"/>
                    </pic:cNvPicPr>
                  </pic:nvPicPr>
                  <pic:blipFill>
                    <a:blip r:embed="rId56" cstate="print"/>
                    <a:srcRect/>
                    <a:stretch>
                      <a:fillRect/>
                    </a:stretch>
                  </pic:blipFill>
                  <pic:spPr bwMode="auto">
                    <a:xfrm>
                      <a:off x="0" y="0"/>
                      <a:ext cx="659130" cy="669290"/>
                    </a:xfrm>
                    <a:prstGeom prst="rect">
                      <a:avLst/>
                    </a:prstGeom>
                    <a:noFill/>
                    <a:ln w="9525">
                      <a:noFill/>
                      <a:miter lim="800000"/>
                      <a:headEnd/>
                      <a:tailEnd/>
                    </a:ln>
                  </pic:spPr>
                </pic:pic>
              </a:graphicData>
            </a:graphic>
          </wp:anchor>
        </w:drawing>
      </w:r>
      <w:r w:rsidR="0060730F" w:rsidRPr="00825198">
        <w:rPr>
          <w:u w:val="single"/>
        </w:rPr>
        <w:t xml:space="preserve">Remisión y envío </w:t>
      </w:r>
    </w:p>
    <w:p w:rsidR="0060730F" w:rsidRPr="005A6843" w:rsidRDefault="0060730F" w:rsidP="00825198">
      <w:pPr>
        <w:ind w:left="709"/>
        <w:jc w:val="both"/>
      </w:pPr>
      <w:r w:rsidRPr="005A6843">
        <w:t>Se le mostrará su solicitud de información completa y, si está conforme, podrá proceder a su envío. En caso contrario podrá modificarla.</w:t>
      </w:r>
    </w:p>
    <w:p w:rsidR="0060730F" w:rsidRPr="005A6843" w:rsidRDefault="0060730F" w:rsidP="00825198">
      <w:pPr>
        <w:ind w:left="709"/>
        <w:jc w:val="both"/>
      </w:pPr>
    </w:p>
    <w:p w:rsidR="0060730F" w:rsidRPr="00825198" w:rsidRDefault="00825198" w:rsidP="00825198">
      <w:pPr>
        <w:ind w:left="709"/>
        <w:jc w:val="both"/>
        <w:rPr>
          <w:u w:val="single"/>
        </w:rPr>
      </w:pPr>
      <w:r w:rsidRPr="00825198">
        <w:rPr>
          <w:noProof/>
          <w:u w:val="single"/>
          <w:lang w:eastAsia="es-ES"/>
        </w:rPr>
        <w:drawing>
          <wp:anchor distT="0" distB="0" distL="114300" distR="114300" simplePos="0" relativeHeight="251748352" behindDoc="0" locked="0" layoutInCell="1" allowOverlap="1">
            <wp:simplePos x="0" y="0"/>
            <wp:positionH relativeFrom="column">
              <wp:posOffset>784860</wp:posOffset>
            </wp:positionH>
            <wp:positionV relativeFrom="paragraph">
              <wp:posOffset>25400</wp:posOffset>
            </wp:positionV>
            <wp:extent cx="662400" cy="662400"/>
            <wp:effectExtent l="0" t="0" r="4445" b="4445"/>
            <wp:wrapSquare wrapText="right"/>
            <wp:docPr id="18" name="Imagen 6" descr="Icono de confi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o de confirmacion">
                      <a:hlinkClick r:id="rId53" tooltip="&quot;#&quot;"/>
                    </pic:cNvPr>
                    <pic:cNvPicPr>
                      <a:picLocks noChangeAspect="1" noChangeArrowheads="1"/>
                    </pic:cNvPicPr>
                  </pic:nvPicPr>
                  <pic:blipFill>
                    <a:blip r:embed="rId57" cstate="print"/>
                    <a:srcRect/>
                    <a:stretch>
                      <a:fillRect/>
                    </a:stretch>
                  </pic:blipFill>
                  <pic:spPr bwMode="auto">
                    <a:xfrm>
                      <a:off x="0" y="0"/>
                      <a:ext cx="662400" cy="662400"/>
                    </a:xfrm>
                    <a:prstGeom prst="rect">
                      <a:avLst/>
                    </a:prstGeom>
                    <a:noFill/>
                    <a:ln w="9525">
                      <a:noFill/>
                      <a:miter lim="800000"/>
                      <a:headEnd/>
                      <a:tailEnd/>
                    </a:ln>
                  </pic:spPr>
                </pic:pic>
              </a:graphicData>
            </a:graphic>
          </wp:anchor>
        </w:drawing>
      </w:r>
      <w:r w:rsidR="0060730F" w:rsidRPr="00825198">
        <w:rPr>
          <w:u w:val="single"/>
        </w:rPr>
        <w:t xml:space="preserve">Confirmación </w:t>
      </w:r>
    </w:p>
    <w:p w:rsidR="0060730F" w:rsidRPr="005A6843" w:rsidRDefault="0060730F" w:rsidP="00825198">
      <w:pPr>
        <w:ind w:left="709"/>
        <w:jc w:val="both"/>
      </w:pPr>
      <w:r w:rsidRPr="005A6843">
        <w:t>Si su solicitud ha sido enviada correctamente, se mostrará un mensaje en pantalla indicándoselo</w:t>
      </w:r>
    </w:p>
    <w:p w:rsidR="0060730F" w:rsidRPr="005A6843" w:rsidRDefault="0060730F" w:rsidP="00AA712B">
      <w:pPr>
        <w:jc w:val="both"/>
      </w:pPr>
    </w:p>
    <w:p w:rsidR="0060730F" w:rsidRPr="005A6843" w:rsidRDefault="0060730F" w:rsidP="00825198">
      <w:pPr>
        <w:ind w:left="709"/>
        <w:jc w:val="both"/>
      </w:pPr>
      <w:r w:rsidRPr="005A6843">
        <w:t>A continuación de las instrucciones para la presentación telemática, el Portal introduce varias explicaciones sobre los otros medios de presentación de solicitudes.</w:t>
      </w:r>
    </w:p>
    <w:p w:rsidR="0060730F" w:rsidRPr="005A6843" w:rsidRDefault="0060730F" w:rsidP="00825198">
      <w:pPr>
        <w:ind w:left="709"/>
        <w:jc w:val="both"/>
      </w:pPr>
      <w:bookmarkStart w:id="191" w:name="_Toc498344300"/>
      <w:bookmarkStart w:id="192" w:name="_Toc498344966"/>
      <w:bookmarkStart w:id="193" w:name="_Toc498345392"/>
      <w:r w:rsidRPr="005A6843">
        <w:t>Así, indica al visitante</w:t>
      </w:r>
      <w:bookmarkEnd w:id="191"/>
      <w:bookmarkEnd w:id="192"/>
      <w:bookmarkEnd w:id="193"/>
      <w:r w:rsidRPr="005A6843">
        <w:t>, que puede ejercer el derecho de acceso a la información presentando una solicitud, previa acreditación de su identidad, en: A) Las oficinas de correos; B) Los registros de los órganos administrativos competentes o cualquier órgano administrativo que pertenezca a la AGE, a cualquiera de las CCAA o entidades que integran la Administración Local -en este último caso, siempre que se hubiese suscrito el oportuno convenio de colaboración-, y C) Las representaciones diplomáticas u oficinas consulares de España en el extranjero.</w:t>
      </w:r>
      <w:r w:rsidR="00473628" w:rsidRPr="005A6843">
        <w:t xml:space="preserve"> </w:t>
      </w:r>
      <w:r w:rsidRPr="005A6843">
        <w:t>La información se completa con unas instrucciones para la presentación a través de los servicios postales y con dos vínculos electrónicos a sendas relaciones de Oficinas de Registro y de Embajadas y Consulados. Como facilidad adicional, permite al visitante descargar un formulario que puede cumplimentar.</w:t>
      </w:r>
    </w:p>
    <w:p w:rsidR="0060730F" w:rsidRDefault="0060730F" w:rsidP="005750D1">
      <w:pPr>
        <w:pStyle w:val="Prrafodelista"/>
        <w:numPr>
          <w:ilvl w:val="0"/>
          <w:numId w:val="40"/>
        </w:numPr>
        <w:spacing w:line="276" w:lineRule="auto"/>
        <w:ind w:left="714" w:hanging="357"/>
        <w:jc w:val="both"/>
      </w:pPr>
      <w:r w:rsidRPr="005A6843">
        <w:t xml:space="preserve">Para la </w:t>
      </w:r>
      <w:r w:rsidRPr="00825198">
        <w:rPr>
          <w:u w:val="single"/>
        </w:rPr>
        <w:t>información sobre el derecho de acceso y su ejercicio</w:t>
      </w:r>
      <w:r w:rsidRPr="005A6843">
        <w:t xml:space="preserve">, el Portal incorpora una </w:t>
      </w:r>
      <w:r w:rsidRPr="00825198">
        <w:rPr>
          <w:i/>
        </w:rPr>
        <w:t>“Guía del Ciudadano”</w:t>
      </w:r>
      <w:r w:rsidRPr="005A6843">
        <w:t xml:space="preserve"> en pdf a la que se accede desde un banner con el mismo título, situado en la lateral de la home y suficientemente destacado. El contenido de la Guía es adecuado. La  única cuestión que a juicio de este CTBG podría ser mejorada es la presentación del banner, que debería concretar que se refiere exclusivamente al derecho de acceso y su ejercicio para</w:t>
      </w:r>
      <w:r w:rsidR="00825198">
        <w:t xml:space="preserve"> evitar errores o malentendidos.</w:t>
      </w:r>
    </w:p>
    <w:p w:rsidR="00825198" w:rsidRPr="005A6843" w:rsidRDefault="00825198" w:rsidP="00825198">
      <w:pPr>
        <w:pStyle w:val="Prrafodelista"/>
        <w:spacing w:line="276" w:lineRule="auto"/>
        <w:ind w:left="714"/>
        <w:jc w:val="both"/>
      </w:pPr>
    </w:p>
    <w:p w:rsidR="0060730F" w:rsidRDefault="0060730F" w:rsidP="005750D1">
      <w:pPr>
        <w:pStyle w:val="Prrafodelista"/>
        <w:numPr>
          <w:ilvl w:val="0"/>
          <w:numId w:val="40"/>
        </w:numPr>
        <w:spacing w:line="276" w:lineRule="auto"/>
        <w:ind w:left="714" w:hanging="357"/>
        <w:jc w:val="both"/>
      </w:pPr>
      <w:r w:rsidRPr="005A6843">
        <w:t xml:space="preserve">Para la </w:t>
      </w:r>
      <w:r w:rsidRPr="00825198">
        <w:rPr>
          <w:u w:val="single"/>
        </w:rPr>
        <w:t>información sobre tramitación de las solicitudes de acceso a la información por los organismos de la AGE,</w:t>
      </w:r>
      <w:r w:rsidRPr="005A6843">
        <w:t xml:space="preserve"> el Portal incorpora un apartado de </w:t>
      </w:r>
      <w:r w:rsidRPr="00825198">
        <w:rPr>
          <w:i/>
        </w:rPr>
        <w:t>“Datos del Derecho a la Información Pública”</w:t>
      </w:r>
      <w:r w:rsidRPr="005A6843">
        <w:t xml:space="preserve"> que puede descargarse en varios formatos y presenta gráficos visuales que son correctos.</w:t>
      </w:r>
    </w:p>
    <w:p w:rsidR="00825198" w:rsidRDefault="00825198" w:rsidP="00825198">
      <w:pPr>
        <w:pStyle w:val="Prrafodelista"/>
      </w:pPr>
    </w:p>
    <w:p w:rsidR="0060730F" w:rsidRPr="005A6843" w:rsidRDefault="0060730F" w:rsidP="005750D1">
      <w:pPr>
        <w:pStyle w:val="Prrafodelista"/>
        <w:numPr>
          <w:ilvl w:val="0"/>
          <w:numId w:val="40"/>
        </w:numPr>
        <w:spacing w:line="276" w:lineRule="auto"/>
        <w:ind w:left="714" w:hanging="357"/>
        <w:jc w:val="both"/>
      </w:pPr>
      <w:r w:rsidRPr="005A6843">
        <w:t xml:space="preserve">Finalmente, de acuerdo con lo dispuesto en el art. 14.3 de la </w:t>
      </w:r>
      <w:r w:rsidR="008249FA">
        <w:t>l</w:t>
      </w:r>
      <w:r w:rsidR="001C41A6">
        <w:t>ey</w:t>
      </w:r>
      <w:r w:rsidR="00E768A4">
        <w:t xml:space="preserve"> de transparencia</w:t>
      </w:r>
      <w:r w:rsidRPr="005A6843">
        <w:t xml:space="preserve">, el Portal publica en este apartado las resoluciones de la AGE que han </w:t>
      </w:r>
      <w:r w:rsidRPr="00825198">
        <w:rPr>
          <w:u w:val="single"/>
        </w:rPr>
        <w:t>denegado el derecho de acceso por aplicación de los límites del art. 14.1.</w:t>
      </w:r>
      <w:r w:rsidRPr="005A6843">
        <w:t xml:space="preserve"> Las resoluciones se publican en formato </w:t>
      </w:r>
      <w:r w:rsidR="00825198">
        <w:t>.</w:t>
      </w:r>
      <w:r w:rsidRPr="005A6843">
        <w:t>pdf, con los datos de carácter personal debidamente anonimizados.</w:t>
      </w:r>
    </w:p>
    <w:p w:rsidR="0060730F" w:rsidRPr="005A6843" w:rsidRDefault="0060730F" w:rsidP="00AA712B">
      <w:pPr>
        <w:jc w:val="both"/>
      </w:pPr>
      <w:r w:rsidRPr="005A6843">
        <w:br w:type="page"/>
      </w:r>
    </w:p>
    <w:p w:rsidR="003316F3" w:rsidRPr="005A6843" w:rsidRDefault="003316F3" w:rsidP="0016665B">
      <w:pPr>
        <w:pStyle w:val="Ttulo1"/>
      </w:pPr>
      <w:bookmarkStart w:id="194" w:name="_Toc498345393"/>
      <w:bookmarkStart w:id="195" w:name="_Toc500414735"/>
      <w:bookmarkStart w:id="196" w:name="_Toc500416468"/>
      <w:bookmarkStart w:id="197" w:name="_Toc500416526"/>
      <w:bookmarkStart w:id="198" w:name="_Toc501110678"/>
      <w:r w:rsidRPr="005A6843">
        <w:t>CONCLUSIONES Y RESULTADOS</w:t>
      </w:r>
      <w:bookmarkEnd w:id="194"/>
      <w:bookmarkEnd w:id="195"/>
      <w:bookmarkEnd w:id="196"/>
      <w:bookmarkEnd w:id="197"/>
      <w:bookmarkEnd w:id="198"/>
    </w:p>
    <w:p w:rsidR="0045179C" w:rsidRDefault="0045179C" w:rsidP="00AA712B">
      <w:pPr>
        <w:jc w:val="both"/>
      </w:pPr>
      <w:r w:rsidRPr="0045179C">
        <w:rPr>
          <w:noProof/>
          <w:lang w:eastAsia="es-ES"/>
        </w:rPr>
        <w:drawing>
          <wp:inline distT="0" distB="0" distL="0" distR="0">
            <wp:extent cx="6006662" cy="3220067"/>
            <wp:effectExtent l="0" t="0" r="0" b="0"/>
            <wp:docPr id="6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lantillamedia_modificada.png"/>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6392"/>
                    <a:stretch/>
                  </pic:blipFill>
                  <pic:spPr bwMode="auto">
                    <a:xfrm>
                      <a:off x="0" y="0"/>
                      <a:ext cx="6009716" cy="32217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179C" w:rsidRDefault="0045179C" w:rsidP="00AA712B">
      <w:pPr>
        <w:jc w:val="both"/>
      </w:pPr>
    </w:p>
    <w:p w:rsidR="00FD5DD9" w:rsidRPr="005A6843" w:rsidRDefault="003316F3" w:rsidP="00AA712B">
      <w:pPr>
        <w:jc w:val="both"/>
      </w:pPr>
      <w:r w:rsidRPr="005A6843">
        <w:t xml:space="preserve">A modo de conclusión, y con carácter general, puede señalarse que en 2016 la AGE ha cumplido suficientemente las obligaciones que le atribuía la </w:t>
      </w:r>
      <w:r w:rsidR="008249FA">
        <w:t>l</w:t>
      </w:r>
      <w:r w:rsidR="001C41A6">
        <w:t>ey</w:t>
      </w:r>
      <w:r w:rsidR="00E768A4">
        <w:t xml:space="preserve"> de transparencia</w:t>
      </w:r>
      <w:r w:rsidRPr="005A6843">
        <w:t xml:space="preserve"> en relación con el Portal de la Transparencia. </w:t>
      </w:r>
    </w:p>
    <w:p w:rsidR="003316F3" w:rsidRDefault="003316F3" w:rsidP="00AA712B">
      <w:pPr>
        <w:jc w:val="both"/>
      </w:pPr>
      <w:r w:rsidRPr="005A6843">
        <w:t xml:space="preserve">Así, a 31 de diciembre de dicho año, figuraban en el mismo más de 1,5 millones de registros de información correspondientes, por un lado, a la información que sus responsables y los Departamentos ministeriales han considerado de conocimiento relevante a efectos del art. 5 de la </w:t>
      </w:r>
      <w:r w:rsidR="008249FA">
        <w:t>l</w:t>
      </w:r>
      <w:r w:rsidR="001C41A6">
        <w:t>ey</w:t>
      </w:r>
      <w:r w:rsidRPr="005A6843">
        <w:t xml:space="preserve"> y, por otro, los datos e informaciones de los arts. 6, 7 y 8 de la misma pertenecientes al ámbito de la AGE. La publicación y organización de los datos se ajusta, además, a los requisitos y principios técnicos de los arts. 5 y 11 de la </w:t>
      </w:r>
      <w:r w:rsidR="008249FA">
        <w:t>l</w:t>
      </w:r>
      <w:r w:rsidR="001C41A6">
        <w:t>ey</w:t>
      </w:r>
      <w:r w:rsidRPr="005A6843">
        <w:t>.</w:t>
      </w:r>
    </w:p>
    <w:p w:rsidR="003316F3" w:rsidRPr="005A6843" w:rsidRDefault="003316F3" w:rsidP="00AA712B">
      <w:pPr>
        <w:jc w:val="both"/>
      </w:pPr>
      <w:r w:rsidRPr="005A6843">
        <w:t xml:space="preserve">En este sentido, el índice de cumplimiento de información obligatoria que corresponde al Portal es de </w:t>
      </w:r>
      <w:r w:rsidR="00842174" w:rsidRPr="005A6843">
        <w:t>6,41</w:t>
      </w:r>
      <w:r w:rsidRPr="005A6843">
        <w:t xml:space="preserve"> puntos en una escala de 0 a 10 en lo referente a los datos e informaciones de publicación obligatoria y de </w:t>
      </w:r>
      <w:r w:rsidR="00FF676E" w:rsidRPr="005A6843">
        <w:t>5,</w:t>
      </w:r>
      <w:r w:rsidR="00842174" w:rsidRPr="005A6843">
        <w:t xml:space="preserve">73 </w:t>
      </w:r>
      <w:r w:rsidRPr="005A6843">
        <w:t>puntos en la misma escala de 0 a 10 en lo referente a los datos e informaciones de publicación voluntaria.</w:t>
      </w:r>
    </w:p>
    <w:p w:rsidR="003316F3" w:rsidRPr="005A6843" w:rsidRDefault="003316F3" w:rsidP="00AA712B">
      <w:pPr>
        <w:jc w:val="both"/>
      </w:pPr>
      <w:r w:rsidRPr="005A6843">
        <w:t xml:space="preserve">Las puntuaciones -que, como ya se ha advertido en el precedente epígrafe 2.3, podrían adicionarse para expresar la posición relativa del Portal AGE respecto de los estándares de transparencia generalmente compartidos- se explican en la medida en que, si bien el Portal cumple muy adecuadamente los estándares y principios técnicos legalmente establecidos para la publicidad activa y los soportes y páginas </w:t>
      </w:r>
      <w:r w:rsidR="00FC4B2E" w:rsidRPr="00FC4B2E">
        <w:rPr>
          <w:i/>
        </w:rPr>
        <w:t>web</w:t>
      </w:r>
      <w:r w:rsidRPr="005A6843">
        <w:t>, presenta, a juicio de este CTBG, un cierto margen de mejora en la estructura y organización de sus contenidos informativos y algunas lagunas en la información incorporada a los mismos.</w:t>
      </w:r>
    </w:p>
    <w:p w:rsidR="003316F3" w:rsidRPr="005A6843" w:rsidRDefault="003316F3" w:rsidP="00AA712B">
      <w:pPr>
        <w:jc w:val="both"/>
      </w:pPr>
      <w:r w:rsidRPr="005A6843">
        <w:t>Sin perjuicio de algún o algunos más señalado a lo largo de este informe, los aspectos susceptibles de mejora en la organización del Portal son básicamente los siguientes:</w:t>
      </w:r>
    </w:p>
    <w:p w:rsidR="003316F3" w:rsidRDefault="003316F3" w:rsidP="005750D1">
      <w:pPr>
        <w:pStyle w:val="Prrafodelista"/>
        <w:numPr>
          <w:ilvl w:val="0"/>
          <w:numId w:val="41"/>
        </w:numPr>
        <w:ind w:left="357" w:hanging="357"/>
        <w:jc w:val="both"/>
        <w:rPr>
          <w:b/>
          <w:u w:val="single"/>
        </w:rPr>
      </w:pPr>
      <w:r w:rsidRPr="00DA0B8B">
        <w:rPr>
          <w:b/>
          <w:u w:val="single"/>
        </w:rPr>
        <w:t>Denominación del Portal.</w:t>
      </w:r>
    </w:p>
    <w:p w:rsidR="00DA0B8B" w:rsidRPr="00DA0B8B" w:rsidRDefault="00DA0B8B" w:rsidP="00DA0B8B">
      <w:pPr>
        <w:pStyle w:val="Prrafodelista"/>
        <w:ind w:left="357"/>
        <w:jc w:val="both"/>
        <w:rPr>
          <w:b/>
          <w:u w:val="single"/>
        </w:rPr>
      </w:pPr>
    </w:p>
    <w:p w:rsidR="003316F3" w:rsidRPr="005A6843" w:rsidRDefault="003316F3" w:rsidP="00AA712B">
      <w:pPr>
        <w:jc w:val="both"/>
      </w:pPr>
      <w:r w:rsidRPr="005A6843">
        <w:t>Sería conveniente cambiar la denominación actual Portal de la Transparencia del Gobierno de España por Portal de Transparencia de la AGE. Máxime cuando ya existe un portal institucional del Gobierno -La Moncloa- y dos portales generalistas de la Administración del Estado, el Portal de Datos Abiertos y el Punto de Acceso General (PAG)</w:t>
      </w:r>
    </w:p>
    <w:p w:rsidR="003316F3" w:rsidRDefault="003316F3" w:rsidP="005750D1">
      <w:pPr>
        <w:pStyle w:val="Prrafodelista"/>
        <w:numPr>
          <w:ilvl w:val="0"/>
          <w:numId w:val="41"/>
        </w:numPr>
        <w:ind w:left="357" w:hanging="357"/>
        <w:jc w:val="both"/>
        <w:rPr>
          <w:b/>
          <w:u w:val="single"/>
        </w:rPr>
      </w:pPr>
      <w:r w:rsidRPr="00DA0B8B">
        <w:rPr>
          <w:b/>
          <w:u w:val="single"/>
        </w:rPr>
        <w:t>Textos preliminares</w:t>
      </w:r>
    </w:p>
    <w:p w:rsidR="00DA0B8B" w:rsidRDefault="00DA0B8B" w:rsidP="00DA0B8B">
      <w:pPr>
        <w:pStyle w:val="Prrafodelista"/>
        <w:ind w:left="357"/>
        <w:jc w:val="both"/>
        <w:rPr>
          <w:b/>
          <w:u w:val="single"/>
        </w:rPr>
      </w:pPr>
    </w:p>
    <w:p w:rsidR="006A499F" w:rsidRPr="005A6843" w:rsidRDefault="003316F3" w:rsidP="00AA712B">
      <w:pPr>
        <w:jc w:val="both"/>
      </w:pPr>
      <w:r w:rsidRPr="005A6843">
        <w:t xml:space="preserve">Debería valorarse la conveniencia de introducir al principio de la página de inicio un texto explicativo de los objetivos de la </w:t>
      </w:r>
      <w:r w:rsidR="008249FA">
        <w:t>l</w:t>
      </w:r>
      <w:r w:rsidR="001C41A6">
        <w:t>ey</w:t>
      </w:r>
      <w:r w:rsidR="00E768A4">
        <w:t xml:space="preserve"> de transparencia</w:t>
      </w:r>
      <w:r w:rsidRPr="005A6843">
        <w:t xml:space="preserve">, de las finalidades del Portal, de las obligaciones de publicidad activa de las AAPP, </w:t>
      </w:r>
      <w:r w:rsidR="00235F53">
        <w:t>etc.</w:t>
      </w:r>
      <w:r w:rsidRPr="005A6843">
        <w:t xml:space="preserve">, que debería completarse con un </w:t>
      </w:r>
      <w:r w:rsidR="00FC4B2E" w:rsidRPr="00FC4B2E">
        <w:rPr>
          <w:i/>
        </w:rPr>
        <w:t>link</w:t>
      </w:r>
      <w:r w:rsidRPr="005A6843">
        <w:t xml:space="preserve"> electrónico al  texto consolidado del «BOE» de la </w:t>
      </w:r>
      <w:r w:rsidR="008249FA">
        <w:t>l</w:t>
      </w:r>
      <w:r w:rsidR="001C41A6">
        <w:t>ey</w:t>
      </w:r>
      <w:r w:rsidR="00E768A4">
        <w:t xml:space="preserve"> de transparencia</w:t>
      </w:r>
      <w:r w:rsidRPr="005A6843">
        <w:t xml:space="preserve">. </w:t>
      </w:r>
    </w:p>
    <w:p w:rsidR="003316F3" w:rsidRPr="005A6843" w:rsidRDefault="003316F3" w:rsidP="00AA712B">
      <w:pPr>
        <w:jc w:val="both"/>
      </w:pPr>
      <w:r w:rsidRPr="005A6843">
        <w:t xml:space="preserve">Igualmente, sería necesario incluir en la home del Portal -tal vez ya en la “Bienvenida”- una explicación clara y lo más completa posible sobre el concepto legal de AGE y los órganos que la integran, con </w:t>
      </w:r>
      <w:r w:rsidR="00FC4B2E" w:rsidRPr="00FC4B2E">
        <w:rPr>
          <w:i/>
        </w:rPr>
        <w:t>link</w:t>
      </w:r>
      <w:r w:rsidRPr="005A6843">
        <w:t xml:space="preserve">s a la LRJSP y otra normativa básica reguladora. </w:t>
      </w:r>
    </w:p>
    <w:p w:rsidR="003316F3" w:rsidRDefault="003316F3" w:rsidP="005750D1">
      <w:pPr>
        <w:pStyle w:val="Prrafodelista"/>
        <w:numPr>
          <w:ilvl w:val="0"/>
          <w:numId w:val="41"/>
        </w:numPr>
        <w:ind w:left="357" w:hanging="357"/>
        <w:jc w:val="both"/>
        <w:rPr>
          <w:b/>
          <w:u w:val="single"/>
        </w:rPr>
      </w:pPr>
      <w:r w:rsidRPr="00DA0B8B">
        <w:rPr>
          <w:b/>
          <w:u w:val="single"/>
        </w:rPr>
        <w:t>Acceso a la publicidad activa.</w:t>
      </w:r>
    </w:p>
    <w:p w:rsidR="00DA0B8B" w:rsidRPr="00DA0B8B" w:rsidRDefault="00DA0B8B" w:rsidP="00DA0B8B">
      <w:pPr>
        <w:pStyle w:val="Prrafodelista"/>
        <w:ind w:left="357"/>
        <w:jc w:val="both"/>
        <w:rPr>
          <w:b/>
          <w:u w:val="single"/>
        </w:rPr>
      </w:pPr>
    </w:p>
    <w:p w:rsidR="003316F3" w:rsidRPr="005A6843" w:rsidRDefault="003316F3" w:rsidP="00AA712B">
      <w:pPr>
        <w:jc w:val="both"/>
      </w:pPr>
      <w:r w:rsidRPr="005A6843">
        <w:t xml:space="preserve">Sería conveniente introducir en la </w:t>
      </w:r>
      <w:r w:rsidRPr="00DA0B8B">
        <w:rPr>
          <w:i/>
        </w:rPr>
        <w:t>home</w:t>
      </w:r>
      <w:r w:rsidRPr="005A6843">
        <w:t xml:space="preserve"> del Portal un </w:t>
      </w:r>
      <w:r w:rsidRPr="00DA0B8B">
        <w:rPr>
          <w:i/>
        </w:rPr>
        <w:t>banner</w:t>
      </w:r>
      <w:r w:rsidRPr="005A6843">
        <w:t xml:space="preserve"> o acceso específico a la publicidad activa. Podría sustituirse la pestaña </w:t>
      </w:r>
      <w:r w:rsidRPr="00DA0B8B">
        <w:rPr>
          <w:i/>
        </w:rPr>
        <w:t>“Categorías”</w:t>
      </w:r>
      <w:r w:rsidRPr="005A6843">
        <w:t xml:space="preserve"> de la barra superior de la página de inicio y el epígrafe </w:t>
      </w:r>
      <w:r w:rsidRPr="00DA0B8B">
        <w:rPr>
          <w:i/>
        </w:rPr>
        <w:t>“Categorías de información”</w:t>
      </w:r>
      <w:r w:rsidRPr="005A6843">
        <w:t xml:space="preserve"> del menú de navegación de la parte inferior de la misma por dos nuevos elementos: </w:t>
      </w:r>
      <w:r w:rsidRPr="00DA0B8B">
        <w:rPr>
          <w:i/>
        </w:rPr>
        <w:t>“Publicidad Activa”</w:t>
      </w:r>
      <w:r w:rsidRPr="005A6843">
        <w:t xml:space="preserve"> e </w:t>
      </w:r>
      <w:r w:rsidRPr="00DA0B8B">
        <w:rPr>
          <w:i/>
        </w:rPr>
        <w:t>“Información de Publicidad Activa”</w:t>
      </w:r>
      <w:r w:rsidRPr="005A6843">
        <w:t xml:space="preserve">. Podría también crearse un acceso específico de </w:t>
      </w:r>
      <w:r w:rsidRPr="00DA0B8B">
        <w:rPr>
          <w:i/>
        </w:rPr>
        <w:t>“Publicidad Activa”</w:t>
      </w:r>
      <w:r w:rsidRPr="005A6843">
        <w:t xml:space="preserve">, agrupando los cuatro iconos centrales </w:t>
      </w:r>
      <w:r w:rsidRPr="00DA0B8B">
        <w:rPr>
          <w:i/>
        </w:rPr>
        <w:t>“Institucional”, “Normativa”, “Contratos, convenios, subvenciones y bienes inmuebles”</w:t>
      </w:r>
      <w:r w:rsidRPr="005A6843">
        <w:t xml:space="preserve"> y </w:t>
      </w:r>
      <w:r w:rsidRPr="00DA0B8B">
        <w:rPr>
          <w:i/>
        </w:rPr>
        <w:t>“Presupuestos, Fiscalización e Informes”</w:t>
      </w:r>
      <w:r w:rsidRPr="005A6843">
        <w:t>.</w:t>
      </w:r>
    </w:p>
    <w:p w:rsidR="00684CD5" w:rsidRDefault="00684CD5">
      <w:pPr>
        <w:rPr>
          <w:b/>
          <w:u w:val="single"/>
        </w:rPr>
      </w:pPr>
      <w:r>
        <w:rPr>
          <w:b/>
          <w:u w:val="single"/>
        </w:rPr>
        <w:br w:type="page"/>
      </w:r>
    </w:p>
    <w:p w:rsidR="003316F3" w:rsidRDefault="003316F3" w:rsidP="005750D1">
      <w:pPr>
        <w:pStyle w:val="Prrafodelista"/>
        <w:numPr>
          <w:ilvl w:val="0"/>
          <w:numId w:val="41"/>
        </w:numPr>
        <w:ind w:left="357" w:hanging="357"/>
        <w:jc w:val="both"/>
        <w:rPr>
          <w:b/>
          <w:u w:val="single"/>
        </w:rPr>
      </w:pPr>
      <w:r w:rsidRPr="00DA0B8B">
        <w:rPr>
          <w:b/>
          <w:u w:val="single"/>
        </w:rPr>
        <w:t xml:space="preserve">Reestructuración de los </w:t>
      </w:r>
      <w:r w:rsidR="00AE557D" w:rsidRPr="00DA0B8B">
        <w:rPr>
          <w:b/>
          <w:u w:val="single"/>
        </w:rPr>
        <w:t>contenidos</w:t>
      </w:r>
      <w:r w:rsidR="006D4DBD">
        <w:rPr>
          <w:b/>
          <w:u w:val="single"/>
        </w:rPr>
        <w:t>.</w:t>
      </w:r>
    </w:p>
    <w:p w:rsidR="00DA0B8B" w:rsidRPr="00DA0B8B" w:rsidRDefault="00DA0B8B" w:rsidP="00DA0B8B">
      <w:pPr>
        <w:pStyle w:val="Prrafodelista"/>
        <w:ind w:left="357"/>
        <w:jc w:val="both"/>
        <w:rPr>
          <w:b/>
          <w:u w:val="single"/>
        </w:rPr>
      </w:pPr>
    </w:p>
    <w:p w:rsidR="00D22CD9" w:rsidRDefault="003316F3" w:rsidP="00AA712B">
      <w:pPr>
        <w:jc w:val="both"/>
      </w:pPr>
      <w:r w:rsidRPr="005A6843">
        <w:t xml:space="preserve">Deberían separarse los contenidos propios de la </w:t>
      </w:r>
      <w:r w:rsidR="008249FA">
        <w:t>l</w:t>
      </w:r>
      <w:r w:rsidR="001C41A6">
        <w:t>ey</w:t>
      </w:r>
      <w:r w:rsidR="00E768A4">
        <w:t xml:space="preserve"> de transparencia</w:t>
      </w:r>
      <w:r w:rsidRPr="005A6843">
        <w:t xml:space="preserve"> de los no vinculados con ésta, que deberían aparecer menos destacados. Y dentro de los propios de la </w:t>
      </w:r>
      <w:r w:rsidR="008249FA">
        <w:t>l</w:t>
      </w:r>
      <w:r w:rsidR="001C41A6">
        <w:t>ey</w:t>
      </w:r>
      <w:r w:rsidRPr="005A6843">
        <w:t xml:space="preserve">, deberían separarse los referidos a contenidos obligatorios de los incluidos con carácter de cumplimiento voluntario de la </w:t>
      </w:r>
      <w:r w:rsidR="008249FA">
        <w:t>l</w:t>
      </w:r>
      <w:r w:rsidR="001C41A6">
        <w:t>ey</w:t>
      </w:r>
      <w:r w:rsidRPr="005A6843">
        <w:t xml:space="preserve"> o como consecuencia de haber sido los más frecuentemente solicitados por la vía del derecho de acceso.</w:t>
      </w:r>
    </w:p>
    <w:p w:rsidR="003316F3" w:rsidRDefault="00AE557D" w:rsidP="005750D1">
      <w:pPr>
        <w:pStyle w:val="Prrafodelista"/>
        <w:numPr>
          <w:ilvl w:val="0"/>
          <w:numId w:val="41"/>
        </w:numPr>
        <w:ind w:left="357" w:hanging="357"/>
        <w:jc w:val="both"/>
        <w:rPr>
          <w:b/>
          <w:u w:val="single"/>
        </w:rPr>
      </w:pPr>
      <w:r w:rsidRPr="00DA0B8B">
        <w:rPr>
          <w:b/>
          <w:u w:val="single"/>
        </w:rPr>
        <w:t>C</w:t>
      </w:r>
      <w:r w:rsidR="003316F3" w:rsidRPr="00DA0B8B">
        <w:rPr>
          <w:b/>
          <w:u w:val="single"/>
        </w:rPr>
        <w:t>ategorías</w:t>
      </w:r>
      <w:r w:rsidRPr="00DA0B8B">
        <w:rPr>
          <w:b/>
          <w:u w:val="single"/>
        </w:rPr>
        <w:t xml:space="preserve"> de información</w:t>
      </w:r>
      <w:r w:rsidR="00DA0B8B">
        <w:rPr>
          <w:b/>
          <w:u w:val="single"/>
        </w:rPr>
        <w:t>.</w:t>
      </w:r>
    </w:p>
    <w:p w:rsidR="00DA0B8B" w:rsidRPr="00DA0B8B" w:rsidRDefault="00DA0B8B" w:rsidP="00DA0B8B">
      <w:pPr>
        <w:pStyle w:val="Prrafodelista"/>
        <w:ind w:left="357"/>
        <w:jc w:val="both"/>
        <w:rPr>
          <w:b/>
          <w:u w:val="single"/>
        </w:rPr>
      </w:pPr>
    </w:p>
    <w:p w:rsidR="003316F3" w:rsidRPr="005A6843" w:rsidRDefault="003316F3" w:rsidP="00AA712B">
      <w:pPr>
        <w:jc w:val="both"/>
      </w:pPr>
      <w:r w:rsidRPr="005A6843">
        <w:t xml:space="preserve">Sería necesario solucionar las discrepancias entre las categorías establecidas por el Portal y la </w:t>
      </w:r>
      <w:r w:rsidR="008249FA">
        <w:t>l</w:t>
      </w:r>
      <w:r w:rsidR="001C41A6">
        <w:t>ey</w:t>
      </w:r>
      <w:r w:rsidRPr="005A6843">
        <w:t xml:space="preserve">. Los arts. 5 a 8 de la </w:t>
      </w:r>
      <w:r w:rsidR="008249FA">
        <w:t>l</w:t>
      </w:r>
      <w:r w:rsidR="001C41A6">
        <w:t>ey</w:t>
      </w:r>
      <w:r w:rsidRPr="005A6843">
        <w:t xml:space="preserve"> establecen tres categorías de información: </w:t>
      </w:r>
      <w:r w:rsidRPr="00DA0B8B">
        <w:rPr>
          <w:i/>
        </w:rPr>
        <w:t>“Información institucional, organizativa y de planificación”, “Información de relevancia jurídica”</w:t>
      </w:r>
      <w:r w:rsidRPr="005A6843">
        <w:t xml:space="preserve"> e </w:t>
      </w:r>
      <w:r w:rsidRPr="00DA0B8B">
        <w:rPr>
          <w:i/>
        </w:rPr>
        <w:t>“Información económica, presupuestaria y estadística”</w:t>
      </w:r>
      <w:r w:rsidRPr="005A6843">
        <w:t xml:space="preserve">. El menú de categorías del Portal establece cuatro: </w:t>
      </w:r>
      <w:r w:rsidRPr="00DA0B8B">
        <w:rPr>
          <w:i/>
        </w:rPr>
        <w:t>“Institucional”, “Normativa”, “Contratos, convenios, subvenciones y bienes inmuebles”</w:t>
      </w:r>
      <w:r w:rsidRPr="005A6843">
        <w:t xml:space="preserve"> y </w:t>
      </w:r>
      <w:r w:rsidRPr="00DA0B8B">
        <w:rPr>
          <w:i/>
        </w:rPr>
        <w:t>“Presupuestos, fiscalización e informes”</w:t>
      </w:r>
      <w:r w:rsidRPr="005A6843">
        <w:t xml:space="preserve">. Deberían agruparse las dos últimas en una única categoría de </w:t>
      </w:r>
      <w:r w:rsidRPr="00DA0B8B">
        <w:rPr>
          <w:i/>
        </w:rPr>
        <w:t>“Información de naturaleza económica”</w:t>
      </w:r>
      <w:r w:rsidRPr="005A6843">
        <w:t xml:space="preserve">. </w:t>
      </w:r>
    </w:p>
    <w:p w:rsidR="003316F3" w:rsidRDefault="003316F3" w:rsidP="005750D1">
      <w:pPr>
        <w:pStyle w:val="Prrafodelista"/>
        <w:numPr>
          <w:ilvl w:val="0"/>
          <w:numId w:val="41"/>
        </w:numPr>
        <w:ind w:left="357" w:hanging="357"/>
        <w:jc w:val="both"/>
        <w:rPr>
          <w:b/>
          <w:u w:val="single"/>
        </w:rPr>
      </w:pPr>
      <w:r w:rsidRPr="00DA0B8B">
        <w:rPr>
          <w:b/>
          <w:u w:val="single"/>
        </w:rPr>
        <w:t>Sub-categorías</w:t>
      </w:r>
      <w:r w:rsidR="006D4DBD">
        <w:rPr>
          <w:b/>
          <w:u w:val="single"/>
        </w:rPr>
        <w:t>.</w:t>
      </w:r>
    </w:p>
    <w:p w:rsidR="00DA0B8B" w:rsidRPr="00DA0B8B" w:rsidRDefault="00DA0B8B" w:rsidP="00DA0B8B">
      <w:pPr>
        <w:pStyle w:val="Prrafodelista"/>
        <w:ind w:left="357"/>
        <w:jc w:val="both"/>
        <w:rPr>
          <w:b/>
          <w:u w:val="single"/>
        </w:rPr>
      </w:pPr>
    </w:p>
    <w:p w:rsidR="003316F3" w:rsidRPr="005A6843" w:rsidRDefault="003316F3" w:rsidP="00AA712B">
      <w:pPr>
        <w:jc w:val="both"/>
      </w:pPr>
      <w:r w:rsidRPr="005A6843">
        <w:t xml:space="preserve">Sería también necesario también solventar las discrepancias entre el Portal y la </w:t>
      </w:r>
      <w:r w:rsidR="008249FA">
        <w:t>l</w:t>
      </w:r>
      <w:r w:rsidR="001C41A6">
        <w:t>ey</w:t>
      </w:r>
      <w:r w:rsidRPr="005A6843">
        <w:t xml:space="preserve"> que afectan a las sub-categorías. </w:t>
      </w:r>
    </w:p>
    <w:p w:rsidR="003316F3" w:rsidRPr="005A6843" w:rsidRDefault="003316F3" w:rsidP="00AA712B">
      <w:pPr>
        <w:jc w:val="both"/>
      </w:pPr>
      <w:r w:rsidRPr="005A6843">
        <w:t xml:space="preserve">En la categoría </w:t>
      </w:r>
      <w:r w:rsidRPr="00DA0B8B">
        <w:rPr>
          <w:i/>
        </w:rPr>
        <w:t>“Institucional”</w:t>
      </w:r>
      <w:r w:rsidRPr="005A6843">
        <w:t xml:space="preserve">, aparecen sub-categorías de más: dos que no se corresponden con ninguna de las exigidas por la </w:t>
      </w:r>
      <w:r w:rsidR="008249FA">
        <w:t>l</w:t>
      </w:r>
      <w:r w:rsidR="001C41A6">
        <w:t>ey</w:t>
      </w:r>
      <w:r w:rsidRPr="005A6843">
        <w:t xml:space="preserve"> -entes del sector público del Estado y relaciones de puestos de trabajo- y tres que corresponde a informaciones que la </w:t>
      </w:r>
      <w:r w:rsidR="008249FA">
        <w:t>l</w:t>
      </w:r>
      <w:r w:rsidR="001C41A6">
        <w:t>ey</w:t>
      </w:r>
      <w:r w:rsidRPr="005A6843">
        <w:t xml:space="preserve"> sitúa en la categoría de información económica: retribuciones de Altos Cargos y máximos responsables, indemnizaciones percibidas por los Altos Cargos y los máximos responsables con ocasión de su cese, autorizaciones de compatibilidad de los empleados públicos-. Deberían suprimirse las dos primeras o trasladarse a una parte nueva de información voluntaria del Portal. </w:t>
      </w:r>
    </w:p>
    <w:p w:rsidR="003316F3" w:rsidRPr="005A6843" w:rsidRDefault="003316F3" w:rsidP="00AA712B">
      <w:pPr>
        <w:jc w:val="both"/>
      </w:pPr>
      <w:r w:rsidRPr="005A6843">
        <w:t xml:space="preserve">En la categoría </w:t>
      </w:r>
      <w:r w:rsidRPr="002942CD">
        <w:rPr>
          <w:i/>
        </w:rPr>
        <w:t>“Normativa”</w:t>
      </w:r>
      <w:r w:rsidRPr="005A6843">
        <w:t xml:space="preserve"> del Portal sobran las sub-categorías </w:t>
      </w:r>
      <w:r w:rsidRPr="002942CD">
        <w:rPr>
          <w:i/>
        </w:rPr>
        <w:t>“Normativa destacada”</w:t>
      </w:r>
      <w:r w:rsidRPr="005A6843">
        <w:t xml:space="preserve"> y </w:t>
      </w:r>
      <w:r w:rsidRPr="002942CD">
        <w:rPr>
          <w:i/>
        </w:rPr>
        <w:t>“Normativa vigente”</w:t>
      </w:r>
      <w:r w:rsidRPr="005A6843">
        <w:t xml:space="preserve">, que, en todo caso, deberían aparecer en la información de publicidad voluntaria; la sub-categoría </w:t>
      </w:r>
      <w:r w:rsidRPr="002942CD">
        <w:rPr>
          <w:i/>
        </w:rPr>
        <w:t>“Normativa en elaboración”</w:t>
      </w:r>
      <w:r w:rsidRPr="005A6843">
        <w:t xml:space="preserve"> engloba dos de los ítems informativos previstos en la </w:t>
      </w:r>
      <w:r w:rsidR="008249FA">
        <w:t>l</w:t>
      </w:r>
      <w:r w:rsidR="001C41A6">
        <w:t>ey</w:t>
      </w:r>
      <w:r w:rsidR="00E768A4">
        <w:t xml:space="preserve"> de transparencia</w:t>
      </w:r>
      <w:r w:rsidRPr="005A6843">
        <w:t xml:space="preserve">: los Anteproyectos de </w:t>
      </w:r>
      <w:r w:rsidR="001C41A6">
        <w:t>Ley</w:t>
      </w:r>
      <w:r w:rsidRPr="005A6843">
        <w:t xml:space="preserve"> y los Proyectos de Decretos Legislativos, por un lado, y los proyectos de Reglamentos; la sub-categoría </w:t>
      </w:r>
      <w:r w:rsidRPr="002942CD">
        <w:rPr>
          <w:i/>
        </w:rPr>
        <w:t>“Otras disposiciones”</w:t>
      </w:r>
      <w:r w:rsidRPr="005A6843">
        <w:t xml:space="preserve"> debería rebautizarse </w:t>
      </w:r>
      <w:r w:rsidRPr="002942CD">
        <w:rPr>
          <w:i/>
        </w:rPr>
        <w:t>“Directrices, instrucciones, acuerdos, circulares y respuestas a consultas”</w:t>
      </w:r>
      <w:r w:rsidRPr="005A6843">
        <w:t xml:space="preserve">, y, finalmente, falta uno de los ítems o sub-categorías obligatorias del art. 7 de la </w:t>
      </w:r>
      <w:r w:rsidR="008249FA">
        <w:t>l</w:t>
      </w:r>
      <w:r w:rsidR="001C41A6">
        <w:t>ey</w:t>
      </w:r>
      <w:r w:rsidR="00E768A4">
        <w:t xml:space="preserve"> de transparencia</w:t>
      </w:r>
      <w:r w:rsidRPr="005A6843">
        <w:t>, los documentos sometidos a audiencia pública durante su tramitación</w:t>
      </w:r>
    </w:p>
    <w:p w:rsidR="00D22CD9" w:rsidRDefault="003316F3" w:rsidP="00AA712B">
      <w:pPr>
        <w:jc w:val="both"/>
      </w:pPr>
      <w:r w:rsidRPr="005A6843">
        <w:t xml:space="preserve">Por último, las categorías </w:t>
      </w:r>
      <w:r w:rsidRPr="002942CD">
        <w:rPr>
          <w:i/>
        </w:rPr>
        <w:t xml:space="preserve">“Contratos, </w:t>
      </w:r>
      <w:r w:rsidR="00235F53" w:rsidRPr="002942CD">
        <w:rPr>
          <w:i/>
        </w:rPr>
        <w:t>etc.</w:t>
      </w:r>
      <w:r w:rsidRPr="002942CD">
        <w:rPr>
          <w:i/>
        </w:rPr>
        <w:t>”</w:t>
      </w:r>
      <w:r w:rsidRPr="005A6843">
        <w:t xml:space="preserve"> y </w:t>
      </w:r>
      <w:r w:rsidRPr="002942CD">
        <w:rPr>
          <w:i/>
        </w:rPr>
        <w:t xml:space="preserve">“Presupuestos, </w:t>
      </w:r>
      <w:r w:rsidR="00235F53" w:rsidRPr="002942CD">
        <w:rPr>
          <w:i/>
        </w:rPr>
        <w:t>etc.</w:t>
      </w:r>
      <w:r w:rsidRPr="002942CD">
        <w:rPr>
          <w:i/>
        </w:rPr>
        <w:t>”</w:t>
      </w:r>
      <w:r w:rsidRPr="005A6843">
        <w:t xml:space="preserve"> del Portal incorporan varias informaciones no exigidas por la </w:t>
      </w:r>
      <w:r w:rsidR="008249FA">
        <w:t>l</w:t>
      </w:r>
      <w:r w:rsidR="001C41A6">
        <w:t>ey</w:t>
      </w:r>
      <w:r w:rsidRPr="005A6843">
        <w:t xml:space="preserve"> -contratos basados en acuerdos marco, subvenciones a partidos políticos e informes y estadísticas relevantes- y excluyen algunas exigidas expresamente -ayudas públicas e información estadística necesaria para valorar el grado de cumplimiento y calidad de los servicios públicos-. Habría que incorporar las faltantes y eliminar o trasladar las sobrantes a la parte de información  voluntaria o a las sub-categorías a que pertenecen.  </w:t>
      </w:r>
    </w:p>
    <w:p w:rsidR="003316F3" w:rsidRDefault="003316F3" w:rsidP="005750D1">
      <w:pPr>
        <w:pStyle w:val="Prrafodelista"/>
        <w:numPr>
          <w:ilvl w:val="0"/>
          <w:numId w:val="41"/>
        </w:numPr>
        <w:ind w:left="357" w:hanging="357"/>
        <w:jc w:val="both"/>
        <w:rPr>
          <w:b/>
          <w:u w:val="single"/>
        </w:rPr>
      </w:pPr>
      <w:r w:rsidRPr="00DA0B8B">
        <w:rPr>
          <w:b/>
          <w:u w:val="single"/>
        </w:rPr>
        <w:t>Acceso por Ministerios</w:t>
      </w:r>
      <w:r w:rsidR="006D4DBD">
        <w:rPr>
          <w:b/>
          <w:u w:val="single"/>
        </w:rPr>
        <w:t>.</w:t>
      </w:r>
    </w:p>
    <w:p w:rsidR="006D4DBD" w:rsidRPr="00DA0B8B" w:rsidRDefault="006D4DBD" w:rsidP="006D4DBD">
      <w:pPr>
        <w:pStyle w:val="Prrafodelista"/>
        <w:ind w:left="357"/>
        <w:jc w:val="both"/>
        <w:rPr>
          <w:b/>
          <w:u w:val="single"/>
        </w:rPr>
      </w:pPr>
    </w:p>
    <w:p w:rsidR="003316F3" w:rsidRPr="005A6843" w:rsidRDefault="003316F3" w:rsidP="00AA712B">
      <w:pPr>
        <w:jc w:val="both"/>
      </w:pPr>
      <w:r w:rsidRPr="005A6843">
        <w:t>Debería clarificarse al máximo el alcance del acceso a la información por Ministerios, señalando que conduce no solo a información de los Ministerios sino también a la del resto de los órganos de la AGE: Delegaciones y Subdelegaciones del Gobierno, servicios no integrados y Misiones en el exterior. Cuando menos debería especificarse que la información incluye no solamente datos relativos a los servicios centrales de los Ministerios sino también a sus servicios periféricos o del exterior.</w:t>
      </w:r>
    </w:p>
    <w:p w:rsidR="003316F3" w:rsidRPr="005A6843" w:rsidRDefault="003316F3" w:rsidP="00AA712B">
      <w:pPr>
        <w:jc w:val="both"/>
      </w:pPr>
      <w:r w:rsidRPr="005A6843">
        <w:t xml:space="preserve"> Sería también conveniente que los datos de los organismos vinculados y dependientes de los Ministerios figurasen como información complementaria y no se confundieran con las informaciones obligatorias que deben incorporarse al Portal por expresa disposición legal.</w:t>
      </w:r>
    </w:p>
    <w:p w:rsidR="003316F3" w:rsidRDefault="0011773E" w:rsidP="005750D1">
      <w:pPr>
        <w:pStyle w:val="Prrafodelista"/>
        <w:numPr>
          <w:ilvl w:val="0"/>
          <w:numId w:val="41"/>
        </w:numPr>
        <w:ind w:left="357" w:hanging="357"/>
        <w:jc w:val="both"/>
        <w:rPr>
          <w:b/>
          <w:u w:val="single"/>
        </w:rPr>
      </w:pPr>
      <w:r w:rsidRPr="00DA0B8B">
        <w:rPr>
          <w:b/>
          <w:u w:val="single"/>
        </w:rPr>
        <w:t xml:space="preserve">Dificultades para la localización de </w:t>
      </w:r>
      <w:r w:rsidR="003316F3" w:rsidRPr="00DA0B8B">
        <w:rPr>
          <w:b/>
          <w:u w:val="single"/>
        </w:rPr>
        <w:t>datos o informaciones obligatorias</w:t>
      </w:r>
      <w:r w:rsidR="006D4DBD">
        <w:rPr>
          <w:b/>
          <w:u w:val="single"/>
        </w:rPr>
        <w:t>.</w:t>
      </w:r>
    </w:p>
    <w:p w:rsidR="006D4DBD" w:rsidRPr="00DA0B8B" w:rsidRDefault="006D4DBD" w:rsidP="006D4DBD">
      <w:pPr>
        <w:pStyle w:val="Prrafodelista"/>
        <w:ind w:left="357"/>
        <w:jc w:val="both"/>
        <w:rPr>
          <w:b/>
          <w:u w:val="single"/>
        </w:rPr>
      </w:pPr>
    </w:p>
    <w:p w:rsidR="0011773E" w:rsidRPr="005A6843" w:rsidRDefault="0011773E" w:rsidP="00AA712B">
      <w:pPr>
        <w:jc w:val="both"/>
      </w:pPr>
      <w:r w:rsidRPr="005A6843">
        <w:t xml:space="preserve">Si bien los datos correspondientes se encuentran incorporados al Portal, algunas informaciones obligatorias de publicación obligatoria conforme con la </w:t>
      </w:r>
      <w:r w:rsidR="008249FA">
        <w:t>l</w:t>
      </w:r>
      <w:r w:rsidR="001C41A6">
        <w:t>ey</w:t>
      </w:r>
      <w:r w:rsidR="00E768A4">
        <w:t xml:space="preserve"> de transparencia</w:t>
      </w:r>
      <w:r w:rsidRPr="005A6843">
        <w:t xml:space="preserve"> no se localizan en el lugar señalado para ello, lo que genera dificultades para acceder a su contenido.</w:t>
      </w:r>
    </w:p>
    <w:p w:rsidR="003316F3" w:rsidRPr="005A6843" w:rsidRDefault="00F73EAE" w:rsidP="00AA712B">
      <w:pPr>
        <w:jc w:val="both"/>
      </w:pPr>
      <w:r w:rsidRPr="005A6843">
        <w:t xml:space="preserve">Dentro de </w:t>
      </w:r>
      <w:r w:rsidR="003316F3" w:rsidRPr="005A6843">
        <w:t xml:space="preserve">la categoría de información institucional, </w:t>
      </w:r>
      <w:r w:rsidR="000E2ABA" w:rsidRPr="005A6843">
        <w:t xml:space="preserve">de acuerdo con lo dispuesto en el artículo 6.1 de la </w:t>
      </w:r>
      <w:r w:rsidR="008249FA">
        <w:t>l</w:t>
      </w:r>
      <w:r w:rsidR="001C41A6">
        <w:t>ey</w:t>
      </w:r>
      <w:r w:rsidR="00E768A4">
        <w:t xml:space="preserve"> de transparencia</w:t>
      </w:r>
      <w:r w:rsidR="000E2ABA" w:rsidRPr="005A6843">
        <w:t xml:space="preserve">, </w:t>
      </w:r>
      <w:r w:rsidR="003316F3" w:rsidRPr="005A6843">
        <w:t xml:space="preserve">faltaría la información relativa a la normativa de aplicación a la AGE y a los órganos que la integran. </w:t>
      </w:r>
    </w:p>
    <w:p w:rsidR="003316F3" w:rsidRPr="005A6843" w:rsidRDefault="003316F3" w:rsidP="00AA712B">
      <w:pPr>
        <w:jc w:val="both"/>
      </w:pPr>
      <w:r w:rsidRPr="005A6843">
        <w:t>En la categoría de información de relevancia jurídica: faltaría</w:t>
      </w:r>
      <w:r w:rsidR="000E2ABA" w:rsidRPr="005A6843">
        <w:t>,</w:t>
      </w:r>
      <w:r w:rsidRPr="005A6843">
        <w:t xml:space="preserve"> </w:t>
      </w:r>
      <w:r w:rsidR="000E2ABA" w:rsidRPr="005A6843">
        <w:t>como sub</w:t>
      </w:r>
      <w:r w:rsidR="00FD5DD9" w:rsidRPr="005A6843">
        <w:t>-</w:t>
      </w:r>
      <w:r w:rsidR="000E2ABA" w:rsidRPr="005A6843">
        <w:t xml:space="preserve">categoría propia y no dentro de la de </w:t>
      </w:r>
      <w:r w:rsidR="000E2ABA" w:rsidRPr="006D4DBD">
        <w:rPr>
          <w:i/>
        </w:rPr>
        <w:t>“Otras disposiciones”</w:t>
      </w:r>
      <w:r w:rsidR="000E2ABA" w:rsidRPr="005A6843">
        <w:t xml:space="preserve">, </w:t>
      </w:r>
      <w:r w:rsidRPr="005A6843">
        <w:t>la información correspondiente a los documentos sometidos a un período de información pública durante su tramitación.</w:t>
      </w:r>
    </w:p>
    <w:p w:rsidR="003316F3" w:rsidRPr="005A6843" w:rsidRDefault="003316F3" w:rsidP="00AA712B">
      <w:pPr>
        <w:jc w:val="both"/>
      </w:pPr>
      <w:r w:rsidRPr="005A6843">
        <w:t>Finalmente, en la categoría de información económica y presupuestaria, faltaría la información de los contratos adjudicados directamente, incluidos los menores</w:t>
      </w:r>
      <w:r w:rsidR="004C2E95" w:rsidRPr="005A6843">
        <w:t xml:space="preserve">, que según la </w:t>
      </w:r>
      <w:r w:rsidR="008249FA">
        <w:t>l</w:t>
      </w:r>
      <w:r w:rsidR="001C41A6">
        <w:t>ey</w:t>
      </w:r>
      <w:r w:rsidR="00E768A4">
        <w:t xml:space="preserve"> de transparencia</w:t>
      </w:r>
      <w:r w:rsidR="004C2E95" w:rsidRPr="005A6843">
        <w:t xml:space="preserve"> constituyen una sub</w:t>
      </w:r>
      <w:r w:rsidR="00FD5DD9" w:rsidRPr="005A6843">
        <w:t>-</w:t>
      </w:r>
      <w:r w:rsidR="004C2E95" w:rsidRPr="005A6843">
        <w:t>categoría diferenciada dentro de los contratos</w:t>
      </w:r>
      <w:r w:rsidRPr="005A6843">
        <w:t>; los datos relativos a las modificaciones del contrato y a las decisiones de desistimiento y renuncia de los contratos</w:t>
      </w:r>
      <w:r w:rsidR="003D2A98" w:rsidRPr="005A6843">
        <w:t>, cuya información podría cuando menos obtenerse con inclusión de filtros sobre las mismas</w:t>
      </w:r>
      <w:r w:rsidR="00F73EAE" w:rsidRPr="005A6843">
        <w:t xml:space="preserve"> en el buscador</w:t>
      </w:r>
      <w:r w:rsidRPr="005A6843">
        <w:t xml:space="preserve">; la información relativa a las ayudas públicas concedidas y las estadísticas necesarias para valorar el grado de cumplimiento y calidad de los servicios públicos. </w:t>
      </w:r>
    </w:p>
    <w:p w:rsidR="003316F3" w:rsidRDefault="003316F3" w:rsidP="005750D1">
      <w:pPr>
        <w:pStyle w:val="Prrafodelista"/>
        <w:numPr>
          <w:ilvl w:val="0"/>
          <w:numId w:val="41"/>
        </w:numPr>
        <w:ind w:left="357" w:hanging="357"/>
        <w:jc w:val="both"/>
        <w:rPr>
          <w:b/>
          <w:u w:val="single"/>
        </w:rPr>
      </w:pPr>
      <w:r w:rsidRPr="00DA0B8B">
        <w:rPr>
          <w:b/>
          <w:u w:val="single"/>
        </w:rPr>
        <w:t>Información sobre “Normativa en elaboración”</w:t>
      </w:r>
      <w:r w:rsidR="006D4DBD">
        <w:rPr>
          <w:b/>
          <w:u w:val="single"/>
        </w:rPr>
        <w:t>.</w:t>
      </w:r>
    </w:p>
    <w:p w:rsidR="006D4DBD" w:rsidRPr="00DA0B8B" w:rsidRDefault="006D4DBD" w:rsidP="006D4DBD">
      <w:pPr>
        <w:pStyle w:val="Prrafodelista"/>
        <w:ind w:left="357"/>
        <w:jc w:val="both"/>
        <w:rPr>
          <w:b/>
          <w:u w:val="single"/>
        </w:rPr>
      </w:pPr>
    </w:p>
    <w:p w:rsidR="003316F3" w:rsidRPr="005A6843" w:rsidRDefault="003316F3" w:rsidP="00AA712B">
      <w:pPr>
        <w:jc w:val="both"/>
      </w:pPr>
      <w:r w:rsidRPr="005A6843">
        <w:t xml:space="preserve">Debería desdoblarse la sub-categoría en dos: </w:t>
      </w:r>
      <w:r w:rsidRPr="006D4DBD">
        <w:rPr>
          <w:i/>
        </w:rPr>
        <w:t>“Anteproyectos de</w:t>
      </w:r>
      <w:r w:rsidR="008249FA">
        <w:rPr>
          <w:i/>
        </w:rPr>
        <w:t xml:space="preserve"> ley</w:t>
      </w:r>
      <w:r w:rsidRPr="006D4DBD">
        <w:rPr>
          <w:i/>
        </w:rPr>
        <w:t xml:space="preserve"> y Proyectos de Decretos Legislativos en elaboración”</w:t>
      </w:r>
      <w:r w:rsidRPr="005A6843">
        <w:t xml:space="preserve"> y </w:t>
      </w:r>
      <w:r w:rsidRPr="006D4DBD">
        <w:rPr>
          <w:i/>
        </w:rPr>
        <w:t>“Proyectos de Reglamento en elaboración”</w:t>
      </w:r>
      <w:r w:rsidRPr="005A6843">
        <w:t xml:space="preserve">. En esta última deberían incluirse los Proyectos de </w:t>
      </w:r>
      <w:r w:rsidR="002C058D" w:rsidRPr="005A6843">
        <w:t>Órdenes</w:t>
      </w:r>
      <w:r w:rsidRPr="005A6843">
        <w:t xml:space="preserve"> ministeriales –siempre que puedan considerarse normas jurídicas y no actos administrativos- junto con los informes y memorias elaborados durante su tramitación.</w:t>
      </w:r>
    </w:p>
    <w:p w:rsidR="003316F3" w:rsidRDefault="003316F3" w:rsidP="005750D1">
      <w:pPr>
        <w:pStyle w:val="Prrafodelista"/>
        <w:numPr>
          <w:ilvl w:val="0"/>
          <w:numId w:val="41"/>
        </w:numPr>
        <w:ind w:left="357" w:hanging="357"/>
        <w:jc w:val="both"/>
        <w:rPr>
          <w:b/>
          <w:u w:val="single"/>
        </w:rPr>
      </w:pPr>
      <w:r w:rsidRPr="00DA0B8B">
        <w:rPr>
          <w:b/>
          <w:u w:val="single"/>
        </w:rPr>
        <w:t>Información sobre “Otras Disposiciones”</w:t>
      </w:r>
      <w:r w:rsidR="006D4DBD">
        <w:rPr>
          <w:b/>
          <w:u w:val="single"/>
        </w:rPr>
        <w:t>.</w:t>
      </w:r>
    </w:p>
    <w:p w:rsidR="006D4DBD" w:rsidRPr="00DA0B8B" w:rsidRDefault="006D4DBD" w:rsidP="006D4DBD">
      <w:pPr>
        <w:pStyle w:val="Prrafodelista"/>
        <w:ind w:left="357"/>
        <w:jc w:val="both"/>
        <w:rPr>
          <w:b/>
          <w:u w:val="single"/>
        </w:rPr>
      </w:pPr>
    </w:p>
    <w:p w:rsidR="003316F3" w:rsidRPr="005A6843" w:rsidRDefault="003316F3" w:rsidP="00AA712B">
      <w:pPr>
        <w:jc w:val="both"/>
      </w:pPr>
      <w:r w:rsidRPr="005A6843">
        <w:t>Deberían suprimirse los datos correspondientes a las Órdenes ministeriales o, trasladarse, en todo caso, a la parte de información de publicación voluntaria del Portal.</w:t>
      </w:r>
    </w:p>
    <w:p w:rsidR="003316F3" w:rsidRPr="005A6843" w:rsidRDefault="003316F3" w:rsidP="00AA712B">
      <w:pPr>
        <w:jc w:val="both"/>
      </w:pPr>
      <w:r w:rsidRPr="005A6843">
        <w:t xml:space="preserve">Así mismo, para mayor claridad y comprensibilidad de la información –y también para facilitar el uso del buscador- sería necesario mejorar la ordenación sistemática de los datos y aproximar la terminología empleada en las denominaciones “resolución”, “denuncia”, “doctrina”, “consulta”, </w:t>
      </w:r>
      <w:r w:rsidR="00235F53">
        <w:t>etc.</w:t>
      </w:r>
      <w:r w:rsidRPr="005A6843">
        <w:t>- a la utilizada por el art. 7 de la</w:t>
      </w:r>
      <w:r w:rsidR="008249FA">
        <w:t xml:space="preserve"> ley</w:t>
      </w:r>
      <w:r w:rsidR="00E768A4">
        <w:t xml:space="preserve"> de transparencia</w:t>
      </w:r>
      <w:r w:rsidRPr="005A6843">
        <w:t xml:space="preserve">: directrices, instrucciones, acuerdos, circulares y respuestas a consultas </w:t>
      </w:r>
    </w:p>
    <w:p w:rsidR="003316F3" w:rsidRDefault="003316F3" w:rsidP="005750D1">
      <w:pPr>
        <w:pStyle w:val="Prrafodelista"/>
        <w:numPr>
          <w:ilvl w:val="0"/>
          <w:numId w:val="41"/>
        </w:numPr>
        <w:ind w:left="357" w:hanging="357"/>
        <w:jc w:val="both"/>
        <w:rPr>
          <w:b/>
          <w:u w:val="single"/>
        </w:rPr>
      </w:pPr>
      <w:r w:rsidRPr="00DA0B8B">
        <w:rPr>
          <w:b/>
          <w:u w:val="single"/>
        </w:rPr>
        <w:t>Información sobre contratos</w:t>
      </w:r>
      <w:r w:rsidR="006D4DBD">
        <w:rPr>
          <w:b/>
          <w:u w:val="single"/>
        </w:rPr>
        <w:t>.</w:t>
      </w:r>
    </w:p>
    <w:p w:rsidR="006D4DBD" w:rsidRPr="00DA0B8B" w:rsidRDefault="006D4DBD" w:rsidP="006D4DBD">
      <w:pPr>
        <w:pStyle w:val="Prrafodelista"/>
        <w:ind w:left="357"/>
        <w:jc w:val="both"/>
        <w:rPr>
          <w:b/>
          <w:u w:val="single"/>
        </w:rPr>
      </w:pPr>
    </w:p>
    <w:p w:rsidR="003316F3" w:rsidRPr="005A6843" w:rsidRDefault="003316F3" w:rsidP="00AA712B">
      <w:pPr>
        <w:jc w:val="both"/>
      </w:pPr>
      <w:r w:rsidRPr="005A6843">
        <w:t>Debería clarificarse expresamente el criterio seguido para la selección de los contratos que se publican a fin de posibilitar su conocimiento por el usuario del Portal. Análogamente, deberían clarificarse los órganos de contratación.</w:t>
      </w:r>
    </w:p>
    <w:p w:rsidR="003316F3" w:rsidRPr="005A6843" w:rsidRDefault="003316F3" w:rsidP="00AA712B">
      <w:pPr>
        <w:jc w:val="both"/>
      </w:pPr>
      <w:r w:rsidRPr="005A6843">
        <w:t>Igualmente debería agruparse la información con algún criterio sistemático que permitiera su manejo, especialmente cuando la información fuera muy voluminosa. La consulta de la relación de contratos resulta excesivamente compleja y farragosa, máxime cuando en cada pantalla se ofrecen únicamente 10 resultados. Así, p. ej., en el caso del Ministerio del Interior (MIR) se ofrecen más de 10.000 resultados de contratación, lo que implica la consulta de más de 1000 pantallas. Así también, en los casos del MINHAFP o el MFOM se ofrecen más de 9.300 resultados, 900 pantallas. Obviamente, el recurso técnico para evitar búsquedas secuenciales es el buscador, pero el uso no es simple para el ciudadano poco avezado en cuestiones de contrat</w:t>
      </w:r>
      <w:r w:rsidR="007B2C8E" w:rsidRPr="005A6843">
        <w:t>a</w:t>
      </w:r>
      <w:r w:rsidRPr="005A6843">
        <w:t>ción pública o, frecuentemente, desconocedor de la mayor parte de los detalles procedimentales de la contratación o contrataciones que quiere consultar.</w:t>
      </w:r>
    </w:p>
    <w:p w:rsidR="003316F3" w:rsidRPr="005A6843" w:rsidRDefault="003316F3" w:rsidP="00AA712B">
      <w:pPr>
        <w:jc w:val="both"/>
      </w:pPr>
      <w:r w:rsidRPr="005A6843">
        <w:t>Finalmente, debería ofrecerse separadamente la información relativa a los contratos menores.</w:t>
      </w:r>
    </w:p>
    <w:p w:rsidR="003316F3" w:rsidRDefault="003316F3" w:rsidP="005750D1">
      <w:pPr>
        <w:pStyle w:val="Prrafodelista"/>
        <w:numPr>
          <w:ilvl w:val="0"/>
          <w:numId w:val="41"/>
        </w:numPr>
        <w:ind w:left="357" w:hanging="357"/>
        <w:jc w:val="both"/>
        <w:rPr>
          <w:b/>
          <w:u w:val="single"/>
        </w:rPr>
      </w:pPr>
      <w:r w:rsidRPr="00DA0B8B">
        <w:rPr>
          <w:b/>
          <w:u w:val="single"/>
        </w:rPr>
        <w:t>Información sobre convenios y encomiendas de gestión</w:t>
      </w:r>
      <w:r w:rsidR="006D4DBD">
        <w:rPr>
          <w:b/>
          <w:u w:val="single"/>
        </w:rPr>
        <w:t>.</w:t>
      </w:r>
    </w:p>
    <w:p w:rsidR="006D4DBD" w:rsidRPr="00DA0B8B" w:rsidRDefault="006D4DBD" w:rsidP="006D4DBD">
      <w:pPr>
        <w:pStyle w:val="Prrafodelista"/>
        <w:ind w:left="357"/>
        <w:jc w:val="both"/>
        <w:rPr>
          <w:b/>
          <w:u w:val="single"/>
        </w:rPr>
      </w:pPr>
    </w:p>
    <w:p w:rsidR="003316F3" w:rsidRPr="005A6843" w:rsidRDefault="003316F3" w:rsidP="00AA712B">
      <w:pPr>
        <w:jc w:val="both"/>
      </w:pPr>
      <w:r w:rsidRPr="005A6843">
        <w:t>Debería separarse la inf</w:t>
      </w:r>
      <w:r w:rsidR="001D2003" w:rsidRPr="005A6843">
        <w:t>ormación sobre ambas figuras para facilitar la búsqueda</w:t>
      </w:r>
      <w:r w:rsidRPr="005A6843">
        <w:t>.</w:t>
      </w:r>
    </w:p>
    <w:p w:rsidR="003316F3" w:rsidRDefault="003316F3" w:rsidP="005750D1">
      <w:pPr>
        <w:pStyle w:val="Prrafodelista"/>
        <w:numPr>
          <w:ilvl w:val="0"/>
          <w:numId w:val="41"/>
        </w:numPr>
        <w:ind w:left="357" w:hanging="357"/>
        <w:jc w:val="both"/>
        <w:rPr>
          <w:b/>
          <w:u w:val="single"/>
        </w:rPr>
      </w:pPr>
      <w:r w:rsidRPr="00DA0B8B">
        <w:rPr>
          <w:b/>
          <w:u w:val="single"/>
        </w:rPr>
        <w:t>Información sobre bienes inmuebles</w:t>
      </w:r>
      <w:r w:rsidR="006D4DBD">
        <w:rPr>
          <w:b/>
          <w:u w:val="single"/>
        </w:rPr>
        <w:t>.</w:t>
      </w:r>
    </w:p>
    <w:p w:rsidR="006D4DBD" w:rsidRPr="00DA0B8B" w:rsidRDefault="006D4DBD" w:rsidP="006D4DBD">
      <w:pPr>
        <w:pStyle w:val="Prrafodelista"/>
        <w:ind w:left="357"/>
        <w:jc w:val="both"/>
        <w:rPr>
          <w:b/>
          <w:u w:val="single"/>
        </w:rPr>
      </w:pPr>
    </w:p>
    <w:p w:rsidR="003316F3" w:rsidRPr="005A6843" w:rsidRDefault="003316F3" w:rsidP="00AA712B">
      <w:pPr>
        <w:jc w:val="both"/>
      </w:pPr>
      <w:r w:rsidRPr="005A6843">
        <w:t>La información debería especificar si la titularidad de la AGE se basa en la propiedad o en otro derecho real y proporcionar alguna indicación sobre el uso a que se destina el inmueble</w:t>
      </w:r>
      <w:r w:rsidR="008D15EA" w:rsidRPr="005A6843">
        <w:t>.</w:t>
      </w:r>
    </w:p>
    <w:p w:rsidR="003316F3" w:rsidRDefault="003316F3" w:rsidP="005750D1">
      <w:pPr>
        <w:pStyle w:val="Prrafodelista"/>
        <w:numPr>
          <w:ilvl w:val="0"/>
          <w:numId w:val="41"/>
        </w:numPr>
        <w:ind w:left="357" w:hanging="357"/>
        <w:jc w:val="both"/>
        <w:rPr>
          <w:b/>
          <w:u w:val="single"/>
        </w:rPr>
      </w:pPr>
      <w:r w:rsidRPr="00DA0B8B">
        <w:rPr>
          <w:b/>
          <w:u w:val="single"/>
        </w:rPr>
        <w:t>Información presupuestaria</w:t>
      </w:r>
      <w:r w:rsidR="006D4DBD">
        <w:rPr>
          <w:b/>
          <w:u w:val="single"/>
        </w:rPr>
        <w:t>.</w:t>
      </w:r>
    </w:p>
    <w:p w:rsidR="006D4DBD" w:rsidRPr="00DA0B8B" w:rsidRDefault="006D4DBD" w:rsidP="006D4DBD">
      <w:pPr>
        <w:pStyle w:val="Prrafodelista"/>
        <w:ind w:left="357"/>
        <w:jc w:val="both"/>
        <w:rPr>
          <w:b/>
          <w:u w:val="single"/>
        </w:rPr>
      </w:pPr>
    </w:p>
    <w:p w:rsidR="003316F3" w:rsidRPr="005A6843" w:rsidRDefault="003316F3" w:rsidP="00AA712B">
      <w:pPr>
        <w:jc w:val="both"/>
      </w:pPr>
      <w:r w:rsidRPr="005A6843">
        <w:t xml:space="preserve">Con carácter general, la información debería mejorarse desde el punto de vista de la comprensibilidad. Sería conveniente completar los datos con material gráfico –tablas, cuadros, infografías, </w:t>
      </w:r>
      <w:r w:rsidR="00235F53">
        <w:t>etc.</w:t>
      </w:r>
      <w:r w:rsidRPr="005A6843">
        <w:t>- que suelen ser un elemento básico de comprensión en materia de rendición de cuentas o con resúmenes de los documentos más extensos.</w:t>
      </w:r>
    </w:p>
    <w:p w:rsidR="004E1571" w:rsidRDefault="004E1571" w:rsidP="005750D1">
      <w:pPr>
        <w:pStyle w:val="Prrafodelista"/>
        <w:numPr>
          <w:ilvl w:val="0"/>
          <w:numId w:val="41"/>
        </w:numPr>
        <w:ind w:left="357" w:hanging="357"/>
        <w:jc w:val="both"/>
        <w:rPr>
          <w:b/>
          <w:u w:val="single"/>
        </w:rPr>
      </w:pPr>
      <w:r w:rsidRPr="00DA0B8B">
        <w:rPr>
          <w:b/>
          <w:u w:val="single"/>
        </w:rPr>
        <w:t>Transparencia voluntaria</w:t>
      </w:r>
      <w:r w:rsidR="006D4DBD">
        <w:rPr>
          <w:b/>
          <w:u w:val="single"/>
        </w:rPr>
        <w:t>.</w:t>
      </w:r>
    </w:p>
    <w:p w:rsidR="006D4DBD" w:rsidRPr="00DA0B8B" w:rsidRDefault="006D4DBD" w:rsidP="006D4DBD">
      <w:pPr>
        <w:pStyle w:val="Prrafodelista"/>
        <w:ind w:left="357"/>
        <w:jc w:val="both"/>
        <w:rPr>
          <w:b/>
          <w:u w:val="single"/>
        </w:rPr>
      </w:pPr>
    </w:p>
    <w:p w:rsidR="005B5A48" w:rsidRPr="005A6843" w:rsidRDefault="004E1571" w:rsidP="00AA712B">
      <w:pPr>
        <w:jc w:val="both"/>
      </w:pPr>
      <w:r w:rsidRPr="005A6843">
        <w:t xml:space="preserve">Para mayor claridad, debería crearse un contenido informativo o un apartado específico en el Portal denominado </w:t>
      </w:r>
      <w:r w:rsidRPr="006D4DBD">
        <w:rPr>
          <w:i/>
        </w:rPr>
        <w:t>“Transparencia voluntaria”</w:t>
      </w:r>
      <w:r w:rsidRPr="005A6843">
        <w:t xml:space="preserve"> o </w:t>
      </w:r>
      <w:r w:rsidRPr="006D4DBD">
        <w:rPr>
          <w:i/>
        </w:rPr>
        <w:t>“Información de relevancia del art. 5 de la</w:t>
      </w:r>
      <w:r w:rsidR="008249FA">
        <w:rPr>
          <w:i/>
        </w:rPr>
        <w:t xml:space="preserve"> ley</w:t>
      </w:r>
      <w:r w:rsidRPr="006D4DBD">
        <w:rPr>
          <w:i/>
        </w:rPr>
        <w:t>”</w:t>
      </w:r>
      <w:r w:rsidRPr="005A6843">
        <w:t xml:space="preserve"> que integraría los numerosos datos o informaciones que incorpora y que no coinciden con los enumerados en los arts. 6 a 8 de la</w:t>
      </w:r>
      <w:r w:rsidR="008249FA">
        <w:t xml:space="preserve"> ley</w:t>
      </w:r>
      <w:r w:rsidR="00E768A4">
        <w:t xml:space="preserve"> de transparencia</w:t>
      </w:r>
      <w:r w:rsidRPr="005A6843">
        <w:t xml:space="preserve"> </w:t>
      </w:r>
      <w:r w:rsidR="00B13EE4" w:rsidRPr="005A6843">
        <w:t xml:space="preserve">(información sobre Gobierno Abierto, sobre procesos de participación pública en la elaboración normativa, Relaciones de Puestos de Trabajo, información sobre CCAA, Información sobre entes públicos, estadísticas de interés, más información presupuestaria, </w:t>
      </w:r>
      <w:r w:rsidR="00235F53">
        <w:t>etc.</w:t>
      </w:r>
      <w:r w:rsidR="00B13EE4" w:rsidRPr="005A6843">
        <w:t>).</w:t>
      </w:r>
    </w:p>
    <w:p w:rsidR="00EB6EBF" w:rsidRPr="005A6843" w:rsidRDefault="00B13EE4" w:rsidP="00AA712B">
      <w:pPr>
        <w:jc w:val="both"/>
      </w:pPr>
      <w:r w:rsidRPr="005A6843">
        <w:t xml:space="preserve">Paralelamente, debería valorarse la posibilidad de completar el contenido del Portal con alguna de las informaciones o datos de transparencia no obligatoria considerados relevantes por este CTBG, especialmente las Agendas del Presidente, los miembros del Gobierno o los Secretarios de Estado en el sentido de la Recomendación </w:t>
      </w:r>
      <w:r w:rsidR="00337556" w:rsidRPr="005A6843">
        <w:t>1/2017, de 23 de abril, de la Presidenta del Consejo.</w:t>
      </w:r>
    </w:p>
    <w:p w:rsidR="0038108F" w:rsidRPr="001B6A7A" w:rsidRDefault="0038108F" w:rsidP="001B6A7A">
      <w:pPr>
        <w:pStyle w:val="Ttulo"/>
      </w:pPr>
      <w:r w:rsidRPr="005A6843">
        <w:br w:type="page"/>
      </w:r>
      <w:bookmarkStart w:id="199" w:name="_Toc498345395"/>
      <w:bookmarkStart w:id="200" w:name="_Toc500416527"/>
      <w:bookmarkStart w:id="201" w:name="_Toc501110679"/>
      <w:r w:rsidRPr="001B6A7A">
        <w:t>ANEXO</w:t>
      </w:r>
      <w:r w:rsidR="001B6A7A" w:rsidRPr="001B6A7A">
        <w:t xml:space="preserve">. </w:t>
      </w:r>
      <w:r w:rsidRPr="001B6A7A">
        <w:t>CONTENIDO POR MINISTERIOS</w:t>
      </w:r>
      <w:bookmarkEnd w:id="199"/>
      <w:bookmarkEnd w:id="200"/>
      <w:bookmarkEnd w:id="201"/>
    </w:p>
    <w:p w:rsidR="0038108F" w:rsidRPr="005A6843" w:rsidRDefault="00631304" w:rsidP="00AA712B">
      <w:pPr>
        <w:jc w:val="both"/>
      </w:pPr>
      <w:r>
        <w:rPr>
          <w:noProof/>
          <w:lang w:eastAsia="es-ES"/>
        </w:rPr>
        <w:drawing>
          <wp:anchor distT="0" distB="0" distL="114300" distR="114300" simplePos="0" relativeHeight="251799552" behindDoc="0" locked="0" layoutInCell="1" allowOverlap="1">
            <wp:simplePos x="0" y="0"/>
            <wp:positionH relativeFrom="column">
              <wp:posOffset>8255</wp:posOffset>
            </wp:positionH>
            <wp:positionV relativeFrom="paragraph">
              <wp:posOffset>9525</wp:posOffset>
            </wp:positionV>
            <wp:extent cx="3296920" cy="2197100"/>
            <wp:effectExtent l="19050" t="0" r="0" b="0"/>
            <wp:wrapSquare wrapText="bothSides"/>
            <wp:docPr id="678" name="677 Imagen" descr="Edificio minist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ficio ministerio.jpg"/>
                    <pic:cNvPicPr/>
                  </pic:nvPicPr>
                  <pic:blipFill>
                    <a:blip r:embed="rId59" cstate="print"/>
                    <a:stretch>
                      <a:fillRect/>
                    </a:stretch>
                  </pic:blipFill>
                  <pic:spPr>
                    <a:xfrm>
                      <a:off x="0" y="0"/>
                      <a:ext cx="3296920" cy="2197100"/>
                    </a:xfrm>
                    <a:prstGeom prst="rect">
                      <a:avLst/>
                    </a:prstGeom>
                  </pic:spPr>
                </pic:pic>
              </a:graphicData>
            </a:graphic>
          </wp:anchor>
        </w:drawing>
      </w:r>
      <w:r w:rsidR="0038108F" w:rsidRPr="005A6843">
        <w:t>Como se ha dicho, con carácter complementario a la valoración del Portal AGE, se ha estimado conveniente hacer una valoración, siquiera sintética, de los contenidos incorporados a los distintos menús de transparencia por Ministerios que figuran en el Portal. El objetivo es simplemente informativo –la valoración que debe tenerse en cuenta es la global del Portal- pero la valoración puede también contribuir a la mejora del Portal en la medida en que puede ser de utilidad para los responsables del mismo tanto a la hora de recabar de los distintos Departamentos la aportación de nuevos datos como de solicitarles la revisión de la información facilitada hasta ahora.</w:t>
      </w:r>
    </w:p>
    <w:p w:rsidR="0038108F" w:rsidRPr="005A6843" w:rsidRDefault="0038108F" w:rsidP="001B6A7A">
      <w:pPr>
        <w:jc w:val="both"/>
      </w:pPr>
      <w:r w:rsidRPr="005A6843">
        <w:t>En este sentido, se incluye a continuación un examen pormenorizado de los contenidos de cada uno de los menús ministeriales que incorpora el Portal. Pero antes de pasar a ello, y en orden a evitar repeticiones innecesarias y tediosas, deben señalarse algunas cuestiones aplicables con carácter general a todos los menús ministeriales:</w:t>
      </w:r>
    </w:p>
    <w:p w:rsidR="0038108F" w:rsidRDefault="0038108F" w:rsidP="005750D1">
      <w:pPr>
        <w:pStyle w:val="Prrafodelista"/>
        <w:numPr>
          <w:ilvl w:val="0"/>
          <w:numId w:val="42"/>
        </w:numPr>
        <w:spacing w:line="276" w:lineRule="auto"/>
        <w:jc w:val="both"/>
      </w:pPr>
      <w:r w:rsidRPr="005A6843">
        <w:t>Primeramente, hay que tener en cuenta que el modelo y configuración general de los datos que figuran en cada una de los 15 elementos informativos o sub-categorías de información presentes en los menús ministeriales es común a todos ellos y es idéntico al modelo y configuración aplicados en cada uno de los elementos o sub-categorías informativas equivalentes del menú “globalizado” o general del Portal. Consecuentemente, presentan las mismas fortalezas y los mismos aspectos de mejora que dicho menú global. En este sentido deben tenerse por reproducidas en cada una de ellas las consideraciones efectuadas en relación con la presentación y contenido informativo de sus correlativas sub-categorías en la valoración general del Portal.</w:t>
      </w:r>
    </w:p>
    <w:p w:rsidR="00240EC3" w:rsidRPr="005A6843" w:rsidRDefault="00240EC3" w:rsidP="00240EC3">
      <w:pPr>
        <w:pStyle w:val="Prrafodelista"/>
        <w:spacing w:line="276" w:lineRule="auto"/>
        <w:jc w:val="both"/>
      </w:pPr>
    </w:p>
    <w:p w:rsidR="0038108F" w:rsidRDefault="0038108F" w:rsidP="005750D1">
      <w:pPr>
        <w:pStyle w:val="Prrafodelista"/>
        <w:numPr>
          <w:ilvl w:val="0"/>
          <w:numId w:val="42"/>
        </w:numPr>
        <w:spacing w:line="276" w:lineRule="auto"/>
        <w:jc w:val="both"/>
      </w:pPr>
      <w:r w:rsidRPr="005A6843">
        <w:t>En segundo lugar, salvo en el caso de Presidencia del Gobierno -que se halla orgánicamente en una situación especial-, en el resto de los menús ministeriales se da la misma circunstancia: faltan 13 de las sub-categorías o elementos de información que presenta el menú globalizado o general del Portal. Las sub-categorías faltantes son las siguientes:</w:t>
      </w:r>
    </w:p>
    <w:p w:rsidR="00240EC3" w:rsidRDefault="00240EC3" w:rsidP="00240EC3">
      <w:pPr>
        <w:pStyle w:val="Prrafodelista"/>
      </w:pPr>
    </w:p>
    <w:p w:rsidR="0038108F" w:rsidRDefault="0038108F" w:rsidP="005750D1">
      <w:pPr>
        <w:pStyle w:val="Prrafodelista"/>
        <w:numPr>
          <w:ilvl w:val="0"/>
          <w:numId w:val="43"/>
        </w:numPr>
        <w:spacing w:line="276" w:lineRule="auto"/>
        <w:jc w:val="both"/>
      </w:pPr>
      <w:r w:rsidRPr="005A6843">
        <w:t xml:space="preserve">En la categoría </w:t>
      </w:r>
      <w:r w:rsidRPr="001B6A7A">
        <w:rPr>
          <w:i/>
        </w:rPr>
        <w:t>“Institucional”</w:t>
      </w:r>
      <w:r w:rsidRPr="005A6843">
        <w:t>, cuatro sub-categorías: “</w:t>
      </w:r>
      <w:r w:rsidRPr="001B6A7A">
        <w:rPr>
          <w:i/>
        </w:rPr>
        <w:t>Entes del Sector Público Estatal”, “Autorizaciones de actividad de Altos Cargos”, “Indemnizaciones por abandono del cargo”</w:t>
      </w:r>
      <w:r w:rsidRPr="005A6843">
        <w:t xml:space="preserve"> y </w:t>
      </w:r>
      <w:r w:rsidRPr="001B6A7A">
        <w:rPr>
          <w:i/>
        </w:rPr>
        <w:t>“Autorizaciones o reconocimiento de compatibilidad de los empleados públicos”</w:t>
      </w:r>
      <w:r w:rsidRPr="005A6843">
        <w:t>.</w:t>
      </w:r>
    </w:p>
    <w:p w:rsidR="00240EC3" w:rsidRPr="005A6843" w:rsidRDefault="00240EC3" w:rsidP="00240EC3">
      <w:pPr>
        <w:pStyle w:val="Prrafodelista"/>
        <w:spacing w:line="276" w:lineRule="auto"/>
        <w:ind w:left="1068"/>
        <w:jc w:val="both"/>
      </w:pPr>
    </w:p>
    <w:p w:rsidR="0038108F" w:rsidRDefault="0038108F" w:rsidP="005750D1">
      <w:pPr>
        <w:pStyle w:val="Prrafodelista"/>
        <w:numPr>
          <w:ilvl w:val="0"/>
          <w:numId w:val="43"/>
        </w:numPr>
        <w:spacing w:line="276" w:lineRule="auto"/>
        <w:jc w:val="both"/>
      </w:pPr>
      <w:r w:rsidRPr="005A6843">
        <w:t xml:space="preserve">En la categoría </w:t>
      </w:r>
      <w:r w:rsidRPr="001B6A7A">
        <w:rPr>
          <w:i/>
        </w:rPr>
        <w:t>“Contratos, Convenios, Subvenciones y Bienes Inmuebles”</w:t>
      </w:r>
      <w:r w:rsidRPr="005A6843">
        <w:t xml:space="preserve">, igualmente cuatro sub-categorías: </w:t>
      </w:r>
      <w:r w:rsidR="00240EC3">
        <w:rPr>
          <w:i/>
        </w:rPr>
        <w:t>“Estadística de contratos,</w:t>
      </w:r>
      <w:r w:rsidRPr="001B6A7A">
        <w:rPr>
          <w:i/>
        </w:rPr>
        <w:t xml:space="preserve"> “Contratos basados en Acuerdos-Marco”</w:t>
      </w:r>
      <w:r w:rsidR="00240EC3">
        <w:rPr>
          <w:i/>
        </w:rPr>
        <w:t>,</w:t>
      </w:r>
      <w:r w:rsidRPr="001B6A7A">
        <w:rPr>
          <w:i/>
        </w:rPr>
        <w:t xml:space="preserve"> “Subvenciones”</w:t>
      </w:r>
      <w:r w:rsidRPr="005A6843">
        <w:t xml:space="preserve"> y </w:t>
      </w:r>
      <w:r w:rsidRPr="001B6A7A">
        <w:rPr>
          <w:i/>
        </w:rPr>
        <w:t>“Subvenciones a los partidos políticos”</w:t>
      </w:r>
      <w:r w:rsidRPr="005A6843">
        <w:t>.</w:t>
      </w:r>
    </w:p>
    <w:p w:rsidR="00240EC3" w:rsidRDefault="00240EC3" w:rsidP="00240EC3">
      <w:pPr>
        <w:pStyle w:val="Prrafodelista"/>
      </w:pPr>
    </w:p>
    <w:p w:rsidR="0038108F" w:rsidRDefault="0038108F" w:rsidP="005750D1">
      <w:pPr>
        <w:pStyle w:val="Prrafodelista"/>
        <w:numPr>
          <w:ilvl w:val="0"/>
          <w:numId w:val="43"/>
        </w:numPr>
        <w:spacing w:line="276" w:lineRule="auto"/>
        <w:jc w:val="both"/>
      </w:pPr>
      <w:r w:rsidRPr="005A6843">
        <w:t xml:space="preserve">Y en la categoría </w:t>
      </w:r>
      <w:r w:rsidRPr="001B6A7A">
        <w:rPr>
          <w:i/>
        </w:rPr>
        <w:t>“Presupuestos, Fiscalización e Informes”</w:t>
      </w:r>
      <w:r w:rsidRPr="005A6843">
        <w:t xml:space="preserve">, cinco sub-categorías: </w:t>
      </w:r>
      <w:r w:rsidRPr="001B6A7A">
        <w:rPr>
          <w:i/>
        </w:rPr>
        <w:t>“Ejecución Presupuestaria”</w:t>
      </w:r>
      <w:r w:rsidRPr="005A6843">
        <w:t xml:space="preserve">, </w:t>
      </w:r>
      <w:r w:rsidRPr="001B6A7A">
        <w:rPr>
          <w:i/>
        </w:rPr>
        <w:t>“Cuentas anuales e informes de auditoría”</w:t>
      </w:r>
      <w:r w:rsidRPr="005A6843">
        <w:t xml:space="preserve">, </w:t>
      </w:r>
      <w:r w:rsidRPr="001B6A7A">
        <w:rPr>
          <w:i/>
        </w:rPr>
        <w:t>“informes de fiscalización”, “Estabilidad presupuestaria”</w:t>
      </w:r>
      <w:r w:rsidRPr="005A6843">
        <w:t xml:space="preserve"> y </w:t>
      </w:r>
      <w:r w:rsidRPr="001B6A7A">
        <w:rPr>
          <w:i/>
        </w:rPr>
        <w:t>“Más información presupuestaria”</w:t>
      </w:r>
      <w:r w:rsidRPr="005A6843">
        <w:t>.</w:t>
      </w:r>
    </w:p>
    <w:p w:rsidR="00240EC3" w:rsidRDefault="00240EC3" w:rsidP="00240EC3">
      <w:pPr>
        <w:pStyle w:val="Prrafodelista"/>
      </w:pPr>
    </w:p>
    <w:p w:rsidR="0038108F" w:rsidRDefault="0038108F" w:rsidP="001B6A7A">
      <w:pPr>
        <w:ind w:left="708"/>
        <w:jc w:val="both"/>
      </w:pPr>
      <w:r w:rsidRPr="005A6843">
        <w:t>En relación con esta cuestión, deben darse por reproducidas aquí las reflexiones y comentarios efectuados en relación con dichos elementos o sub-categorías en el análisis general del Portal.</w:t>
      </w:r>
    </w:p>
    <w:p w:rsidR="0038108F" w:rsidRDefault="0038108F" w:rsidP="005750D1">
      <w:pPr>
        <w:pStyle w:val="Prrafodelista"/>
        <w:numPr>
          <w:ilvl w:val="0"/>
          <w:numId w:val="44"/>
        </w:numPr>
        <w:spacing w:line="276" w:lineRule="auto"/>
        <w:jc w:val="both"/>
      </w:pPr>
      <w:r w:rsidRPr="005A6843">
        <w:t>Finalmente, en relación con la estructuración por categorías de la información, hay que tener en cuenta que los menús ministeriales de transparencia presentan las mismas discrepancias con los arts. 6, 7 y 8 de la</w:t>
      </w:r>
      <w:r w:rsidR="008249FA">
        <w:t xml:space="preserve"> ley</w:t>
      </w:r>
      <w:r w:rsidR="00E768A4">
        <w:t xml:space="preserve"> de transparencia</w:t>
      </w:r>
      <w:r w:rsidRPr="005A6843">
        <w:t xml:space="preserve"> que el menú global del Portal.</w:t>
      </w:r>
    </w:p>
    <w:p w:rsidR="00240EC3" w:rsidRDefault="00240EC3" w:rsidP="00240EC3">
      <w:pPr>
        <w:pStyle w:val="Prrafodelista"/>
        <w:spacing w:line="276" w:lineRule="auto"/>
        <w:jc w:val="both"/>
      </w:pPr>
    </w:p>
    <w:p w:rsidR="0038108F" w:rsidRDefault="0038108F" w:rsidP="005750D1">
      <w:pPr>
        <w:pStyle w:val="Prrafodelista"/>
        <w:numPr>
          <w:ilvl w:val="0"/>
          <w:numId w:val="45"/>
        </w:numPr>
        <w:spacing w:line="276" w:lineRule="auto"/>
        <w:jc w:val="both"/>
      </w:pPr>
      <w:r w:rsidRPr="005A6843">
        <w:t>Así, en la</w:t>
      </w:r>
      <w:r w:rsidR="008249FA">
        <w:t xml:space="preserve"> ley</w:t>
      </w:r>
      <w:r w:rsidRPr="005A6843">
        <w:t xml:space="preserve"> existen tres categorías de información, </w:t>
      </w:r>
      <w:r w:rsidRPr="001B6A7A">
        <w:rPr>
          <w:i/>
        </w:rPr>
        <w:t>“Información institucional, organizativa y de planificación”, “Información de Relevancia Jurídica”</w:t>
      </w:r>
      <w:r w:rsidRPr="005A6843">
        <w:t xml:space="preserve"> e </w:t>
      </w:r>
      <w:r w:rsidRPr="001B6A7A">
        <w:rPr>
          <w:i/>
        </w:rPr>
        <w:t>”Información económica, presupuestaria y estadística”</w:t>
      </w:r>
      <w:r w:rsidRPr="005A6843">
        <w:t xml:space="preserve">, mientras que en el menú general y los menús ministeriales del Portal existen cuatro: </w:t>
      </w:r>
      <w:r w:rsidRPr="001B6A7A">
        <w:rPr>
          <w:i/>
        </w:rPr>
        <w:t>“Institucional”, “Normativa”, “Contratos, convenios, subvenciones y bienes inmuebles”</w:t>
      </w:r>
      <w:r w:rsidRPr="005A6843">
        <w:t xml:space="preserve"> y “</w:t>
      </w:r>
      <w:r w:rsidRPr="001B6A7A">
        <w:rPr>
          <w:i/>
        </w:rPr>
        <w:t>Presupuestos, fiscalización e informes”</w:t>
      </w:r>
      <w:r w:rsidR="00240EC3">
        <w:t>.</w:t>
      </w:r>
    </w:p>
    <w:p w:rsidR="00240EC3" w:rsidRDefault="00240EC3" w:rsidP="00240EC3">
      <w:pPr>
        <w:pStyle w:val="Prrafodelista"/>
        <w:spacing w:line="276" w:lineRule="auto"/>
        <w:ind w:left="1068"/>
        <w:jc w:val="both"/>
      </w:pPr>
    </w:p>
    <w:p w:rsidR="0038108F" w:rsidRDefault="0038108F" w:rsidP="005750D1">
      <w:pPr>
        <w:pStyle w:val="Prrafodelista"/>
        <w:numPr>
          <w:ilvl w:val="0"/>
          <w:numId w:val="45"/>
        </w:numPr>
        <w:spacing w:line="276" w:lineRule="auto"/>
        <w:jc w:val="both"/>
      </w:pPr>
      <w:r w:rsidRPr="005A6843">
        <w:t xml:space="preserve">Así también, en la categoría de información </w:t>
      </w:r>
      <w:r w:rsidRPr="001B6A7A">
        <w:rPr>
          <w:i/>
        </w:rPr>
        <w:t>“Institucional</w:t>
      </w:r>
      <w:r w:rsidRPr="005A6843">
        <w:t>” del menú general y los menús ministeriales del Portal falta la sub-categoría prevista en el art. 6 de la</w:t>
      </w:r>
      <w:r w:rsidR="008249FA">
        <w:t xml:space="preserve"> ley</w:t>
      </w:r>
      <w:r w:rsidRPr="005A6843">
        <w:t xml:space="preserve"> </w:t>
      </w:r>
      <w:r w:rsidRPr="001B6A7A">
        <w:rPr>
          <w:i/>
        </w:rPr>
        <w:t>“Normativa de aplicación”</w:t>
      </w:r>
      <w:r w:rsidRPr="005A6843">
        <w:t xml:space="preserve"> y sobran las sub-categorías </w:t>
      </w:r>
      <w:r w:rsidRPr="00240EC3">
        <w:rPr>
          <w:i/>
        </w:rPr>
        <w:t>“Retribuciones de los Altos Cargos”</w:t>
      </w:r>
      <w:r w:rsidRPr="005A6843">
        <w:t xml:space="preserve"> y </w:t>
      </w:r>
      <w:r w:rsidRPr="00240EC3">
        <w:rPr>
          <w:i/>
        </w:rPr>
        <w:t>“Relaciones de Puestos de Trabajo”.</w:t>
      </w:r>
      <w:r w:rsidRPr="005A6843">
        <w:t xml:space="preserve"> La primera debería figurar en la categoría  </w:t>
      </w:r>
      <w:r w:rsidRPr="00240EC3">
        <w:rPr>
          <w:i/>
        </w:rPr>
        <w:t>“Presupuestos, fiscalización e informes”</w:t>
      </w:r>
      <w:r w:rsidRPr="005A6843">
        <w:t xml:space="preserve"> y la segunda en el apartado de transparencia voluntaria que se</w:t>
      </w:r>
      <w:r w:rsidR="00240EC3">
        <w:t xml:space="preserve"> recomienda crear en el Portal.</w:t>
      </w:r>
    </w:p>
    <w:p w:rsidR="00240EC3" w:rsidRDefault="00240EC3" w:rsidP="00240EC3">
      <w:pPr>
        <w:pStyle w:val="Prrafodelista"/>
      </w:pPr>
    </w:p>
    <w:p w:rsidR="0038108F" w:rsidRPr="00240EC3" w:rsidRDefault="0038108F" w:rsidP="005750D1">
      <w:pPr>
        <w:pStyle w:val="Prrafodelista"/>
        <w:numPr>
          <w:ilvl w:val="0"/>
          <w:numId w:val="45"/>
        </w:numPr>
        <w:spacing w:line="276" w:lineRule="auto"/>
        <w:jc w:val="both"/>
      </w:pPr>
      <w:r w:rsidRPr="005A6843">
        <w:t xml:space="preserve">Igualmente, las sub-categorías </w:t>
      </w:r>
      <w:r w:rsidRPr="00240EC3">
        <w:rPr>
          <w:i/>
        </w:rPr>
        <w:t>“Normativa destacada”, “Normativa en elaboración”, “Normativa vigente”</w:t>
      </w:r>
      <w:r w:rsidRPr="005A6843">
        <w:t xml:space="preserve"> y “</w:t>
      </w:r>
      <w:r w:rsidRPr="00240EC3">
        <w:rPr>
          <w:i/>
        </w:rPr>
        <w:t>Otras disposiciones”</w:t>
      </w:r>
      <w:r w:rsidRPr="005A6843">
        <w:t xml:space="preserve"> de la categoría </w:t>
      </w:r>
      <w:r w:rsidRPr="00240EC3">
        <w:rPr>
          <w:i/>
        </w:rPr>
        <w:t>“Normativa”</w:t>
      </w:r>
      <w:r w:rsidRPr="005A6843">
        <w:t xml:space="preserve"> de los menús ministeriales del Portal no se corresponden con las establecidas en el art. 7 de la</w:t>
      </w:r>
      <w:r w:rsidR="008249FA">
        <w:t xml:space="preserve"> ley</w:t>
      </w:r>
      <w:r w:rsidR="00E768A4">
        <w:t xml:space="preserve"> de transparencia</w:t>
      </w:r>
      <w:r w:rsidRPr="005A6843">
        <w:t xml:space="preserve">: </w:t>
      </w:r>
      <w:r w:rsidRPr="00240EC3">
        <w:rPr>
          <w:i/>
        </w:rPr>
        <w:t xml:space="preserve">“Directrices, instrucciones, acuerdos, circulares o respuestas a consultas planteadas por los particulares u otros órganos”, “Anteproyectos de </w:t>
      </w:r>
      <w:r w:rsidR="001C41A6">
        <w:rPr>
          <w:i/>
        </w:rPr>
        <w:t>Ley</w:t>
      </w:r>
      <w:r w:rsidRPr="00240EC3">
        <w:rPr>
          <w:i/>
        </w:rPr>
        <w:t xml:space="preserve"> y Proyectos de Decretos Legislativos cuya iniciativa les corresponda”, “Proyectos de Reglamentos cuya iniciativa les corresponda”, “Memorias e informes que conformen los expedientes de elaboración de los textos normativos”</w:t>
      </w:r>
      <w:r w:rsidRPr="005A6843">
        <w:t xml:space="preserve"> y </w:t>
      </w:r>
      <w:r w:rsidRPr="00240EC3">
        <w:rPr>
          <w:i/>
        </w:rPr>
        <w:t>“Documentos sometidos a información p</w:t>
      </w:r>
      <w:r w:rsidR="00240EC3" w:rsidRPr="00240EC3">
        <w:rPr>
          <w:i/>
        </w:rPr>
        <w:t>ública durante su tramitación”.</w:t>
      </w:r>
    </w:p>
    <w:p w:rsidR="00240EC3" w:rsidRDefault="00240EC3" w:rsidP="00240EC3">
      <w:pPr>
        <w:pStyle w:val="Prrafodelista"/>
      </w:pPr>
    </w:p>
    <w:p w:rsidR="0038108F" w:rsidRDefault="0038108F" w:rsidP="005750D1">
      <w:pPr>
        <w:pStyle w:val="Prrafodelista"/>
        <w:numPr>
          <w:ilvl w:val="0"/>
          <w:numId w:val="45"/>
        </w:numPr>
        <w:spacing w:line="276" w:lineRule="auto"/>
        <w:jc w:val="both"/>
      </w:pPr>
      <w:r w:rsidRPr="005A6843">
        <w:t xml:space="preserve">Finalmente, las categorías </w:t>
      </w:r>
      <w:r w:rsidRPr="00240EC3">
        <w:rPr>
          <w:i/>
        </w:rPr>
        <w:t>“Contratos, convenios, subvenciones y bienes inmuebles”</w:t>
      </w:r>
      <w:r w:rsidRPr="005A6843">
        <w:t xml:space="preserve"> y </w:t>
      </w:r>
      <w:r w:rsidRPr="00240EC3">
        <w:rPr>
          <w:i/>
        </w:rPr>
        <w:t>“Presupuestos, fiscalización e informes”</w:t>
      </w:r>
      <w:r w:rsidRPr="005A6843">
        <w:t xml:space="preserve"> de los menús ministeriales del Portal constituyen una única categoría, </w:t>
      </w:r>
      <w:r w:rsidRPr="00240EC3">
        <w:rPr>
          <w:i/>
        </w:rPr>
        <w:t>”Información económica, presupuestaria y estadística”</w:t>
      </w:r>
      <w:r w:rsidRPr="005A6843">
        <w:t>, en el art. 8 de la</w:t>
      </w:r>
      <w:r w:rsidR="0069620D">
        <w:t xml:space="preserve"> ley</w:t>
      </w:r>
      <w:r w:rsidRPr="005A6843">
        <w:t xml:space="preserve">. Y la sub-categoría </w:t>
      </w:r>
      <w:r w:rsidRPr="00240EC3">
        <w:rPr>
          <w:i/>
        </w:rPr>
        <w:t>“Informes y estadísticas relevantes”</w:t>
      </w:r>
      <w:r w:rsidRPr="005A6843">
        <w:t xml:space="preserve"> de la categoría </w:t>
      </w:r>
      <w:r w:rsidRPr="00240EC3">
        <w:rPr>
          <w:i/>
        </w:rPr>
        <w:t>“Presupuestos, fiscalización e informes”</w:t>
      </w:r>
      <w:r w:rsidRPr="005A6843">
        <w:t xml:space="preserve"> de los menús de aquéllos no se corresponde exactamente con la sub-categoría prevista el art. 8 de la</w:t>
      </w:r>
      <w:r w:rsidR="0069620D">
        <w:t xml:space="preserve"> ley</w:t>
      </w:r>
      <w:r w:rsidR="00E768A4">
        <w:t xml:space="preserve"> de transparencia</w:t>
      </w:r>
      <w:r w:rsidRPr="005A6843">
        <w:t>: “Información estadística necesaria para valorar el grado de cumplimiento y calidad de los servici</w:t>
      </w:r>
      <w:r w:rsidR="00240EC3">
        <w:t>os públicos de su competencia”.</w:t>
      </w:r>
    </w:p>
    <w:p w:rsidR="00240EC3" w:rsidRDefault="00240EC3" w:rsidP="00240EC3">
      <w:pPr>
        <w:pStyle w:val="Prrafodelista"/>
      </w:pPr>
    </w:p>
    <w:p w:rsidR="0038108F" w:rsidRPr="005A6843" w:rsidRDefault="0038108F" w:rsidP="001B6A7A">
      <w:pPr>
        <w:jc w:val="both"/>
      </w:pPr>
      <w:r w:rsidRPr="005A6843">
        <w:t>En todas estas cuestiones deben tenerse por reproducidas aquí las consideraciones efectuadas al respecto en la valoración general del Portal.</w:t>
      </w:r>
    </w:p>
    <w:p w:rsidR="0038108F" w:rsidRPr="00436ECD" w:rsidRDefault="0038108F" w:rsidP="0016665B">
      <w:pPr>
        <w:pStyle w:val="Ttulo4"/>
      </w:pPr>
      <w:bookmarkStart w:id="202" w:name="_Toc498345396"/>
      <w:bookmarkStart w:id="203" w:name="_Toc501110680"/>
      <w:r w:rsidRPr="00436ECD">
        <w:t>Presidencia del Gobierno</w:t>
      </w:r>
      <w:bookmarkEnd w:id="202"/>
      <w:bookmarkEnd w:id="203"/>
    </w:p>
    <w:p w:rsidR="0038108F" w:rsidRPr="005A6843" w:rsidRDefault="0038108F" w:rsidP="00AA712B">
      <w:pPr>
        <w:jc w:val="both"/>
      </w:pPr>
      <w:r w:rsidRPr="005A6843">
        <w:t xml:space="preserve">El menú de </w:t>
      </w:r>
      <w:r w:rsidRPr="00436ECD">
        <w:rPr>
          <w:i/>
        </w:rPr>
        <w:t>“Transparencia de la Presidencia del Gobierno”</w:t>
      </w:r>
      <w:r w:rsidRPr="005A6843">
        <w:t xml:space="preserve"> solo incluye dos categorías de información: </w:t>
      </w:r>
      <w:r w:rsidRPr="00436ECD">
        <w:rPr>
          <w:i/>
        </w:rPr>
        <w:t>“Institucional”</w:t>
      </w:r>
      <w:r w:rsidRPr="005A6843">
        <w:t xml:space="preserve"> y </w:t>
      </w:r>
      <w:r w:rsidRPr="00436ECD">
        <w:rPr>
          <w:i/>
        </w:rPr>
        <w:t>“Normativa”</w:t>
      </w:r>
      <w:r w:rsidRPr="005A6843">
        <w:t xml:space="preserve">. No aparecen las categorías </w:t>
      </w:r>
      <w:r w:rsidRPr="00436ECD">
        <w:rPr>
          <w:i/>
        </w:rPr>
        <w:t>“Contratos, convenios, subvenciones y bienes inmuebles”</w:t>
      </w:r>
      <w:r w:rsidRPr="005A6843">
        <w:t xml:space="preserve"> y </w:t>
      </w:r>
      <w:r w:rsidRPr="00436ECD">
        <w:rPr>
          <w:i/>
        </w:rPr>
        <w:t>“Presupuestos, fiscalización e informes”</w:t>
      </w:r>
      <w:r w:rsidRPr="005A6843">
        <w:t>, que constituirían la</w:t>
      </w:r>
      <w:r w:rsidR="0079072B">
        <w:t xml:space="preserve"> </w:t>
      </w:r>
      <w:r w:rsidRPr="00436ECD">
        <w:rPr>
          <w:i/>
        </w:rPr>
        <w:t>”Información económica, presupuestaria y estadística”</w:t>
      </w:r>
      <w:r w:rsidRPr="005A6843">
        <w:t>.</w:t>
      </w:r>
    </w:p>
    <w:p w:rsidR="0038108F" w:rsidRPr="005A6843" w:rsidRDefault="0038108F" w:rsidP="00AA712B">
      <w:pPr>
        <w:jc w:val="both"/>
      </w:pPr>
      <w:r w:rsidRPr="005A6843">
        <w:t xml:space="preserve">La ausencia de estas dos categorías no responde a una omisión voluntaria o involuntaria de los responsables del Portal sino al hecho de que, de acuerdo con la distribución de funciones entre los departamentos ministeriales y el resto de órganos de la AGE, Presidencia del Gobierno no tiene actividad en estos ámbitos, correspondiéndole a la Subsecretaría del MPREAT encargarse de su gestión. </w:t>
      </w:r>
    </w:p>
    <w:p w:rsidR="0038108F" w:rsidRPr="005A6843" w:rsidRDefault="0038108F" w:rsidP="00AA712B">
      <w:pPr>
        <w:jc w:val="both"/>
      </w:pPr>
      <w:r w:rsidRPr="005A6843">
        <w:t>A criterio de este CTBG -y ésta es una recomendación ampliamente formulada por el organismo en informes y documentos cuando en una determinada materia no se registra actividad y no hay, en consecuencia, datos para publicar-, debería constar así expresamente para evitar confusiones o malentendidos para los visitantes del Portal.</w:t>
      </w:r>
    </w:p>
    <w:p w:rsidR="0038108F" w:rsidRPr="00436ECD" w:rsidRDefault="0038108F" w:rsidP="009F3B2E">
      <w:pPr>
        <w:pStyle w:val="Ttulo5"/>
      </w:pPr>
      <w:bookmarkStart w:id="204" w:name="_Toc498345397"/>
      <w:bookmarkStart w:id="205" w:name="_Toc501110681"/>
      <w:r w:rsidRPr="00436ECD">
        <w:t>Información institucional, organizativa y de planificación</w:t>
      </w:r>
      <w:bookmarkEnd w:id="204"/>
      <w:bookmarkEnd w:id="205"/>
    </w:p>
    <w:p w:rsidR="0038108F" w:rsidRPr="005A6843" w:rsidRDefault="0038108F" w:rsidP="00AA712B">
      <w:pPr>
        <w:jc w:val="both"/>
      </w:pPr>
      <w:r w:rsidRPr="005A6843">
        <w:t xml:space="preserve">El menú de la categoría institucional de Presidencia presenta seis sub-categorías: </w:t>
      </w:r>
      <w:r w:rsidRPr="00436ECD">
        <w:rPr>
          <w:i/>
        </w:rPr>
        <w:t>“Estructura”, “Funciones”, “Planes de objetivos”, “Retribuciones de Altos Cargos, “Currículos de Altos Cargos”</w:t>
      </w:r>
      <w:r w:rsidRPr="005A6843">
        <w:t xml:space="preserve"> y </w:t>
      </w:r>
      <w:r w:rsidRPr="00436ECD">
        <w:rPr>
          <w:i/>
        </w:rPr>
        <w:t>“Relaciones de Puestos de Trabajo”</w:t>
      </w:r>
      <w:r w:rsidRPr="005A6843">
        <w:t xml:space="preserve"> </w:t>
      </w:r>
    </w:p>
    <w:p w:rsidR="0038108F" w:rsidRPr="005A6843" w:rsidRDefault="0038108F" w:rsidP="00AA712B">
      <w:pPr>
        <w:jc w:val="both"/>
      </w:pPr>
      <w:r w:rsidRPr="005A6843">
        <w:t>De acuerdo con el art. 6 de la</w:t>
      </w:r>
      <w:r w:rsidR="0069620D">
        <w:t xml:space="preserve"> ley</w:t>
      </w:r>
      <w:r w:rsidR="00E768A4">
        <w:t xml:space="preserve"> de transparencia</w:t>
      </w:r>
      <w:r w:rsidRPr="005A6843">
        <w:t xml:space="preserve"> faltaría la sub-categoría relativa a la </w:t>
      </w:r>
      <w:r w:rsidRPr="00436ECD">
        <w:rPr>
          <w:i/>
        </w:rPr>
        <w:t>“Normativa de aplicación”</w:t>
      </w:r>
      <w:r w:rsidRPr="005A6843">
        <w:t xml:space="preserve">. La ausencia de esta sub-categoría es general en el menú de información </w:t>
      </w:r>
      <w:r w:rsidRPr="00436ECD">
        <w:rPr>
          <w:i/>
        </w:rPr>
        <w:t>“Institucional”</w:t>
      </w:r>
      <w:r w:rsidRPr="005A6843">
        <w:t xml:space="preserve"> del menú general de categorías del Portal y en el resto de los menús ministeriales de transparencia. Por ello, es evidente que se trata de una omisión y no de una información puntualmente inexistente o inaplicable al órgano evaluado. </w:t>
      </w:r>
    </w:p>
    <w:p w:rsidR="0038108F" w:rsidRPr="005A6843" w:rsidRDefault="0038108F" w:rsidP="00AA712B">
      <w:pPr>
        <w:jc w:val="both"/>
      </w:pPr>
      <w:r w:rsidRPr="005A6843">
        <w:t xml:space="preserve">También de acuerdo con el mencionado precepto, los elementos informativos o sub-categorías </w:t>
      </w:r>
      <w:r w:rsidRPr="00436ECD">
        <w:rPr>
          <w:i/>
        </w:rPr>
        <w:t>“Retribuciones de los Altos Cargos”</w:t>
      </w:r>
      <w:r w:rsidRPr="005A6843">
        <w:t xml:space="preserve"> y </w:t>
      </w:r>
      <w:r w:rsidRPr="00436ECD">
        <w:rPr>
          <w:i/>
        </w:rPr>
        <w:t>“Relaciones de Puestos de Trabajo”</w:t>
      </w:r>
      <w:r w:rsidRPr="005A6843">
        <w:t xml:space="preserve"> no debe</w:t>
      </w:r>
      <w:r w:rsidR="00436ECD">
        <w:t>rían figurar en esta categoría.</w:t>
      </w:r>
    </w:p>
    <w:p w:rsidR="0038108F" w:rsidRPr="005A6843" w:rsidRDefault="0038108F" w:rsidP="00AA712B">
      <w:pPr>
        <w:jc w:val="both"/>
      </w:pPr>
      <w:r w:rsidRPr="005A6843">
        <w:t>La primera no está incluida entre los datos e informaciones del art. 6 de la</w:t>
      </w:r>
      <w:r w:rsidR="0069620D">
        <w:t xml:space="preserve"> ley</w:t>
      </w:r>
      <w:r w:rsidR="00E768A4">
        <w:t xml:space="preserve"> de transparencia</w:t>
      </w:r>
      <w:r w:rsidRPr="005A6843">
        <w:t xml:space="preserve">: está incluida en el art. 8. Así, en puridad, sería necesario trasladarla a la categoría de información económica del menú de transparencia de Presidencia del Gobierno. Pero éste, como acaba de verse, no contiene información sobre </w:t>
      </w:r>
      <w:r w:rsidRPr="00436ECD">
        <w:rPr>
          <w:i/>
        </w:rPr>
        <w:t xml:space="preserve">“Contratos, Convenios, </w:t>
      </w:r>
      <w:r w:rsidR="00235F53" w:rsidRPr="00436ECD">
        <w:rPr>
          <w:i/>
        </w:rPr>
        <w:t>etc.</w:t>
      </w:r>
      <w:r w:rsidRPr="00436ECD">
        <w:rPr>
          <w:i/>
        </w:rPr>
        <w:t>”</w:t>
      </w:r>
      <w:r w:rsidRPr="005A6843">
        <w:t xml:space="preserve"> ni sobre </w:t>
      </w:r>
      <w:r w:rsidRPr="00436ECD">
        <w:rPr>
          <w:i/>
        </w:rPr>
        <w:t xml:space="preserve">“Presupuestos, Fiscalización, </w:t>
      </w:r>
      <w:r w:rsidR="00235F53" w:rsidRPr="00436ECD">
        <w:rPr>
          <w:i/>
        </w:rPr>
        <w:t>etc.</w:t>
      </w:r>
      <w:r w:rsidRPr="00436ECD">
        <w:rPr>
          <w:i/>
        </w:rPr>
        <w:t>”</w:t>
      </w:r>
      <w:r w:rsidRPr="005A6843">
        <w:t xml:space="preserve"> -en realidad no contiene ninguna categoría de información económica-, por lo que, a juicio de este CTBG, podría mantenerse provisionalmente dentro de la información institucional. Todo ello, obviamente, sin perjuicio de que a medio plazo, por razones de claridad y accesibilidad, se cree una categoría económica en el menú departamental.</w:t>
      </w:r>
    </w:p>
    <w:p w:rsidR="0038108F" w:rsidRPr="005A6843" w:rsidRDefault="0038108F" w:rsidP="00AA712B">
      <w:pPr>
        <w:jc w:val="both"/>
      </w:pPr>
      <w:r w:rsidRPr="005A6843">
        <w:t xml:space="preserve">Por lo que respecta a la información relativa a la RPT, no solo no está incluida entre los datos e informaciones del art. 6, sino que tampoco figura entre los enumerados en los arts. 7 y 8, siendo su publicación una decisión discrecional de los responsables del Portal. Por ello, a criterio de este CTBG, debería publicarse en una categoría o ítem específico de información voluntaria. </w:t>
      </w:r>
    </w:p>
    <w:p w:rsidR="0038108F" w:rsidRPr="005A6843" w:rsidRDefault="0038108F" w:rsidP="00AA712B">
      <w:pPr>
        <w:jc w:val="both"/>
      </w:pPr>
      <w:r w:rsidRPr="005A6843">
        <w:t xml:space="preserve">Finalmente, hay que referirse a tres elementos informativos más, que no aparecen en el menú de transparencia de Presidencia del Gobierno pero sí están recogidos en el menú de información institucional general del Portal: las sub-categorías </w:t>
      </w:r>
      <w:r w:rsidRPr="00436ECD">
        <w:rPr>
          <w:i/>
        </w:rPr>
        <w:t>“Autorizaciones de actividad privada en Altos Cargos”, “Indemnizaciones percibidas con ocasión del cese”</w:t>
      </w:r>
      <w:r w:rsidR="00436ECD">
        <w:rPr>
          <w:i/>
        </w:rPr>
        <w:t xml:space="preserve"> </w:t>
      </w:r>
      <w:r w:rsidRPr="005A6843">
        <w:t xml:space="preserve">y </w:t>
      </w:r>
      <w:r w:rsidRPr="00436ECD">
        <w:rPr>
          <w:i/>
        </w:rPr>
        <w:t>“Autorización o reconocimiento de compatibilidad de empleados públicos”</w:t>
      </w:r>
      <w:r w:rsidRPr="005A6843">
        <w:t>. El art. 8 de la</w:t>
      </w:r>
      <w:r w:rsidR="0069620D">
        <w:t xml:space="preserve"> ley</w:t>
      </w:r>
      <w:r w:rsidR="00E768A4">
        <w:t xml:space="preserve"> de transparencia</w:t>
      </w:r>
      <w:r w:rsidRPr="005A6843">
        <w:t xml:space="preserve"> incluye estas sub-categorías informativas entre los datos e informaciones de carácter económico que deben ser objeto de publicidad activa por los organismos o instituciones públicas. Como puede verse en la información sobre retribuciones y currículos de Altos Cargos y en la información relativa a la RPT, Presidencia tiene adscritos determinados Altos Cargos y determinadas unidades administrativas con su personal. Por ello, deberían publicarse los datos relativos a indemnizaciones, autorizaciones de actividad privada y autorizaciones de compatibilidad, creándose las c</w:t>
      </w:r>
      <w:r w:rsidR="0045179C">
        <w:t xml:space="preserve">orrespondientes sub-categorías </w:t>
      </w:r>
      <w:r w:rsidRPr="005A6843">
        <w:t>en el menú de transparencia -bien, provisionalmente, en la categoría de información institucional; bien, a medio plazo, en la nueva categoría de información económica que pudiera crearse-.</w:t>
      </w:r>
    </w:p>
    <w:p w:rsidR="0038108F" w:rsidRPr="005A6843" w:rsidRDefault="0038108F" w:rsidP="00AA712B">
      <w:pPr>
        <w:jc w:val="both"/>
      </w:pPr>
      <w:r w:rsidRPr="005A6843">
        <w:t>Las sub-categorías deberían agregarse aún en el supuesto de que ninguno de los cargos o el personal adscrito estuviera percibiendo indemnizaciones o fuera beneficiario de una autorización de actividad o de compatibilidad, debiéndose hacer constar así en el epígrafe correspondiente a cada una de ellas.</w:t>
      </w:r>
    </w:p>
    <w:p w:rsidR="00436ECD" w:rsidRDefault="0038108F" w:rsidP="00AA712B">
      <w:pPr>
        <w:jc w:val="both"/>
      </w:pPr>
      <w:r w:rsidRPr="005A6843">
        <w:t>Se analiza a continuación, brevemente, el contenido de cada uno de los elementos o sub--categorí</w:t>
      </w:r>
      <w:r w:rsidR="00436ECD">
        <w:t>as incluidas en esta categoría.</w:t>
      </w:r>
    </w:p>
    <w:p w:rsidR="0038108F" w:rsidRPr="00436ECD" w:rsidRDefault="0038108F" w:rsidP="00AA712B">
      <w:pPr>
        <w:jc w:val="both"/>
        <w:rPr>
          <w:b/>
          <w:u w:val="single"/>
        </w:rPr>
      </w:pPr>
      <w:r w:rsidRPr="00436ECD">
        <w:rPr>
          <w:b/>
          <w:u w:val="single"/>
        </w:rPr>
        <w:t>Estructura</w:t>
      </w:r>
    </w:p>
    <w:p w:rsidR="0038108F" w:rsidRPr="005A6843" w:rsidRDefault="0038108F" w:rsidP="00AA712B">
      <w:pPr>
        <w:jc w:val="both"/>
      </w:pPr>
      <w:r w:rsidRPr="005A6843">
        <w:t xml:space="preserve">La organización del Ministerio es posterior al Real Decreto 415/2016, de 3 de noviembre, habiéndose aprobado ya el nuevo Real Decreto de estructura orgánica (ver el siguiente apartado </w:t>
      </w:r>
      <w:r w:rsidRPr="00436ECD">
        <w:rPr>
          <w:i/>
        </w:rPr>
        <w:t>“Funciones”</w:t>
      </w:r>
      <w:r w:rsidRPr="005A6843">
        <w:t xml:space="preserve">). No obstante, a fecha de hoy y seguramente a causa de que lo reciente de la reestructuración ha impedido actualizar la información del Portal, aparece el organigrama anterior, que, a diferencia de lo que sucede con el resto de los Ministerios con estructuras anteriores al citado Real Decreto 415/2016 o reestructurados recientemente, está desglosado hasta el nivel de Subdirector General o asimilado. </w:t>
      </w:r>
    </w:p>
    <w:p w:rsidR="0038108F" w:rsidRPr="005A6843" w:rsidRDefault="0038108F" w:rsidP="00AA712B">
      <w:pPr>
        <w:jc w:val="both"/>
      </w:pPr>
      <w:r w:rsidRPr="005A6843">
        <w:t>Igualmente, el organigrama está acompañado de una referencia a los distintos Reales Decretos de estructura orgánica de aquélla, desde el 2000 a la actualidad, y de una relación de los órganos colegiados y consultivos adscritos a la Presidencia del Gobierno. En la relación aparecen el Consejo de Política Exterior y el Comité Organizador de la Cumbre Iberoamericana de Cádiz del año 2012 junto con los Órganos Colegiados del Gobierno con categoría de Comisión Delegada del Gobierno: Comisión Delegada del Gobierno para Asuntos Económicos, Consejo de Seguridad Nacional en su condición de Comisión Delegada del Gobierno para la Seguridad Nacional, Comisión Delegada del Gobierno para Asuntos de Inteligencia, Comisión Delegada del Gobierno para Política Científica y Tecnológica, Comisión Delegada del Gobierno para Política de Igualdad y Comisión Delegada del Gobierno para Asuntos Culturales.</w:t>
      </w:r>
    </w:p>
    <w:p w:rsidR="0038108F" w:rsidRPr="005A6843" w:rsidRDefault="0038108F" w:rsidP="00AA712B">
      <w:pPr>
        <w:jc w:val="both"/>
      </w:pPr>
      <w:r w:rsidRPr="005A6843">
        <w:t>Sería deseable revisar la actualidad de los datos. Entre los órganos relacionados aparece el Comité Organizador de la Cumbre Iberoamericana de Cádiz del año 2012 que cesó en sus funciones en 1 de febrero de 2013, según Real Decreto 341/2012, de 10 de febrero.</w:t>
      </w:r>
    </w:p>
    <w:p w:rsidR="0038108F" w:rsidRPr="00436ECD" w:rsidRDefault="0038108F" w:rsidP="00AA712B">
      <w:pPr>
        <w:jc w:val="both"/>
        <w:rPr>
          <w:b/>
          <w:u w:val="single"/>
        </w:rPr>
      </w:pPr>
      <w:r w:rsidRPr="00436ECD">
        <w:rPr>
          <w:b/>
          <w:u w:val="single"/>
        </w:rPr>
        <w:t>Funciones</w:t>
      </w:r>
    </w:p>
    <w:p w:rsidR="0038108F" w:rsidRPr="005A6843" w:rsidRDefault="0038108F" w:rsidP="00AA712B">
      <w:pPr>
        <w:jc w:val="both"/>
      </w:pPr>
      <w:r w:rsidRPr="005A6843">
        <w:t xml:space="preserve">Únicamente presenta un enlace al texto consolidado del «BOE» del Real Decreto 766/2017, de 28 de julio, por el que se reestructura la Presidencia del Gobierno. </w:t>
      </w:r>
    </w:p>
    <w:p w:rsidR="0038108F" w:rsidRPr="00436ECD" w:rsidRDefault="0038108F" w:rsidP="00AA712B">
      <w:pPr>
        <w:jc w:val="both"/>
        <w:rPr>
          <w:b/>
          <w:u w:val="single"/>
        </w:rPr>
      </w:pPr>
      <w:r w:rsidRPr="00436ECD">
        <w:rPr>
          <w:b/>
          <w:u w:val="single"/>
        </w:rPr>
        <w:t>Planes de objetivos</w:t>
      </w:r>
    </w:p>
    <w:p w:rsidR="0038108F" w:rsidRPr="005A6843" w:rsidRDefault="0038108F" w:rsidP="00AA712B">
      <w:pPr>
        <w:jc w:val="both"/>
      </w:pPr>
      <w:r w:rsidRPr="005A6843">
        <w:t xml:space="preserve">Solo aparece un documento, la Carta de Servicios de Presidencia del Gobierno para el período 2015-2018, que no puede considerase realmente un Plan aunque incluya previsiones a futuro y compromisos de calidad. </w:t>
      </w:r>
    </w:p>
    <w:p w:rsidR="0038108F" w:rsidRPr="00436ECD" w:rsidRDefault="0038108F" w:rsidP="00AA712B">
      <w:pPr>
        <w:jc w:val="both"/>
        <w:rPr>
          <w:b/>
          <w:u w:val="single"/>
        </w:rPr>
      </w:pPr>
      <w:r w:rsidRPr="00436ECD">
        <w:rPr>
          <w:b/>
          <w:u w:val="single"/>
        </w:rPr>
        <w:t>Retribuciones de altos cargos</w:t>
      </w:r>
    </w:p>
    <w:p w:rsidR="0038108F" w:rsidRPr="005A6843" w:rsidRDefault="0038108F" w:rsidP="00AA712B">
      <w:pPr>
        <w:jc w:val="both"/>
      </w:pPr>
      <w:r w:rsidRPr="005A6843">
        <w:t xml:space="preserve">Se incorporan los datos retributivos de las personas (14) que han sido titulares de los 12 Altos Cargos de la Presidencia del Gobierno durante 2016, desde el Presidente del Gobierno al Director General de Políticas Financieras, Macroeconómicas y Laborales de la Oficina Económica del Presidente. Con la opción del buscador se pueden consultar los datos de años 2013 a 2015, tanto individualmente como de forma agregada para 2016. </w:t>
      </w:r>
    </w:p>
    <w:p w:rsidR="0038108F" w:rsidRPr="00436ECD" w:rsidRDefault="0038108F" w:rsidP="00AA712B">
      <w:pPr>
        <w:jc w:val="both"/>
        <w:rPr>
          <w:b/>
          <w:u w:val="single"/>
        </w:rPr>
      </w:pPr>
      <w:r w:rsidRPr="00436ECD">
        <w:rPr>
          <w:b/>
          <w:u w:val="single"/>
        </w:rPr>
        <w:t>Currículos de Altos Cargos</w:t>
      </w:r>
    </w:p>
    <w:p w:rsidR="0038108F" w:rsidRPr="005A6843" w:rsidRDefault="0038108F" w:rsidP="00AA712B">
      <w:pPr>
        <w:jc w:val="both"/>
      </w:pPr>
      <w:r w:rsidRPr="005A6843">
        <w:t>Aparecen los currículos de los 12 Altos Cargos actuales. Acudiendo al buscador, se puede suprimir el filtro de la vigencia de la información y se obtienen 16 resultados. Relacionando este dato con el relativo a las retribuciones percibidas por los titulares de Altos Cargos durante 2016, parece que se añaden dos currículos de personas que ocuparon sus cargos en años diferentes a éste.</w:t>
      </w:r>
    </w:p>
    <w:p w:rsidR="0038108F" w:rsidRPr="00436ECD" w:rsidRDefault="0038108F" w:rsidP="00AA712B">
      <w:pPr>
        <w:jc w:val="both"/>
        <w:rPr>
          <w:b/>
          <w:u w:val="single"/>
        </w:rPr>
      </w:pPr>
      <w:r w:rsidRPr="00436ECD">
        <w:rPr>
          <w:b/>
          <w:u w:val="single"/>
        </w:rPr>
        <w:t xml:space="preserve">Relaciones de puestos de trabajo </w:t>
      </w:r>
    </w:p>
    <w:p w:rsidR="00436ECD" w:rsidRPr="005A6843" w:rsidRDefault="0038108F" w:rsidP="00AA712B">
      <w:pPr>
        <w:jc w:val="both"/>
      </w:pPr>
      <w:r w:rsidRPr="005A6843">
        <w:t>Figuran diversos puestos de funcionarios o personal laboral adscritos a Presidencia del Gobierno. Formalmente, la RPT forma parte d</w:t>
      </w:r>
      <w:r w:rsidR="00436ECD">
        <w:t>e la correspondiente al MPREAT.</w:t>
      </w:r>
    </w:p>
    <w:p w:rsidR="0038108F" w:rsidRPr="005A6843" w:rsidRDefault="0038108F" w:rsidP="009F3B2E">
      <w:pPr>
        <w:pStyle w:val="Ttulo5"/>
      </w:pPr>
      <w:bookmarkStart w:id="206" w:name="_Toc498345398"/>
      <w:bookmarkStart w:id="207" w:name="_Toc501110682"/>
      <w:r w:rsidRPr="005A6843">
        <w:t>Información de relevancia jurídica</w:t>
      </w:r>
      <w:bookmarkEnd w:id="206"/>
      <w:bookmarkEnd w:id="207"/>
    </w:p>
    <w:p w:rsidR="0038108F" w:rsidRPr="005A6843" w:rsidRDefault="0038108F" w:rsidP="00AA712B">
      <w:pPr>
        <w:jc w:val="both"/>
      </w:pPr>
      <w:r w:rsidRPr="005A6843">
        <w:t xml:space="preserve">El menú de la categoría </w:t>
      </w:r>
      <w:r w:rsidRPr="00436ECD">
        <w:rPr>
          <w:i/>
        </w:rPr>
        <w:t>“Normativa”</w:t>
      </w:r>
      <w:r w:rsidRPr="005A6843">
        <w:t xml:space="preserve"> de Presidencia presenta una única sub-categoría: </w:t>
      </w:r>
      <w:r w:rsidRPr="00436ECD">
        <w:rPr>
          <w:i/>
        </w:rPr>
        <w:t>“Normativa destacada”</w:t>
      </w:r>
      <w:r w:rsidRPr="005A6843">
        <w:t xml:space="preserve">. Faltarían, pues, las otras tres que aparecen en la categoría en el menú general de categorías del Portal: </w:t>
      </w:r>
      <w:r w:rsidRPr="00436ECD">
        <w:rPr>
          <w:i/>
        </w:rPr>
        <w:t>“Normativa en elaboración”, “Normativa vigente”</w:t>
      </w:r>
      <w:r w:rsidRPr="005A6843">
        <w:t xml:space="preserve"> y </w:t>
      </w:r>
      <w:r w:rsidRPr="00436ECD">
        <w:rPr>
          <w:i/>
        </w:rPr>
        <w:t>“Otras disposiciones”</w:t>
      </w:r>
      <w:r w:rsidRPr="005A6843">
        <w:t>.</w:t>
      </w:r>
    </w:p>
    <w:p w:rsidR="0038108F" w:rsidRPr="005A6843" w:rsidRDefault="0038108F" w:rsidP="00AA712B">
      <w:pPr>
        <w:jc w:val="both"/>
      </w:pPr>
      <w:r w:rsidRPr="005A6843">
        <w:t>El motivo es sencillo y, nuevamente, se relaciona con la distribución de funciones entre los Departamentos ministeriales y el resto de órganos de la AGE: las tres sub-categorías mencionadas se refieren a iniciativas y procesos de elaboración normativa y Presidencia del Gobierno no realiza funciones de elaboración normativa. Sin perjuicio de ello, y como se ha repetido, sería aconsejable incluir en los contenidos de la categoría una advertencia expresa en tal sentido.</w:t>
      </w:r>
    </w:p>
    <w:p w:rsidR="0038108F" w:rsidRPr="005A6843" w:rsidRDefault="0038108F" w:rsidP="00AA712B">
      <w:pPr>
        <w:jc w:val="both"/>
      </w:pPr>
      <w:r w:rsidRPr="005A6843">
        <w:t xml:space="preserve">Se analiza a continuación, brevemente, el contenido del único elemento incluido en esta categoría. </w:t>
      </w:r>
    </w:p>
    <w:p w:rsidR="0038108F" w:rsidRPr="00436ECD" w:rsidRDefault="0038108F" w:rsidP="00AA712B">
      <w:pPr>
        <w:jc w:val="both"/>
        <w:rPr>
          <w:b/>
          <w:u w:val="single"/>
        </w:rPr>
      </w:pPr>
      <w:r w:rsidRPr="00436ECD">
        <w:rPr>
          <w:b/>
          <w:u w:val="single"/>
        </w:rPr>
        <w:t>Normativa destacada</w:t>
      </w:r>
    </w:p>
    <w:p w:rsidR="0038108F" w:rsidRPr="005A6843" w:rsidRDefault="0038108F" w:rsidP="00AA712B">
      <w:pPr>
        <w:jc w:val="both"/>
      </w:pPr>
      <w:r w:rsidRPr="005A6843">
        <w:t xml:space="preserve">Únicamente aparecen dos resultados: el Real Decreto 415/2016, de 3 de noviembre, por el que se reestructuran los departamentos ministeriales” y el Real Decreto de Presidencia del Gobierno, 83/2012 de 13 de enero, por el que se reestructura la Presidencia del Gobierno. </w:t>
      </w:r>
    </w:p>
    <w:p w:rsidR="00FF72EB" w:rsidRDefault="0038108F" w:rsidP="00AA712B">
      <w:pPr>
        <w:jc w:val="both"/>
      </w:pPr>
      <w:r w:rsidRPr="005A6843">
        <w:t>De este modo, el contenido informativo de esta sub-categoría podría considerarse equivalente en la práctica al del ítem “Normativa aplicable” que falta en la categoría de información “Institucional” del Portal. Podrá considera</w:t>
      </w:r>
      <w:r w:rsidR="00FF72EB">
        <w:t>se su incorporación a la misma.</w:t>
      </w:r>
    </w:p>
    <w:p w:rsidR="00FF72EB" w:rsidRDefault="00FF72EB">
      <w:r>
        <w:br w:type="page"/>
      </w:r>
    </w:p>
    <w:p w:rsidR="0038108F" w:rsidRPr="005A6843" w:rsidRDefault="0038108F" w:rsidP="0016665B">
      <w:pPr>
        <w:pStyle w:val="Ttulo4"/>
      </w:pPr>
      <w:bookmarkStart w:id="208" w:name="_Toc498345399"/>
      <w:bookmarkStart w:id="209" w:name="_Toc501110683"/>
      <w:r w:rsidRPr="005A6843">
        <w:t>Ministerio de Asuntos Exteriores y de Cooperación (MAEC)</w:t>
      </w:r>
      <w:bookmarkEnd w:id="208"/>
      <w:bookmarkEnd w:id="209"/>
    </w:p>
    <w:p w:rsidR="0038108F" w:rsidRPr="005A6843" w:rsidRDefault="0038108F" w:rsidP="00AA712B">
      <w:pPr>
        <w:jc w:val="both"/>
      </w:pPr>
      <w:r w:rsidRPr="005A6843">
        <w:t xml:space="preserve">El menú de </w:t>
      </w:r>
      <w:r w:rsidRPr="00FF72EB">
        <w:rPr>
          <w:i/>
        </w:rPr>
        <w:t>“Transparencia del Ministerio de Asuntos Exteriores y de Cooperación”</w:t>
      </w:r>
      <w:r w:rsidRPr="005A6843">
        <w:t xml:space="preserve"> incluye las cuatro categorías de información del menú general de categorías del Portal: </w:t>
      </w:r>
      <w:r w:rsidRPr="00FF72EB">
        <w:rPr>
          <w:i/>
        </w:rPr>
        <w:t>“Institucional”, “Normativa”, “Contratos, convenios, subvenciones y bienes inmuebles”</w:t>
      </w:r>
      <w:r w:rsidRPr="005A6843">
        <w:t xml:space="preserve"> y </w:t>
      </w:r>
      <w:r w:rsidRPr="00FF72EB">
        <w:rPr>
          <w:i/>
        </w:rPr>
        <w:t>“Presupuestos, fiscalización e informes”</w:t>
      </w:r>
      <w:r w:rsidRPr="005A6843">
        <w:t>. Así, en este punto, deben tenerse en cuenta las consideraciones hechas en el análisis de éste.</w:t>
      </w:r>
    </w:p>
    <w:p w:rsidR="0038108F" w:rsidRPr="005A6843" w:rsidRDefault="0038108F" w:rsidP="009F3B2E">
      <w:pPr>
        <w:pStyle w:val="Ttulo5"/>
      </w:pPr>
      <w:bookmarkStart w:id="210" w:name="_Toc498345400"/>
      <w:bookmarkStart w:id="211" w:name="_Toc501110684"/>
      <w:r w:rsidRPr="005A6843">
        <w:t>Información institucional, organizativa y de planificación</w:t>
      </w:r>
      <w:bookmarkEnd w:id="210"/>
      <w:bookmarkEnd w:id="211"/>
    </w:p>
    <w:p w:rsidR="0038108F" w:rsidRPr="005A6843" w:rsidRDefault="0038108F" w:rsidP="00AA712B">
      <w:pPr>
        <w:jc w:val="both"/>
      </w:pPr>
      <w:r w:rsidRPr="005A6843">
        <w:t xml:space="preserve">El menú de la categoría institucional del MAEC presenta las mismas seis sub-categorías que el correspondiente a Presidencia del Gobierno: </w:t>
      </w:r>
      <w:r w:rsidRPr="00FF72EB">
        <w:rPr>
          <w:i/>
        </w:rPr>
        <w:t>“Estructura”, “Funciones”, “Planes de objetivos”, “Retribuciones de Altos Cargos, “Currículos de Altos Cargos”</w:t>
      </w:r>
      <w:r w:rsidRPr="005A6843">
        <w:t xml:space="preserve"> y </w:t>
      </w:r>
      <w:r w:rsidRPr="00FF72EB">
        <w:rPr>
          <w:i/>
        </w:rPr>
        <w:t>“Relaciones de Puestos de Trabajo”</w:t>
      </w:r>
      <w:r w:rsidRPr="005A6843">
        <w:t xml:space="preserve">. </w:t>
      </w:r>
    </w:p>
    <w:p w:rsidR="0038108F" w:rsidRPr="005A6843" w:rsidRDefault="0038108F" w:rsidP="00AA712B">
      <w:pPr>
        <w:jc w:val="both"/>
      </w:pPr>
      <w:r w:rsidRPr="005A6843">
        <w:t xml:space="preserve">En este sentido, deben darse por reproducidas aquí las consideraciones efectuadas en el epígrafe de Presidencia respecto de los elementos o sub-categorías </w:t>
      </w:r>
      <w:r w:rsidRPr="00FF72EB">
        <w:rPr>
          <w:i/>
        </w:rPr>
        <w:t>“Normativa de aplicación”, “Retribuciones de los Altos Cargos”, “Relaciones de Puestos de Trabajo”, “Autorizaciones de actividad privada en Altos Cargos”, “Indemnizaciones percibidas con ocasión del cese”</w:t>
      </w:r>
      <w:r w:rsidR="00FF72EB">
        <w:t xml:space="preserve"> </w:t>
      </w:r>
      <w:r w:rsidRPr="005A6843">
        <w:t xml:space="preserve">y </w:t>
      </w:r>
      <w:r w:rsidRPr="00FF72EB">
        <w:rPr>
          <w:i/>
        </w:rPr>
        <w:t>“Autorización o reconocimiento de compatibilidad de empleados públicos”</w:t>
      </w:r>
      <w:r w:rsidRPr="005A6843">
        <w:t>.</w:t>
      </w:r>
    </w:p>
    <w:p w:rsidR="0038108F" w:rsidRPr="005A6843" w:rsidRDefault="0038108F" w:rsidP="00AA712B">
      <w:pPr>
        <w:jc w:val="both"/>
      </w:pPr>
      <w:r w:rsidRPr="005A6843">
        <w:t xml:space="preserve">Se analiza a continuación, brevemente, el contenido de cada uno de los elementos o sub--categorías incluidas en esta categoría. </w:t>
      </w:r>
    </w:p>
    <w:p w:rsidR="0038108F" w:rsidRPr="00FF72EB" w:rsidRDefault="0038108F" w:rsidP="00AA712B">
      <w:pPr>
        <w:jc w:val="both"/>
        <w:rPr>
          <w:b/>
          <w:u w:val="single"/>
        </w:rPr>
      </w:pPr>
      <w:r w:rsidRPr="00FF72EB">
        <w:rPr>
          <w:b/>
          <w:u w:val="single"/>
        </w:rPr>
        <w:t xml:space="preserve">Estructura </w:t>
      </w:r>
    </w:p>
    <w:p w:rsidR="0038108F" w:rsidRPr="005A6843" w:rsidRDefault="0038108F" w:rsidP="00AA712B">
      <w:pPr>
        <w:jc w:val="both"/>
      </w:pPr>
      <w:r w:rsidRPr="005A6843">
        <w:t xml:space="preserve">La organización del Ministerio es posterior al Real Decreto 415/2016, de 3 de noviembre, habiéndose aprobado ya el nuevo Real Decreto de estructura orgánica (ver el siguiente apartado </w:t>
      </w:r>
      <w:r w:rsidRPr="00FF72EB">
        <w:rPr>
          <w:i/>
        </w:rPr>
        <w:t>“Funciones”</w:t>
      </w:r>
      <w:r w:rsidRPr="005A6843">
        <w:t>). No obstante, a fecha de hoy y seguramente a causa de que lo reciente de la reestructuración ha impedido actualizar la información del Portal, aparece el organigrama anterior, limitado al rango de Director General, y no tiene incorporada la relación de los órganos colegiados y consultivos adscritos.</w:t>
      </w:r>
    </w:p>
    <w:p w:rsidR="0038108F" w:rsidRPr="005A6843" w:rsidRDefault="0038108F" w:rsidP="00AA712B">
      <w:pPr>
        <w:jc w:val="both"/>
      </w:pPr>
      <w:r w:rsidRPr="005A6843">
        <w:t>Sí aparece una lista de los organismos vinculados y dependientes del Ministerio. Incluye tres: la Agencia Española de Cooperación Internacional para el Desarrollo (AECID), el Instituto Cervantes y la Obra Pía de los Santos Lugares de Jerusalén.</w:t>
      </w:r>
    </w:p>
    <w:p w:rsidR="0038108F" w:rsidRPr="005A6843" w:rsidRDefault="0038108F" w:rsidP="00AA712B">
      <w:pPr>
        <w:jc w:val="both"/>
      </w:pPr>
      <w:r w:rsidRPr="005A6843">
        <w:t xml:space="preserve">Ahora bien: si además de consultar el Portal se consulta la </w:t>
      </w:r>
      <w:hyperlink r:id="rId60" w:history="1">
        <w:r w:rsidR="00FC4B2E" w:rsidRPr="00C128CF">
          <w:rPr>
            <w:rStyle w:val="Hipervnculo"/>
            <w:i/>
          </w:rPr>
          <w:t>web</w:t>
        </w:r>
        <w:r w:rsidRPr="00C128CF">
          <w:rPr>
            <w:rStyle w:val="Hipervnculo"/>
          </w:rPr>
          <w:t xml:space="preserve"> ministerial</w:t>
        </w:r>
      </w:hyperlink>
      <w:r w:rsidR="00C128CF">
        <w:t>,</w:t>
      </w:r>
      <w:r w:rsidRPr="005A6843">
        <w:t xml:space="preserve"> se obtiene una relación de “Organismos vinculados” que comprende a los tres mencionados pero que también incluye 10 entes consorciados (Real Academia de España en Roma, Acción Cultural Española (AC/E), Casa África, Casa de América, Casa Árabe, Casa Asia, Casa Mediterráneo, Centro Sefarad- Israel, Centro de Estudios Internacionales e Instituto Europeo del Mediterráneo), 11 fundaciones (Fundación Carolina, Fundación Consejo España-Australia, Fundación Consejo España-Brasil, Fundación Consejo España-Colombia, Fundación Consejo España-China, Fundación Consejo España-Estados Unidos, Fundación Consejo España-India, Fundación Consejo España-Japón, Fundación Consejo España-Rusia, Fundación Euroárabe y Fundación Internacional y para Iberoamérica de Administración y Políticas Públicas (FIIAPP)) y hasta a la Escuela Diplomática, que no es propiamente un organismo público. </w:t>
      </w:r>
    </w:p>
    <w:p w:rsidR="0038108F" w:rsidRPr="005A6843" w:rsidRDefault="0038108F" w:rsidP="00AA712B">
      <w:pPr>
        <w:jc w:val="both"/>
      </w:pPr>
      <w:r w:rsidRPr="005A6843">
        <w:t xml:space="preserve">Es evidente que ninguno de los 10 entes mencionados tiene la consideración de Organismo Autónomo, EPE o Agencia Estatal. y que, por ello, no pueden ser incluidos propiamente en el concepto de organismos vinculados o dependientes. Pero también es cierto que esta disparidad de informaciones es difícilmente comprensible para la persona no experta en organización administrativa, que puede llegar a pensar que se le oculta información sobre determinados organismos. A juicio de este CTBG, debería incluirse una lista completa de organismos en el contenido informativo del elemento, acompañada de una explicación suficientemente ilustrativa.   </w:t>
      </w:r>
    </w:p>
    <w:p w:rsidR="0038108F" w:rsidRPr="00FF72EB" w:rsidRDefault="0038108F" w:rsidP="00AA712B">
      <w:pPr>
        <w:jc w:val="both"/>
        <w:rPr>
          <w:b/>
          <w:u w:val="single"/>
        </w:rPr>
      </w:pPr>
      <w:r w:rsidRPr="00FF72EB">
        <w:rPr>
          <w:b/>
          <w:u w:val="single"/>
        </w:rPr>
        <w:t xml:space="preserve">Funciones </w:t>
      </w:r>
    </w:p>
    <w:p w:rsidR="0038108F" w:rsidRPr="005A6843" w:rsidRDefault="0038108F" w:rsidP="00AA712B">
      <w:pPr>
        <w:jc w:val="both"/>
      </w:pPr>
      <w:r w:rsidRPr="005A6843">
        <w:t>Incorpora un enlace directo al texto consolidado del «BOE» del Real Decreto 768/2017, de 28 de julio, por el que se desarrolla la estructura orgánica básica del Ministerio de Asuntos Exteriores y de Cooperación y se modifica el Real Decreto 424/2016, de 11 de noviembre, por el que se establece la estructura orgánica básica de los departamentos ministeriales.</w:t>
      </w:r>
    </w:p>
    <w:p w:rsidR="0038108F" w:rsidRPr="00FF72EB" w:rsidRDefault="0038108F" w:rsidP="00AA712B">
      <w:pPr>
        <w:jc w:val="both"/>
        <w:rPr>
          <w:b/>
          <w:u w:val="single"/>
        </w:rPr>
      </w:pPr>
      <w:r w:rsidRPr="00FF72EB">
        <w:rPr>
          <w:b/>
          <w:u w:val="single"/>
        </w:rPr>
        <w:t xml:space="preserve">Planes de Objetivos </w:t>
      </w:r>
    </w:p>
    <w:p w:rsidR="0038108F" w:rsidRPr="005A6843" w:rsidRDefault="0038108F" w:rsidP="00AA712B">
      <w:pPr>
        <w:jc w:val="both"/>
      </w:pPr>
      <w:r w:rsidRPr="005A6843">
        <w:t xml:space="preserve">Aparecen dos planes: el </w:t>
      </w:r>
      <w:r w:rsidRPr="00FF72EB">
        <w:rPr>
          <w:i/>
        </w:rPr>
        <w:t>IV Plan Director de la Cooperación Española y el Plan estratégico de la AECID para el período 2014-2017</w:t>
      </w:r>
      <w:r w:rsidRPr="005A6843">
        <w:t xml:space="preserve">. </w:t>
      </w:r>
    </w:p>
    <w:p w:rsidR="0038108F" w:rsidRPr="00FF72EB" w:rsidRDefault="0038108F" w:rsidP="00AA712B">
      <w:pPr>
        <w:jc w:val="both"/>
        <w:rPr>
          <w:b/>
          <w:u w:val="single"/>
        </w:rPr>
      </w:pPr>
      <w:r w:rsidRPr="00FF72EB">
        <w:rPr>
          <w:b/>
          <w:u w:val="single"/>
        </w:rPr>
        <w:t xml:space="preserve">Retribuciones de Altos Cargos </w:t>
      </w:r>
    </w:p>
    <w:p w:rsidR="0038108F" w:rsidRPr="005A6843" w:rsidRDefault="0038108F" w:rsidP="00AA712B">
      <w:pPr>
        <w:jc w:val="both"/>
      </w:pPr>
      <w:r w:rsidRPr="005A6843">
        <w:t>Con referencia a 2016, se incluyen las retribuciones anuales íntegras de 22 Altos Cargos ministeriales, nueve Altos Cargos pertenecientes a organismos públicos del Ministerio y 126 Embajadores y Representantes de España en el exterior. En el caso de los organismos, se incluyen AECID e Instituto Cervantes) y de algunos entes consorciados o participados (Casa Árabe, Casa Asia, Casa Mediterráneo, Centro Sefarad-Israel, Casa de América, Casa África y FIIAPP. Sería conveniente publicar las retribuciones de los faltantes o explicar las causas de la omisión.</w:t>
      </w:r>
    </w:p>
    <w:p w:rsidR="0038108F" w:rsidRPr="005A6843" w:rsidRDefault="0038108F" w:rsidP="00AA712B">
      <w:pPr>
        <w:jc w:val="both"/>
      </w:pPr>
      <w:r w:rsidRPr="005A6843">
        <w:t>Se incluye también información histórica de 2013 a 2015.</w:t>
      </w:r>
    </w:p>
    <w:p w:rsidR="00684CD5" w:rsidRDefault="00684CD5">
      <w:pPr>
        <w:rPr>
          <w:b/>
          <w:u w:val="single"/>
        </w:rPr>
      </w:pPr>
      <w:r>
        <w:rPr>
          <w:b/>
          <w:u w:val="single"/>
        </w:rPr>
        <w:br w:type="page"/>
      </w:r>
    </w:p>
    <w:p w:rsidR="0038108F" w:rsidRPr="00FF72EB" w:rsidRDefault="0038108F" w:rsidP="00AA712B">
      <w:pPr>
        <w:jc w:val="both"/>
        <w:rPr>
          <w:b/>
          <w:u w:val="single"/>
        </w:rPr>
      </w:pPr>
      <w:r w:rsidRPr="00FF72EB">
        <w:rPr>
          <w:b/>
          <w:u w:val="single"/>
        </w:rPr>
        <w:t>Currículos de Altos Cargos</w:t>
      </w:r>
    </w:p>
    <w:p w:rsidR="0038108F" w:rsidRPr="005A6843" w:rsidRDefault="0038108F" w:rsidP="00AA712B">
      <w:pPr>
        <w:jc w:val="both"/>
      </w:pPr>
      <w:r w:rsidRPr="005A6843">
        <w:t xml:space="preserve">Aparecen los currículos de 173 Altos Cargos del Departamento, además de los de los Embajadores, y los de los Directores Generales de Casa Asia, Centro Sefarad-Israel y Casa África, pero no los de los Altos Cargos correspondientes a los organismos vinculados y dependientes del Ministerio. En la medida en que figuran en el organigrama, deberían incluirse. </w:t>
      </w:r>
    </w:p>
    <w:p w:rsidR="0038108F" w:rsidRPr="00FF72EB" w:rsidRDefault="0038108F" w:rsidP="00AA712B">
      <w:pPr>
        <w:jc w:val="both"/>
        <w:rPr>
          <w:b/>
          <w:u w:val="single"/>
        </w:rPr>
      </w:pPr>
      <w:r w:rsidRPr="00FF72EB">
        <w:rPr>
          <w:b/>
          <w:u w:val="single"/>
        </w:rPr>
        <w:t>Relaciones de Puestos de Trabajo (RPT)</w:t>
      </w:r>
    </w:p>
    <w:p w:rsidR="0038108F" w:rsidRPr="005A6843" w:rsidRDefault="0038108F" w:rsidP="00AA712B">
      <w:pPr>
        <w:jc w:val="both"/>
      </w:pPr>
      <w:r w:rsidRPr="005A6843">
        <w:t xml:space="preserve">Es información que presenta algún margen de mejora. Así, de los tres organismos adscritos únicamente la  AECID figura en la RPT. </w:t>
      </w:r>
    </w:p>
    <w:p w:rsidR="0038108F" w:rsidRPr="005A6843" w:rsidRDefault="00643248" w:rsidP="009F3B2E">
      <w:pPr>
        <w:pStyle w:val="Ttulo5"/>
      </w:pPr>
      <w:bookmarkStart w:id="212" w:name="_Toc498345401"/>
      <w:bookmarkStart w:id="213" w:name="_Toc501110685"/>
      <w:r>
        <w:t>I</w:t>
      </w:r>
      <w:r w:rsidR="0038108F" w:rsidRPr="005A6843">
        <w:t>nformación de relevancia jurídica</w:t>
      </w:r>
      <w:bookmarkEnd w:id="212"/>
      <w:bookmarkEnd w:id="213"/>
    </w:p>
    <w:p w:rsidR="0038108F" w:rsidRPr="005A6843" w:rsidRDefault="0038108F" w:rsidP="00AA712B">
      <w:pPr>
        <w:jc w:val="both"/>
      </w:pPr>
      <w:r w:rsidRPr="005A6843">
        <w:t xml:space="preserve">A diferencia del menú de Presidencia del Gobierno, el correspondiente al MAEC presenta las cuatro sub-categorías del menú general de </w:t>
      </w:r>
      <w:r w:rsidRPr="00643248">
        <w:rPr>
          <w:i/>
        </w:rPr>
        <w:t>“Normativa”</w:t>
      </w:r>
      <w:r w:rsidRPr="005A6843">
        <w:t xml:space="preserve"> del Portal: “</w:t>
      </w:r>
      <w:r w:rsidRPr="00643248">
        <w:rPr>
          <w:i/>
        </w:rPr>
        <w:t>Normativa destacada”, “Normativa en elaboración”, “Normativa vigente”</w:t>
      </w:r>
      <w:r w:rsidRPr="005A6843">
        <w:t xml:space="preserve"> y </w:t>
      </w:r>
      <w:r w:rsidRPr="00643248">
        <w:rPr>
          <w:i/>
        </w:rPr>
        <w:t>“Otras disposiciones”</w:t>
      </w:r>
      <w:r w:rsidRPr="005A6843">
        <w:t>.</w:t>
      </w:r>
    </w:p>
    <w:p w:rsidR="0038108F" w:rsidRPr="005A6843" w:rsidRDefault="0038108F" w:rsidP="00AA712B">
      <w:pPr>
        <w:jc w:val="both"/>
      </w:pPr>
      <w:r w:rsidRPr="005A6843">
        <w:t>En este sentido, deben darse por reproducidas aquí las consideraciones efectuadas respecto de dichos elementos o sub-categorías y de la sub-categoría del art. 7 de la</w:t>
      </w:r>
      <w:r w:rsidR="0069620D">
        <w:t xml:space="preserve"> ley</w:t>
      </w:r>
      <w:r w:rsidR="00E768A4">
        <w:t xml:space="preserve"> de transparencia</w:t>
      </w:r>
      <w:r w:rsidRPr="005A6843">
        <w:t xml:space="preserve"> </w:t>
      </w:r>
      <w:r w:rsidRPr="00643248">
        <w:rPr>
          <w:i/>
        </w:rPr>
        <w:t>“Documentos sometidos a audiencia pública durante su tramitación”</w:t>
      </w:r>
      <w:r w:rsidRPr="005A6843">
        <w:t xml:space="preserve"> en el examen del menú general del Portal.</w:t>
      </w:r>
    </w:p>
    <w:p w:rsidR="0038108F" w:rsidRPr="005A6843" w:rsidRDefault="0038108F" w:rsidP="00AA712B">
      <w:pPr>
        <w:jc w:val="both"/>
      </w:pPr>
      <w:r w:rsidRPr="005A6843">
        <w:t xml:space="preserve">Se analiza a continuación, brevemente, el contenido de cada uno de los elementos o sub--categorías incluidas en la categoría. </w:t>
      </w:r>
    </w:p>
    <w:p w:rsidR="0038108F" w:rsidRPr="00643248" w:rsidRDefault="0038108F" w:rsidP="00AA712B">
      <w:pPr>
        <w:jc w:val="both"/>
        <w:rPr>
          <w:b/>
          <w:u w:val="single"/>
        </w:rPr>
      </w:pPr>
      <w:r w:rsidRPr="00643248">
        <w:rPr>
          <w:b/>
          <w:u w:val="single"/>
        </w:rPr>
        <w:t>Normativa destacada</w:t>
      </w:r>
    </w:p>
    <w:p w:rsidR="0038108F" w:rsidRPr="005A6843" w:rsidRDefault="0038108F" w:rsidP="00AA712B">
      <w:pPr>
        <w:jc w:val="both"/>
      </w:pPr>
      <w:r w:rsidRPr="005A6843">
        <w:t xml:space="preserve">Ofrece seis resultados: </w:t>
      </w:r>
      <w:r w:rsidR="001C41A6">
        <w:t>Ley</w:t>
      </w:r>
      <w:r w:rsidRPr="005A6843">
        <w:t xml:space="preserve"> 23/1998, de 7 de julio, de Cooperación Internacional para el Desarrollo; </w:t>
      </w:r>
      <w:r w:rsidR="001C41A6">
        <w:t>Ley</w:t>
      </w:r>
      <w:r w:rsidRPr="005A6843">
        <w:t xml:space="preserve"> 25/2014, de 27 de noviembre, de Tratados y otros Acuerdos Internacionales; </w:t>
      </w:r>
      <w:r w:rsidR="001C41A6">
        <w:t>Ley</w:t>
      </w:r>
      <w:r w:rsidRPr="005A6843">
        <w:t xml:space="preserve"> 2/2014, de 25 de marzo, de la Acción y del Servicio Exterior del Estado; Real Decreto 2555/1977, de 27 de agosto, por el que se aprueba el Reglamento de la Oficina de Interpretación de Lenguas del MAEC; Real Decreto 638/2014, de 25 de julio, por el que se aprueba el Reglamento de la Carrera Diplomática y Real Decreto 342/2012, de 10 de febrero, por el que se desarrolla la estructura orgánica básica del MAEC. Se desconoce el criterio seguido en la selección. </w:t>
      </w:r>
    </w:p>
    <w:p w:rsidR="0038108F" w:rsidRPr="00643248" w:rsidRDefault="0038108F" w:rsidP="00AA712B">
      <w:pPr>
        <w:jc w:val="both"/>
        <w:rPr>
          <w:b/>
          <w:u w:val="single"/>
        </w:rPr>
      </w:pPr>
      <w:r w:rsidRPr="00643248">
        <w:rPr>
          <w:b/>
          <w:u w:val="single"/>
        </w:rPr>
        <w:t>Normativa en elaboración</w:t>
      </w:r>
    </w:p>
    <w:p w:rsidR="0038108F" w:rsidRPr="005A6843" w:rsidRDefault="0038108F" w:rsidP="00AA712B">
      <w:pPr>
        <w:jc w:val="both"/>
      </w:pPr>
      <w:r w:rsidRPr="005A6843">
        <w:t xml:space="preserve">No hay resultados.  </w:t>
      </w:r>
    </w:p>
    <w:p w:rsidR="00684CD5" w:rsidRDefault="00684CD5">
      <w:pPr>
        <w:rPr>
          <w:b/>
          <w:u w:val="single"/>
        </w:rPr>
      </w:pPr>
      <w:r>
        <w:rPr>
          <w:b/>
          <w:u w:val="single"/>
        </w:rPr>
        <w:br w:type="page"/>
      </w:r>
    </w:p>
    <w:p w:rsidR="0038108F" w:rsidRPr="00643248" w:rsidRDefault="0038108F" w:rsidP="00AA712B">
      <w:pPr>
        <w:jc w:val="both"/>
        <w:rPr>
          <w:b/>
          <w:u w:val="single"/>
        </w:rPr>
      </w:pPr>
      <w:r w:rsidRPr="00643248">
        <w:rPr>
          <w:b/>
          <w:u w:val="single"/>
        </w:rPr>
        <w:t>Normativa en vigor</w:t>
      </w:r>
    </w:p>
    <w:p w:rsidR="00643248" w:rsidRDefault="0038108F" w:rsidP="0045179C">
      <w:pPr>
        <w:jc w:val="both"/>
      </w:pPr>
      <w:r w:rsidRPr="005A6843">
        <w:t>Una sola entrada: el Real Decreto 193/2015, de 23 de marzo, por el que se aprueba el Reglamento del Registro de Organizaciones No</w:t>
      </w:r>
      <w:r w:rsidR="00643248">
        <w:t xml:space="preserve"> Gubernamentales de Desarrollo.</w:t>
      </w:r>
    </w:p>
    <w:p w:rsidR="0038108F" w:rsidRPr="00643248" w:rsidRDefault="0038108F" w:rsidP="00AA712B">
      <w:pPr>
        <w:jc w:val="both"/>
        <w:rPr>
          <w:b/>
          <w:u w:val="single"/>
        </w:rPr>
      </w:pPr>
      <w:r w:rsidRPr="00643248">
        <w:rPr>
          <w:b/>
          <w:u w:val="single"/>
        </w:rPr>
        <w:t>Otras disposiciones</w:t>
      </w:r>
    </w:p>
    <w:p w:rsidR="0038108F" w:rsidRPr="005A6843" w:rsidRDefault="0038108F" w:rsidP="00AA712B">
      <w:pPr>
        <w:jc w:val="both"/>
      </w:pPr>
      <w:r w:rsidRPr="005A6843">
        <w:t>Presenta un único resultado: la Orden AEC/2125/2014, de 6 de noviembre, por la que se dictan normas sobre los exámenes para la obtención del título de Traductor-Intérprete Jurado</w:t>
      </w:r>
    </w:p>
    <w:p w:rsidR="0038108F" w:rsidRPr="005A6843" w:rsidRDefault="0038108F" w:rsidP="009F3B2E">
      <w:pPr>
        <w:pStyle w:val="Ttulo5"/>
      </w:pPr>
      <w:bookmarkStart w:id="214" w:name="_Toc498345402"/>
      <w:bookmarkStart w:id="215" w:name="_Toc501110686"/>
      <w:r w:rsidRPr="005A6843">
        <w:t>Información económica, presupuestaria y estadística</w:t>
      </w:r>
      <w:bookmarkEnd w:id="214"/>
      <w:bookmarkEnd w:id="215"/>
    </w:p>
    <w:p w:rsidR="0038108F" w:rsidRDefault="00FF0F42" w:rsidP="00FC26D7">
      <w:pPr>
        <w:pStyle w:val="Prrafodelista"/>
        <w:numPr>
          <w:ilvl w:val="0"/>
          <w:numId w:val="48"/>
        </w:numPr>
        <w:ind w:left="426"/>
        <w:jc w:val="both"/>
        <w:rPr>
          <w:b/>
          <w:u w:val="single"/>
        </w:rPr>
      </w:pPr>
      <w:r>
        <w:rPr>
          <w:b/>
          <w:u w:val="single"/>
        </w:rPr>
        <w:t>CONTRATOS, CONVENIOS, SUBVENCIONES Y BIENES INMUEBLES</w:t>
      </w:r>
    </w:p>
    <w:p w:rsidR="00FF0F42" w:rsidRPr="00FF0F42" w:rsidRDefault="00FF0F42" w:rsidP="00FF0F42">
      <w:pPr>
        <w:pStyle w:val="Prrafodelista"/>
        <w:ind w:left="426"/>
        <w:jc w:val="both"/>
        <w:rPr>
          <w:b/>
          <w:u w:val="single"/>
        </w:rPr>
      </w:pPr>
    </w:p>
    <w:p w:rsidR="0038108F" w:rsidRPr="005A6843" w:rsidRDefault="0038108F" w:rsidP="00AA712B">
      <w:pPr>
        <w:jc w:val="both"/>
      </w:pPr>
      <w:r w:rsidRPr="005A6843">
        <w:t xml:space="preserve">El menú de la categoría </w:t>
      </w:r>
      <w:r w:rsidRPr="00643248">
        <w:rPr>
          <w:i/>
        </w:rPr>
        <w:t>“Contratos, Convenios, Subvenciones y Bienes Inmuebles”</w:t>
      </w:r>
      <w:r w:rsidRPr="005A6843">
        <w:t xml:space="preserve"> del MAEC contiene tres sub-categorías de información: </w:t>
      </w:r>
      <w:r w:rsidRPr="00643248">
        <w:rPr>
          <w:i/>
        </w:rPr>
        <w:t>“Contratos”, “Convenios y Encomiendas”</w:t>
      </w:r>
      <w:r w:rsidRPr="005A6843">
        <w:t xml:space="preserve"> y </w:t>
      </w:r>
      <w:r w:rsidRPr="00643248">
        <w:rPr>
          <w:i/>
        </w:rPr>
        <w:t>“Bienes Inmuebles”</w:t>
      </w:r>
      <w:r w:rsidRPr="005A6843">
        <w:t xml:space="preserve">. </w:t>
      </w:r>
    </w:p>
    <w:p w:rsidR="0038108F" w:rsidRPr="005A6843" w:rsidRDefault="0038108F" w:rsidP="00AA712B">
      <w:pPr>
        <w:jc w:val="both"/>
      </w:pPr>
      <w:r w:rsidRPr="005A6843">
        <w:t xml:space="preserve">Se analiza a continuación, brevemente, el contenido de cada uno de los elementos informativos incluidos en la categoría. </w:t>
      </w:r>
    </w:p>
    <w:p w:rsidR="0038108F" w:rsidRPr="00643248" w:rsidRDefault="0038108F" w:rsidP="00AA712B">
      <w:pPr>
        <w:jc w:val="both"/>
        <w:rPr>
          <w:b/>
          <w:u w:val="single"/>
        </w:rPr>
      </w:pPr>
      <w:r w:rsidRPr="00643248">
        <w:rPr>
          <w:b/>
          <w:u w:val="single"/>
        </w:rPr>
        <w:t xml:space="preserve">Contratos </w:t>
      </w:r>
    </w:p>
    <w:p w:rsidR="0038108F" w:rsidRPr="005A6843" w:rsidRDefault="0038108F" w:rsidP="00AA712B">
      <w:pPr>
        <w:jc w:val="both"/>
      </w:pPr>
      <w:r w:rsidRPr="005A6843">
        <w:t xml:space="preserve">Al día de la fecha ofrece 2.245 resultados La mayor parte de los contratos corresponden a la AECID (1.595) y a la Dirección General del Servicio Exterior (317), que actúan como órganos de contratación para, respectivamente, las Oficinas de Cooperación y las Embajadas y Consulados en el exterior. </w:t>
      </w:r>
    </w:p>
    <w:p w:rsidR="0038108F" w:rsidRPr="00643248" w:rsidRDefault="0038108F" w:rsidP="00AA712B">
      <w:pPr>
        <w:jc w:val="both"/>
        <w:rPr>
          <w:b/>
          <w:u w:val="single"/>
        </w:rPr>
      </w:pPr>
      <w:r w:rsidRPr="00643248">
        <w:rPr>
          <w:b/>
          <w:u w:val="single"/>
        </w:rPr>
        <w:t>Convenios y encomiendas</w:t>
      </w:r>
    </w:p>
    <w:p w:rsidR="0038108F" w:rsidRPr="005A6843" w:rsidRDefault="0038108F" w:rsidP="00AA712B">
      <w:pPr>
        <w:jc w:val="both"/>
      </w:pPr>
      <w:r w:rsidRPr="005A6843">
        <w:t xml:space="preserve">A día de hoy el listado ofrece 173 resultados: 170 convenios y 3 encomiendas de gestión, a saber: Resolución de la AECID por la que se encomienda a la Empresa De Tecnologías Y Servicios Agrarios, S.A. (TRAGSATEC) las actividades de mantenimiento y mejora de la aplicación para la gestión de subvenciones de cooperación al desarrollo; Encomienda de gestión entre la Fábrica Nacional de Moneda y Timbre - Real Casa de la Moneda y el Instituto Cervantes y Convenio de Colaboración entre la AECID y BD Barcelona 1972, s.l., para la colaboración en el proyecto "Los Sujetos" del Pabellón Español en la 56ª Edición de la Bienal de Arte de Venecia. La mayor parte de los convenios corresponden al Instituto Cervantes y, en menor medida, a la AECID. </w:t>
      </w:r>
    </w:p>
    <w:p w:rsidR="0038108F" w:rsidRPr="005A6843" w:rsidRDefault="0038108F" w:rsidP="00AA712B">
      <w:pPr>
        <w:jc w:val="both"/>
      </w:pPr>
      <w:r w:rsidRPr="005A6843">
        <w:t>Se observa la existencia de “acuerdos” y “acuerdos de ejecución” entre los instrumentos publicados. Aunque en el buscador aparecen catalogados como “convenios”, sería aconsejable una unificación de la terminología.</w:t>
      </w:r>
    </w:p>
    <w:p w:rsidR="0038108F" w:rsidRPr="00643248" w:rsidRDefault="0038108F" w:rsidP="00AA712B">
      <w:pPr>
        <w:jc w:val="both"/>
        <w:rPr>
          <w:b/>
          <w:u w:val="single"/>
        </w:rPr>
      </w:pPr>
      <w:r w:rsidRPr="00643248">
        <w:rPr>
          <w:b/>
          <w:u w:val="single"/>
        </w:rPr>
        <w:t xml:space="preserve">Bienes inmuebles </w:t>
      </w:r>
    </w:p>
    <w:p w:rsidR="0038108F" w:rsidRDefault="0038108F" w:rsidP="00AA712B">
      <w:pPr>
        <w:jc w:val="both"/>
      </w:pPr>
      <w:r w:rsidRPr="005A6843">
        <w:t>La información se presenta en un listado ordenado alfabéticamente por localización Figuran 203 inmuebl</w:t>
      </w:r>
      <w:r w:rsidR="00643248">
        <w:t>es.</w:t>
      </w:r>
    </w:p>
    <w:p w:rsidR="0038108F" w:rsidRDefault="00FF0F42" w:rsidP="00FC26D7">
      <w:pPr>
        <w:pStyle w:val="Prrafodelista"/>
        <w:numPr>
          <w:ilvl w:val="0"/>
          <w:numId w:val="48"/>
        </w:numPr>
        <w:ind w:left="426"/>
        <w:jc w:val="both"/>
        <w:rPr>
          <w:b/>
          <w:u w:val="single"/>
        </w:rPr>
      </w:pPr>
      <w:r>
        <w:rPr>
          <w:b/>
          <w:u w:val="single"/>
        </w:rPr>
        <w:t>PRESUPUESTOS, FISCALIZACIÓN E INFORMES</w:t>
      </w:r>
    </w:p>
    <w:p w:rsidR="00FF0F42" w:rsidRPr="00FF0F42" w:rsidRDefault="00FF0F42" w:rsidP="00FF0F42">
      <w:pPr>
        <w:pStyle w:val="Prrafodelista"/>
        <w:ind w:left="426"/>
        <w:jc w:val="both"/>
        <w:rPr>
          <w:b/>
          <w:u w:val="single"/>
        </w:rPr>
      </w:pPr>
    </w:p>
    <w:p w:rsidR="0038108F" w:rsidRPr="005A6843" w:rsidRDefault="0038108F" w:rsidP="00AA712B">
      <w:pPr>
        <w:jc w:val="both"/>
      </w:pPr>
      <w:r w:rsidRPr="005A6843">
        <w:t xml:space="preserve">La categoría </w:t>
      </w:r>
      <w:r w:rsidRPr="00643248">
        <w:rPr>
          <w:i/>
        </w:rPr>
        <w:t>“Presupuestos, Fiscalización e Informes”</w:t>
      </w:r>
      <w:r w:rsidRPr="005A6843">
        <w:t xml:space="preserve"> del menú del MAEC presenta dos sub-categorías informativas: </w:t>
      </w:r>
      <w:r w:rsidRPr="00643248">
        <w:rPr>
          <w:i/>
        </w:rPr>
        <w:t>“Presupuestos Generales del Estado”</w:t>
      </w:r>
      <w:r w:rsidRPr="005A6843">
        <w:t xml:space="preserve"> y </w:t>
      </w:r>
      <w:r w:rsidRPr="00643248">
        <w:rPr>
          <w:i/>
        </w:rPr>
        <w:t>“Estadísticas e Informes Relevantes”</w:t>
      </w:r>
      <w:r w:rsidRPr="005A6843">
        <w:t xml:space="preserve">. </w:t>
      </w:r>
    </w:p>
    <w:p w:rsidR="0038108F" w:rsidRPr="005A6843" w:rsidRDefault="0038108F" w:rsidP="00AA712B">
      <w:pPr>
        <w:jc w:val="both"/>
      </w:pPr>
      <w:r w:rsidRPr="005A6843">
        <w:t xml:space="preserve">Acto seguido se expone brevemente el contenido de cada uno de los elementos informativos incluidos en la categoría. En todos ellos, la información se ajusta al modelo general del Portal por lo que deben tenerse por reproducidas las consideraciones efectuadas con ocasión del estudio de aquel. </w:t>
      </w:r>
    </w:p>
    <w:p w:rsidR="0038108F" w:rsidRPr="00643248" w:rsidRDefault="0038108F" w:rsidP="00AA712B">
      <w:pPr>
        <w:jc w:val="both"/>
        <w:rPr>
          <w:b/>
          <w:u w:val="single"/>
        </w:rPr>
      </w:pPr>
      <w:r w:rsidRPr="00643248">
        <w:rPr>
          <w:b/>
          <w:u w:val="single"/>
        </w:rPr>
        <w:t>Presupuestos generales</w:t>
      </w:r>
    </w:p>
    <w:p w:rsidR="0038108F" w:rsidRPr="005A6843" w:rsidRDefault="0038108F" w:rsidP="00AA712B">
      <w:pPr>
        <w:jc w:val="both"/>
      </w:pPr>
      <w:r w:rsidRPr="005A6843">
        <w:t>“Clicando” la opción "Ingresos",  se accede a un menú con cinco posibilidades: ingresos del Estado, de los Organismos Autónomos, de las Agencias Estatales, de otros Organismos Públicos y de la Seguridad Social, Cada una de ellas, dirige al consultante al Estado de Ingresos de los Presupuestos Generales del Estado para 2016 que figura en el PAP del MINHAFP, en tres formatos -xml, html y pdf-.</w:t>
      </w:r>
    </w:p>
    <w:p w:rsidR="0038108F" w:rsidRPr="005A6843" w:rsidRDefault="0038108F" w:rsidP="00AA712B">
      <w:pPr>
        <w:jc w:val="both"/>
      </w:pPr>
      <w:r w:rsidRPr="005A6843">
        <w:t>“Clicando” la opción "Gastos", se accede a un menú general con 36 resultados que, con ayuda del buscador, se pueden filtrar por años desde 2014, fecha de puesta en funcionamiento del Portal. Para 2017, el Portal ofrece un único acceso que enlaza directamente con el Presupuesto de Gastos del MAEC para dicho ejercicio que figura en el PAP y que se ofrece en los mismos tres formatos mencionados con anterioridad. Para 2016, se ofrecen 11 accesos; para 2015, 12 y para 2014, 10, correspondientes al Ministerio, algunos de sus organismos dependientes y vinculados y algunos entes consorciados y adscritos. Curiosamente, en los datos de 2014 a 2016, aparecen también entradas a organismos ajenos al MAEC -p. ej. Puertos del Estado o SASEMAR, adscritos al Ministerio de Fomento-.</w:t>
      </w:r>
    </w:p>
    <w:p w:rsidR="00684CD5" w:rsidRDefault="00684CD5">
      <w:pPr>
        <w:rPr>
          <w:b/>
          <w:u w:val="single"/>
        </w:rPr>
      </w:pPr>
      <w:r>
        <w:rPr>
          <w:b/>
          <w:u w:val="single"/>
        </w:rPr>
        <w:br w:type="page"/>
      </w:r>
    </w:p>
    <w:p w:rsidR="0038108F" w:rsidRPr="00643248" w:rsidRDefault="0038108F" w:rsidP="00AA712B">
      <w:pPr>
        <w:jc w:val="both"/>
        <w:rPr>
          <w:b/>
          <w:u w:val="single"/>
        </w:rPr>
      </w:pPr>
      <w:r w:rsidRPr="00643248">
        <w:rPr>
          <w:b/>
          <w:u w:val="single"/>
        </w:rPr>
        <w:t>Informes y estadísticas relevantes</w:t>
      </w:r>
    </w:p>
    <w:p w:rsidR="0038108F" w:rsidRPr="005A6843" w:rsidRDefault="0038108F" w:rsidP="00AA712B">
      <w:pPr>
        <w:jc w:val="both"/>
      </w:pPr>
      <w:r w:rsidRPr="005A6843">
        <w:t xml:space="preserve">A fecha de hoy figuran cuatro informes, de temática diversa: </w:t>
      </w:r>
      <w:r w:rsidRPr="00643248">
        <w:rPr>
          <w:i/>
        </w:rPr>
        <w:t>“Cooperación española 2014”</w:t>
      </w:r>
      <w:r w:rsidRPr="005A6843">
        <w:t xml:space="preserve">, </w:t>
      </w:r>
      <w:r w:rsidRPr="00643248">
        <w:rPr>
          <w:i/>
        </w:rPr>
        <w:t>“Programa editorial 2015”, “Información consular”</w:t>
      </w:r>
      <w:r w:rsidRPr="005A6843">
        <w:t xml:space="preserve"> y </w:t>
      </w:r>
      <w:r w:rsidRPr="00643248">
        <w:rPr>
          <w:i/>
        </w:rPr>
        <w:t>“El Instituto Cervantes en cifras”</w:t>
      </w:r>
      <w:r w:rsidRPr="005A6843">
        <w:t xml:space="preserve">. Sorprendentemente, el </w:t>
      </w:r>
      <w:r w:rsidR="00684CD5" w:rsidRPr="005A6843">
        <w:t>clic</w:t>
      </w:r>
      <w:r w:rsidRPr="005A6843">
        <w:t xml:space="preserve"> en </w:t>
      </w:r>
      <w:r w:rsidRPr="00643248">
        <w:rPr>
          <w:i/>
        </w:rPr>
        <w:t>“Información consular”</w:t>
      </w:r>
      <w:r w:rsidRPr="005A6843">
        <w:t xml:space="preserve"> conduce a la página de inicio de la </w:t>
      </w:r>
      <w:r w:rsidR="00FC4B2E" w:rsidRPr="00FC4B2E">
        <w:rPr>
          <w:i/>
        </w:rPr>
        <w:t>web</w:t>
      </w:r>
      <w:r w:rsidRPr="005A6843">
        <w:t xml:space="preserve"> de la AEVAL</w:t>
      </w:r>
    </w:p>
    <w:p w:rsidR="00227173" w:rsidRDefault="00227173">
      <w:pPr>
        <w:rPr>
          <w:b/>
          <w:color w:val="1C314E" w:themeColor="accent4" w:themeShade="80"/>
          <w:sz w:val="32"/>
          <w:szCs w:val="28"/>
        </w:rPr>
      </w:pPr>
      <w:bookmarkStart w:id="216" w:name="_Toc498345403"/>
      <w:r>
        <w:br w:type="page"/>
      </w:r>
    </w:p>
    <w:p w:rsidR="0038108F" w:rsidRPr="005A6843" w:rsidRDefault="0038108F" w:rsidP="0016665B">
      <w:pPr>
        <w:pStyle w:val="Ttulo4"/>
      </w:pPr>
      <w:bookmarkStart w:id="217" w:name="_Toc501110687"/>
      <w:r w:rsidRPr="005A6843">
        <w:t>Ministerio de Justicia (MJUS)</w:t>
      </w:r>
      <w:bookmarkEnd w:id="216"/>
      <w:bookmarkEnd w:id="217"/>
    </w:p>
    <w:p w:rsidR="0038108F" w:rsidRPr="005A6843" w:rsidRDefault="0038108F" w:rsidP="00AA712B">
      <w:pPr>
        <w:jc w:val="both"/>
      </w:pPr>
      <w:r w:rsidRPr="005A6843">
        <w:t xml:space="preserve">El menú de </w:t>
      </w:r>
      <w:r w:rsidRPr="00643248">
        <w:rPr>
          <w:i/>
        </w:rPr>
        <w:t>“Transparencia del Ministerio de Justicia”</w:t>
      </w:r>
      <w:r w:rsidRPr="005A6843">
        <w:t xml:space="preserve"> incluye las cuatro categorías de información del menú general de categorías del Portal: </w:t>
      </w:r>
      <w:r w:rsidRPr="00643248">
        <w:rPr>
          <w:i/>
        </w:rPr>
        <w:t>“Institucional”, “Normativa”, “Contratos, convenios, subvenciones y bienes inmuebles”</w:t>
      </w:r>
      <w:r w:rsidRPr="005A6843">
        <w:t xml:space="preserve"> y </w:t>
      </w:r>
      <w:r w:rsidRPr="00643248">
        <w:rPr>
          <w:i/>
        </w:rPr>
        <w:t>“Presupuestos, fiscalización e informes”</w:t>
      </w:r>
      <w:r w:rsidRPr="005A6843">
        <w:t>. Así, en este punto, deben tenerse en cuenta las consideraciones hechas en el análisis de éste.</w:t>
      </w:r>
    </w:p>
    <w:p w:rsidR="0038108F" w:rsidRPr="005A6843" w:rsidRDefault="0038108F" w:rsidP="009F3B2E">
      <w:pPr>
        <w:pStyle w:val="Ttulo5"/>
      </w:pPr>
      <w:bookmarkStart w:id="218" w:name="_Toc498345404"/>
      <w:bookmarkStart w:id="219" w:name="_Toc501110688"/>
      <w:r w:rsidRPr="005A6843">
        <w:t>Información institucional, organizativa y de planificación</w:t>
      </w:r>
      <w:bookmarkEnd w:id="218"/>
      <w:bookmarkEnd w:id="219"/>
    </w:p>
    <w:p w:rsidR="0038108F" w:rsidRPr="005A6843" w:rsidRDefault="0038108F" w:rsidP="00AA712B">
      <w:pPr>
        <w:jc w:val="both"/>
      </w:pPr>
      <w:r w:rsidRPr="005A6843">
        <w:t xml:space="preserve">La categoría de información institucional presenta seis sub-categorías o elementos informativos: </w:t>
      </w:r>
      <w:r w:rsidRPr="002E4350">
        <w:rPr>
          <w:i/>
        </w:rPr>
        <w:t>“Estructura”, “Funciones”, “Planes de objetivos”, “Retribuciones de Altos Cargos, “Currículos de Altos Cargos”</w:t>
      </w:r>
      <w:r w:rsidRPr="005A6843">
        <w:t xml:space="preserve"> y </w:t>
      </w:r>
      <w:r w:rsidRPr="002E4350">
        <w:rPr>
          <w:i/>
        </w:rPr>
        <w:t>“Relaciones de Puestos de Trabajo”</w:t>
      </w:r>
      <w:r w:rsidRPr="005A6843">
        <w:t xml:space="preserve">. Así, teniendo en cuenta la organización del menú general del Portal, faltarían todavía dos elementos o sub-categorías informativas, </w:t>
      </w:r>
      <w:r w:rsidRPr="002E4350">
        <w:rPr>
          <w:i/>
        </w:rPr>
        <w:t>“Normativa de aplicación”</w:t>
      </w:r>
      <w:r w:rsidRPr="005A6843">
        <w:t xml:space="preserve"> y </w:t>
      </w:r>
      <w:r w:rsidRPr="002E4350">
        <w:rPr>
          <w:i/>
        </w:rPr>
        <w:t>“Entes del Sector Público”</w:t>
      </w:r>
      <w:r w:rsidRPr="005A6843">
        <w:t xml:space="preserve">, y sobrarían las relativas a </w:t>
      </w:r>
      <w:r w:rsidRPr="002E4350">
        <w:rPr>
          <w:i/>
        </w:rPr>
        <w:t>“Retribuciones de los Altos Cargos”, “Relaciones de Puestos de Trabajo”, “Autorizaciones de actividad privada en Altos Cargos”, “Indemnizaciones percibidas con ocasión del cese”</w:t>
      </w:r>
      <w:r w:rsidRPr="005A6843">
        <w:t xml:space="preserve"> y </w:t>
      </w:r>
      <w:r w:rsidRPr="002E4350">
        <w:rPr>
          <w:i/>
        </w:rPr>
        <w:t>“Autorización o reconocimiento de compatibilidad de empleados públicos”</w:t>
      </w:r>
      <w:r w:rsidRPr="005A6843">
        <w:t>. Respecto de esta cuestión, deben traerse a colación las consideraciones efectuadas en los anteriores apartados de este documento acerca de la estructuración de aquel menú general y de los distintos menús ministeriales de transparencia.</w:t>
      </w:r>
    </w:p>
    <w:p w:rsidR="0038108F" w:rsidRPr="005A6843" w:rsidRDefault="0038108F" w:rsidP="00AA712B">
      <w:pPr>
        <w:jc w:val="both"/>
      </w:pPr>
      <w:r w:rsidRPr="005A6843">
        <w:t xml:space="preserve">A continuación, se comenta brevemente el contenido de cada uno de los elementos o sub--categorías informativas incluidas en esta categoría. </w:t>
      </w:r>
    </w:p>
    <w:p w:rsidR="0038108F" w:rsidRPr="002E4350" w:rsidRDefault="0038108F" w:rsidP="00AA712B">
      <w:pPr>
        <w:jc w:val="both"/>
        <w:rPr>
          <w:b/>
          <w:u w:val="single"/>
        </w:rPr>
      </w:pPr>
      <w:r w:rsidRPr="002E4350">
        <w:rPr>
          <w:b/>
          <w:u w:val="single"/>
        </w:rPr>
        <w:t>Estructura</w:t>
      </w:r>
    </w:p>
    <w:p w:rsidR="0038108F" w:rsidRPr="005A6843" w:rsidRDefault="0038108F" w:rsidP="00AA712B">
      <w:pPr>
        <w:jc w:val="both"/>
      </w:pPr>
      <w:r w:rsidRPr="005A6843">
        <w:t xml:space="preserve">La organización del Ministerio es posterior al Real Decreto 415/2016, de 3 de noviembre, habiéndose aprobado ya el nuevo Real Decreto de estructura orgánica (ver el siguiente apartado </w:t>
      </w:r>
      <w:r w:rsidRPr="002E4350">
        <w:rPr>
          <w:b/>
        </w:rPr>
        <w:t>“Funciones”</w:t>
      </w:r>
      <w:r w:rsidRPr="005A6843">
        <w:t>). En consecuencia, se incluye un organigrama desglosado hasta el nivel de Subdirector General y que incorpora una lista de los órganos colegiados y consultivos adscritos</w:t>
      </w:r>
    </w:p>
    <w:p w:rsidR="0038108F" w:rsidRPr="005A6843" w:rsidRDefault="0038108F" w:rsidP="00FC26D7">
      <w:pPr>
        <w:pStyle w:val="Prrafodelista"/>
        <w:numPr>
          <w:ilvl w:val="0"/>
          <w:numId w:val="47"/>
        </w:numPr>
        <w:spacing w:line="276" w:lineRule="auto"/>
        <w:ind w:left="714" w:hanging="357"/>
        <w:jc w:val="both"/>
      </w:pPr>
      <w:r w:rsidRPr="005A6843">
        <w:t>Comisión General de Codificación</w:t>
      </w:r>
    </w:p>
    <w:p w:rsidR="0038108F" w:rsidRPr="005A6843" w:rsidRDefault="0038108F" w:rsidP="00FC26D7">
      <w:pPr>
        <w:pStyle w:val="Prrafodelista"/>
        <w:numPr>
          <w:ilvl w:val="0"/>
          <w:numId w:val="47"/>
        </w:numPr>
        <w:spacing w:line="276" w:lineRule="auto"/>
        <w:ind w:left="714" w:hanging="357"/>
        <w:jc w:val="both"/>
      </w:pPr>
      <w:r w:rsidRPr="005A6843">
        <w:t>Consejo del organismo autónomo Centro de Estudios Jurídicos</w:t>
      </w:r>
    </w:p>
    <w:p w:rsidR="0038108F" w:rsidRPr="005A6843" w:rsidRDefault="0038108F" w:rsidP="00FC26D7">
      <w:pPr>
        <w:pStyle w:val="Prrafodelista"/>
        <w:numPr>
          <w:ilvl w:val="0"/>
          <w:numId w:val="47"/>
        </w:numPr>
        <w:spacing w:line="276" w:lineRule="auto"/>
        <w:ind w:left="714" w:hanging="357"/>
        <w:jc w:val="both"/>
      </w:pPr>
      <w:r w:rsidRPr="005A6843">
        <w:t>Junta de Gobierno de la Orden de San Raimundo de Peñafort</w:t>
      </w:r>
    </w:p>
    <w:p w:rsidR="0038108F" w:rsidRPr="005A6843" w:rsidRDefault="0038108F" w:rsidP="00FC26D7">
      <w:pPr>
        <w:pStyle w:val="Prrafodelista"/>
        <w:numPr>
          <w:ilvl w:val="0"/>
          <w:numId w:val="47"/>
        </w:numPr>
        <w:spacing w:line="276" w:lineRule="auto"/>
        <w:ind w:left="714" w:hanging="357"/>
        <w:jc w:val="both"/>
      </w:pPr>
      <w:r w:rsidRPr="005A6843">
        <w:t>Conferencia Sectorial de Administración de Justicia</w:t>
      </w:r>
    </w:p>
    <w:p w:rsidR="0038108F" w:rsidRPr="005A6843" w:rsidRDefault="0038108F" w:rsidP="00FC26D7">
      <w:pPr>
        <w:pStyle w:val="Prrafodelista"/>
        <w:numPr>
          <w:ilvl w:val="0"/>
          <w:numId w:val="47"/>
        </w:numPr>
        <w:spacing w:line="276" w:lineRule="auto"/>
        <w:ind w:left="714" w:hanging="357"/>
        <w:jc w:val="both"/>
      </w:pPr>
      <w:r w:rsidRPr="005A6843">
        <w:t>Comisión Nacional de Estadística Judicial</w:t>
      </w:r>
    </w:p>
    <w:p w:rsidR="0038108F" w:rsidRPr="005A6843" w:rsidRDefault="0038108F" w:rsidP="00FC26D7">
      <w:pPr>
        <w:pStyle w:val="Prrafodelista"/>
        <w:numPr>
          <w:ilvl w:val="0"/>
          <w:numId w:val="47"/>
        </w:numPr>
        <w:spacing w:line="276" w:lineRule="auto"/>
        <w:ind w:left="714" w:hanging="357"/>
        <w:jc w:val="both"/>
      </w:pPr>
      <w:r w:rsidRPr="005A6843">
        <w:t>Comisión de Implantación de la Oficina Judicial</w:t>
      </w:r>
    </w:p>
    <w:p w:rsidR="0038108F" w:rsidRPr="005A6843" w:rsidRDefault="0038108F" w:rsidP="00FC26D7">
      <w:pPr>
        <w:pStyle w:val="Prrafodelista"/>
        <w:numPr>
          <w:ilvl w:val="0"/>
          <w:numId w:val="47"/>
        </w:numPr>
        <w:spacing w:line="276" w:lineRule="auto"/>
        <w:ind w:left="714" w:hanging="357"/>
        <w:jc w:val="both"/>
      </w:pPr>
      <w:r w:rsidRPr="005A6843">
        <w:t>Consejo del Secretariado</w:t>
      </w:r>
    </w:p>
    <w:p w:rsidR="0038108F" w:rsidRPr="005A6843" w:rsidRDefault="0038108F" w:rsidP="00FC26D7">
      <w:pPr>
        <w:pStyle w:val="Prrafodelista"/>
        <w:numPr>
          <w:ilvl w:val="0"/>
          <w:numId w:val="47"/>
        </w:numPr>
        <w:spacing w:line="276" w:lineRule="auto"/>
        <w:ind w:left="714" w:hanging="357"/>
        <w:jc w:val="both"/>
      </w:pPr>
      <w:r w:rsidRPr="005A6843">
        <w:t>Comisión de asistencia a las víctimas de delitos violentos y contra la libertad sexual</w:t>
      </w:r>
    </w:p>
    <w:p w:rsidR="0038108F" w:rsidRPr="005A6843" w:rsidRDefault="0038108F" w:rsidP="00FC26D7">
      <w:pPr>
        <w:pStyle w:val="Prrafodelista"/>
        <w:numPr>
          <w:ilvl w:val="0"/>
          <w:numId w:val="47"/>
        </w:numPr>
        <w:spacing w:line="276" w:lineRule="auto"/>
        <w:ind w:left="714" w:hanging="357"/>
        <w:jc w:val="both"/>
      </w:pPr>
      <w:r w:rsidRPr="005A6843">
        <w:t>Comisión Permanente del Comité técnico estatal de la Administración judicial electrónica</w:t>
      </w:r>
    </w:p>
    <w:p w:rsidR="0038108F" w:rsidRPr="005A6843" w:rsidRDefault="0038108F" w:rsidP="00FC26D7">
      <w:pPr>
        <w:pStyle w:val="Prrafodelista"/>
        <w:numPr>
          <w:ilvl w:val="0"/>
          <w:numId w:val="47"/>
        </w:numPr>
        <w:spacing w:line="276" w:lineRule="auto"/>
        <w:ind w:left="714" w:hanging="357"/>
        <w:jc w:val="both"/>
      </w:pPr>
      <w:r w:rsidRPr="005A6843">
        <w:t>Consejo Médico Forense</w:t>
      </w:r>
    </w:p>
    <w:p w:rsidR="0038108F" w:rsidRPr="005A6843" w:rsidRDefault="0038108F" w:rsidP="00FC26D7">
      <w:pPr>
        <w:pStyle w:val="Prrafodelista"/>
        <w:numPr>
          <w:ilvl w:val="0"/>
          <w:numId w:val="47"/>
        </w:numPr>
        <w:spacing w:line="276" w:lineRule="auto"/>
        <w:ind w:left="714" w:hanging="357"/>
        <w:jc w:val="both"/>
      </w:pPr>
      <w:r w:rsidRPr="005A6843">
        <w:t>Comisión Asesora de Libertad Religiosa</w:t>
      </w:r>
    </w:p>
    <w:p w:rsidR="0038108F" w:rsidRPr="005A6843" w:rsidRDefault="0038108F" w:rsidP="00FC26D7">
      <w:pPr>
        <w:pStyle w:val="Prrafodelista"/>
        <w:numPr>
          <w:ilvl w:val="0"/>
          <w:numId w:val="47"/>
        </w:numPr>
        <w:spacing w:line="276" w:lineRule="auto"/>
        <w:ind w:left="714" w:hanging="357"/>
        <w:jc w:val="both"/>
      </w:pPr>
      <w:r w:rsidRPr="005A6843">
        <w:t>Junta de Contratación y Mesa de Contratación del Mº de Justicia</w:t>
      </w:r>
    </w:p>
    <w:p w:rsidR="0038108F" w:rsidRPr="005A6843" w:rsidRDefault="0038108F" w:rsidP="00684CD5">
      <w:pPr>
        <w:pStyle w:val="Prrafodelista"/>
        <w:numPr>
          <w:ilvl w:val="0"/>
          <w:numId w:val="47"/>
        </w:numPr>
        <w:spacing w:after="120" w:line="276" w:lineRule="auto"/>
        <w:ind w:left="714" w:hanging="357"/>
        <w:jc w:val="both"/>
      </w:pPr>
      <w:r w:rsidRPr="005A6843">
        <w:t>Comisión Ministerial de Administración Digital del Mº de Justicia</w:t>
      </w:r>
    </w:p>
    <w:p w:rsidR="0038108F" w:rsidRPr="005A6843" w:rsidRDefault="0038108F" w:rsidP="00684CD5">
      <w:pPr>
        <w:spacing w:after="120"/>
        <w:jc w:val="both"/>
      </w:pPr>
      <w:r w:rsidRPr="005A6843">
        <w:t xml:space="preserve">La información contiene también una relación de los organismos vinculados y dependientes del Departamento. La lista incluye dos, el Centro de Estudios Jurídicos (CEJ) y la Mutualidad General Judicial (MUGEJU), cuando atendiendo a la </w:t>
      </w:r>
      <w:hyperlink r:id="rId61" w:history="1">
        <w:r w:rsidR="00FC4B2E" w:rsidRPr="00C128CF">
          <w:rPr>
            <w:rStyle w:val="Hipervnculo"/>
            <w:i/>
          </w:rPr>
          <w:t>web</w:t>
        </w:r>
        <w:r w:rsidRPr="00C128CF">
          <w:rPr>
            <w:rStyle w:val="Hipervnculo"/>
          </w:rPr>
          <w:t xml:space="preserve"> ministerial</w:t>
        </w:r>
      </w:hyperlink>
      <w:r w:rsidR="00C128CF">
        <w:t>,</w:t>
      </w:r>
      <w:r w:rsidRPr="005A6843">
        <w:t xml:space="preserve"> existe un organismo más, el Instituto Nacional de Toxicología y Ciencias Forenses (INTCF), que debería añadirse.</w:t>
      </w:r>
    </w:p>
    <w:p w:rsidR="0038108F" w:rsidRPr="002E4350" w:rsidRDefault="0038108F" w:rsidP="00AA712B">
      <w:pPr>
        <w:jc w:val="both"/>
        <w:rPr>
          <w:b/>
          <w:u w:val="single"/>
        </w:rPr>
      </w:pPr>
      <w:r w:rsidRPr="002E4350">
        <w:rPr>
          <w:b/>
          <w:u w:val="single"/>
        </w:rPr>
        <w:t xml:space="preserve">Funciones </w:t>
      </w:r>
    </w:p>
    <w:p w:rsidR="0038108F" w:rsidRPr="005A6843" w:rsidRDefault="0038108F" w:rsidP="00AA712B">
      <w:pPr>
        <w:jc w:val="both"/>
      </w:pPr>
      <w:r w:rsidRPr="005A6843">
        <w:t xml:space="preserve">Enlaza al texto consolidado del «BOE» del Real Decreto 725/2017, de 21 de julio, por el que se desarrolla la estructura orgánica básica del Ministerio de Justicia. </w:t>
      </w:r>
    </w:p>
    <w:p w:rsidR="0038108F" w:rsidRPr="002E4350" w:rsidRDefault="0038108F" w:rsidP="00AA712B">
      <w:pPr>
        <w:jc w:val="both"/>
        <w:rPr>
          <w:b/>
          <w:u w:val="single"/>
        </w:rPr>
      </w:pPr>
      <w:r w:rsidRPr="002E4350">
        <w:rPr>
          <w:b/>
          <w:u w:val="single"/>
        </w:rPr>
        <w:t>Planes de objetivos</w:t>
      </w:r>
    </w:p>
    <w:p w:rsidR="0038108F" w:rsidRPr="005A6843" w:rsidRDefault="0038108F" w:rsidP="00AA712B">
      <w:pPr>
        <w:jc w:val="both"/>
      </w:pPr>
      <w:r w:rsidRPr="005A6843">
        <w:t>Figura un único Plan -el Plan 2015 para la aceleración de la Justicia en entornos digitales- y siete Cartas de Servicios, incluidas la Carta de las Gerencias Territoriales y la de MUGEJU.</w:t>
      </w:r>
    </w:p>
    <w:p w:rsidR="0038108F" w:rsidRPr="002E4350" w:rsidRDefault="0038108F" w:rsidP="00AA712B">
      <w:pPr>
        <w:jc w:val="both"/>
        <w:rPr>
          <w:b/>
          <w:u w:val="single"/>
        </w:rPr>
      </w:pPr>
      <w:r w:rsidRPr="002E4350">
        <w:rPr>
          <w:b/>
          <w:u w:val="single"/>
        </w:rPr>
        <w:t>Retribuciones de Altos Cargos</w:t>
      </w:r>
    </w:p>
    <w:p w:rsidR="0038108F" w:rsidRPr="005A6843" w:rsidRDefault="0038108F" w:rsidP="00AA712B">
      <w:pPr>
        <w:jc w:val="both"/>
      </w:pPr>
      <w:r w:rsidRPr="005A6843">
        <w:t>Se incluyen las retribuciones anuales íntegras de los 14 Altos Cargos ministeriales existentes durante 2016. No aparecen las correspondientes a los organismos públicos del Ministerio. Se incluye también información histórica de 2013 a 2015.</w:t>
      </w:r>
    </w:p>
    <w:p w:rsidR="0038108F" w:rsidRPr="002E4350" w:rsidRDefault="0038108F" w:rsidP="00AA712B">
      <w:pPr>
        <w:jc w:val="both"/>
        <w:rPr>
          <w:b/>
          <w:u w:val="single"/>
        </w:rPr>
      </w:pPr>
      <w:r w:rsidRPr="002E4350">
        <w:rPr>
          <w:b/>
          <w:u w:val="single"/>
        </w:rPr>
        <w:t xml:space="preserve">Currículos de Altos Cargos </w:t>
      </w:r>
    </w:p>
    <w:p w:rsidR="0038108F" w:rsidRPr="005A6843" w:rsidRDefault="0038108F" w:rsidP="00AA712B">
      <w:pPr>
        <w:jc w:val="both"/>
      </w:pPr>
      <w:r w:rsidRPr="005A6843">
        <w:t xml:space="preserve">Aparecen los currículos de 14 Altos Cargos ministeriales. No se incorporan los currículos correspondientes a los cargos de los organismos vinculados y dependientes del Ministerio pero, paradójicamente, aparece el currículo de la Directora de la Agencia Española de Protección de Datos (AEPD), que, si bien está adscrita al MJUS, no puede considerarse vinculado o dependiente (como este CTBG, será una de las Autoridades Administrativas Independientes a que se refiere la LRJSP). A criterio de este Consejo, debería eliminarse y publicarse exclusivamente en la </w:t>
      </w:r>
      <w:r w:rsidR="00FC4B2E" w:rsidRPr="00FC4B2E">
        <w:rPr>
          <w:i/>
        </w:rPr>
        <w:t>web</w:t>
      </w:r>
      <w:r w:rsidRPr="005A6843">
        <w:t xml:space="preserve"> institucional de la AEPD.</w:t>
      </w:r>
    </w:p>
    <w:p w:rsidR="0038108F" w:rsidRPr="002E4350" w:rsidRDefault="0038108F" w:rsidP="00AA712B">
      <w:pPr>
        <w:jc w:val="both"/>
        <w:rPr>
          <w:b/>
          <w:u w:val="single"/>
        </w:rPr>
      </w:pPr>
      <w:r w:rsidRPr="002E4350">
        <w:rPr>
          <w:b/>
          <w:u w:val="single"/>
        </w:rPr>
        <w:t xml:space="preserve">Relaciones de Puestos de Trabajo (RPT) </w:t>
      </w:r>
    </w:p>
    <w:p w:rsidR="0038108F" w:rsidRPr="005A6843" w:rsidRDefault="0038108F" w:rsidP="00AA712B">
      <w:pPr>
        <w:jc w:val="both"/>
      </w:pPr>
      <w:r w:rsidRPr="005A6843">
        <w:t>Incluye a los organismos vinculados y dependientes (CEJ y MUGEJU) -por tanto, no a la AEPD-.</w:t>
      </w:r>
    </w:p>
    <w:p w:rsidR="00684CD5" w:rsidRDefault="00684CD5">
      <w:pPr>
        <w:rPr>
          <w:b/>
          <w:color w:val="1C314E" w:themeColor="accent4" w:themeShade="80"/>
          <w:sz w:val="28"/>
        </w:rPr>
      </w:pPr>
      <w:bookmarkStart w:id="220" w:name="_Toc498345405"/>
      <w:r>
        <w:br w:type="page"/>
      </w:r>
    </w:p>
    <w:p w:rsidR="0038108F" w:rsidRPr="005A6843" w:rsidRDefault="0038108F" w:rsidP="009F3B2E">
      <w:pPr>
        <w:pStyle w:val="Ttulo5"/>
      </w:pPr>
      <w:bookmarkStart w:id="221" w:name="_Toc501110689"/>
      <w:r w:rsidRPr="005A6843">
        <w:t>Información de relevancia jurídica</w:t>
      </w:r>
      <w:bookmarkEnd w:id="220"/>
      <w:bookmarkEnd w:id="221"/>
    </w:p>
    <w:p w:rsidR="0038108F" w:rsidRPr="005A6843" w:rsidRDefault="0038108F" w:rsidP="00AA712B">
      <w:pPr>
        <w:jc w:val="both"/>
      </w:pPr>
      <w:r w:rsidRPr="005A6843">
        <w:t xml:space="preserve">Presenta las cuatro sub-categorías del menú general de </w:t>
      </w:r>
      <w:r w:rsidRPr="002E4350">
        <w:rPr>
          <w:i/>
        </w:rPr>
        <w:t>“Normativa”</w:t>
      </w:r>
      <w:r w:rsidRPr="005A6843">
        <w:t xml:space="preserve"> del Portal: </w:t>
      </w:r>
      <w:r w:rsidRPr="002E4350">
        <w:rPr>
          <w:i/>
        </w:rPr>
        <w:t>“Normativa destacada”, “Normativa en elaboración”, “Normativa vigente”</w:t>
      </w:r>
      <w:r w:rsidRPr="005A6843">
        <w:t xml:space="preserve"> y </w:t>
      </w:r>
      <w:r w:rsidRPr="002E4350">
        <w:rPr>
          <w:i/>
        </w:rPr>
        <w:t>“Otras disposiciones”</w:t>
      </w:r>
      <w:r w:rsidRPr="005A6843">
        <w:t>.</w:t>
      </w:r>
    </w:p>
    <w:p w:rsidR="0038108F" w:rsidRPr="005A6843" w:rsidRDefault="0038108F" w:rsidP="00AA712B">
      <w:pPr>
        <w:jc w:val="both"/>
      </w:pPr>
      <w:r w:rsidRPr="005A6843">
        <w:t>En este sentido, deben darse por reproducidas aquí las consideraciones efectuadas en el examen del menú general del Portal respecto de dichos elementos o sub-categorías y de la sub-categoría del art. 7 de la</w:t>
      </w:r>
      <w:r w:rsidR="0069620D">
        <w:t xml:space="preserve"> ley</w:t>
      </w:r>
      <w:r w:rsidR="00E768A4">
        <w:t xml:space="preserve"> de transparencia</w:t>
      </w:r>
      <w:r w:rsidRPr="005A6843">
        <w:t xml:space="preserve"> “Documentos sometidos a audiencia pública durante su tramitación” </w:t>
      </w:r>
    </w:p>
    <w:p w:rsidR="0038108F" w:rsidRPr="005A6843" w:rsidRDefault="0038108F" w:rsidP="00AA712B">
      <w:pPr>
        <w:jc w:val="both"/>
      </w:pPr>
      <w:r w:rsidRPr="005A6843">
        <w:t xml:space="preserve">A continuación se examina brevemente el contenido de cada uno de los elementos o sub--categorías informativas efectivamente incorporadas al menú. En todas ellas, la información se ajusta al modelo general del Portal por lo que deben tenerse por reproducidas las consideraciones efectuadas en el epígrafe anterior en relación con las correlativas sub-categorías del menú general. </w:t>
      </w:r>
    </w:p>
    <w:p w:rsidR="0038108F" w:rsidRPr="002E4350" w:rsidRDefault="0038108F" w:rsidP="00AA712B">
      <w:pPr>
        <w:jc w:val="both"/>
        <w:rPr>
          <w:b/>
          <w:u w:val="single"/>
        </w:rPr>
      </w:pPr>
      <w:r w:rsidRPr="002E4350">
        <w:rPr>
          <w:b/>
          <w:u w:val="single"/>
        </w:rPr>
        <w:t>Normativa destacada</w:t>
      </w:r>
    </w:p>
    <w:p w:rsidR="0038108F" w:rsidRPr="005A6843" w:rsidRDefault="0038108F" w:rsidP="00AA712B">
      <w:pPr>
        <w:jc w:val="both"/>
      </w:pPr>
      <w:r w:rsidRPr="005A6843">
        <w:t xml:space="preserve">A día de hoy el listado presenta 38 resultados, desde la </w:t>
      </w:r>
      <w:r w:rsidR="001C41A6">
        <w:t>Ley</w:t>
      </w:r>
      <w:r w:rsidRPr="005A6843">
        <w:t xml:space="preserve"> Orgánica 15/1999, de 13 de diciembre, de Protección de Datos de Carácter Personal hasta la </w:t>
      </w:r>
      <w:r w:rsidR="001C41A6">
        <w:t>Ley</w:t>
      </w:r>
      <w:r w:rsidRPr="005A6843">
        <w:t xml:space="preserve"> 38/1988, de 28 de diciembre, de Demarcación y de Planta Judicial. </w:t>
      </w:r>
    </w:p>
    <w:p w:rsidR="0038108F" w:rsidRPr="002E4350" w:rsidRDefault="0038108F" w:rsidP="00AA712B">
      <w:pPr>
        <w:jc w:val="both"/>
        <w:rPr>
          <w:b/>
          <w:u w:val="single"/>
        </w:rPr>
      </w:pPr>
      <w:r w:rsidRPr="002E4350">
        <w:rPr>
          <w:b/>
          <w:u w:val="single"/>
        </w:rPr>
        <w:t>Normativa en elaboración</w:t>
      </w:r>
    </w:p>
    <w:p w:rsidR="0038108F" w:rsidRPr="005A6843" w:rsidRDefault="0038108F" w:rsidP="00AA712B">
      <w:pPr>
        <w:jc w:val="both"/>
      </w:pPr>
      <w:r w:rsidRPr="005A6843">
        <w:t xml:space="preserve">A fecha actual figura únicamente un proyecto en tramitación, el Proyecto de </w:t>
      </w:r>
      <w:r w:rsidR="001C41A6">
        <w:t>Ley</w:t>
      </w:r>
      <w:r w:rsidRPr="005A6843">
        <w:t xml:space="preserve"> de Asistencia Jurídica Gratuita, remitido a las Cortes en 20-2-14. Debería revisarse la actualidad de esta información.</w:t>
      </w:r>
    </w:p>
    <w:p w:rsidR="0038108F" w:rsidRPr="002E4350" w:rsidRDefault="0038108F" w:rsidP="00AA712B">
      <w:pPr>
        <w:jc w:val="both"/>
        <w:rPr>
          <w:b/>
          <w:u w:val="single"/>
        </w:rPr>
      </w:pPr>
      <w:r w:rsidRPr="002E4350">
        <w:rPr>
          <w:b/>
          <w:u w:val="single"/>
        </w:rPr>
        <w:t>Normativa en vigor</w:t>
      </w:r>
    </w:p>
    <w:p w:rsidR="0038108F" w:rsidRPr="005A6843" w:rsidRDefault="0038108F" w:rsidP="00AA712B">
      <w:pPr>
        <w:jc w:val="both"/>
      </w:pPr>
      <w:r w:rsidRPr="005A6843">
        <w:t xml:space="preserve">A fecha de hoy, figuran 18 normas, desde el Real Decreto 361/2017, de 8 de abril, por el que se regula la concesión directa de subvenciones al Consejo General de la Abogacía Española y al Consejo General de los Procuradores de España, en materia de prestación de asistencia jurídica gratuita y al Consejo General de Colegios Oficiales de Psicólogos para la asistencia psicológica a las víctimas de los delitos, para el ejercicio presupuestario 2017 al Real Decreto 355/2014, de 16 de mayo, por el que se crea y regula el Consejo Médico Forense. </w:t>
      </w:r>
    </w:p>
    <w:p w:rsidR="0038108F" w:rsidRPr="002E4350" w:rsidRDefault="0038108F" w:rsidP="00AA712B">
      <w:pPr>
        <w:jc w:val="both"/>
        <w:rPr>
          <w:b/>
          <w:u w:val="single"/>
        </w:rPr>
      </w:pPr>
      <w:r w:rsidRPr="002E4350">
        <w:rPr>
          <w:b/>
          <w:u w:val="single"/>
        </w:rPr>
        <w:t xml:space="preserve">Otras disposiciones </w:t>
      </w:r>
    </w:p>
    <w:p w:rsidR="0038108F" w:rsidRPr="005A6843" w:rsidRDefault="0038108F" w:rsidP="00AA712B">
      <w:pPr>
        <w:jc w:val="both"/>
      </w:pPr>
      <w:r w:rsidRPr="005A6843">
        <w:t>A fecha actual, la relación presenta 28 resultados, desde la Orden JUS/746/2014, de 7 de mayo, por la que se desarrollan los artículos 14 y 21 del Real Decreto 980/2013, de 13 de diciembre y se crea el fichero de mediadores e instituciones de mediación hasta la Instrucción 2/2014 de la Secretaría General de la Administración de Justicia relativa a la puesta en marcha de la funcionalidad de presentación de escritos y documentos y traslado de copias a través del sistema LEXNET.</w:t>
      </w:r>
    </w:p>
    <w:p w:rsidR="0038108F" w:rsidRPr="005A6843" w:rsidRDefault="0038108F" w:rsidP="00AA712B">
      <w:pPr>
        <w:jc w:val="both"/>
      </w:pPr>
      <w:r w:rsidRPr="005A6843">
        <w:t>Los resultados corresponden mayoritariamente (22 entradas) a Órdenes ministeriales, que deberían suprimirse o publicarse como información de carácter voluntario.</w:t>
      </w:r>
    </w:p>
    <w:p w:rsidR="0038108F" w:rsidRPr="005A6843" w:rsidRDefault="0038108F" w:rsidP="009F3B2E">
      <w:pPr>
        <w:pStyle w:val="Ttulo5"/>
      </w:pPr>
      <w:bookmarkStart w:id="222" w:name="_Toc498345406"/>
      <w:bookmarkStart w:id="223" w:name="_Toc501110690"/>
      <w:r w:rsidRPr="005A6843">
        <w:t>Información económica, presupuestaria y estadística</w:t>
      </w:r>
      <w:bookmarkEnd w:id="222"/>
      <w:bookmarkEnd w:id="223"/>
    </w:p>
    <w:p w:rsidR="0038108F" w:rsidRDefault="00FF0F42" w:rsidP="00FC26D7">
      <w:pPr>
        <w:pStyle w:val="Prrafodelista"/>
        <w:numPr>
          <w:ilvl w:val="0"/>
          <w:numId w:val="49"/>
        </w:numPr>
        <w:ind w:left="426"/>
        <w:jc w:val="both"/>
        <w:rPr>
          <w:b/>
          <w:u w:val="single"/>
        </w:rPr>
      </w:pPr>
      <w:r w:rsidRPr="00FF0F42">
        <w:rPr>
          <w:b/>
          <w:u w:val="single"/>
        </w:rPr>
        <w:t>CONTRATOS, CONVENIOS, SUBVENCIONES Y BINES INMUEBLES</w:t>
      </w:r>
    </w:p>
    <w:p w:rsidR="00FF0F42" w:rsidRPr="00FF0F42" w:rsidRDefault="00FF0F42" w:rsidP="00FF0F42">
      <w:pPr>
        <w:pStyle w:val="Prrafodelista"/>
        <w:ind w:left="426"/>
        <w:jc w:val="both"/>
        <w:rPr>
          <w:b/>
          <w:u w:val="single"/>
        </w:rPr>
      </w:pPr>
    </w:p>
    <w:p w:rsidR="0038108F" w:rsidRPr="005A6843" w:rsidRDefault="0038108F" w:rsidP="00AA712B">
      <w:pPr>
        <w:jc w:val="both"/>
      </w:pPr>
      <w:r w:rsidRPr="005A6843">
        <w:t xml:space="preserve">La categoría </w:t>
      </w:r>
      <w:r w:rsidRPr="00FF0F42">
        <w:rPr>
          <w:i/>
        </w:rPr>
        <w:t>“Contratos, Convenios, Subvenciones y Bienes Inmuebles”</w:t>
      </w:r>
      <w:r w:rsidRPr="005A6843">
        <w:t xml:space="preserve"> contiene únicamente tres sub-categorías de información: </w:t>
      </w:r>
      <w:r w:rsidRPr="00FF0F42">
        <w:rPr>
          <w:i/>
        </w:rPr>
        <w:t>“Contratos”, “Convenios y Encomiendas”</w:t>
      </w:r>
      <w:r w:rsidRPr="005A6843">
        <w:t xml:space="preserve"> y </w:t>
      </w:r>
      <w:r w:rsidRPr="00FF0F42">
        <w:rPr>
          <w:i/>
        </w:rPr>
        <w:t>“Bienes Inmuebles”</w:t>
      </w:r>
      <w:r w:rsidRPr="005A6843">
        <w:t xml:space="preserve">. En este sentido, pues, deben tenerse por reproducidas las consideraciones efectuadas respecto de los elementos o sub-categorías propios de </w:t>
      </w:r>
      <w:r w:rsidR="00FF0F42" w:rsidRPr="005A6843">
        <w:t>esta</w:t>
      </w:r>
      <w:r w:rsidRPr="005A6843">
        <w:t xml:space="preserve"> categoría respecto del menú general del Portal.</w:t>
      </w:r>
    </w:p>
    <w:p w:rsidR="0038108F" w:rsidRPr="005A6843" w:rsidRDefault="0038108F" w:rsidP="00AA712B">
      <w:pPr>
        <w:jc w:val="both"/>
      </w:pPr>
      <w:r w:rsidRPr="005A6843">
        <w:t xml:space="preserve">Se comenta a continuación el contenido de los elementos informativos presentes. La información se ajusta en todos al modelo general del Portal por lo que deben tenerse también por reproducidas las sugerencias y consideraciones efectuadas con ocasión del análisis de los correlativos elementos de aquel. </w:t>
      </w:r>
    </w:p>
    <w:p w:rsidR="0038108F" w:rsidRPr="00381B5E" w:rsidRDefault="0038108F" w:rsidP="00AA712B">
      <w:pPr>
        <w:jc w:val="both"/>
        <w:rPr>
          <w:b/>
          <w:u w:val="single"/>
        </w:rPr>
      </w:pPr>
      <w:r w:rsidRPr="00381B5E">
        <w:rPr>
          <w:b/>
          <w:u w:val="single"/>
        </w:rPr>
        <w:t>Contratos</w:t>
      </w:r>
    </w:p>
    <w:p w:rsidR="0038108F" w:rsidRPr="005A6843" w:rsidRDefault="0038108F" w:rsidP="00AA712B">
      <w:pPr>
        <w:jc w:val="both"/>
      </w:pPr>
      <w:r w:rsidRPr="005A6843">
        <w:t xml:space="preserve">A día de hoy, la relación presenta 1.371 resultados (1.146 contratos menores), desde la contratación de la línea subterránea para la acometida eléctrica del Palacio de Justicia de Palencia hasta la contratación de la </w:t>
      </w:r>
      <w:r w:rsidR="00381B5E" w:rsidRPr="005A6843">
        <w:t>póliza</w:t>
      </w:r>
      <w:r w:rsidRPr="005A6843">
        <w:t xml:space="preserve"> multirriesgo industrial para la Mutualidad General Judicial</w:t>
      </w:r>
      <w:r w:rsidRPr="005A6843">
        <w:tab/>
      </w:r>
    </w:p>
    <w:p w:rsidR="0038108F" w:rsidRPr="005A6843" w:rsidRDefault="0038108F" w:rsidP="00AA712B">
      <w:pPr>
        <w:jc w:val="both"/>
      </w:pPr>
      <w:r w:rsidRPr="005A6843">
        <w:t>Incluye las contrataciones de obras y servicios para las Gerencias Territoriales y los servicios descentralizados del Departamento –que realiza la Subsecretaría del Departamento- y las contrataciones de CEJ y MUGEJU.</w:t>
      </w:r>
    </w:p>
    <w:p w:rsidR="0038108F" w:rsidRPr="00381B5E" w:rsidRDefault="0038108F" w:rsidP="00AA712B">
      <w:pPr>
        <w:jc w:val="both"/>
        <w:rPr>
          <w:b/>
          <w:u w:val="single"/>
        </w:rPr>
      </w:pPr>
      <w:r w:rsidRPr="00381B5E">
        <w:rPr>
          <w:b/>
          <w:u w:val="single"/>
        </w:rPr>
        <w:t>Convenios y encomiendas</w:t>
      </w:r>
    </w:p>
    <w:p w:rsidR="0038108F" w:rsidRPr="005A6843" w:rsidRDefault="0038108F" w:rsidP="00AA712B">
      <w:pPr>
        <w:jc w:val="both"/>
      </w:pPr>
      <w:r w:rsidRPr="005A6843">
        <w:t xml:space="preserve">La relación presenta 228 resultados desde el Acuerdo entre el Ministerio de Justicia, el Ministerio del Interior, el Ministerio de Empleo y Seguridad Social, el Ministerio de Sanidad, Servicios Sociales e Igualdad, la Fiscalía General del Estado y el Ministerio de Asuntos Exteriores Y de Cooperación, para la aprobación del Protocolo Marco sobre determinadas actuaciones en relación con los Menores Extranjeros No Acompañados hasta la Resolución de la Secretaría de Estado de Justicia para la prórroga del plazo de vigencia de la Encomienda de Gestión del Ministerio de Justicia, a través de la Secretaría de Estado de Justicia, a la Empresa Pública Tecnologías Y Servicios Agrarios, S.A. (TRAGSA) para el inventario, valoración y formateo de equipos informáticos, en el ámbito de actuación de la Oficina de Recuperación y Gestión de Activos, </w:t>
      </w:r>
    </w:p>
    <w:p w:rsidR="0038108F" w:rsidRPr="005A6843" w:rsidRDefault="0038108F" w:rsidP="00AA712B">
      <w:pPr>
        <w:jc w:val="both"/>
      </w:pPr>
      <w:r w:rsidRPr="005A6843">
        <w:t>Todos los convenios están suscritos por el Ministerio. Sería conveniente revisar someramente la información sobre los títulos de los instrumentos para eliminar términos equívocos -“acuerdo”, p</w:t>
      </w:r>
      <w:r w:rsidR="00227173">
        <w:t>or</w:t>
      </w:r>
      <w:r w:rsidRPr="005A6843">
        <w:t xml:space="preserve"> ej</w:t>
      </w:r>
      <w:r w:rsidR="00227173">
        <w:t>emplo.</w:t>
      </w:r>
    </w:p>
    <w:p w:rsidR="0038108F" w:rsidRPr="00381B5E" w:rsidRDefault="0038108F" w:rsidP="00AA712B">
      <w:pPr>
        <w:jc w:val="both"/>
        <w:rPr>
          <w:b/>
          <w:u w:val="single"/>
        </w:rPr>
      </w:pPr>
      <w:r w:rsidRPr="00381B5E">
        <w:rPr>
          <w:b/>
          <w:u w:val="single"/>
        </w:rPr>
        <w:t>Bienes inmuebles</w:t>
      </w:r>
    </w:p>
    <w:p w:rsidR="0038108F" w:rsidRPr="005A6843" w:rsidRDefault="0038108F" w:rsidP="00AA712B">
      <w:pPr>
        <w:jc w:val="both"/>
      </w:pPr>
      <w:r w:rsidRPr="005A6843">
        <w:t>A día de hoy, figuran 235 resultados. En todos los casos la titularidad corresponde al Ministerio.</w:t>
      </w:r>
    </w:p>
    <w:p w:rsidR="0038108F" w:rsidRDefault="00381B5E" w:rsidP="00FC26D7">
      <w:pPr>
        <w:pStyle w:val="Prrafodelista"/>
        <w:numPr>
          <w:ilvl w:val="0"/>
          <w:numId w:val="49"/>
        </w:numPr>
        <w:ind w:left="284"/>
        <w:jc w:val="both"/>
        <w:rPr>
          <w:b/>
          <w:u w:val="single"/>
        </w:rPr>
      </w:pPr>
      <w:r w:rsidRPr="00381B5E">
        <w:rPr>
          <w:b/>
          <w:u w:val="single"/>
        </w:rPr>
        <w:t>PRESUPUESTOS, FISCALIZACIÓN E INFORMES</w:t>
      </w:r>
    </w:p>
    <w:p w:rsidR="00381B5E" w:rsidRDefault="00381B5E" w:rsidP="00381B5E">
      <w:pPr>
        <w:pStyle w:val="Prrafodelista"/>
        <w:ind w:left="284"/>
        <w:jc w:val="both"/>
        <w:rPr>
          <w:b/>
          <w:u w:val="single"/>
        </w:rPr>
      </w:pPr>
    </w:p>
    <w:p w:rsidR="0038108F" w:rsidRPr="005A6843" w:rsidRDefault="0038108F" w:rsidP="00AA712B">
      <w:pPr>
        <w:jc w:val="both"/>
      </w:pPr>
      <w:r w:rsidRPr="005A6843">
        <w:t xml:space="preserve">La categoría </w:t>
      </w:r>
      <w:r w:rsidRPr="00381B5E">
        <w:rPr>
          <w:i/>
        </w:rPr>
        <w:t>“Presupuestos, Fiscalización e Informes”</w:t>
      </w:r>
      <w:r w:rsidRPr="005A6843">
        <w:t xml:space="preserve"> del menú del MAEC presenta únicamente dos sub-categorías informativas: </w:t>
      </w:r>
      <w:r w:rsidRPr="00381B5E">
        <w:rPr>
          <w:i/>
        </w:rPr>
        <w:t>“Presupuestos Generales del Estado”</w:t>
      </w:r>
      <w:r w:rsidRPr="005A6843">
        <w:t xml:space="preserve"> y </w:t>
      </w:r>
      <w:r w:rsidRPr="00381B5E">
        <w:rPr>
          <w:i/>
        </w:rPr>
        <w:t>“Estadísticas e Informes Relevantes”</w:t>
      </w:r>
      <w:r w:rsidRPr="005A6843">
        <w:t>. En relación con este punto, deben darse por reproducidas aquí las reflexiones y comentarios efectuados en relación con dichos elementos o sub-categorías en el análisis general del Portal.</w:t>
      </w:r>
    </w:p>
    <w:p w:rsidR="0038108F" w:rsidRPr="005A6843" w:rsidRDefault="0038108F" w:rsidP="00AA712B">
      <w:pPr>
        <w:jc w:val="both"/>
      </w:pPr>
      <w:r w:rsidRPr="005A6843">
        <w:t>Acto seguido se expone brevemente el contenido de cada uno de los elementos informativos efectivamente incluidos en la categoría. En todos ellos, la información se ajusta al modelo general del Portal por lo que deben tenerse por reproducidas las consideraciones efectuadas con ocasión del estudio de aquel.</w:t>
      </w:r>
    </w:p>
    <w:p w:rsidR="0038108F" w:rsidRPr="00381B5E" w:rsidRDefault="0038108F" w:rsidP="00AA712B">
      <w:pPr>
        <w:jc w:val="both"/>
        <w:rPr>
          <w:b/>
          <w:u w:val="single"/>
        </w:rPr>
      </w:pPr>
      <w:r w:rsidRPr="00381B5E">
        <w:rPr>
          <w:b/>
          <w:u w:val="single"/>
        </w:rPr>
        <w:t xml:space="preserve">Presupuestos Generales </w:t>
      </w:r>
    </w:p>
    <w:p w:rsidR="0038108F" w:rsidRPr="005A6843" w:rsidRDefault="0038108F" w:rsidP="00AA712B">
      <w:pPr>
        <w:jc w:val="both"/>
      </w:pPr>
      <w:r w:rsidRPr="005A6843">
        <w:t>La opción “Gastos” ofrece 19 resultados, que, filtrados por años, se distribuyen en uno para 2017 con un enlace directo al Presupuesto de Gastos del MJUS; cuatro para 2016 y siete para 2015 y 2014, correspondientes a los Presupuestos del Ministerio, sus organismos dependientes y vinculados y al organismo adscrito AEPD. Al igual que en el caso del MAEC, aparecen también entradas a organismos ajenos al MAEC -p. ej. la Entidad Pública Empresarial del Suelo (SEPES) adscrita a MFOM-.</w:t>
      </w:r>
    </w:p>
    <w:p w:rsidR="0038108F" w:rsidRPr="00381B5E" w:rsidRDefault="0038108F" w:rsidP="00AA712B">
      <w:pPr>
        <w:jc w:val="both"/>
        <w:rPr>
          <w:b/>
          <w:u w:val="single"/>
        </w:rPr>
      </w:pPr>
      <w:r w:rsidRPr="00381B5E">
        <w:rPr>
          <w:b/>
          <w:u w:val="single"/>
        </w:rPr>
        <w:t xml:space="preserve">Información y estadísticas relevantes </w:t>
      </w:r>
    </w:p>
    <w:p w:rsidR="00381B5E" w:rsidRDefault="0038108F" w:rsidP="00AA712B">
      <w:pPr>
        <w:jc w:val="both"/>
      </w:pPr>
      <w:r w:rsidRPr="005A6843">
        <w:t>El listado presenta 18 resultados, de contenido mucho más ajustado a los requerimientos del art. 8.1 i) de la</w:t>
      </w:r>
      <w:r w:rsidR="0069620D">
        <w:t xml:space="preserve"> ley</w:t>
      </w:r>
      <w:r w:rsidR="00E768A4">
        <w:t xml:space="preserve"> de transparencia</w:t>
      </w:r>
      <w:r w:rsidRPr="005A6843">
        <w:t xml:space="preserve"> -</w:t>
      </w:r>
      <w:r w:rsidRPr="00381B5E">
        <w:rPr>
          <w:i/>
        </w:rPr>
        <w:t>“la información estadística necesaria para valorar el grado de cumplimiento y calidad de los servicios públicos”</w:t>
      </w:r>
      <w:r w:rsidRPr="005A6843">
        <w:t xml:space="preserve"> que sean de competencia de la AGE-. Así, se publican diversos informes -correspondientes a los ejercicios 2013, 2014 y 2015-, sobre el grado de satisfacción de los ciudadanos con los servicios de de información en los tres canales –electrónico, telefónico y presencial- o conteniendo evaluaciones de los resultados de determinados programas del Ministerio –como p. ej. el Plan 2015 para aceleración de la Justicia-.</w:t>
      </w:r>
    </w:p>
    <w:p w:rsidR="00684CD5" w:rsidRDefault="00684CD5">
      <w:pPr>
        <w:rPr>
          <w:b/>
          <w:color w:val="1C314E" w:themeColor="accent4" w:themeShade="80"/>
          <w:sz w:val="32"/>
          <w:szCs w:val="28"/>
        </w:rPr>
      </w:pPr>
      <w:bookmarkStart w:id="224" w:name="_Toc498345407"/>
      <w:r>
        <w:br w:type="page"/>
      </w:r>
    </w:p>
    <w:p w:rsidR="0038108F" w:rsidRPr="005A6843" w:rsidRDefault="0038108F" w:rsidP="0016665B">
      <w:pPr>
        <w:pStyle w:val="Ttulo4"/>
      </w:pPr>
      <w:bookmarkStart w:id="225" w:name="_Toc501110691"/>
      <w:r w:rsidRPr="005A6843">
        <w:t>Ministerio de Defensa (MINDEF)</w:t>
      </w:r>
      <w:bookmarkEnd w:id="224"/>
      <w:bookmarkEnd w:id="225"/>
    </w:p>
    <w:p w:rsidR="0038108F" w:rsidRPr="005A6843" w:rsidRDefault="0038108F" w:rsidP="00AA712B">
      <w:pPr>
        <w:jc w:val="both"/>
      </w:pPr>
      <w:r w:rsidRPr="005A6843">
        <w:t xml:space="preserve">El menú de transparencia del Ministerio de Defensa (MINDEF) presenta las cuatro categorías de información del menú general de categorías del Portal: </w:t>
      </w:r>
      <w:r w:rsidRPr="00381B5E">
        <w:rPr>
          <w:i/>
        </w:rPr>
        <w:t>“Institucional”, “Normativa”, “Contratos, convenios, subvenciones y bienes inmuebles”</w:t>
      </w:r>
      <w:r w:rsidRPr="005A6843">
        <w:t xml:space="preserve"> y </w:t>
      </w:r>
      <w:r w:rsidRPr="00381B5E">
        <w:rPr>
          <w:i/>
        </w:rPr>
        <w:t>“Presupuestos, fiscalización e informes”</w:t>
      </w:r>
      <w:r w:rsidRPr="005A6843">
        <w:t>. Así, en este punto, deben tenerse en cuenta las consideraciones hechas en el análisis de éste.</w:t>
      </w:r>
    </w:p>
    <w:p w:rsidR="0038108F" w:rsidRPr="005A6843" w:rsidRDefault="0038108F" w:rsidP="009F3B2E">
      <w:pPr>
        <w:pStyle w:val="Ttulo5"/>
      </w:pPr>
      <w:bookmarkStart w:id="226" w:name="_Toc498345408"/>
      <w:bookmarkStart w:id="227" w:name="_Toc501110692"/>
      <w:r w:rsidRPr="005A6843">
        <w:t>Información institucional, organizativa y de planificación</w:t>
      </w:r>
      <w:bookmarkEnd w:id="226"/>
      <w:bookmarkEnd w:id="227"/>
    </w:p>
    <w:p w:rsidR="0038108F" w:rsidRPr="005A6843" w:rsidRDefault="0038108F" w:rsidP="00AA712B">
      <w:pPr>
        <w:jc w:val="both"/>
      </w:pPr>
      <w:r w:rsidRPr="005A6843">
        <w:t xml:space="preserve">La categoría de información institucional del MINDEF presenta seis sub-categorías: </w:t>
      </w:r>
      <w:r w:rsidRPr="00381B5E">
        <w:rPr>
          <w:i/>
        </w:rPr>
        <w:t>“Estructura”, “Funciones”, “Planes de objetivos”, “Retribuciones de Altos Cargos, “Currículos de Altos Cargos”</w:t>
      </w:r>
      <w:r w:rsidRPr="005A6843">
        <w:t xml:space="preserve"> y </w:t>
      </w:r>
      <w:r w:rsidRPr="00381B5E">
        <w:rPr>
          <w:i/>
        </w:rPr>
        <w:t>“Relaciones de Puestos de Trabajo”</w:t>
      </w:r>
      <w:r w:rsidRPr="005A6843">
        <w:t xml:space="preserve">. Así, teniendo en cuenta la organización del menú general del Portal, faltarían todavía dos elementos o sub-categorías informativas, </w:t>
      </w:r>
      <w:r w:rsidRPr="00381B5E">
        <w:rPr>
          <w:i/>
        </w:rPr>
        <w:t xml:space="preserve">“Normativa de aplicación” </w:t>
      </w:r>
      <w:r w:rsidRPr="005A6843">
        <w:t xml:space="preserve">y </w:t>
      </w:r>
      <w:r w:rsidRPr="00381B5E">
        <w:rPr>
          <w:i/>
        </w:rPr>
        <w:t>“Entes del Sector Público”,</w:t>
      </w:r>
      <w:r w:rsidRPr="005A6843">
        <w:t xml:space="preserve"> y sobrarían las relativas a </w:t>
      </w:r>
      <w:r w:rsidRPr="00381B5E">
        <w:rPr>
          <w:i/>
        </w:rPr>
        <w:t>“Retribuciones de los Altos Cargos”, “Relaciones de Puestos de Trabajo”, “Autorizaciones de actividad privada en Altos Cargos”, “Indemnizaciones percibidas con ocasión del cese”</w:t>
      </w:r>
      <w:r w:rsidRPr="005A6843">
        <w:t xml:space="preserve"> y </w:t>
      </w:r>
      <w:r w:rsidRPr="00381B5E">
        <w:rPr>
          <w:i/>
        </w:rPr>
        <w:t>“Autorización o reconocimiento de compatibilidad de empleados públicos”</w:t>
      </w:r>
      <w:r w:rsidRPr="005A6843">
        <w:t>.</w:t>
      </w:r>
    </w:p>
    <w:p w:rsidR="0038108F" w:rsidRPr="005A6843" w:rsidRDefault="0038108F" w:rsidP="00AA712B">
      <w:pPr>
        <w:jc w:val="both"/>
      </w:pPr>
      <w:r w:rsidRPr="005A6843">
        <w:t>Respecto de esta cuestión, deben traerse a colación las consideraciones efectuadas en los anteriores apartados de este documento acerca de la estructuración de aquel menú general y de los distintos menús ministeriales de transparencia.</w:t>
      </w:r>
    </w:p>
    <w:p w:rsidR="0038108F" w:rsidRPr="005A6843" w:rsidRDefault="0038108F" w:rsidP="00AA712B">
      <w:pPr>
        <w:jc w:val="both"/>
      </w:pPr>
      <w:r w:rsidRPr="005A6843">
        <w:t xml:space="preserve">Acto seguido se examina el contenido informativo de los elementos o sub—categorías que figuran en el menú. En todas ellas, la información se ajusta al modelo establecido con carácter general en el Portal por lo que deben tenerse por reproducidas las consideraciones efectuadas respecto de sus correlativas sub-categorías en el análisis general de la </w:t>
      </w:r>
      <w:r w:rsidR="00FC4B2E" w:rsidRPr="00FC4B2E">
        <w:rPr>
          <w:i/>
        </w:rPr>
        <w:t>web</w:t>
      </w:r>
      <w:r w:rsidRPr="005A6843">
        <w:t>.</w:t>
      </w:r>
    </w:p>
    <w:p w:rsidR="0038108F" w:rsidRPr="00381B5E" w:rsidRDefault="0038108F" w:rsidP="00AA712B">
      <w:pPr>
        <w:jc w:val="both"/>
        <w:rPr>
          <w:b/>
          <w:u w:val="single"/>
        </w:rPr>
      </w:pPr>
      <w:r w:rsidRPr="00381B5E">
        <w:rPr>
          <w:b/>
          <w:u w:val="single"/>
        </w:rPr>
        <w:t>Estructura</w:t>
      </w:r>
    </w:p>
    <w:p w:rsidR="0038108F" w:rsidRPr="005A6843" w:rsidRDefault="0038108F" w:rsidP="00AA712B">
      <w:pPr>
        <w:jc w:val="both"/>
      </w:pPr>
      <w:r w:rsidRPr="005A6843">
        <w:t xml:space="preserve">A día de hoy, aparece el organigrama del Departamento limitado al rango de Director General y sin la lista de órganos colegiados y consultivos. El motivo es que la organización del Ministerio es de fecha anterior a la del Real Decreto 415/2016, de 3 de noviembre. </w:t>
      </w:r>
    </w:p>
    <w:p w:rsidR="0038108F" w:rsidRPr="005A6843" w:rsidRDefault="0038108F" w:rsidP="00AA712B">
      <w:pPr>
        <w:jc w:val="both"/>
      </w:pPr>
      <w:r w:rsidRPr="005A6843">
        <w:t>Sí aparecen los organismos vinculados y dependientes. A fecha de hoy, figuran tres: Instituto Nacional de Técnica Aeroespacial "Esteban Terradas" (INTA), Instituto de Vivienda, Infraestructura y Equipamiento de la Defensa (INVIED) e Instituto Social de las Fuerzas Armadas (ISFAS)</w:t>
      </w:r>
    </w:p>
    <w:p w:rsidR="0038108F" w:rsidRPr="005A6843" w:rsidRDefault="0038108F" w:rsidP="00AA712B">
      <w:pPr>
        <w:jc w:val="both"/>
      </w:pPr>
      <w:r w:rsidRPr="005A6843">
        <w:t xml:space="preserve">No obstante, si se consulta la </w:t>
      </w:r>
      <w:hyperlink r:id="rId62" w:history="1">
        <w:r w:rsidR="00FC4B2E" w:rsidRPr="00C128CF">
          <w:rPr>
            <w:rStyle w:val="Hipervnculo"/>
            <w:i/>
          </w:rPr>
          <w:t>web</w:t>
        </w:r>
        <w:r w:rsidRPr="00C128CF">
          <w:rPr>
            <w:rStyle w:val="Hipervnculo"/>
          </w:rPr>
          <w:t xml:space="preserve"> del Ministerio</w:t>
        </w:r>
      </w:hyperlink>
      <w:r w:rsidRPr="005A6843">
        <w:t xml:space="preserve"> y se va “pinchando” sobre sus órganos superiores y directivos, se accede a una serie de pantallas explicativas que enumeran distintos órganos  y organismos adscritos a la correspondiente estructura. Así, en el Estado Mayor de la Defensa (EMAD), figuran el Cuartel General del Estado Mayor de la Defensa. el Mando de Operaciones, el Centro de Inteligencia de las Fuerzas Armadas, el Mando Conjunto de Ciberdefensa, el Centro Superior de Estudios de la Defensa Nacional (CESEDEN) -del que dependen a su vez la Escuela Superior de las Fuerzas Armadas (ESFAS), el Instituto Español de Estudios Estratégicos (IEEE), el Centro Conjunto de Desarrollo de Conceptos y la Comisión Española de Historia Militar-, las organizaciones operativas permanentes -Mando de Vigilancia y Seguridad Marítima, Mando de Defensa y Operaciones Aéreas y Unidad Militar de Emergencias (UME)- y los órganos nacionales militares relacionados con organismos internacionales o multinacionales. Así también, en la Secretaría de Estado de Defensa, aparecen el Centro de Sistemas y Tecnologías de la Información y las Comunicaciones, el ya citado INTA, la entidad Ingeniería de sistemas para la Defensa (ISDEFE) y la Junta de Enajenación de Bienes Muebles y Productos de Defensa. Así también en la Secretaría general de Política de Defensa figuran la Comisión Interministerial de Defensa, la Sección Española del Comité Permanente Hispano-Norteamericano, la Comisión de Coordinación de la Actividad Internacional del MINDEF y las Agregadurías de Defensa en las Misiones Diplomáticas de España en el exterior y los Consejeros de Defensa en las Representaciones Permanentes ante las Organizaciones Internacionales. Finalmente, en la Subsecretaría, figura el ISFAS.</w:t>
      </w:r>
    </w:p>
    <w:p w:rsidR="0038108F" w:rsidRPr="005A6843" w:rsidRDefault="0038108F" w:rsidP="00AA712B">
      <w:pPr>
        <w:jc w:val="both"/>
      </w:pPr>
      <w:r w:rsidRPr="005A6843">
        <w:t xml:space="preserve">Aunque es evidente que algunos de estos órganos son órganos consultivos o colegiados y que otros forman parte de la estructura de las Fuerzas Armadas y tienen naturaleza especial, es evidente también que otros organismos, como el CESEDEN o ISDEFE, tienen naturaleza de organismos públicos. En este sentido, tal vez sería conveniente una explicación sobre cuáles son los organismos públicos dependientes que deberían figurar en el Portal y cuáles han sido los criterios empleados en la selección de los mismos. </w:t>
      </w:r>
    </w:p>
    <w:p w:rsidR="0038108F" w:rsidRPr="005A6843" w:rsidRDefault="0038108F" w:rsidP="00AA712B">
      <w:pPr>
        <w:jc w:val="both"/>
      </w:pPr>
      <w:r w:rsidRPr="005A6843">
        <w:t xml:space="preserve">Finalmente, se observa que el INVIED figura en el Portal pero no en la página </w:t>
      </w:r>
      <w:r w:rsidR="00FC4B2E" w:rsidRPr="00FC4B2E">
        <w:rPr>
          <w:i/>
        </w:rPr>
        <w:t>web</w:t>
      </w:r>
      <w:r w:rsidRPr="005A6843">
        <w:t xml:space="preserve"> ministerial, donde debería figurar bajo la Dirección General de Infraestructuras (DIGENIN).</w:t>
      </w:r>
    </w:p>
    <w:p w:rsidR="0038108F" w:rsidRPr="00381B5E" w:rsidRDefault="0038108F" w:rsidP="00AA712B">
      <w:pPr>
        <w:jc w:val="both"/>
        <w:rPr>
          <w:b/>
          <w:u w:val="single"/>
        </w:rPr>
      </w:pPr>
      <w:r w:rsidRPr="00381B5E">
        <w:rPr>
          <w:b/>
          <w:u w:val="single"/>
        </w:rPr>
        <w:t xml:space="preserve">Funciones </w:t>
      </w:r>
    </w:p>
    <w:p w:rsidR="0038108F" w:rsidRPr="005A6843" w:rsidRDefault="0038108F" w:rsidP="00AA712B">
      <w:pPr>
        <w:jc w:val="both"/>
      </w:pPr>
      <w:r w:rsidRPr="005A6843">
        <w:t xml:space="preserve">“Clicando” en este sub-apartado se accede directamente al texto del «BOE» del Real Decreto 424/2016, de 11 de noviembre, por el que se desarrolla la estructura orgánica básica del Ministerio de Defensa. </w:t>
      </w:r>
    </w:p>
    <w:p w:rsidR="0038108F" w:rsidRPr="00381B5E" w:rsidRDefault="0038108F" w:rsidP="00AA712B">
      <w:pPr>
        <w:jc w:val="both"/>
        <w:rPr>
          <w:b/>
          <w:u w:val="single"/>
        </w:rPr>
      </w:pPr>
      <w:r w:rsidRPr="00381B5E">
        <w:rPr>
          <w:b/>
          <w:u w:val="single"/>
        </w:rPr>
        <w:t>Planes de objetivos</w:t>
      </w:r>
    </w:p>
    <w:p w:rsidR="00F04990" w:rsidRDefault="0038108F" w:rsidP="00AA712B">
      <w:pPr>
        <w:jc w:val="both"/>
      </w:pPr>
      <w:r w:rsidRPr="005A6843">
        <w:t>A fecha de hoy, figura únicamente un documento de Cartas de Servicios del Ministerio de Defensa. Sería necesario completar la información con los planes de objetivos y los programas de actuación del Ministerio.</w:t>
      </w:r>
    </w:p>
    <w:p w:rsidR="0038108F" w:rsidRPr="00381B5E" w:rsidRDefault="0038108F" w:rsidP="00AA712B">
      <w:pPr>
        <w:jc w:val="both"/>
        <w:rPr>
          <w:b/>
          <w:u w:val="single"/>
        </w:rPr>
      </w:pPr>
      <w:r w:rsidRPr="00381B5E">
        <w:rPr>
          <w:b/>
          <w:u w:val="single"/>
        </w:rPr>
        <w:t xml:space="preserve">Retribuciones de Altos Cargos </w:t>
      </w:r>
    </w:p>
    <w:p w:rsidR="0038108F" w:rsidRPr="005A6843" w:rsidRDefault="0038108F" w:rsidP="00AA712B">
      <w:pPr>
        <w:jc w:val="both"/>
      </w:pPr>
      <w:r w:rsidRPr="005A6843">
        <w:t xml:space="preserve">A fecha de hoy, aparecen publicados los datos de 53 Altos Cargos o asimilados existentes en el Ministerio durante 2016, incluidos los Jefes de los Centros u órganos de las Fuerzas Armadas. En listado separado, se añaden los datos de tres Altos Cargos más, correspondientes a los organismos vinculados o dependientes incorporados al Portal (INVIED, INTA e ISFAS). </w:t>
      </w:r>
    </w:p>
    <w:p w:rsidR="0038108F" w:rsidRPr="005A6843" w:rsidRDefault="0038108F" w:rsidP="00AA712B">
      <w:pPr>
        <w:jc w:val="both"/>
      </w:pPr>
      <w:r w:rsidRPr="005A6843">
        <w:t>Se incluye también información histórica de 2013 a 2015.</w:t>
      </w:r>
    </w:p>
    <w:p w:rsidR="0038108F" w:rsidRPr="00381B5E" w:rsidRDefault="0038108F" w:rsidP="00AA712B">
      <w:pPr>
        <w:jc w:val="both"/>
        <w:rPr>
          <w:b/>
          <w:u w:val="single"/>
        </w:rPr>
      </w:pPr>
      <w:r w:rsidRPr="00381B5E">
        <w:rPr>
          <w:b/>
          <w:u w:val="single"/>
        </w:rPr>
        <w:t xml:space="preserve">Currículos de Altos Cargos </w:t>
      </w:r>
    </w:p>
    <w:p w:rsidR="0038108F" w:rsidRPr="005A6843" w:rsidRDefault="0038108F" w:rsidP="00AA712B">
      <w:pPr>
        <w:jc w:val="both"/>
      </w:pPr>
      <w:r w:rsidRPr="005A6843">
        <w:t xml:space="preserve">Aparecen los currículos de los Altos Cargos o asimilados del Ministerio, junto con los de los organismos vinculados y dependientes y los organismos adscritos. Figuran 42 currículos, los de los actuales titulares del puesto. </w:t>
      </w:r>
    </w:p>
    <w:p w:rsidR="0038108F" w:rsidRPr="00381B5E" w:rsidRDefault="0038108F" w:rsidP="00AA712B">
      <w:pPr>
        <w:jc w:val="both"/>
        <w:rPr>
          <w:b/>
          <w:u w:val="single"/>
        </w:rPr>
      </w:pPr>
      <w:r w:rsidRPr="00381B5E">
        <w:rPr>
          <w:b/>
          <w:u w:val="single"/>
        </w:rPr>
        <w:t>Relaciones de Puestos de Trabajo (RPT)</w:t>
      </w:r>
    </w:p>
    <w:p w:rsidR="0038108F" w:rsidRPr="005A6843" w:rsidRDefault="0038108F" w:rsidP="00AA712B">
      <w:pPr>
        <w:jc w:val="both"/>
      </w:pPr>
      <w:r w:rsidRPr="005A6843">
        <w:t>A día de hoy no figura ninguna información.</w:t>
      </w:r>
    </w:p>
    <w:p w:rsidR="0038108F" w:rsidRPr="005A6843" w:rsidRDefault="0038108F" w:rsidP="009F3B2E">
      <w:pPr>
        <w:pStyle w:val="Ttulo5"/>
      </w:pPr>
      <w:bookmarkStart w:id="228" w:name="_Toc498345409"/>
      <w:bookmarkStart w:id="229" w:name="_Toc501110693"/>
      <w:r w:rsidRPr="005A6843">
        <w:t>Información de relevancia jurídica</w:t>
      </w:r>
      <w:bookmarkEnd w:id="228"/>
      <w:bookmarkEnd w:id="229"/>
    </w:p>
    <w:p w:rsidR="0038108F" w:rsidRPr="005A6843" w:rsidRDefault="0038108F" w:rsidP="00AA712B">
      <w:pPr>
        <w:jc w:val="both"/>
      </w:pPr>
      <w:r w:rsidRPr="005A6843">
        <w:t xml:space="preserve">Incluye las cuatro sub-categorías del menú general de </w:t>
      </w:r>
      <w:r w:rsidRPr="00381B5E">
        <w:rPr>
          <w:i/>
        </w:rPr>
        <w:t>“Normativa” del Portal: “Normativa destacada”, “Normativa en elaboración”, “Normativa vigente”</w:t>
      </w:r>
      <w:r w:rsidRPr="005A6843">
        <w:t xml:space="preserve"> y </w:t>
      </w:r>
      <w:r w:rsidRPr="00381B5E">
        <w:rPr>
          <w:i/>
        </w:rPr>
        <w:t>“Otras disposiciones”</w:t>
      </w:r>
      <w:r w:rsidRPr="005A6843">
        <w:t>. Al respecto, deben darse por reproducidas aquí las consideraciones efectuadas en el examen del menú general del Portal respecto de dichos elementos o sub-categorías y de la sub-categoría del art. 7 de la</w:t>
      </w:r>
      <w:r w:rsidR="0069620D">
        <w:t xml:space="preserve"> ley</w:t>
      </w:r>
      <w:r w:rsidR="00E768A4">
        <w:t xml:space="preserve"> de transparencia</w:t>
      </w:r>
      <w:r w:rsidRPr="005A6843">
        <w:t xml:space="preserve"> </w:t>
      </w:r>
      <w:r w:rsidRPr="00381B5E">
        <w:rPr>
          <w:i/>
        </w:rPr>
        <w:t>“Documentos sometidos a audiencia pública durante su tramitación”</w:t>
      </w:r>
      <w:r w:rsidRPr="005A6843">
        <w:t xml:space="preserve">. </w:t>
      </w:r>
    </w:p>
    <w:p w:rsidR="0038108F" w:rsidRPr="005A6843" w:rsidRDefault="0038108F" w:rsidP="00AA712B">
      <w:pPr>
        <w:jc w:val="both"/>
      </w:pPr>
      <w:r w:rsidRPr="005A6843">
        <w:t xml:space="preserve">Se analiza a continuación, brevemente, el contenido de cada uno de los elementos o sub--categorías informativas incluidas. En todas ellas, la información se ajusta al modelo general del Portal por lo que deben tenerse por reproducidas las consideraciones efectuadas en el epígrafe anterior en relación con las correlativas sub-categorías del menú general. </w:t>
      </w:r>
    </w:p>
    <w:p w:rsidR="0038108F" w:rsidRPr="00381B5E" w:rsidRDefault="0038108F" w:rsidP="00AA712B">
      <w:pPr>
        <w:jc w:val="both"/>
        <w:rPr>
          <w:b/>
          <w:u w:val="single"/>
        </w:rPr>
      </w:pPr>
      <w:r w:rsidRPr="00381B5E">
        <w:rPr>
          <w:b/>
          <w:u w:val="single"/>
        </w:rPr>
        <w:t>Normativa destacada</w:t>
      </w:r>
    </w:p>
    <w:p w:rsidR="0038108F" w:rsidRPr="005A6843" w:rsidRDefault="0038108F" w:rsidP="00AA712B">
      <w:pPr>
        <w:jc w:val="both"/>
      </w:pPr>
      <w:r w:rsidRPr="005A6843">
        <w:t xml:space="preserve">A día de hoy se publican 16 normas: tres Leyes Orgánicas -14/2015, de 14 de octubre, del Código Penal Militar, 5/2005, de 17 de noviembre, de la Defensa Nacional y 9/2011, de 27 de julio, de derechos y deberes de los miembros de las Fuerzas Armadas-, cuatro Leyes -8/1975, de 12 de marzo, de zonas e instalaciones de interés para la Defensa Nacional. 39/2007, de 19 de noviembre, de la carrera militar, 8/2006, de 24 de abril, de Tropa y Marinería y 46/2015, de 14 de octubre, por la que se modifica la </w:t>
      </w:r>
      <w:r w:rsidR="001C41A6">
        <w:t>Ley</w:t>
      </w:r>
      <w:r w:rsidRPr="005A6843">
        <w:t xml:space="preserve"> 39/2007, de 19 de noviembre, de la carrera militar- y nueve Reales Decretos. </w:t>
      </w:r>
    </w:p>
    <w:p w:rsidR="0038108F" w:rsidRPr="00381B5E" w:rsidRDefault="0038108F" w:rsidP="00AA712B">
      <w:pPr>
        <w:jc w:val="both"/>
        <w:rPr>
          <w:b/>
          <w:u w:val="single"/>
        </w:rPr>
      </w:pPr>
      <w:r w:rsidRPr="00381B5E">
        <w:rPr>
          <w:b/>
          <w:u w:val="single"/>
        </w:rPr>
        <w:t>Normativa en elaboración</w:t>
      </w:r>
    </w:p>
    <w:p w:rsidR="0038108F" w:rsidRPr="005A6843" w:rsidRDefault="0038108F" w:rsidP="00AA712B">
      <w:pPr>
        <w:jc w:val="both"/>
      </w:pPr>
      <w:r w:rsidRPr="005A6843">
        <w:t>A fecha de hoy figura un único resultado, el proyecto de Real Decreto sobre la anotación y cancelación de notas desfavorables en la documentación Militar Personal.</w:t>
      </w:r>
    </w:p>
    <w:p w:rsidR="0038108F" w:rsidRPr="00381B5E" w:rsidRDefault="0038108F" w:rsidP="00AA712B">
      <w:pPr>
        <w:jc w:val="both"/>
        <w:rPr>
          <w:b/>
          <w:u w:val="single"/>
        </w:rPr>
      </w:pPr>
      <w:r w:rsidRPr="00381B5E">
        <w:rPr>
          <w:b/>
          <w:u w:val="single"/>
        </w:rPr>
        <w:t>Normativa en vigor</w:t>
      </w:r>
    </w:p>
    <w:p w:rsidR="0038108F" w:rsidRPr="005A6843" w:rsidRDefault="0038108F" w:rsidP="00AA712B">
      <w:pPr>
        <w:jc w:val="both"/>
      </w:pPr>
      <w:r w:rsidRPr="005A6843">
        <w:t xml:space="preserve">En el correspondiente listado de normas, a día de hoy, figuran 15 resultados, desde el  Real Decreto 577/2017, de 12 de junio, por el que se modifica el Reglamento de destinos del personal militar profesional aprobado por el Real Decreto 456/2011, de 1 de abril, hasta el Real Decreto 33/2014, de 24 de enero, por el que se desarrolla el Título II de la </w:t>
      </w:r>
      <w:r w:rsidR="001C41A6">
        <w:t>Ley</w:t>
      </w:r>
      <w:r w:rsidRPr="005A6843">
        <w:t xml:space="preserve"> 12/2012, de 26 de diciembre, de medidas urgentes de liberalización del comercio y de determinados servicios. </w:t>
      </w:r>
    </w:p>
    <w:p w:rsidR="0038108F" w:rsidRPr="00381B5E" w:rsidRDefault="0038108F" w:rsidP="00AA712B">
      <w:pPr>
        <w:jc w:val="both"/>
        <w:rPr>
          <w:b/>
          <w:u w:val="single"/>
        </w:rPr>
      </w:pPr>
      <w:r w:rsidRPr="00381B5E">
        <w:rPr>
          <w:b/>
          <w:u w:val="single"/>
        </w:rPr>
        <w:t>Otras disposiciones</w:t>
      </w:r>
    </w:p>
    <w:p w:rsidR="0038108F" w:rsidRPr="005A6843" w:rsidRDefault="0038108F" w:rsidP="00AA712B">
      <w:pPr>
        <w:jc w:val="both"/>
      </w:pPr>
      <w:r w:rsidRPr="005A6843">
        <w:t>A día de hoy se publican 63 resultados, Órdenes ministeriales en su totalidad, Debería completarse el contenido con las instrucciones, circulares, resoluciones o contestaciones del MINDEF y eliminarse la información correspondiente a las órdenes ministeriales, que habría que trasladar al ámbito de publicidad voluntaria, o, en caso de afectar a la organización o funcionamiento del Departamento, a la categoría “Institucional”.</w:t>
      </w:r>
    </w:p>
    <w:p w:rsidR="0038108F" w:rsidRPr="005A6843" w:rsidRDefault="0038108F" w:rsidP="009F3B2E">
      <w:pPr>
        <w:pStyle w:val="Ttulo5"/>
      </w:pPr>
      <w:bookmarkStart w:id="230" w:name="_Toc498345410"/>
      <w:bookmarkStart w:id="231" w:name="_Toc501110694"/>
      <w:r w:rsidRPr="005A6843">
        <w:t>Información económica, presupuestaria y estadística</w:t>
      </w:r>
      <w:bookmarkEnd w:id="230"/>
      <w:bookmarkEnd w:id="231"/>
    </w:p>
    <w:p w:rsidR="0038108F" w:rsidRDefault="00381B5E" w:rsidP="00FC26D7">
      <w:pPr>
        <w:pStyle w:val="Prrafodelista"/>
        <w:numPr>
          <w:ilvl w:val="0"/>
          <w:numId w:val="50"/>
        </w:numPr>
        <w:ind w:left="284" w:hanging="284"/>
        <w:jc w:val="both"/>
        <w:rPr>
          <w:b/>
          <w:u w:val="single"/>
        </w:rPr>
      </w:pPr>
      <w:r w:rsidRPr="00381B5E">
        <w:rPr>
          <w:b/>
          <w:u w:val="single"/>
        </w:rPr>
        <w:t>CONTRATOS, CONVENIOS, SUBVENCIONES Y BIENES INMUEBLES</w:t>
      </w:r>
    </w:p>
    <w:p w:rsidR="00381B5E" w:rsidRDefault="00381B5E" w:rsidP="00381B5E">
      <w:pPr>
        <w:pStyle w:val="Prrafodelista"/>
        <w:ind w:left="284"/>
        <w:jc w:val="both"/>
        <w:rPr>
          <w:b/>
          <w:u w:val="single"/>
        </w:rPr>
      </w:pPr>
    </w:p>
    <w:p w:rsidR="0038108F" w:rsidRPr="005A6843" w:rsidRDefault="0038108F" w:rsidP="00AA712B">
      <w:pPr>
        <w:jc w:val="both"/>
      </w:pPr>
      <w:r w:rsidRPr="005A6843">
        <w:t xml:space="preserve">La categoría </w:t>
      </w:r>
      <w:r w:rsidRPr="00381B5E">
        <w:rPr>
          <w:i/>
        </w:rPr>
        <w:t>“Contratos, Convenios, Subvenciones y Bienes Inmuebles”</w:t>
      </w:r>
      <w:r w:rsidRPr="005A6843">
        <w:t xml:space="preserve"> contiene únicamente tres sub-categorías de información: </w:t>
      </w:r>
      <w:r w:rsidRPr="00381B5E">
        <w:rPr>
          <w:i/>
        </w:rPr>
        <w:t xml:space="preserve">“Contratos”, “Convenios y Encomiendas” </w:t>
      </w:r>
      <w:r w:rsidRPr="005A6843">
        <w:t xml:space="preserve">y </w:t>
      </w:r>
      <w:r w:rsidRPr="00381B5E">
        <w:rPr>
          <w:i/>
        </w:rPr>
        <w:t>“Bienes Inmuebles”</w:t>
      </w:r>
      <w:r w:rsidRPr="005A6843">
        <w:t>. En este sentido, deben tenerse en cuenta las consideraciones de este CTBG respecto de los elementos o sub-categorías propios de esta categoría en el menú general del Portal.</w:t>
      </w:r>
    </w:p>
    <w:p w:rsidR="0038108F" w:rsidRPr="005A6843" w:rsidRDefault="0038108F" w:rsidP="00AA712B">
      <w:pPr>
        <w:jc w:val="both"/>
      </w:pPr>
      <w:r w:rsidRPr="005A6843">
        <w:t xml:space="preserve">A continuación se analiza el contenido de los tres elementos informativos presentes. La información se ajusta al modelo general del Portal por lo que deben reproducirse aquí las sugerencias y consideraciones efectuadas con ocasión de la valoración de aquel. </w:t>
      </w:r>
    </w:p>
    <w:p w:rsidR="0038108F" w:rsidRPr="00381B5E" w:rsidRDefault="0038108F" w:rsidP="00AA712B">
      <w:pPr>
        <w:jc w:val="both"/>
        <w:rPr>
          <w:b/>
          <w:u w:val="single"/>
        </w:rPr>
      </w:pPr>
      <w:r w:rsidRPr="00381B5E">
        <w:rPr>
          <w:b/>
          <w:u w:val="single"/>
        </w:rPr>
        <w:t>Contratos</w:t>
      </w:r>
    </w:p>
    <w:p w:rsidR="0038108F" w:rsidRPr="005A6843" w:rsidRDefault="0038108F" w:rsidP="00AA712B">
      <w:pPr>
        <w:jc w:val="both"/>
      </w:pPr>
      <w:r w:rsidRPr="005A6843">
        <w:t xml:space="preserve">Recoge a día de hoy 50.727 contratos, incluidos los correspondientes a los organismos vinculados y dependientes del Departamento y los órganos y estructuras de las Fuerzas Armadas. </w:t>
      </w:r>
    </w:p>
    <w:p w:rsidR="00381B5E" w:rsidRDefault="0038108F" w:rsidP="00AA712B">
      <w:pPr>
        <w:jc w:val="both"/>
      </w:pPr>
      <w:r w:rsidRPr="005A6843">
        <w:t>Por procedimientos, los contratos se distribuyen en: A) 2.672 contratos abiertos; B) 36 restringidos; C) 4.420 negociados sin publicidad; D) 788 negociados con publicidad; E) Uno adjudicado mediante diálogo competitivo -adquisición dos trituradores de documentos-; F) 41.768 contratos menores; G) 1.041 derivados de Acuerdos marco y H) Dos adjudicados mediante procedimientos sin clasificar, relativos a la enajenación de ganado de desecho -caballo "Disco" y caballo "Escultor II" -.</w:t>
      </w:r>
    </w:p>
    <w:p w:rsidR="0038108F" w:rsidRPr="00381B5E" w:rsidRDefault="0038108F" w:rsidP="00AA712B">
      <w:pPr>
        <w:jc w:val="both"/>
        <w:rPr>
          <w:b/>
          <w:u w:val="single"/>
        </w:rPr>
      </w:pPr>
      <w:r w:rsidRPr="00381B5E">
        <w:rPr>
          <w:b/>
          <w:u w:val="single"/>
        </w:rPr>
        <w:t>Convenios y encomiendas</w:t>
      </w:r>
    </w:p>
    <w:p w:rsidR="0038108F" w:rsidRPr="005A6843" w:rsidRDefault="0038108F" w:rsidP="00AA712B">
      <w:pPr>
        <w:jc w:val="both"/>
      </w:pPr>
      <w:r w:rsidRPr="005A6843">
        <w:t>A fecha actual se publican 284 instrumentos, 259 convenios, 23 encomiendas de gestión y 2 encomiendas de gestión por convenio. 54 de ellos tienen financiación a cargo del MINDEF</w:t>
      </w:r>
    </w:p>
    <w:p w:rsidR="0038108F" w:rsidRPr="00381B5E" w:rsidRDefault="0038108F" w:rsidP="00AA712B">
      <w:pPr>
        <w:jc w:val="both"/>
        <w:rPr>
          <w:b/>
          <w:u w:val="single"/>
        </w:rPr>
      </w:pPr>
      <w:r w:rsidRPr="00381B5E">
        <w:rPr>
          <w:b/>
          <w:u w:val="single"/>
        </w:rPr>
        <w:t>Bienes inmuebles</w:t>
      </w:r>
    </w:p>
    <w:p w:rsidR="0038108F" w:rsidRPr="005A6843" w:rsidRDefault="0038108F" w:rsidP="00AA712B">
      <w:pPr>
        <w:jc w:val="both"/>
      </w:pPr>
      <w:r w:rsidRPr="005A6843">
        <w:t>A fecha actual el listado ofrece 1.836 resultados, distribuidos del siguiente modo: 989 edificios, 362 solares y 485 fincas rústicas</w:t>
      </w:r>
    </w:p>
    <w:p w:rsidR="0038108F" w:rsidRPr="00381B5E" w:rsidRDefault="00381B5E" w:rsidP="00FC26D7">
      <w:pPr>
        <w:pStyle w:val="Prrafodelista"/>
        <w:numPr>
          <w:ilvl w:val="0"/>
          <w:numId w:val="50"/>
        </w:numPr>
        <w:ind w:left="426" w:hanging="426"/>
        <w:jc w:val="both"/>
        <w:rPr>
          <w:b/>
          <w:u w:val="single"/>
        </w:rPr>
      </w:pPr>
      <w:r w:rsidRPr="00381B5E">
        <w:rPr>
          <w:b/>
          <w:u w:val="single"/>
        </w:rPr>
        <w:t>PRESUPUESTOS, FISCALIZACIÓN E INFORMES</w:t>
      </w:r>
    </w:p>
    <w:p w:rsidR="00381B5E" w:rsidRPr="005A6843" w:rsidRDefault="00381B5E" w:rsidP="00381B5E">
      <w:pPr>
        <w:pStyle w:val="Prrafodelista"/>
        <w:ind w:left="426"/>
        <w:jc w:val="both"/>
      </w:pPr>
    </w:p>
    <w:p w:rsidR="0038108F" w:rsidRPr="005A6843" w:rsidRDefault="0038108F" w:rsidP="00AA712B">
      <w:pPr>
        <w:jc w:val="both"/>
      </w:pPr>
      <w:r w:rsidRPr="005A6843">
        <w:t xml:space="preserve">La categoría </w:t>
      </w:r>
      <w:r w:rsidRPr="00381B5E">
        <w:rPr>
          <w:i/>
        </w:rPr>
        <w:t>“Presupuestos, Fiscalización e Informes”</w:t>
      </w:r>
      <w:r w:rsidRPr="005A6843">
        <w:t xml:space="preserve"> del menú del MINDEF presenta únicamente dos sub-categorías informativas: </w:t>
      </w:r>
      <w:r w:rsidRPr="00381B5E">
        <w:rPr>
          <w:i/>
        </w:rPr>
        <w:t>“Presupuestos Generales del Estado”</w:t>
      </w:r>
      <w:r w:rsidRPr="005A6843">
        <w:t xml:space="preserve"> y </w:t>
      </w:r>
      <w:r w:rsidRPr="00381B5E">
        <w:rPr>
          <w:i/>
        </w:rPr>
        <w:t>“Estadísticas e Informes Relevantes”</w:t>
      </w:r>
      <w:r w:rsidRPr="005A6843">
        <w:t>. En relación con este punto, deben darse por reproducidas aquí las reflexiones y comentarios efectuados en relación con dichos elementos o sub-categorías en el análisis general del Portal.</w:t>
      </w:r>
    </w:p>
    <w:p w:rsidR="0038108F" w:rsidRPr="005A6843" w:rsidRDefault="0038108F" w:rsidP="00AA712B">
      <w:pPr>
        <w:jc w:val="both"/>
      </w:pPr>
      <w:r w:rsidRPr="005A6843">
        <w:t xml:space="preserve">Acto seguido se expone brevemente el contenido de cada uno de los elementos informativos efectivamente incluidos en la categoría. En todos ellos, la información se ajusta al modelo general del Portal por lo que deben tenerse por reproducidas las consideraciones efectuadas con ocasión del estudio de aquel. </w:t>
      </w:r>
    </w:p>
    <w:p w:rsidR="0038108F" w:rsidRPr="00381B5E" w:rsidRDefault="0038108F" w:rsidP="00AA712B">
      <w:pPr>
        <w:jc w:val="both"/>
        <w:rPr>
          <w:b/>
          <w:u w:val="single"/>
        </w:rPr>
      </w:pPr>
      <w:r w:rsidRPr="00381B5E">
        <w:rPr>
          <w:b/>
          <w:u w:val="single"/>
        </w:rPr>
        <w:t xml:space="preserve">Presupuestos Generales </w:t>
      </w:r>
    </w:p>
    <w:p w:rsidR="0038108F" w:rsidRPr="005A6843" w:rsidRDefault="0038108F" w:rsidP="00AA712B">
      <w:pPr>
        <w:jc w:val="both"/>
      </w:pPr>
      <w:r w:rsidRPr="005A6843">
        <w:t xml:space="preserve">La opción “Gastos” ofrece 33 resultados, que, filtrados por años, se distribuyen en uno para 2017 -con un enlace directo al Presupuesto de Gastos del MINDEF- y 32 para los ejercicios 2014, 2015 y 2016, que incluyen no solamente accesos a los Presupuestos del Departamento y sus organismos vinculados y dependientes sino también de otras unidades o Centros de la estructura del MINDEF (Servicio Militar de Construcciones, Centros Universitarios de la Defensa). </w:t>
      </w:r>
    </w:p>
    <w:p w:rsidR="0038108F" w:rsidRPr="005A6843" w:rsidRDefault="0038108F" w:rsidP="00AA712B">
      <w:pPr>
        <w:jc w:val="both"/>
      </w:pPr>
      <w:r w:rsidRPr="005A6843">
        <w:t>Adicionalmente, se incluyen algunas entradas ajenas por completo al Ministerio. Así, los Presupuestos de la FNMT-RCM para 2014 y 2015 y los de los Consorcios de las Zonas Francas de Gran Canaria y de Vigo también para 2014 y 2015..</w:t>
      </w:r>
    </w:p>
    <w:p w:rsidR="0038108F" w:rsidRPr="00381B5E" w:rsidRDefault="00381B5E" w:rsidP="00FC26D7">
      <w:pPr>
        <w:pStyle w:val="Prrafodelista"/>
        <w:numPr>
          <w:ilvl w:val="0"/>
          <w:numId w:val="50"/>
        </w:numPr>
        <w:ind w:left="426" w:hanging="426"/>
        <w:jc w:val="both"/>
        <w:rPr>
          <w:b/>
          <w:u w:val="single"/>
        </w:rPr>
      </w:pPr>
      <w:r w:rsidRPr="00381B5E">
        <w:rPr>
          <w:b/>
          <w:u w:val="single"/>
        </w:rPr>
        <w:t>INFORMACIÓN Y ESTADÍSTICAS RELEVANTES</w:t>
      </w:r>
    </w:p>
    <w:p w:rsidR="00381B5E" w:rsidRPr="005A6843" w:rsidRDefault="00381B5E" w:rsidP="00381B5E">
      <w:pPr>
        <w:pStyle w:val="Prrafodelista"/>
        <w:ind w:left="426"/>
        <w:jc w:val="both"/>
      </w:pPr>
    </w:p>
    <w:p w:rsidR="00381B5E" w:rsidRDefault="0038108F" w:rsidP="00AA712B">
      <w:pPr>
        <w:jc w:val="both"/>
      </w:pPr>
      <w:r w:rsidRPr="005A6843">
        <w:t>A fecha de hoy, el MINDEF publica tres resultados, que en realidad son únicamente dos -el primer documento se ofrece en dos formatos diferentes-: Plan anual de contratación del Ministerio de Defensa (PACDEF) para 2017 y Plan Estadístico de la Defensa 2017-2020: Programa Anual 2017.</w:t>
      </w:r>
    </w:p>
    <w:p w:rsidR="00227173" w:rsidRDefault="00227173">
      <w:pPr>
        <w:rPr>
          <w:b/>
          <w:color w:val="1C314E" w:themeColor="accent4" w:themeShade="80"/>
          <w:sz w:val="32"/>
          <w:szCs w:val="28"/>
        </w:rPr>
      </w:pPr>
      <w:bookmarkStart w:id="232" w:name="_Toc498345411"/>
      <w:r>
        <w:br w:type="page"/>
      </w:r>
    </w:p>
    <w:p w:rsidR="0038108F" w:rsidRPr="005A6843" w:rsidRDefault="0038108F" w:rsidP="0016665B">
      <w:pPr>
        <w:pStyle w:val="Ttulo4"/>
      </w:pPr>
      <w:bookmarkStart w:id="233" w:name="_Toc501110695"/>
      <w:r w:rsidRPr="005A6843">
        <w:t>Ministerio de Hacienda y Función Pública (MINHAFP)</w:t>
      </w:r>
      <w:bookmarkEnd w:id="232"/>
      <w:bookmarkEnd w:id="233"/>
    </w:p>
    <w:p w:rsidR="0038108F" w:rsidRPr="005A6843" w:rsidRDefault="0038108F" w:rsidP="00AA712B">
      <w:pPr>
        <w:jc w:val="both"/>
      </w:pPr>
      <w:r w:rsidRPr="005A6843">
        <w:t xml:space="preserve">Como el menú general del Portal, el menú de </w:t>
      </w:r>
      <w:r w:rsidRPr="002E5488">
        <w:rPr>
          <w:i/>
        </w:rPr>
        <w:t>“Transparencia del Ministerio de Hacienda y Función Pública”</w:t>
      </w:r>
      <w:r w:rsidRPr="005A6843">
        <w:t xml:space="preserve"> aparece estructurado en cuatro categorías de información: </w:t>
      </w:r>
      <w:r w:rsidRPr="002E5488">
        <w:rPr>
          <w:i/>
        </w:rPr>
        <w:t>“Institucional”, “Normativa”, “Contratos, convenios, subvenciones y bienes inmuebles”</w:t>
      </w:r>
      <w:r w:rsidRPr="005A6843">
        <w:t xml:space="preserve"> y </w:t>
      </w:r>
      <w:r w:rsidRPr="002E5488">
        <w:rPr>
          <w:i/>
        </w:rPr>
        <w:t>“Presupuestos, fiscalización e informes”</w:t>
      </w:r>
      <w:r w:rsidRPr="005A6843">
        <w:t xml:space="preserve">. Al respecto, deben darse por reproducidas aquí las consideraciones hechas en relación con aquél. </w:t>
      </w:r>
    </w:p>
    <w:p w:rsidR="0038108F" w:rsidRPr="005A6843" w:rsidRDefault="0038108F" w:rsidP="009F3B2E">
      <w:pPr>
        <w:pStyle w:val="Ttulo5"/>
      </w:pPr>
      <w:bookmarkStart w:id="234" w:name="_Toc498345412"/>
      <w:bookmarkStart w:id="235" w:name="_Toc501110696"/>
      <w:r w:rsidRPr="005A6843">
        <w:t>Información institucional, organizativa y de planificación</w:t>
      </w:r>
      <w:bookmarkEnd w:id="234"/>
      <w:bookmarkEnd w:id="235"/>
    </w:p>
    <w:p w:rsidR="0038108F" w:rsidRPr="005A6843" w:rsidRDefault="0038108F" w:rsidP="00AA712B">
      <w:pPr>
        <w:jc w:val="both"/>
      </w:pPr>
      <w:r w:rsidRPr="005A6843">
        <w:t xml:space="preserve">La categoría de información institucional del MINHAFP presenta seis sub-categorías: </w:t>
      </w:r>
      <w:r w:rsidRPr="002E5488">
        <w:rPr>
          <w:i/>
        </w:rPr>
        <w:t>“Estructura”, “Funciones”, “Planes de objetivos”, “Retribuciones de Altos Cargos, “Currículos de Altos Cargos”</w:t>
      </w:r>
      <w:r w:rsidRPr="005A6843">
        <w:t xml:space="preserve"> y </w:t>
      </w:r>
      <w:r w:rsidRPr="002E5488">
        <w:rPr>
          <w:i/>
        </w:rPr>
        <w:t>“Relaciones de Puestos de Trabajo”</w:t>
      </w:r>
      <w:r w:rsidRPr="005A6843">
        <w:t xml:space="preserve">. </w:t>
      </w:r>
    </w:p>
    <w:p w:rsidR="0038108F" w:rsidRPr="005A6843" w:rsidRDefault="0038108F" w:rsidP="00AA712B">
      <w:pPr>
        <w:jc w:val="both"/>
      </w:pPr>
      <w:r w:rsidRPr="005A6843">
        <w:t xml:space="preserve">Deben darse por reproducidas aquí las consideraciones efectuadas en los anteriores apartados de este epígrafe respecto de los elementos o sub-categorías informativas </w:t>
      </w:r>
      <w:r w:rsidRPr="002E5488">
        <w:rPr>
          <w:i/>
        </w:rPr>
        <w:t>“Normativa de aplicación”, “Retribuciones de los Altos Cargos”, “Relaciones de Puestos de Trabajo”, “Autorizaciones de actividad privada en Altos Cargos”, “Indemnizaciones percibidas con ocasión del cese”</w:t>
      </w:r>
      <w:r w:rsidRPr="005A6843">
        <w:t xml:space="preserve"> y </w:t>
      </w:r>
      <w:r w:rsidRPr="002E5488">
        <w:rPr>
          <w:i/>
        </w:rPr>
        <w:t>“Autorización o reconocimiento de compatibilidad de empleados públicos”</w:t>
      </w:r>
      <w:r w:rsidRPr="005A6843">
        <w:t>.</w:t>
      </w:r>
    </w:p>
    <w:p w:rsidR="0038108F" w:rsidRPr="005A6843" w:rsidRDefault="0038108F" w:rsidP="00AA712B">
      <w:pPr>
        <w:jc w:val="both"/>
      </w:pPr>
      <w:r w:rsidRPr="005A6843">
        <w:t>Se analiza acto seguido el contenido informativo de cada uno de los elementos o sub--categorías. En todas ellas, la información se ajusta al modelo establecido con carácter general en el Portal por lo que deben tenerse por reproducidas las consideraciones efectuadas respecto de las sub-categorías paralelas en el análisis del modelo general de contenidos de aquél.</w:t>
      </w:r>
    </w:p>
    <w:p w:rsidR="0038108F" w:rsidRPr="002E5488" w:rsidRDefault="0038108F" w:rsidP="00AA712B">
      <w:pPr>
        <w:jc w:val="both"/>
        <w:rPr>
          <w:b/>
          <w:u w:val="single"/>
        </w:rPr>
      </w:pPr>
      <w:r w:rsidRPr="002E5488">
        <w:rPr>
          <w:b/>
          <w:u w:val="single"/>
        </w:rPr>
        <w:t>Estructura</w:t>
      </w:r>
    </w:p>
    <w:p w:rsidR="0038108F" w:rsidRPr="005A6843" w:rsidRDefault="0038108F" w:rsidP="00AA712B">
      <w:pPr>
        <w:jc w:val="both"/>
      </w:pPr>
      <w:r w:rsidRPr="005A6843">
        <w:t>La organización del Ministerio es posterior al Real Decreto 415/2016, de 3 de noviembre, habiéndose aprobado ya el nuevo Real Decreto de estructura orgánica (ver el siguiente apartado “Funciones”). No obstante, a fecha de hoy y seguramente a causa de que lo reciente de la reestructuración ha impedido actualizar la información del Portal, aparece el organigrama anterior, limitado al rango de Director General y sin la lista de los órganos colegiados y consultivos adscritos.</w:t>
      </w:r>
    </w:p>
    <w:p w:rsidR="0038108F" w:rsidRPr="005A6843" w:rsidRDefault="0038108F" w:rsidP="00AA712B">
      <w:pPr>
        <w:jc w:val="both"/>
      </w:pPr>
      <w:r w:rsidRPr="005A6843">
        <w:t xml:space="preserve">Se incluye información sobre los organismos vinculados y dependientes. A fecha de hoy, figuran 12: Sociedad Estatal de Participaciones Industriales (SEPI); Autoridad Independiente de Responsabilidad Fiscal (AIReF); Agencia Estatal de Administración Tributaria (AEAT); Instituto de Estudios Fiscales (IEF); Agencia Estatal de Evaluación de las Políticas Públicas y la Calidad de los Servicios (AEVAL); Mutualidad General de Funcionarios Civiles del Estado (MUFACE), Instituto Nacional de Administración Pública (INAP); Fábrica Nacional de Moneda y Timbre-Real Casa de la Moneda (FNMT); Parque Móvil del Estado (PME); Comisionado para el Mercado de Tabacos (CMT) y Consejo de Transparencia y Buen Gobierno (CTBG). </w:t>
      </w:r>
    </w:p>
    <w:p w:rsidR="0038108F" w:rsidRPr="005A6843" w:rsidRDefault="0038108F" w:rsidP="00AA712B">
      <w:pPr>
        <w:jc w:val="both"/>
      </w:pPr>
      <w:r w:rsidRPr="005A6843">
        <w:t xml:space="preserve">En principio, coinciden con los organismos enumerados en el portal </w:t>
      </w:r>
      <w:hyperlink r:id="rId63" w:history="1">
        <w:r w:rsidR="00FC4B2E" w:rsidRPr="00C128CF">
          <w:rPr>
            <w:rStyle w:val="Hipervnculo"/>
            <w:i/>
          </w:rPr>
          <w:t>web</w:t>
        </w:r>
        <w:r w:rsidRPr="00C128CF">
          <w:rPr>
            <w:rStyle w:val="Hipervnculo"/>
          </w:rPr>
          <w:t xml:space="preserve"> del MINHAFP</w:t>
        </w:r>
      </w:hyperlink>
      <w:r w:rsidRPr="005A6843">
        <w:t xml:space="preserve"> que, además, incorpora a las Delegaciones de Economía y Hacienda y al Tribunal Administrativo Central de Recursos Contractuales. </w:t>
      </w:r>
    </w:p>
    <w:p w:rsidR="0038108F" w:rsidRPr="005A6843" w:rsidRDefault="0038108F" w:rsidP="00AA712B">
      <w:pPr>
        <w:jc w:val="both"/>
      </w:pPr>
      <w:r w:rsidRPr="005A6843">
        <w:t>Teniendo en cuenta la discrepancia entre uno y otro sitio, y el hecho de que ni la AIREF ni el CTBG -organismos independientes adscritos, que serán Autoridades Administrativas Independientes- ni la AEAT tienen propiamente naturaleza de Agencia Estatal, EPE u Organismo Autónomo, sería conveniente una explicación sobre los organismos incluido y los criterios empleados para su selección.</w:t>
      </w:r>
    </w:p>
    <w:p w:rsidR="0038108F" w:rsidRPr="002E5488" w:rsidRDefault="0038108F" w:rsidP="00AA712B">
      <w:pPr>
        <w:jc w:val="both"/>
        <w:rPr>
          <w:b/>
          <w:u w:val="single"/>
        </w:rPr>
      </w:pPr>
      <w:r w:rsidRPr="002E5488">
        <w:rPr>
          <w:b/>
          <w:u w:val="single"/>
        </w:rPr>
        <w:t xml:space="preserve">Funciones </w:t>
      </w:r>
    </w:p>
    <w:p w:rsidR="0038108F" w:rsidRPr="005A6843" w:rsidRDefault="0038108F" w:rsidP="00AA712B">
      <w:pPr>
        <w:jc w:val="both"/>
      </w:pPr>
      <w:r w:rsidRPr="005A6843">
        <w:t xml:space="preserve">“Clicando” en este sub-apartado se accede directamente al texto del «BOE» del Real Decreto 769/2017, de 28 de julio, por el que se desarrolla la estructura orgánica básica del Ministerio de Hacienda y Función Pública y se modifica el Real Decreto 424/2016, de 11 de noviembre, por el que se establece la estructura orgánica básica de los Departamentos ministeriales. </w:t>
      </w:r>
    </w:p>
    <w:p w:rsidR="0038108F" w:rsidRPr="002E5488" w:rsidRDefault="0038108F" w:rsidP="00AA712B">
      <w:pPr>
        <w:jc w:val="both"/>
        <w:rPr>
          <w:b/>
          <w:u w:val="single"/>
        </w:rPr>
      </w:pPr>
      <w:r w:rsidRPr="002E5488">
        <w:rPr>
          <w:b/>
          <w:u w:val="single"/>
        </w:rPr>
        <w:t>Planes de objetivos</w:t>
      </w:r>
    </w:p>
    <w:p w:rsidR="0038108F" w:rsidRPr="005A6843" w:rsidRDefault="0038108F" w:rsidP="00AA712B">
      <w:pPr>
        <w:jc w:val="both"/>
      </w:pPr>
      <w:r w:rsidRPr="005A6843">
        <w:t xml:space="preserve">A fecha de hoy figuran 22 documentos, correspondientes al Ministerio y algunos de sus organismos vinculados y dependientes (INAP, AEVAL) o adscritos (CTBG). Salvo cinco Cartas de Servicios, el resto de los documentos tienen naturaleza de plan de objetivos: desde los </w:t>
      </w:r>
      <w:r w:rsidRPr="002E5488">
        <w:rPr>
          <w:i/>
        </w:rPr>
        <w:t>Planes de objetivos</w:t>
      </w:r>
      <w:r w:rsidRPr="005A6843">
        <w:t xml:space="preserve"> de la Subsecretaría de Hacienda y Administraciones Públicas para 2015, 2016 y 2017  hasta el</w:t>
      </w:r>
      <w:r w:rsidRPr="002E5488">
        <w:rPr>
          <w:i/>
        </w:rPr>
        <w:t xml:space="preserve"> Programa de Objetivos</w:t>
      </w:r>
      <w:r w:rsidRPr="005A6843">
        <w:t xml:space="preserve"> de la Dirección General de Costes de Personal y Pensiones Públicas para el año 2014. </w:t>
      </w:r>
    </w:p>
    <w:p w:rsidR="0038108F" w:rsidRPr="002E5488" w:rsidRDefault="002E5488" w:rsidP="00AA712B">
      <w:pPr>
        <w:jc w:val="both"/>
        <w:rPr>
          <w:b/>
          <w:u w:val="single"/>
        </w:rPr>
      </w:pPr>
      <w:r w:rsidRPr="002E5488">
        <w:rPr>
          <w:b/>
          <w:u w:val="single"/>
        </w:rPr>
        <w:t>Retribuciones de Altos Cargos</w:t>
      </w:r>
    </w:p>
    <w:p w:rsidR="0038108F" w:rsidRPr="005A6843" w:rsidRDefault="0038108F" w:rsidP="00AA712B">
      <w:pPr>
        <w:jc w:val="both"/>
      </w:pPr>
      <w:r w:rsidRPr="005A6843">
        <w:t xml:space="preserve">A fecha de hoy aparecen publicados los datos de los 56 Altos Cargos o asimilados existentes en el Ministerio durante 2016, incluidos los Delegados del Gobierno. En listado separado, se añaden los datos de 23 Altos Cargos o asimilados, correspondientes a los organismos públicos vinculados o dependientes y a aquellos servicios territoriales cuyos máximos responsables tienen consideración de Alto Cargo -Presidenta y Vicepresidenta del Consorcio de la Zona Especial Canaria y Delegados Especiales en las Zonas Francas de Gran Canaria, Tenerife, Vigo, Cádiz, Barcelona, Sevilla y Santander-. </w:t>
      </w:r>
    </w:p>
    <w:p w:rsidR="00AA112B" w:rsidRDefault="0038108F" w:rsidP="00AA712B">
      <w:pPr>
        <w:jc w:val="both"/>
      </w:pPr>
      <w:r w:rsidRPr="005A6843">
        <w:t>También se incluyen datos históricos correspondientes a los años 2013, 2014 y 2015.</w:t>
      </w:r>
    </w:p>
    <w:p w:rsidR="0038108F" w:rsidRPr="00AA112B" w:rsidRDefault="0038108F" w:rsidP="00AA712B">
      <w:pPr>
        <w:jc w:val="both"/>
        <w:rPr>
          <w:b/>
          <w:u w:val="single"/>
        </w:rPr>
      </w:pPr>
      <w:r w:rsidRPr="00AA112B">
        <w:rPr>
          <w:b/>
          <w:u w:val="single"/>
        </w:rPr>
        <w:t xml:space="preserve">Currículos de Altos Cargos </w:t>
      </w:r>
    </w:p>
    <w:p w:rsidR="0038108F" w:rsidRPr="005A6843" w:rsidRDefault="0038108F" w:rsidP="00AA712B">
      <w:pPr>
        <w:jc w:val="both"/>
      </w:pPr>
      <w:r w:rsidRPr="005A6843">
        <w:t>Aparecen los currículos de los Altos Cargos o asimilados del Ministerio, junto con los de los organismos vinculados y dependientes y los organismos adscritos. Figuran únicamente 39 currículos, los de los actuales titulares del puesto. No figuran los currículos de los Altos Cargos del Consorcio de la Zona Especial Canaria ni los de los Delegados Especiales en las Zonas Francas.</w:t>
      </w:r>
    </w:p>
    <w:p w:rsidR="0038108F" w:rsidRPr="00AA112B" w:rsidRDefault="0038108F" w:rsidP="00AA712B">
      <w:pPr>
        <w:jc w:val="both"/>
        <w:rPr>
          <w:b/>
          <w:u w:val="single"/>
        </w:rPr>
      </w:pPr>
      <w:r w:rsidRPr="00AA112B">
        <w:rPr>
          <w:b/>
          <w:u w:val="single"/>
        </w:rPr>
        <w:t>Relaciones de Puestos de Trabajo (RPT)</w:t>
      </w:r>
    </w:p>
    <w:p w:rsidR="0038108F" w:rsidRPr="005A6843" w:rsidRDefault="0038108F" w:rsidP="00AA712B">
      <w:pPr>
        <w:jc w:val="both"/>
      </w:pPr>
      <w:r w:rsidRPr="005A6843">
        <w:t>Se recoge información de la RPT de personal funcionario y laboral del Ministerio y de los organismos públicos (AEAT, AEVAL, AIREF y CTBG tienen RPT aparte). Faltan las RPT de SEPI, INAP y FNMT; en cambio, aparece por primera vez el Fondo para la Financiación de los Pagos a Proveedores, que no aparece en la información sobre la estructura ministerial ni en la relativa a retribuciones o currículos de Altos Cargos.</w:t>
      </w:r>
    </w:p>
    <w:p w:rsidR="0038108F" w:rsidRPr="005A6843" w:rsidRDefault="0038108F" w:rsidP="009F3B2E">
      <w:pPr>
        <w:pStyle w:val="Ttulo5"/>
      </w:pPr>
      <w:bookmarkStart w:id="236" w:name="_Toc498345413"/>
      <w:bookmarkStart w:id="237" w:name="_Toc501110697"/>
      <w:r w:rsidRPr="005A6843">
        <w:t>Información de relevancia jurídica</w:t>
      </w:r>
      <w:bookmarkEnd w:id="236"/>
      <w:bookmarkEnd w:id="237"/>
    </w:p>
    <w:p w:rsidR="0038108F" w:rsidRPr="005A6843" w:rsidRDefault="0038108F" w:rsidP="00AA712B">
      <w:pPr>
        <w:jc w:val="both"/>
      </w:pPr>
      <w:r w:rsidRPr="005A6843">
        <w:t xml:space="preserve">Incluye las cuatro sub-categorías del menú general de </w:t>
      </w:r>
      <w:r w:rsidRPr="00AA112B">
        <w:rPr>
          <w:i/>
        </w:rPr>
        <w:t>“Normativa”</w:t>
      </w:r>
      <w:r w:rsidRPr="005A6843">
        <w:t xml:space="preserve"> del Portal: </w:t>
      </w:r>
      <w:r w:rsidRPr="00AA112B">
        <w:rPr>
          <w:i/>
        </w:rPr>
        <w:t>“Normativa destacada”, “Normativa en elaboración”, “Normativa vigente”</w:t>
      </w:r>
      <w:r w:rsidRPr="005A6843">
        <w:t xml:space="preserve"> y </w:t>
      </w:r>
      <w:r w:rsidRPr="00AA112B">
        <w:rPr>
          <w:i/>
        </w:rPr>
        <w:t>“Otras disposiciones”</w:t>
      </w:r>
      <w:r w:rsidRPr="005A6843">
        <w:t>. Deben darse por reproducidas al respecto, las consideraciones efectuadas en el examen del menú general del Portal acerca de dichos elementos o sub-categorías y de la sub-categoría del art. 7 de la</w:t>
      </w:r>
      <w:r w:rsidR="0069620D">
        <w:t xml:space="preserve"> ley</w:t>
      </w:r>
      <w:r w:rsidR="00E768A4">
        <w:t xml:space="preserve"> de transparencia</w:t>
      </w:r>
      <w:r w:rsidRPr="005A6843">
        <w:t xml:space="preserve"> “Documentos sometidos a audiencia pública durante su tramitación”. </w:t>
      </w:r>
    </w:p>
    <w:p w:rsidR="0038108F" w:rsidRPr="005A6843" w:rsidRDefault="0038108F" w:rsidP="00AA712B">
      <w:pPr>
        <w:jc w:val="both"/>
      </w:pPr>
      <w:r w:rsidRPr="005A6843">
        <w:t xml:space="preserve">Se examina a continuación, brevemente, el contenido de cada uno de los elementos o sub--categorías informativas incluidas. En todas ellas, la información se ajusta al modelo general del Portal por lo que deben tenerse por reproducidas las consideraciones efectuadas en el epígrafe anterior en relación con las correlativas sub-categorías del menú general. </w:t>
      </w:r>
    </w:p>
    <w:p w:rsidR="0038108F" w:rsidRPr="00AA112B" w:rsidRDefault="0038108F" w:rsidP="00AA712B">
      <w:pPr>
        <w:jc w:val="both"/>
        <w:rPr>
          <w:b/>
          <w:u w:val="single"/>
        </w:rPr>
      </w:pPr>
      <w:r w:rsidRPr="00AA112B">
        <w:rPr>
          <w:b/>
          <w:u w:val="single"/>
        </w:rPr>
        <w:t>Normativa destacada</w:t>
      </w:r>
    </w:p>
    <w:p w:rsidR="0038108F" w:rsidRPr="005A6843" w:rsidRDefault="0038108F" w:rsidP="00AA712B">
      <w:pPr>
        <w:jc w:val="both"/>
      </w:pPr>
      <w:r w:rsidRPr="005A6843">
        <w:t xml:space="preserve">Al día de la fecha de hoy se publican 268 normas: seis Leyes Orgánicas, 26 Reales Decretos-Leyes,  80 Leyes, 142 Reales Decretos y 14 normas de diverso rango, etiquetadas </w:t>
      </w:r>
      <w:r w:rsidRPr="00AA112B">
        <w:rPr>
          <w:i/>
        </w:rPr>
        <w:t>“normativa destacada del Departamento”</w:t>
      </w:r>
      <w:r w:rsidRPr="005A6843">
        <w:t>.</w:t>
      </w:r>
    </w:p>
    <w:p w:rsidR="0038108F" w:rsidRPr="005A6843" w:rsidRDefault="0038108F" w:rsidP="00AA712B">
      <w:pPr>
        <w:jc w:val="both"/>
      </w:pPr>
      <w:r w:rsidRPr="005A6843">
        <w:t xml:space="preserve">Falta un criterio sistemático claro, circunstancia que dificulta considerablemente la comprensión de la rúbrica </w:t>
      </w:r>
      <w:r w:rsidRPr="00AA112B">
        <w:rPr>
          <w:i/>
        </w:rPr>
        <w:t>“normativa destacada”</w:t>
      </w:r>
      <w:r w:rsidRPr="005A6843">
        <w:t xml:space="preserve"> asignada a la sub-categoría y el sentido de la selección aplicada. Máxime, cuando en la categorización de los datos que implican los filtros usados en el buscador, se incluye una clase específica de información, denominada expresamente “normativa destacada del Departamento”, que incluye entradas tan diversas como el Reglamento (CEE) núm. 2454/93 de la Comisión, de 2 de julio de 1993, por el que se fijan determinadas disposiciones de aplicación del Reglamento (CEE) núm. 2913/92 del Consejo por el que se establece el Código Aduanero Comunitario, la Orden de 18 de julio de 1991 sobre designación de Secretarios de los Tribunales Económico-Administrativos ó la </w:t>
      </w:r>
      <w:r w:rsidR="001C41A6">
        <w:t>Ley</w:t>
      </w:r>
      <w:r w:rsidRPr="005A6843">
        <w:t xml:space="preserve"> 36/2014, de 26 de diciembre, de Presupuestos Generales del Estado para el año 2015.</w:t>
      </w:r>
    </w:p>
    <w:p w:rsidR="0038108F" w:rsidRPr="005A6843" w:rsidRDefault="0038108F" w:rsidP="00AA712B">
      <w:pPr>
        <w:jc w:val="both"/>
      </w:pPr>
      <w:r w:rsidRPr="005A6843">
        <w:t xml:space="preserve">Respecto de los filtros y el buscador, es necesario revisar la categorización aplicada a la información. Especialmente en lo que hace a los datos catalogados como “Reales Decretos-Leyes”, que incluyen Reales Decretos Legislativos –como el Real Decreto Legislativo 1175/1990, de 28 de septiembre, por el que se aprueban las tarifas y la instrucción del Impuesto sobre Actividades Económicas, 5/2004, de 5 de marzo, por el que se aprueba el texto refundido de la </w:t>
      </w:r>
      <w:r w:rsidR="001C41A6">
        <w:t>Ley</w:t>
      </w:r>
      <w:r w:rsidRPr="005A6843">
        <w:t xml:space="preserve"> del Impuesto sobre la Renta de no Residentes ó 670/1987, de 30 de abril, por el que se aprueba el texto refundido de la </w:t>
      </w:r>
      <w:r w:rsidR="001C41A6">
        <w:t>Ley</w:t>
      </w:r>
      <w:r w:rsidRPr="005A6843">
        <w:t xml:space="preserve"> de Clases Pasivas del Estado-; y a los datos catalogados como “Leyes”, que incluyen también Reales Decretos Legislativos –p.ej. el Real Decreto Legislativo 4/2004, de 5 de marzo, por el que se aprueba el texto refundido de la </w:t>
      </w:r>
      <w:r w:rsidR="001C41A6">
        <w:t>Ley</w:t>
      </w:r>
      <w:r w:rsidRPr="005A6843">
        <w:t xml:space="preserve"> del Impuesto sobre Sociedades-.  </w:t>
      </w:r>
    </w:p>
    <w:p w:rsidR="0038108F" w:rsidRPr="00AA112B" w:rsidRDefault="0038108F" w:rsidP="00AA712B">
      <w:pPr>
        <w:jc w:val="both"/>
        <w:rPr>
          <w:b/>
          <w:u w:val="single"/>
        </w:rPr>
      </w:pPr>
      <w:r w:rsidRPr="00AA112B">
        <w:rPr>
          <w:b/>
          <w:u w:val="single"/>
        </w:rPr>
        <w:t>Normativa en elaboración</w:t>
      </w:r>
    </w:p>
    <w:p w:rsidR="0038108F" w:rsidRPr="005A6843" w:rsidRDefault="0038108F" w:rsidP="00AA712B">
      <w:pPr>
        <w:jc w:val="both"/>
      </w:pPr>
      <w:r w:rsidRPr="005A6843">
        <w:t>A la fecha no figura ningún resultado</w:t>
      </w:r>
    </w:p>
    <w:p w:rsidR="0038108F" w:rsidRPr="00AA112B" w:rsidRDefault="0038108F" w:rsidP="00AA712B">
      <w:pPr>
        <w:jc w:val="both"/>
        <w:rPr>
          <w:b/>
          <w:u w:val="single"/>
        </w:rPr>
      </w:pPr>
      <w:r w:rsidRPr="00AA112B">
        <w:rPr>
          <w:b/>
          <w:u w:val="single"/>
        </w:rPr>
        <w:t>Normativa en vigor</w:t>
      </w:r>
    </w:p>
    <w:p w:rsidR="0038108F" w:rsidRPr="005A6843" w:rsidRDefault="0038108F" w:rsidP="00AA712B">
      <w:pPr>
        <w:jc w:val="both"/>
      </w:pPr>
      <w:r w:rsidRPr="005A6843">
        <w:t xml:space="preserve">A día de hoy no figura ningún resultado. </w:t>
      </w:r>
    </w:p>
    <w:p w:rsidR="0038108F" w:rsidRPr="00AA112B" w:rsidRDefault="0038108F" w:rsidP="00AA712B">
      <w:pPr>
        <w:jc w:val="both"/>
        <w:rPr>
          <w:b/>
          <w:u w:val="single"/>
        </w:rPr>
      </w:pPr>
      <w:r w:rsidRPr="00AA112B">
        <w:rPr>
          <w:b/>
          <w:u w:val="single"/>
        </w:rPr>
        <w:t>Otras disposiciones</w:t>
      </w:r>
    </w:p>
    <w:p w:rsidR="0038108F" w:rsidRPr="005A6843" w:rsidRDefault="0038108F" w:rsidP="00AA712B">
      <w:pPr>
        <w:jc w:val="both"/>
      </w:pPr>
      <w:r w:rsidRPr="005A6843">
        <w:t xml:space="preserve">Aparecen, a la fecha, 419 resultados: A) 110 órdenes ministeriales, B) Nueve circulares, C) Una directriz; D) Un documento sometido a información pública durante su tramitación –la exposición al público de la Ponencia de Valores </w:t>
      </w:r>
      <w:r w:rsidRPr="00AA112B">
        <w:rPr>
          <w:i/>
        </w:rPr>
        <w:t>“Total por municipios durante 2014”</w:t>
      </w:r>
      <w:r w:rsidRPr="005A6843">
        <w:t xml:space="preserve"> de la Dirección General del Catastro-; E) Seis instrucciones; F) 280 resoluciones de carácter normativo –como, p. ej. la Resolución de 13 de mayo de 2014, conjunta de la IGAE y de la Dirección General de la AEAT, por la que se acuerda la anulación y baja en contabilidad de todas aquellas liquidaciones correspondientes a recursos de derecho público de la hacienda pública estatal recaudados por la Agencia de las que resulte una deuda pendiente de recaudar por importe inferior a tres euros o la Resolución de 14 de octubre de 2014, de la Dirección General de la AEAT, por la que se modifica la de 18 de julio de 2008, por la que se establece el modelo de tarjeta de identidad profesional de los funcionarios de Vigilancia Aduanera-, y F) 11 contestaciones a consultas. </w:t>
      </w:r>
    </w:p>
    <w:p w:rsidR="00684CD5" w:rsidRDefault="00684CD5">
      <w:pPr>
        <w:rPr>
          <w:b/>
          <w:color w:val="1C314E" w:themeColor="accent4" w:themeShade="80"/>
          <w:sz w:val="28"/>
        </w:rPr>
      </w:pPr>
      <w:bookmarkStart w:id="238" w:name="_Toc498345414"/>
      <w:r>
        <w:br w:type="page"/>
      </w:r>
    </w:p>
    <w:p w:rsidR="0038108F" w:rsidRPr="005A6843" w:rsidRDefault="0038108F" w:rsidP="009F3B2E">
      <w:pPr>
        <w:pStyle w:val="Ttulo5"/>
      </w:pPr>
      <w:bookmarkStart w:id="239" w:name="_Toc501110698"/>
      <w:r w:rsidRPr="005A6843">
        <w:t>Información económica, presupuestaria y estadística</w:t>
      </w:r>
      <w:bookmarkEnd w:id="238"/>
      <w:bookmarkEnd w:id="239"/>
    </w:p>
    <w:p w:rsidR="0038108F" w:rsidRDefault="00AA112B" w:rsidP="00FC26D7">
      <w:pPr>
        <w:pStyle w:val="Prrafodelista"/>
        <w:numPr>
          <w:ilvl w:val="0"/>
          <w:numId w:val="51"/>
        </w:numPr>
        <w:ind w:left="426" w:hanging="426"/>
        <w:jc w:val="both"/>
        <w:rPr>
          <w:b/>
          <w:u w:val="single"/>
        </w:rPr>
      </w:pPr>
      <w:r w:rsidRPr="00AA112B">
        <w:rPr>
          <w:b/>
          <w:u w:val="single"/>
        </w:rPr>
        <w:t>CONTRATOS, CONVENIOS, SUBVENCIONES Y BIENES INMUEBLES</w:t>
      </w:r>
    </w:p>
    <w:p w:rsidR="00AA112B" w:rsidRDefault="00AA112B" w:rsidP="00AA112B">
      <w:pPr>
        <w:pStyle w:val="Prrafodelista"/>
        <w:ind w:left="426"/>
        <w:jc w:val="both"/>
        <w:rPr>
          <w:b/>
          <w:u w:val="single"/>
        </w:rPr>
      </w:pPr>
    </w:p>
    <w:p w:rsidR="0038108F" w:rsidRPr="005A6843" w:rsidRDefault="0038108F" w:rsidP="00AA712B">
      <w:pPr>
        <w:jc w:val="both"/>
      </w:pPr>
      <w:r w:rsidRPr="005A6843">
        <w:t xml:space="preserve">La categoría </w:t>
      </w:r>
      <w:r w:rsidRPr="00AA112B">
        <w:rPr>
          <w:i/>
        </w:rPr>
        <w:t>“Contratos, Convenios, Subvenciones y Bienes Inmuebles”</w:t>
      </w:r>
      <w:r w:rsidRPr="005A6843">
        <w:t xml:space="preserve"> contiene únicamente tres sub-categorías de información sobre las siete incorporadas al menú general del Portal: </w:t>
      </w:r>
      <w:r w:rsidRPr="00AA112B">
        <w:rPr>
          <w:i/>
        </w:rPr>
        <w:t>“Contratos”, “Convenios y Encomiendas”</w:t>
      </w:r>
      <w:r w:rsidRPr="005A6843">
        <w:t xml:space="preserve"> y </w:t>
      </w:r>
      <w:r w:rsidRPr="00AA112B">
        <w:rPr>
          <w:i/>
        </w:rPr>
        <w:t>“Bienes Inmuebles”</w:t>
      </w:r>
      <w:r w:rsidRPr="005A6843">
        <w:t>. En este sentido, deben tenerse en cuenta las consideraciones de este CTBG respecto de los elementos o sub-categorías propios de esta categoría.</w:t>
      </w:r>
    </w:p>
    <w:p w:rsidR="0038108F" w:rsidRPr="005A6843" w:rsidRDefault="0038108F" w:rsidP="00AA712B">
      <w:pPr>
        <w:jc w:val="both"/>
      </w:pPr>
      <w:r w:rsidRPr="005A6843">
        <w:t xml:space="preserve">A continuación se analiza el contenido de los tres elementos informativos presentes. La información se ajusta al modelo general del Portal por lo que deben reproducirse aquí las sugerencias y consideraciones efectuadas con ocasión de la valoración de aquel. </w:t>
      </w:r>
    </w:p>
    <w:p w:rsidR="0038108F" w:rsidRPr="00AA112B" w:rsidRDefault="0038108F" w:rsidP="00AA712B">
      <w:pPr>
        <w:jc w:val="both"/>
        <w:rPr>
          <w:b/>
          <w:u w:val="single"/>
        </w:rPr>
      </w:pPr>
      <w:r w:rsidRPr="00AA112B">
        <w:rPr>
          <w:b/>
          <w:u w:val="single"/>
        </w:rPr>
        <w:t>Contratos</w:t>
      </w:r>
    </w:p>
    <w:p w:rsidR="0038108F" w:rsidRPr="005A6843" w:rsidRDefault="0038108F" w:rsidP="00AA712B">
      <w:pPr>
        <w:jc w:val="both"/>
      </w:pPr>
      <w:r w:rsidRPr="005A6843">
        <w:t xml:space="preserve">A fecha de hoy recoge 9.422 contratos –el primero y más reciente, junio de 2017, corresponde a la contratación del servicio de actividades infantiles "Verano 2017" para hijos, hijas y/o menores a cargo de empleados públicos del MNCARS-, incluidos los correspondientes a los organismos vinculados y dependientes y a los servicios territoriales del Ministerio. </w:t>
      </w:r>
    </w:p>
    <w:p w:rsidR="0038108F" w:rsidRPr="005A6843" w:rsidRDefault="0038108F" w:rsidP="00AA712B">
      <w:pPr>
        <w:jc w:val="both"/>
      </w:pPr>
      <w:r w:rsidRPr="005A6843">
        <w:t>Clasificados por procedimientos, los contratos se distribuyen en: A) 895 contratos abiertos; B) 1.018 negociados sin publicidad; C) 90 negociados con publicidad; D) 1 adjudicado mediante diálogo competitivo -el contrato de colaboración entre el sector público y el sector privado para llevar a cabo una actuación integral que suponga la mejora de la eficiencia energética y prestación de servicios energéticos en los edificios del IEF-; E) 7.408 contratos menores (en términos porcentuales, casi un 79 por 100 del total) y F) 10 derivados de Acuerdos marco -p.ej. la contratación de los trabajos de traducción de varios escritos procesales en el caso JGC (CIADI ARB/15/27) o la contratación del suministro de mobiliario de oficina (armarios) para 2015 en la nueva seda de la Delegación de Economía y Hacienda de Pontevedra, avda. Fernández Ladreda nº 45 2ª planta, Pontevedra-.</w:t>
      </w:r>
    </w:p>
    <w:p w:rsidR="0038108F" w:rsidRPr="00AA112B" w:rsidRDefault="0038108F" w:rsidP="00AA712B">
      <w:pPr>
        <w:jc w:val="both"/>
        <w:rPr>
          <w:b/>
          <w:u w:val="single"/>
        </w:rPr>
      </w:pPr>
      <w:r w:rsidRPr="00AA112B">
        <w:rPr>
          <w:b/>
          <w:u w:val="single"/>
        </w:rPr>
        <w:t>Convenios y encomiendas</w:t>
      </w:r>
    </w:p>
    <w:p w:rsidR="0038108F" w:rsidRPr="005A6843" w:rsidRDefault="0038108F" w:rsidP="00AA712B">
      <w:pPr>
        <w:jc w:val="both"/>
      </w:pPr>
      <w:r w:rsidRPr="005A6843">
        <w:t>A fecha actual, se publican 585 instrumentos, 516 convenios, 21 encomiendas de gestión y 48 encomiendas de gestión por convenio. 517 de ellos tiene financiación a cargo del MINHAFP.</w:t>
      </w:r>
    </w:p>
    <w:p w:rsidR="00684CD5" w:rsidRDefault="00684CD5">
      <w:pPr>
        <w:rPr>
          <w:b/>
          <w:u w:val="single"/>
        </w:rPr>
      </w:pPr>
      <w:r>
        <w:rPr>
          <w:b/>
          <w:u w:val="single"/>
        </w:rPr>
        <w:br w:type="page"/>
      </w:r>
    </w:p>
    <w:p w:rsidR="0038108F" w:rsidRPr="00AA112B" w:rsidRDefault="0038108F" w:rsidP="00AA712B">
      <w:pPr>
        <w:jc w:val="both"/>
        <w:rPr>
          <w:b/>
          <w:u w:val="single"/>
        </w:rPr>
      </w:pPr>
      <w:r w:rsidRPr="00AA112B">
        <w:rPr>
          <w:b/>
          <w:u w:val="single"/>
        </w:rPr>
        <w:t>Bienes inmuebles</w:t>
      </w:r>
    </w:p>
    <w:p w:rsidR="0038108F" w:rsidRPr="005A6843" w:rsidRDefault="0038108F" w:rsidP="00AA712B">
      <w:pPr>
        <w:jc w:val="both"/>
      </w:pPr>
      <w:r w:rsidRPr="005A6843">
        <w:t>Mismo formato que en la misma sub-categoría de los menús de los Ministerios evaluados con anterioridad. El listado ofrece 398 resultados, distribuidos del siguiente modo: 374 edificios y 24 solares</w:t>
      </w:r>
    </w:p>
    <w:p w:rsidR="0038108F" w:rsidRDefault="00AA112B" w:rsidP="00FC26D7">
      <w:pPr>
        <w:pStyle w:val="Prrafodelista"/>
        <w:numPr>
          <w:ilvl w:val="0"/>
          <w:numId w:val="51"/>
        </w:numPr>
        <w:ind w:left="426" w:hanging="426"/>
        <w:jc w:val="both"/>
        <w:rPr>
          <w:b/>
          <w:u w:val="single"/>
        </w:rPr>
      </w:pPr>
      <w:r w:rsidRPr="00AA112B">
        <w:rPr>
          <w:b/>
          <w:u w:val="single"/>
        </w:rPr>
        <w:t>PRESUPUESTOS, FISCALIZACIÓN E INFORMES</w:t>
      </w:r>
    </w:p>
    <w:p w:rsidR="00AA112B" w:rsidRDefault="00AA112B" w:rsidP="00AA112B">
      <w:pPr>
        <w:pStyle w:val="Prrafodelista"/>
        <w:ind w:left="426"/>
        <w:jc w:val="both"/>
        <w:rPr>
          <w:b/>
          <w:u w:val="single"/>
        </w:rPr>
      </w:pPr>
    </w:p>
    <w:p w:rsidR="0038108F" w:rsidRPr="005A6843" w:rsidRDefault="0038108F" w:rsidP="00AA712B">
      <w:pPr>
        <w:jc w:val="both"/>
      </w:pPr>
      <w:r w:rsidRPr="005A6843">
        <w:t xml:space="preserve">La categoría </w:t>
      </w:r>
      <w:r w:rsidRPr="00AA112B">
        <w:rPr>
          <w:i/>
        </w:rPr>
        <w:t>“Presupuestos, Fiscalización e Informes”</w:t>
      </w:r>
      <w:r w:rsidRPr="005A6843">
        <w:t xml:space="preserve"> del menú del MINHAFP presenta únicamente dos sub-categorías informativas: </w:t>
      </w:r>
      <w:r w:rsidRPr="00AA112B">
        <w:rPr>
          <w:i/>
        </w:rPr>
        <w:t>“Presupuestos Generales del Estado”</w:t>
      </w:r>
      <w:r w:rsidRPr="005A6843">
        <w:t xml:space="preserve"> y </w:t>
      </w:r>
      <w:r w:rsidRPr="00AA112B">
        <w:rPr>
          <w:i/>
        </w:rPr>
        <w:t>“Estadísticas e Informes Relevantes”</w:t>
      </w:r>
      <w:r w:rsidRPr="005A6843">
        <w:t>. En relación con este punto, deben darse por reproducidas aquí las reflexiones y comentarios efectuados en relación con dichos elementos o sub-categorías en el análisis general del Portal.</w:t>
      </w:r>
    </w:p>
    <w:p w:rsidR="0038108F" w:rsidRPr="005A6843" w:rsidRDefault="0038108F" w:rsidP="00AA712B">
      <w:pPr>
        <w:jc w:val="both"/>
      </w:pPr>
      <w:r w:rsidRPr="005A6843">
        <w:t>Se expone brevemente el contenido de cada uno de los elementos informativos efectivamente incluidos en la categoría. En todos ellos, la información se ajusta al modelo general del Portal por lo que deben tenerse por reproducidas las consideraciones efectuadas con ocasión del estudio de aquel.</w:t>
      </w:r>
    </w:p>
    <w:p w:rsidR="0038108F" w:rsidRPr="00AA112B" w:rsidRDefault="0038108F" w:rsidP="00AA712B">
      <w:pPr>
        <w:jc w:val="both"/>
        <w:rPr>
          <w:b/>
          <w:u w:val="single"/>
        </w:rPr>
      </w:pPr>
      <w:r w:rsidRPr="00AA112B">
        <w:rPr>
          <w:b/>
          <w:u w:val="single"/>
        </w:rPr>
        <w:t xml:space="preserve">Presupuestos Generales </w:t>
      </w:r>
    </w:p>
    <w:p w:rsidR="0038108F" w:rsidRPr="005A6843" w:rsidRDefault="0038108F" w:rsidP="00AA712B">
      <w:pPr>
        <w:jc w:val="both"/>
      </w:pPr>
      <w:r w:rsidRPr="005A6843">
        <w:t xml:space="preserve">En la opción “Gastos”,  ofrece 67 resultados en el menú general, que, filtrados por años, se distribuyen en uno para 2017 con un enlace directo al Presupuesto de Gastos del MINHAFP y 66 para los ejercicios 2014, 2015 y 2016 que incluyen accesos a los Presupuestos del Departamento y sus organismos vinculados y dependientes que incluyen no solo los Presupuestos del Departamento y sus organismos vinculados y dependientes sino también de sus servicios territoriales (Consorcio de la Zona Especial Canaria y Delegaciones Especiales en las Zonas Francas Generales del Estado) y de los denominados fondos presupuestarios: Fondo Estatal de Inversión Local (2014 y 2015); Fondo Estatal para el Empleo y la Sostenibilidad Local (2014, 2015 y 2016); Fondo de Liquidez Autonómico (2014 y 2015); Fondo para la financiación de los pagos a proveedores (2015); Fondo de Financiación a Comunidades Autónomas (2016) y Fondo de Financiación a Entidades Locales (2016). Sorprendentemente, se incluyen también algunas entradas ajenas al Departamento. Así, el Presupuesto de la Obra Pía de los Santos Lugares de Jerusalén para 2016 -adscrita al MAEC- y los Presupuestos 2014 y 2015 del Centro para el Desarrollo Tecnológico e Industrial (CDTI) y el Instituto para la Diversificación y Ahorro de la Energía (IDAE) </w:t>
      </w:r>
    </w:p>
    <w:p w:rsidR="00684CD5" w:rsidRDefault="00684CD5">
      <w:pPr>
        <w:rPr>
          <w:b/>
          <w:u w:val="single"/>
        </w:rPr>
      </w:pPr>
      <w:r>
        <w:rPr>
          <w:b/>
          <w:u w:val="single"/>
        </w:rPr>
        <w:br w:type="page"/>
      </w:r>
    </w:p>
    <w:p w:rsidR="0038108F" w:rsidRPr="00AA112B" w:rsidRDefault="0038108F" w:rsidP="00AA712B">
      <w:pPr>
        <w:jc w:val="both"/>
        <w:rPr>
          <w:b/>
          <w:u w:val="single"/>
        </w:rPr>
      </w:pPr>
      <w:r w:rsidRPr="00AA112B">
        <w:rPr>
          <w:b/>
          <w:u w:val="single"/>
        </w:rPr>
        <w:t xml:space="preserve">Información y estadísticas relevantes </w:t>
      </w:r>
    </w:p>
    <w:p w:rsidR="0038108F" w:rsidRPr="005A6843" w:rsidRDefault="0038108F" w:rsidP="00AA712B">
      <w:pPr>
        <w:jc w:val="both"/>
      </w:pPr>
      <w:r w:rsidRPr="005A6843">
        <w:t xml:space="preserve">A fecha de hoy, el menú del MINHAFP presenta 25 resultados que van desde el </w:t>
      </w:r>
      <w:r w:rsidRPr="00AA112B">
        <w:rPr>
          <w:i/>
        </w:rPr>
        <w:t>“Informe para el 1</w:t>
      </w:r>
      <w:r w:rsidRPr="00AA112B">
        <w:rPr>
          <w:i/>
          <w:vertAlign w:val="superscript"/>
        </w:rPr>
        <w:t>er</w:t>
      </w:r>
      <w:r w:rsidRPr="00AA112B">
        <w:rPr>
          <w:i/>
        </w:rPr>
        <w:t xml:space="preserve"> semestre de 2016 en relación con el grado de cumplimiento de la </w:t>
      </w:r>
      <w:r w:rsidR="001C41A6">
        <w:rPr>
          <w:i/>
        </w:rPr>
        <w:t>Ley</w:t>
      </w:r>
      <w:r w:rsidRPr="00AA112B">
        <w:rPr>
          <w:i/>
        </w:rPr>
        <w:t xml:space="preserve"> 3/2015, de 30 de marzo, reguladora del ejercicio del alto cargo de la Administración General del Estado”</w:t>
      </w:r>
      <w:r w:rsidRPr="005A6843">
        <w:t xml:space="preserve"> hasta el </w:t>
      </w:r>
      <w:r w:rsidRPr="00AA112B">
        <w:rPr>
          <w:i/>
        </w:rPr>
        <w:t>“Programa Editorial 2015”</w:t>
      </w:r>
      <w:r w:rsidRPr="005A6843">
        <w:t xml:space="preserve"> del Ministerio de Hacienda y Administraciones Públicas, pasando por informes de temática variada: </w:t>
      </w:r>
      <w:r w:rsidRPr="00AA112B">
        <w:rPr>
          <w:i/>
        </w:rPr>
        <w:t>“Número de visitas al portal Punto de Acceso General (PAG)”, “Número de suscripciones a las convocatorias de empleo del Ministerio de Hacienda y Administraciones Publicas”</w:t>
      </w:r>
      <w:r w:rsidR="00AA112B">
        <w:rPr>
          <w:i/>
        </w:rPr>
        <w:t xml:space="preserve">, </w:t>
      </w:r>
      <w:r w:rsidRPr="00AA112B">
        <w:rPr>
          <w:i/>
        </w:rPr>
        <w:t>Llamadas recibidas en el teléfono 060”</w:t>
      </w:r>
      <w:r w:rsidR="00AA112B">
        <w:rPr>
          <w:i/>
        </w:rPr>
        <w:t>,</w:t>
      </w:r>
      <w:r w:rsidRPr="00AA112B">
        <w:rPr>
          <w:i/>
        </w:rPr>
        <w:t>“Datos de traspasos a Comunidades Autónomas”</w:t>
      </w:r>
      <w:r w:rsidRPr="005A6843">
        <w:t xml:space="preserve"> </w:t>
      </w:r>
      <w:r w:rsidR="00AA112B" w:rsidRPr="005A6843">
        <w:t>o</w:t>
      </w:r>
      <w:r w:rsidRPr="005A6843">
        <w:t xml:space="preserve"> la </w:t>
      </w:r>
      <w:r w:rsidRPr="00AA112B">
        <w:rPr>
          <w:i/>
        </w:rPr>
        <w:t>“Memoria MUFACE”</w:t>
      </w:r>
      <w:r w:rsidRPr="005A6843">
        <w:t>.</w:t>
      </w:r>
    </w:p>
    <w:p w:rsidR="00C128CF" w:rsidRDefault="00C128CF">
      <w:pPr>
        <w:rPr>
          <w:b/>
          <w:color w:val="1C314E" w:themeColor="accent4" w:themeShade="80"/>
          <w:sz w:val="32"/>
          <w:szCs w:val="28"/>
        </w:rPr>
      </w:pPr>
      <w:bookmarkStart w:id="240" w:name="_Toc498345415"/>
      <w:r>
        <w:br w:type="page"/>
      </w:r>
    </w:p>
    <w:p w:rsidR="0038108F" w:rsidRPr="005A6843" w:rsidRDefault="0038108F" w:rsidP="0016665B">
      <w:pPr>
        <w:pStyle w:val="Ttulo4"/>
      </w:pPr>
      <w:bookmarkStart w:id="241" w:name="_Toc501110699"/>
      <w:r w:rsidRPr="005A6843">
        <w:t>Ministerio del Interior (MIR)</w:t>
      </w:r>
      <w:bookmarkEnd w:id="240"/>
      <w:bookmarkEnd w:id="241"/>
    </w:p>
    <w:p w:rsidR="0038108F" w:rsidRPr="005A6843" w:rsidRDefault="0038108F" w:rsidP="00AA712B">
      <w:pPr>
        <w:jc w:val="both"/>
      </w:pPr>
      <w:r w:rsidRPr="005A6843">
        <w:t xml:space="preserve">El menú de </w:t>
      </w:r>
      <w:r w:rsidRPr="00F80FA8">
        <w:rPr>
          <w:i/>
        </w:rPr>
        <w:t>“Transparencia del Ministerio del Interior”</w:t>
      </w:r>
      <w:r w:rsidRPr="005A6843">
        <w:t xml:space="preserve"> incluye las cuatro categorías de información del menú general de categorías del Portal: </w:t>
      </w:r>
      <w:r w:rsidRPr="00F80FA8">
        <w:rPr>
          <w:i/>
        </w:rPr>
        <w:t>“Institucional”, “Normativa”, “Contratos, convenios, subvenciones y bienes inmuebles”</w:t>
      </w:r>
      <w:r w:rsidRPr="005A6843">
        <w:t xml:space="preserve"> y </w:t>
      </w:r>
      <w:r w:rsidRPr="00F80FA8">
        <w:rPr>
          <w:i/>
        </w:rPr>
        <w:t>“Presupuestos, fiscalización e informes”</w:t>
      </w:r>
      <w:r w:rsidRPr="005A6843">
        <w:t xml:space="preserve">. En este sentido deben de tenerse en cuenta las consideraciones hechas en relación con éste. </w:t>
      </w:r>
    </w:p>
    <w:p w:rsidR="0038108F" w:rsidRPr="005A6843" w:rsidRDefault="0038108F" w:rsidP="009F3B2E">
      <w:pPr>
        <w:pStyle w:val="Ttulo5"/>
      </w:pPr>
      <w:bookmarkStart w:id="242" w:name="_Toc498345416"/>
      <w:bookmarkStart w:id="243" w:name="_Toc501110700"/>
      <w:r w:rsidRPr="005A6843">
        <w:t>Información institucional, organizativa y de planificación</w:t>
      </w:r>
      <w:bookmarkEnd w:id="242"/>
      <w:bookmarkEnd w:id="243"/>
    </w:p>
    <w:p w:rsidR="0038108F" w:rsidRPr="005A6843" w:rsidRDefault="0038108F" w:rsidP="00AA712B">
      <w:pPr>
        <w:jc w:val="both"/>
      </w:pPr>
      <w:r w:rsidRPr="005A6843">
        <w:t xml:space="preserve">La categoría de información institucional presenta seis sub-categorías o elementos informativos: </w:t>
      </w:r>
      <w:r w:rsidRPr="00F80FA8">
        <w:rPr>
          <w:i/>
        </w:rPr>
        <w:t>“Estructura”, “Funciones”, “Planes de objetivos”, “Retribuciones de Altos Cargos, “Currículos de Altos Cargos”</w:t>
      </w:r>
      <w:r w:rsidRPr="005A6843">
        <w:t xml:space="preserve"> y </w:t>
      </w:r>
      <w:r w:rsidRPr="00F80FA8">
        <w:rPr>
          <w:i/>
        </w:rPr>
        <w:t>“Relaciones de Puestos de Trabajo”</w:t>
      </w:r>
      <w:r w:rsidRPr="005A6843">
        <w:t xml:space="preserve">. De este modo, teniendo en cuenta la organización del menú general del Portal, faltarían todavía dos elementos o sub-categorías informativas, </w:t>
      </w:r>
      <w:r w:rsidRPr="00F80FA8">
        <w:rPr>
          <w:i/>
        </w:rPr>
        <w:t>“Normativa de aplicación”</w:t>
      </w:r>
      <w:r w:rsidRPr="005A6843">
        <w:t xml:space="preserve"> y </w:t>
      </w:r>
      <w:r w:rsidRPr="00F80FA8">
        <w:rPr>
          <w:i/>
        </w:rPr>
        <w:t>“Entes del Sector Público”</w:t>
      </w:r>
      <w:r w:rsidRPr="005A6843">
        <w:t xml:space="preserve">, y sobrarían las relativas a </w:t>
      </w:r>
      <w:r w:rsidRPr="00F80FA8">
        <w:rPr>
          <w:i/>
        </w:rPr>
        <w:t>“Retribuciones de los Altos Cargos”, “Relaciones de Puestos de Trabajo”, “Autorizaciones de actividad privada en Altos Cargos”, “Indemnizaciones percibidas con ocasión del cese”</w:t>
      </w:r>
      <w:r w:rsidRPr="005A6843">
        <w:t xml:space="preserve"> y </w:t>
      </w:r>
      <w:r w:rsidRPr="00F80FA8">
        <w:rPr>
          <w:i/>
        </w:rPr>
        <w:t>“Autorización o reconocimiento de compatibilidad de empleados públicos”</w:t>
      </w:r>
      <w:r w:rsidRPr="005A6843">
        <w:t xml:space="preserve">. </w:t>
      </w:r>
    </w:p>
    <w:p w:rsidR="0038108F" w:rsidRPr="005A6843" w:rsidRDefault="0038108F" w:rsidP="00AA712B">
      <w:pPr>
        <w:jc w:val="both"/>
      </w:pPr>
      <w:r w:rsidRPr="005A6843">
        <w:t>Respecto de esta cuestión, deben traerse a colación las consideraciones efectuadas en los anteriores apartados de este documento acerca de la estructuración de aquel menú general y de los distintos menús ministeriales de transparencia.</w:t>
      </w:r>
    </w:p>
    <w:p w:rsidR="0038108F" w:rsidRPr="005A6843" w:rsidRDefault="0038108F" w:rsidP="00AA712B">
      <w:pPr>
        <w:jc w:val="both"/>
      </w:pPr>
      <w:r w:rsidRPr="005A6843">
        <w:t xml:space="preserve">Se analiza ahora el contenido informativo de los elementos o sub--categorías que figuran en el menú. En todas ellas, la información se ajusta al modelo general del Portal por lo que deben tenerse por reproducidas las consideraciones efectuadas en el epígrafe anterior en relación con las correlativas sub-categorías del menú general. </w:t>
      </w:r>
    </w:p>
    <w:p w:rsidR="0038108F" w:rsidRPr="00F80FA8" w:rsidRDefault="0038108F" w:rsidP="00AA712B">
      <w:pPr>
        <w:jc w:val="both"/>
        <w:rPr>
          <w:b/>
          <w:u w:val="single"/>
        </w:rPr>
      </w:pPr>
      <w:r w:rsidRPr="00F80FA8">
        <w:rPr>
          <w:b/>
          <w:u w:val="single"/>
        </w:rPr>
        <w:t>Estructura</w:t>
      </w:r>
    </w:p>
    <w:p w:rsidR="0038108F" w:rsidRPr="005A6843" w:rsidRDefault="0038108F" w:rsidP="00AA712B">
      <w:pPr>
        <w:jc w:val="both"/>
      </w:pPr>
      <w:r w:rsidRPr="005A6843">
        <w:t>La organización del Ministerio es posterior al Real Decreto 415/2016, de 3 de noviembre, habiéndose aprobado ya el nuevo Real Decreto de estructura orgánica (ver el siguiente apartado “Funciones”). No obstante, a día de hoy y debido seguramente a lo reciente de la reestructuración, continúa apareciendo el organigrama anterior, limitado al rango de Director General y sin la lista de los órganos colegiados y consultivos adscritos.</w:t>
      </w:r>
    </w:p>
    <w:p w:rsidR="0038108F" w:rsidRPr="005A6843" w:rsidRDefault="0038108F" w:rsidP="00AA712B">
      <w:pPr>
        <w:jc w:val="both"/>
      </w:pPr>
      <w:r w:rsidRPr="005A6843">
        <w:t xml:space="preserve">Se relacionan los organismos vinculados y dependientes. Aparecen tres: Dirección General de Tráfico (DGT), Gerencia de Infraestructuras y Equipamiento de la Seguridad del Estado (GIESE) y Trabajo Penitenciario y Formación para el Empleo. No obstante, de acuerdo con la </w:t>
      </w:r>
      <w:hyperlink r:id="rId64" w:history="1">
        <w:r w:rsidR="00FC4B2E" w:rsidRPr="00C128CF">
          <w:rPr>
            <w:rStyle w:val="Hipervnculo"/>
            <w:i/>
          </w:rPr>
          <w:t>web</w:t>
        </w:r>
        <w:r w:rsidRPr="00C128CF">
          <w:rPr>
            <w:rStyle w:val="Hipervnculo"/>
          </w:rPr>
          <w:t xml:space="preserve"> ministerial</w:t>
        </w:r>
      </w:hyperlink>
      <w:r w:rsidRPr="005A6843">
        <w:t xml:space="preserve"> podría hacer alguno más pues, aunque la página no contiene una relación de aquéllos, en el organigrama que incorpora aparecen dos nuevos organismos: la Escuela Nacional de Protección Civil y el Centro Europeo de Investigación Social de Situaciones de Emergencia (CEISE).</w:t>
      </w:r>
    </w:p>
    <w:p w:rsidR="0038108F" w:rsidRPr="005A6843" w:rsidRDefault="0038108F" w:rsidP="00AA712B">
      <w:pPr>
        <w:jc w:val="both"/>
      </w:pPr>
      <w:r w:rsidRPr="005A6843">
        <w:t>Sorprende la inclusión de la DGT en la lista de organismos públicos, pues es, en principio, una Dirección General dependiente de la Subsecretaría. El Real Decreto de estructura aclara la cuestión señalando que la DGT es el Centro a través del cual el Ministerio del Interior ejerce sus competencias sobre el Organismo Autónomo Jefatura Central de Tráfico (JCT). La lista debería, pues, referirse a la JCT y no a la DSGT.</w:t>
      </w:r>
    </w:p>
    <w:p w:rsidR="0038108F" w:rsidRPr="005A6843" w:rsidRDefault="0038108F" w:rsidP="00AA712B">
      <w:pPr>
        <w:jc w:val="both"/>
      </w:pPr>
      <w:r w:rsidRPr="005A6843">
        <w:t xml:space="preserve">En todo caso, sería deseable una explicación sobre los organismos públicos dependientes. </w:t>
      </w:r>
    </w:p>
    <w:p w:rsidR="0038108F" w:rsidRPr="00F80FA8" w:rsidRDefault="0038108F" w:rsidP="00AA712B">
      <w:pPr>
        <w:jc w:val="both"/>
        <w:rPr>
          <w:b/>
          <w:u w:val="single"/>
        </w:rPr>
      </w:pPr>
      <w:r w:rsidRPr="00F80FA8">
        <w:rPr>
          <w:b/>
          <w:u w:val="single"/>
        </w:rPr>
        <w:t xml:space="preserve">Funciones </w:t>
      </w:r>
    </w:p>
    <w:p w:rsidR="0038108F" w:rsidRPr="005A6843" w:rsidRDefault="0038108F" w:rsidP="00AA712B">
      <w:pPr>
        <w:jc w:val="both"/>
      </w:pPr>
      <w:r w:rsidRPr="005A6843">
        <w:t>Al “pinchar” en este sub-apartado se accede directamente al texto del «BOE» del Real Decreto 770/2017, de 28 de julio, por el que se desarrolla la estructura orgánica básica del Ministerio del Interior.</w:t>
      </w:r>
    </w:p>
    <w:p w:rsidR="0038108F" w:rsidRPr="00F80FA8" w:rsidRDefault="0038108F" w:rsidP="00AA712B">
      <w:pPr>
        <w:jc w:val="both"/>
        <w:rPr>
          <w:b/>
          <w:u w:val="single"/>
        </w:rPr>
      </w:pPr>
      <w:r w:rsidRPr="00F80FA8">
        <w:rPr>
          <w:b/>
          <w:u w:val="single"/>
        </w:rPr>
        <w:t>Planes de objetivos</w:t>
      </w:r>
    </w:p>
    <w:p w:rsidR="0038108F" w:rsidRPr="005A6843" w:rsidRDefault="0038108F" w:rsidP="00AA712B">
      <w:pPr>
        <w:jc w:val="both"/>
      </w:pPr>
      <w:r w:rsidRPr="005A6843">
        <w:t xml:space="preserve">A fecha de hoy, figuran 18 entradas. Salvo dos documentos que pueden considerarse planes de objetivos -la </w:t>
      </w:r>
      <w:r w:rsidRPr="00F80FA8">
        <w:rPr>
          <w:i/>
        </w:rPr>
        <w:t>Estrategia de Seguridad Vial 2011-2020</w:t>
      </w:r>
      <w:r w:rsidRPr="005A6843">
        <w:t xml:space="preserve"> y la </w:t>
      </w:r>
      <w:r w:rsidRPr="00F80FA8">
        <w:rPr>
          <w:i/>
        </w:rPr>
        <w:t>Dirección por Objetivos</w:t>
      </w:r>
      <w:r w:rsidRPr="005A6843">
        <w:t xml:space="preserve"> (DPO) de la DGT-, el resto son Cartas de Servicios de las distintas unidades ministeriales (DGT, Dirección General de Apoyo a Víctimas de Terrorismo, </w:t>
      </w:r>
      <w:r w:rsidR="00235F53">
        <w:t>etc.</w:t>
      </w:r>
      <w:r w:rsidRPr="005A6843">
        <w:t>). Debería revisarse el contenido informativo y eliminarse las Cartas de Servicio que corresponden al ámbito de cumplimiento voluntario del Portal y deberían publicarse separadamente.</w:t>
      </w:r>
    </w:p>
    <w:p w:rsidR="0038108F" w:rsidRPr="00F80FA8" w:rsidRDefault="0038108F" w:rsidP="00AA712B">
      <w:pPr>
        <w:jc w:val="both"/>
        <w:rPr>
          <w:b/>
          <w:u w:val="single"/>
        </w:rPr>
      </w:pPr>
      <w:r w:rsidRPr="00F80FA8">
        <w:rPr>
          <w:b/>
          <w:u w:val="single"/>
        </w:rPr>
        <w:t xml:space="preserve">Retribuciones de Altos Cargos </w:t>
      </w:r>
    </w:p>
    <w:p w:rsidR="0038108F" w:rsidRPr="005A6843" w:rsidRDefault="0038108F" w:rsidP="00AA712B">
      <w:pPr>
        <w:jc w:val="both"/>
      </w:pPr>
      <w:r w:rsidRPr="005A6843">
        <w:t>A fecha de hoy, aparecen publicados los datos de los 17 Altos Cargos o asimilados existentes en el Ministerio durante 2016 más los correspondientes a siete Altos Cargos o asimilados de sus organismos públicos vinculados o dependiente. Incluye información histórica de los años 2013, 2014 y 2015.</w:t>
      </w:r>
    </w:p>
    <w:p w:rsidR="0038108F" w:rsidRPr="00F80FA8" w:rsidRDefault="0038108F" w:rsidP="00AA712B">
      <w:pPr>
        <w:jc w:val="both"/>
        <w:rPr>
          <w:b/>
          <w:u w:val="single"/>
        </w:rPr>
      </w:pPr>
      <w:r w:rsidRPr="00F80FA8">
        <w:rPr>
          <w:b/>
          <w:u w:val="single"/>
        </w:rPr>
        <w:t xml:space="preserve">Currículos de Altos Cargos </w:t>
      </w:r>
    </w:p>
    <w:p w:rsidR="0038108F" w:rsidRPr="005A6843" w:rsidRDefault="0038108F" w:rsidP="00AA712B">
      <w:pPr>
        <w:jc w:val="both"/>
      </w:pPr>
      <w:r w:rsidRPr="005A6843">
        <w:t>Aparecen exclusivamente los currículos de los Altos Cargos o asimilados del Ministerio, no los de los organismos vinculados -que deberían agregarse-. Figuran únicamente 13 currículos. El desfase con los 17 Altos Cargos que aparecen en la información sobre retribuciones es debido a que, durante 2016, ha cambiado la titularidad de cuatro puestos, publicándose únicamente el currículo de los actuales titulares</w:t>
      </w:r>
      <w:r w:rsidR="00F80FA8">
        <w:t>.</w:t>
      </w:r>
    </w:p>
    <w:p w:rsidR="00684CD5" w:rsidRDefault="00684CD5">
      <w:pPr>
        <w:rPr>
          <w:b/>
          <w:u w:val="single"/>
        </w:rPr>
      </w:pPr>
      <w:r>
        <w:rPr>
          <w:b/>
          <w:u w:val="single"/>
        </w:rPr>
        <w:br w:type="page"/>
      </w:r>
    </w:p>
    <w:p w:rsidR="0038108F" w:rsidRPr="00F80FA8" w:rsidRDefault="0038108F" w:rsidP="00AA712B">
      <w:pPr>
        <w:jc w:val="both"/>
        <w:rPr>
          <w:b/>
          <w:u w:val="single"/>
        </w:rPr>
      </w:pPr>
      <w:r w:rsidRPr="00F80FA8">
        <w:rPr>
          <w:b/>
          <w:u w:val="single"/>
        </w:rPr>
        <w:t>Relaciones de Puestos de Trabajo (RPT)</w:t>
      </w:r>
    </w:p>
    <w:p w:rsidR="0038108F" w:rsidRPr="005A6843" w:rsidRDefault="0038108F" w:rsidP="00AA712B">
      <w:pPr>
        <w:jc w:val="both"/>
      </w:pPr>
      <w:r w:rsidRPr="005A6843">
        <w:t xml:space="preserve">Se recoge información de la RPT de personal funcionario y laboral del Ministerio, no de los organismos públicos. La relación incluye los servicios territoriales (Comisarías, Comandancias, Jefaturas Locales de tráfico, Centros Penitenciarios, Delegaciones, </w:t>
      </w:r>
      <w:r w:rsidR="00235F53">
        <w:t>etc.</w:t>
      </w:r>
      <w:r w:rsidRPr="005A6843">
        <w:t>) pero no los organismos vinculados o dependientes.</w:t>
      </w:r>
    </w:p>
    <w:p w:rsidR="0038108F" w:rsidRPr="005A6843" w:rsidRDefault="0038108F" w:rsidP="009F3B2E">
      <w:pPr>
        <w:pStyle w:val="Ttulo5"/>
      </w:pPr>
      <w:bookmarkStart w:id="244" w:name="_Toc498345417"/>
      <w:bookmarkStart w:id="245" w:name="_Toc501110701"/>
      <w:r w:rsidRPr="005A6843">
        <w:t>Información de relevancia jurídica</w:t>
      </w:r>
      <w:bookmarkEnd w:id="244"/>
      <w:bookmarkEnd w:id="245"/>
    </w:p>
    <w:p w:rsidR="0038108F" w:rsidRPr="005A6843" w:rsidRDefault="0038108F" w:rsidP="00AA712B">
      <w:pPr>
        <w:jc w:val="both"/>
      </w:pPr>
      <w:r w:rsidRPr="005A6843">
        <w:t xml:space="preserve">Incluye las cuatro sub-categorías del menú general de “Normativa” del Portal: </w:t>
      </w:r>
      <w:r w:rsidRPr="00FD3099">
        <w:rPr>
          <w:i/>
        </w:rPr>
        <w:t>“Normativa destacada”, “Normativa en elaboración”, “Normativa vigente”</w:t>
      </w:r>
      <w:r w:rsidRPr="005A6843">
        <w:t xml:space="preserve"> y </w:t>
      </w:r>
      <w:r w:rsidRPr="00FD3099">
        <w:rPr>
          <w:i/>
        </w:rPr>
        <w:t>“Otras disposiciones”</w:t>
      </w:r>
      <w:r w:rsidRPr="005A6843">
        <w:t>. Deben darse por reproducidas al respecto, las consideraciones efectuadas en el examen del menú general del Portal acerca de dichos elementos o sub-categorías y de la sub-categoría del art. 7 de la</w:t>
      </w:r>
      <w:r w:rsidR="0069620D">
        <w:t xml:space="preserve"> ley</w:t>
      </w:r>
      <w:r w:rsidR="00E768A4">
        <w:t xml:space="preserve"> de transparencia</w:t>
      </w:r>
      <w:r w:rsidRPr="005A6843">
        <w:t xml:space="preserve"> </w:t>
      </w:r>
      <w:r w:rsidRPr="00FD3099">
        <w:rPr>
          <w:i/>
        </w:rPr>
        <w:t>“Documentos sometidos a audiencia pública durante su tramitación”</w:t>
      </w:r>
      <w:r w:rsidRPr="005A6843">
        <w:t xml:space="preserve">. </w:t>
      </w:r>
    </w:p>
    <w:p w:rsidR="0038108F" w:rsidRPr="005A6843" w:rsidRDefault="0038108F" w:rsidP="00AA712B">
      <w:pPr>
        <w:jc w:val="both"/>
      </w:pPr>
      <w:r w:rsidRPr="005A6843">
        <w:t xml:space="preserve">Se examina a continuación, brevemente, el contenido de los cuatro elementos o sub--categorías informativas presentes. En todas ellas, la información se ajusta al modelo general del Portal por lo que deben tenerse por reproducidas las consideraciones efectuadas en el epígrafe anterior en relación con las correlativas sub-categorías del menú general. </w:t>
      </w:r>
    </w:p>
    <w:p w:rsidR="0038108F" w:rsidRPr="00FD3099" w:rsidRDefault="0038108F" w:rsidP="00AA712B">
      <w:pPr>
        <w:jc w:val="both"/>
        <w:rPr>
          <w:b/>
          <w:u w:val="single"/>
        </w:rPr>
      </w:pPr>
      <w:r w:rsidRPr="00FD3099">
        <w:rPr>
          <w:b/>
          <w:u w:val="single"/>
        </w:rPr>
        <w:t>Normativa destacada</w:t>
      </w:r>
    </w:p>
    <w:p w:rsidR="0038108F" w:rsidRPr="005A6843" w:rsidRDefault="0038108F" w:rsidP="00AA712B">
      <w:pPr>
        <w:jc w:val="both"/>
      </w:pPr>
      <w:r w:rsidRPr="005A6843">
        <w:t>A fecha de hoy, se publican 28 normas, desde las Leyes Orgánicas 5/1985, de 19 de junio, de Régimen Electoral General, 2/1986, de 13 de marzo, de Fuerzas y Cuerpos de Seguridad, 4/2000 de 11 de Enero sobre derechos y libertades de extranjeros en España y su integración social, 6/2002, de 27 de junio, de Partidos Políticos y 12/2009, de 30 de octubre, reguladora del derecho de asilo y de la protección subsidiaria, hasta la Orden INT/2026/2012, de 21 de septiembre, por la que se establecen las bases reguladoras de las convocatorias para la concesión de ayudas destinadas a asociaciones, fundaciones y entidades sin ánimo de lucro, cuyo objeto sea la atención a las víctimas del terrorismo, el Código de Tráfico y Seguridad Vial o un compendio de Normativa Penitenciaria</w:t>
      </w:r>
      <w:r w:rsidRPr="005A6843">
        <w:tab/>
        <w:t xml:space="preserve"> </w:t>
      </w:r>
    </w:p>
    <w:p w:rsidR="0038108F" w:rsidRPr="00FD3099" w:rsidRDefault="0038108F" w:rsidP="00AA712B">
      <w:pPr>
        <w:jc w:val="both"/>
        <w:rPr>
          <w:b/>
          <w:u w:val="single"/>
        </w:rPr>
      </w:pPr>
      <w:r w:rsidRPr="00FD3099">
        <w:rPr>
          <w:b/>
          <w:u w:val="single"/>
        </w:rPr>
        <w:t>Normativa en elaboración</w:t>
      </w:r>
    </w:p>
    <w:p w:rsidR="0038108F" w:rsidRPr="005A6843" w:rsidRDefault="0038108F" w:rsidP="00AA712B">
      <w:pPr>
        <w:jc w:val="both"/>
      </w:pPr>
      <w:r w:rsidRPr="005A6843">
        <w:t>A día de hoy incorpora tres iniciativas normativas, una con rango de</w:t>
      </w:r>
      <w:r w:rsidR="0069620D">
        <w:t xml:space="preserve"> ley</w:t>
      </w:r>
      <w:r w:rsidRPr="005A6843">
        <w:t xml:space="preserve"> -Proyecto de </w:t>
      </w:r>
      <w:r w:rsidR="001C41A6">
        <w:t>Ley</w:t>
      </w:r>
      <w:r w:rsidRPr="005A6843">
        <w:t xml:space="preserve"> sobre precursores de explosivos- y dos de Real Decreto: Real Decreto por el que se aprueba el Reglamento de destinos del personal de la Guardia Civil y Real Decreto por el que se aprueba el Reglamento de adquisición y pérdida de la condición de guardia civil y de situaciones administrativas del personal de la Guardia Civil. </w:t>
      </w:r>
    </w:p>
    <w:p w:rsidR="0038108F" w:rsidRPr="00FD3099" w:rsidRDefault="0038108F" w:rsidP="00AA712B">
      <w:pPr>
        <w:jc w:val="both"/>
        <w:rPr>
          <w:b/>
          <w:u w:val="single"/>
        </w:rPr>
      </w:pPr>
      <w:r w:rsidRPr="00FD3099">
        <w:rPr>
          <w:b/>
          <w:u w:val="single"/>
        </w:rPr>
        <w:t>Normativa en vigor</w:t>
      </w:r>
    </w:p>
    <w:p w:rsidR="0038108F" w:rsidRPr="005A6843" w:rsidRDefault="0038108F" w:rsidP="00AA712B">
      <w:pPr>
        <w:jc w:val="both"/>
      </w:pPr>
      <w:r w:rsidRPr="005A6843">
        <w:t>A fecha de hoy publica 14 normas distintas, desde el Real Decreto 185/2016, de 6 de mayo, por el que se regula la concesión directa de una subvención a la Ciudad de Melilla por los gastos de emergencia realizados con motivo del terremoto acaecido el día 25 de enero de 2016.hasta el Real Decreto 100/2014, de 21 de febrero, por el que se establecen determinadas disposiciones sobre el ejercicio del derecho de sufragio pasivo en las elecciones al Parlamento Europeo.</w:t>
      </w:r>
    </w:p>
    <w:p w:rsidR="0038108F" w:rsidRPr="00FD3099" w:rsidRDefault="0038108F" w:rsidP="00AA712B">
      <w:pPr>
        <w:jc w:val="both"/>
        <w:rPr>
          <w:b/>
          <w:u w:val="single"/>
        </w:rPr>
      </w:pPr>
      <w:r w:rsidRPr="00FD3099">
        <w:rPr>
          <w:b/>
          <w:u w:val="single"/>
        </w:rPr>
        <w:t>Otras disposiciones</w:t>
      </w:r>
    </w:p>
    <w:p w:rsidR="00C54B79" w:rsidRDefault="0038108F" w:rsidP="00AA712B">
      <w:pPr>
        <w:jc w:val="both"/>
      </w:pPr>
      <w:r w:rsidRPr="005A6843">
        <w:t>Se publican 54 documentos: 29 órdenes ministeriales, una resolución y 24 instrucciones.</w:t>
      </w:r>
    </w:p>
    <w:p w:rsidR="0038108F" w:rsidRPr="005A6843" w:rsidRDefault="0038108F" w:rsidP="009F3B2E">
      <w:pPr>
        <w:pStyle w:val="Ttulo5"/>
      </w:pPr>
      <w:bookmarkStart w:id="246" w:name="_Toc498345418"/>
      <w:bookmarkStart w:id="247" w:name="_Toc501110702"/>
      <w:r w:rsidRPr="005A6843">
        <w:t>Información económica, presupuestaria y estadística</w:t>
      </w:r>
      <w:bookmarkEnd w:id="246"/>
      <w:bookmarkEnd w:id="247"/>
    </w:p>
    <w:p w:rsidR="0038108F" w:rsidRDefault="00C54B79" w:rsidP="00FC26D7">
      <w:pPr>
        <w:pStyle w:val="Prrafodelista"/>
        <w:numPr>
          <w:ilvl w:val="0"/>
          <w:numId w:val="52"/>
        </w:numPr>
        <w:ind w:left="284" w:hanging="284"/>
        <w:jc w:val="both"/>
        <w:rPr>
          <w:b/>
          <w:u w:val="single"/>
        </w:rPr>
      </w:pPr>
      <w:r w:rsidRPr="00C54B79">
        <w:rPr>
          <w:b/>
          <w:u w:val="single"/>
        </w:rPr>
        <w:t>CONTRATOS, CONVENIOS, SUBVENCIONES Y BIENES INMUEBLES</w:t>
      </w:r>
    </w:p>
    <w:p w:rsidR="00C54B79" w:rsidRDefault="00C54B79" w:rsidP="00C54B79">
      <w:pPr>
        <w:pStyle w:val="Prrafodelista"/>
        <w:ind w:left="284"/>
        <w:jc w:val="both"/>
        <w:rPr>
          <w:b/>
          <w:u w:val="single"/>
        </w:rPr>
      </w:pPr>
    </w:p>
    <w:p w:rsidR="0038108F" w:rsidRPr="005A6843" w:rsidRDefault="0038108F" w:rsidP="00AA712B">
      <w:pPr>
        <w:jc w:val="both"/>
      </w:pPr>
      <w:r w:rsidRPr="005A6843">
        <w:t xml:space="preserve">La categoría </w:t>
      </w:r>
      <w:r w:rsidRPr="00C54B79">
        <w:rPr>
          <w:i/>
        </w:rPr>
        <w:t>“Contratos, Convenios, Subvenciones y Bienes Inmuebles”</w:t>
      </w:r>
      <w:r w:rsidRPr="005A6843">
        <w:t xml:space="preserve"> contiene únicamente tres sub-categorías de información sobre las siete incorporadas al menú general del Portal: </w:t>
      </w:r>
      <w:r w:rsidRPr="00C54B79">
        <w:rPr>
          <w:i/>
        </w:rPr>
        <w:t>“Contratos”, “Convenios y Encomiendas”</w:t>
      </w:r>
      <w:r w:rsidRPr="005A6843">
        <w:t xml:space="preserve"> y </w:t>
      </w:r>
      <w:r w:rsidRPr="00C54B79">
        <w:rPr>
          <w:i/>
        </w:rPr>
        <w:t>“Bienes Inmuebles”</w:t>
      </w:r>
      <w:r w:rsidRPr="005A6843">
        <w:t>. Deben tenerse en cuenta al respecto las consideraciones de este CTBG respecto de los elementos o sub-categorías propios de esta categoría.</w:t>
      </w:r>
    </w:p>
    <w:p w:rsidR="0038108F" w:rsidRPr="005A6843" w:rsidRDefault="0038108F" w:rsidP="00AA712B">
      <w:pPr>
        <w:jc w:val="both"/>
      </w:pPr>
      <w:r w:rsidRPr="005A6843">
        <w:t xml:space="preserve">Se estudia ahora el contenido de los tres elementos informativos incorporados al menú. La información se ajusta al modelo general del Portal por lo que deben reproducirse aquí las mismas sugerencias y consideraciones que se formularon en la valoración de aquel. </w:t>
      </w:r>
    </w:p>
    <w:p w:rsidR="0038108F" w:rsidRPr="00C54B79" w:rsidRDefault="0038108F" w:rsidP="00AA712B">
      <w:pPr>
        <w:jc w:val="both"/>
        <w:rPr>
          <w:b/>
          <w:u w:val="single"/>
        </w:rPr>
      </w:pPr>
      <w:r w:rsidRPr="00C54B79">
        <w:rPr>
          <w:b/>
          <w:u w:val="single"/>
        </w:rPr>
        <w:t>Contratos</w:t>
      </w:r>
    </w:p>
    <w:p w:rsidR="0038108F" w:rsidRPr="005A6843" w:rsidRDefault="0038108F" w:rsidP="00AA712B">
      <w:pPr>
        <w:jc w:val="both"/>
      </w:pPr>
      <w:r w:rsidRPr="005A6843">
        <w:t xml:space="preserve">Recoge 10.032 contratos a fecha de hoy, incluidos las contrataciones de todos los organismos vinculados y dependientes del Departamento y los servicios territoriales (Comisarías, Comandancias, Jefaturas Locales de tráfico, Centros Penitenciarios, Delegaciones, </w:t>
      </w:r>
      <w:r w:rsidR="00235F53">
        <w:t>etc.</w:t>
      </w:r>
      <w:r w:rsidRPr="005A6843">
        <w:t xml:space="preserve">). El primero y más reciente de los contratos, junio de 2017, corresponde al cambio de ubicación de los sistemas electrónicos de seguridad del Ministerio-. </w:t>
      </w:r>
    </w:p>
    <w:p w:rsidR="0038108F" w:rsidRPr="005A6843" w:rsidRDefault="0038108F" w:rsidP="00AA712B">
      <w:pPr>
        <w:jc w:val="both"/>
      </w:pPr>
      <w:r w:rsidRPr="005A6843">
        <w:t>Las contrataciones se distribuyen del siguiente modo: 1.043 contratos abiertos, 2 procedimientos restringidos, 1.183 negociados sin publicidad, 32 negociados con publicidad, 7.873 menores (el 78 por 100 del total), 17 derivados de Acuerdos-marco y una contratación según normas internas –una adquisición de film semi-tubo, lámina micro-perforada, film estirable manual, bolsas de plástico y bolsas de papel destinados al envase del pan que se elabora en los talleres productivos de panadería de los Centros Penitenciarios-.</w:t>
      </w:r>
    </w:p>
    <w:p w:rsidR="0038108F" w:rsidRPr="00C54B79" w:rsidRDefault="0038108F" w:rsidP="00AA712B">
      <w:pPr>
        <w:jc w:val="both"/>
        <w:rPr>
          <w:b/>
          <w:u w:val="single"/>
        </w:rPr>
      </w:pPr>
      <w:r w:rsidRPr="00C54B79">
        <w:rPr>
          <w:b/>
          <w:u w:val="single"/>
        </w:rPr>
        <w:t>Convenios y encomiendas</w:t>
      </w:r>
    </w:p>
    <w:p w:rsidR="0038108F" w:rsidRPr="005A6843" w:rsidRDefault="0038108F" w:rsidP="00AA712B">
      <w:pPr>
        <w:jc w:val="both"/>
      </w:pPr>
      <w:r w:rsidRPr="005A6843">
        <w:t xml:space="preserve">Se publican 476 documentos, 475 convenios y una encomienda de gestión de la Dirección General de Protección Civil y Emergencias y la Empresa TRAGSA -Acuerdo de Encomienda de Gestión para el desarrollo de tareas que faciliten la puesta en funcionamiento del Área de Emergencias Alternativo al Puerto de Algeciras y Tarifa en el Municipio de Los Barrios (Cádiz), durante la Operación Especial, Paso del Estrecho 2014-. </w:t>
      </w:r>
    </w:p>
    <w:p w:rsidR="0038108F" w:rsidRDefault="0038108F" w:rsidP="00AA712B">
      <w:pPr>
        <w:jc w:val="both"/>
      </w:pPr>
      <w:r w:rsidRPr="005A6843">
        <w:t>Sería necesario clarificar expresamente los órganos departamentales involucrados en los convenios pues, aunque todos aparecen signados por el MIR, en muchos de ellos el contenido obligacional de muchos de ellos afecta a los organismos y a los servicios territoriales del Departamento.</w:t>
      </w:r>
    </w:p>
    <w:p w:rsidR="0038108F" w:rsidRPr="00C54B79" w:rsidRDefault="0038108F" w:rsidP="00AA712B">
      <w:pPr>
        <w:jc w:val="both"/>
        <w:rPr>
          <w:b/>
          <w:u w:val="single"/>
        </w:rPr>
      </w:pPr>
      <w:r w:rsidRPr="00C54B79">
        <w:rPr>
          <w:b/>
          <w:u w:val="single"/>
        </w:rPr>
        <w:t>Bienes inmuebles</w:t>
      </w:r>
    </w:p>
    <w:p w:rsidR="0038108F" w:rsidRPr="005A6843" w:rsidRDefault="0038108F" w:rsidP="00AA712B">
      <w:pPr>
        <w:jc w:val="both"/>
      </w:pPr>
      <w:r w:rsidRPr="005A6843">
        <w:t xml:space="preserve">A día de hoy, se recoge información sobre 2.668 inmuebles, 2.444 edificios, 185 solares y 39 suelos rústicos. </w:t>
      </w:r>
    </w:p>
    <w:p w:rsidR="0038108F" w:rsidRPr="00C54B79" w:rsidRDefault="00C54B79" w:rsidP="00FC26D7">
      <w:pPr>
        <w:pStyle w:val="Prrafodelista"/>
        <w:numPr>
          <w:ilvl w:val="0"/>
          <w:numId w:val="52"/>
        </w:numPr>
        <w:ind w:left="426" w:hanging="426"/>
        <w:jc w:val="both"/>
        <w:rPr>
          <w:b/>
          <w:u w:val="single"/>
        </w:rPr>
      </w:pPr>
      <w:r w:rsidRPr="00C54B79">
        <w:rPr>
          <w:b/>
          <w:u w:val="single"/>
        </w:rPr>
        <w:t>PRESUPUESTOS, FISCALIZACIÓN E INFORMES</w:t>
      </w:r>
    </w:p>
    <w:p w:rsidR="00C54B79" w:rsidRPr="005A6843" w:rsidRDefault="00C54B79" w:rsidP="00C54B79">
      <w:pPr>
        <w:pStyle w:val="Prrafodelista"/>
        <w:ind w:left="426"/>
        <w:jc w:val="both"/>
      </w:pPr>
    </w:p>
    <w:p w:rsidR="0038108F" w:rsidRPr="005A6843" w:rsidRDefault="0038108F" w:rsidP="00AA712B">
      <w:pPr>
        <w:jc w:val="both"/>
      </w:pPr>
      <w:r w:rsidRPr="005A6843">
        <w:t xml:space="preserve">La categoría </w:t>
      </w:r>
      <w:r w:rsidRPr="00C54B79">
        <w:rPr>
          <w:i/>
        </w:rPr>
        <w:t>“Presupuestos, Fiscalización e Informes”</w:t>
      </w:r>
      <w:r w:rsidRPr="005A6843">
        <w:t xml:space="preserve"> del menú de transparencia del MIR presenta únicamente dos sub-categorías informativas: </w:t>
      </w:r>
      <w:r w:rsidRPr="00C54B79">
        <w:rPr>
          <w:i/>
        </w:rPr>
        <w:t>“Presupuestos Generales del Estado”</w:t>
      </w:r>
      <w:r w:rsidRPr="005A6843">
        <w:t xml:space="preserve"> y </w:t>
      </w:r>
      <w:r w:rsidRPr="00C54B79">
        <w:rPr>
          <w:i/>
        </w:rPr>
        <w:t>“Estadísticas e Informes Relevantes”</w:t>
      </w:r>
      <w:r w:rsidRPr="005A6843">
        <w:t xml:space="preserve">. Faltan, pues, cinco de las siete que presenta el menú general de </w:t>
      </w:r>
      <w:r w:rsidRPr="00C54B79">
        <w:rPr>
          <w:i/>
        </w:rPr>
        <w:t>“Presupuestos”</w:t>
      </w:r>
      <w:r w:rsidRPr="005A6843">
        <w:t xml:space="preserve"> del Portal: </w:t>
      </w:r>
      <w:r w:rsidRPr="00C54B79">
        <w:rPr>
          <w:i/>
        </w:rPr>
        <w:t>“Ejecución Presupuestaria”, “Cuentas anuales e informes de auditoría”, “informes de fiscalización”, “Estabilidad presupuestaria”</w:t>
      </w:r>
      <w:r w:rsidRPr="005A6843">
        <w:t xml:space="preserve"> y </w:t>
      </w:r>
      <w:r w:rsidRPr="00C54B79">
        <w:rPr>
          <w:i/>
        </w:rPr>
        <w:t>“Más información presupuestaria”</w:t>
      </w:r>
      <w:r w:rsidRPr="005A6843">
        <w:t xml:space="preserve">. En relación con ello, han de darse por reproducidas las reflexiones y comentarios efectuados en relación con las sub-categorías o elementos de la categoría </w:t>
      </w:r>
      <w:r w:rsidRPr="00C54B79">
        <w:rPr>
          <w:i/>
        </w:rPr>
        <w:t>“Presupuestos, Fiscalización e Informes”</w:t>
      </w:r>
      <w:r w:rsidRPr="005A6843">
        <w:t xml:space="preserve"> general del Portal.</w:t>
      </w:r>
    </w:p>
    <w:p w:rsidR="0038108F" w:rsidRPr="005A6843" w:rsidRDefault="0038108F" w:rsidP="00AA712B">
      <w:pPr>
        <w:jc w:val="both"/>
      </w:pPr>
      <w:r w:rsidRPr="005A6843">
        <w:t xml:space="preserve">Se expone ahora brevemente el contenido de los elementos efectivamente incluidos en la categoría. En todos ellos, la información se ajusta al modelo general del Portal por lo que deben tenerse por reproducidas las consideraciones efectuadas con ocasión del estudio de aquel. </w:t>
      </w:r>
    </w:p>
    <w:p w:rsidR="0038108F" w:rsidRPr="00C54B79" w:rsidRDefault="0038108F" w:rsidP="00AA712B">
      <w:pPr>
        <w:jc w:val="both"/>
        <w:rPr>
          <w:b/>
          <w:u w:val="single"/>
        </w:rPr>
      </w:pPr>
      <w:r w:rsidRPr="00C54B79">
        <w:rPr>
          <w:b/>
          <w:u w:val="single"/>
        </w:rPr>
        <w:t xml:space="preserve">Presupuestos Generales </w:t>
      </w:r>
    </w:p>
    <w:p w:rsidR="0038108F" w:rsidRPr="005A6843" w:rsidRDefault="0038108F" w:rsidP="00AA712B">
      <w:pPr>
        <w:jc w:val="both"/>
      </w:pPr>
      <w:r w:rsidRPr="005A6843">
        <w:t xml:space="preserve">La opción “Gastos”,  ofrece 19 resultados: uno para 2017 con un enlace directo al Presupuesto de Gastos del MIR y 18 para los ejercicios 2014, 2015 y 2016 que incluyen accesos a los Presupuestos del Departamento y sus organismos vinculados Curiosamente, entre las entradas, aparecen algunas correspondientes a Red.es, EPE actualmente adscrita al Ministerio de Energía, Turismo y Agenda Digital (MINETAD). </w:t>
      </w:r>
    </w:p>
    <w:p w:rsidR="0038108F" w:rsidRPr="00C54B79" w:rsidRDefault="0038108F" w:rsidP="00AA712B">
      <w:pPr>
        <w:jc w:val="both"/>
        <w:rPr>
          <w:b/>
          <w:u w:val="single"/>
        </w:rPr>
      </w:pPr>
      <w:r w:rsidRPr="00C54B79">
        <w:rPr>
          <w:b/>
          <w:u w:val="single"/>
        </w:rPr>
        <w:t xml:space="preserve">Información y estadísticas relevantes </w:t>
      </w:r>
    </w:p>
    <w:p w:rsidR="0038108F" w:rsidRPr="005A6843" w:rsidRDefault="0038108F" w:rsidP="00AA712B">
      <w:pPr>
        <w:jc w:val="both"/>
      </w:pPr>
      <w:r w:rsidRPr="005A6843">
        <w:t>La información en un “cajón de sastre”, donde se pueden encontrar datos del programa editorial  del Ministerio, un informe sobre personas desaparecidas o datos sobre siniestralidad.</w:t>
      </w:r>
    </w:p>
    <w:p w:rsidR="0038108F" w:rsidRPr="005A6843" w:rsidRDefault="0038108F" w:rsidP="00AA712B">
      <w:pPr>
        <w:jc w:val="both"/>
      </w:pPr>
      <w:r w:rsidRPr="005A6843">
        <w:t>En estadísticas se recogen los Anuarios Estadísticos desde 1989. El último es de 2015.</w:t>
      </w:r>
    </w:p>
    <w:p w:rsidR="00227173" w:rsidRDefault="00227173">
      <w:pPr>
        <w:rPr>
          <w:b/>
          <w:color w:val="1C314E" w:themeColor="accent4" w:themeShade="80"/>
          <w:sz w:val="32"/>
          <w:szCs w:val="28"/>
        </w:rPr>
      </w:pPr>
      <w:bookmarkStart w:id="248" w:name="_Toc498345419"/>
      <w:r>
        <w:br w:type="page"/>
      </w:r>
    </w:p>
    <w:p w:rsidR="0038108F" w:rsidRPr="005A6843" w:rsidRDefault="0038108F" w:rsidP="0016665B">
      <w:pPr>
        <w:pStyle w:val="Ttulo4"/>
      </w:pPr>
      <w:bookmarkStart w:id="249" w:name="_Toc501110703"/>
      <w:r w:rsidRPr="005A6843">
        <w:t>Ministerio de Fomento (MFOM)</w:t>
      </w:r>
      <w:bookmarkEnd w:id="248"/>
      <w:bookmarkEnd w:id="249"/>
    </w:p>
    <w:p w:rsidR="0038108F" w:rsidRPr="005A6843" w:rsidRDefault="0038108F" w:rsidP="00AA712B">
      <w:pPr>
        <w:jc w:val="both"/>
      </w:pPr>
      <w:r w:rsidRPr="005A6843">
        <w:t xml:space="preserve">El menú de </w:t>
      </w:r>
      <w:r w:rsidRPr="0093196A">
        <w:rPr>
          <w:i/>
        </w:rPr>
        <w:t>“Transparencia del Ministerio de Fomento”</w:t>
      </w:r>
      <w:r w:rsidRPr="005A6843">
        <w:t xml:space="preserve"> incluye las cuatro categorías de información del menú general de categorías del Portal: </w:t>
      </w:r>
      <w:r w:rsidRPr="0093196A">
        <w:rPr>
          <w:i/>
        </w:rPr>
        <w:t>“Institucional”, “Normativa”, “Contratos, convenios, subvenciones y bienes inmuebles”</w:t>
      </w:r>
      <w:r w:rsidRPr="005A6843">
        <w:t xml:space="preserve"> y </w:t>
      </w:r>
      <w:r w:rsidRPr="0093196A">
        <w:rPr>
          <w:i/>
        </w:rPr>
        <w:t>“Presupuestos, fiscalización e informes”</w:t>
      </w:r>
      <w:r w:rsidRPr="005A6843">
        <w:t xml:space="preserve">. En este sentido deben tenerse en cuenta las consideraciones hechas en relación con este último. </w:t>
      </w:r>
    </w:p>
    <w:p w:rsidR="0038108F" w:rsidRPr="005A6843" w:rsidRDefault="0038108F" w:rsidP="009F3B2E">
      <w:pPr>
        <w:pStyle w:val="Ttulo5"/>
      </w:pPr>
      <w:bookmarkStart w:id="250" w:name="_Toc498345420"/>
      <w:bookmarkStart w:id="251" w:name="_Toc501110704"/>
      <w:r w:rsidRPr="005A6843">
        <w:t>Información institucional, organizativa y de planificación</w:t>
      </w:r>
      <w:bookmarkEnd w:id="250"/>
      <w:bookmarkEnd w:id="251"/>
    </w:p>
    <w:p w:rsidR="0038108F" w:rsidRPr="005A6843" w:rsidRDefault="0038108F" w:rsidP="00AA712B">
      <w:pPr>
        <w:jc w:val="both"/>
      </w:pPr>
      <w:r w:rsidRPr="005A6843">
        <w:t xml:space="preserve">La categoría de información institucional del menú del MFOM presenta seis sub-categorías o elementos informativos: </w:t>
      </w:r>
      <w:r w:rsidRPr="0093196A">
        <w:rPr>
          <w:i/>
        </w:rPr>
        <w:t>“Estructura”, “Funciones”, “Planes de objetivos”, “Retribuciones de Altos Cargos, “Currículos de Altos Cargos”</w:t>
      </w:r>
      <w:r w:rsidRPr="005A6843">
        <w:t xml:space="preserve"> y </w:t>
      </w:r>
      <w:r w:rsidRPr="0093196A">
        <w:rPr>
          <w:i/>
        </w:rPr>
        <w:t>“Relaciones de Puestos de Trabajo”</w:t>
      </w:r>
      <w:r w:rsidRPr="005A6843">
        <w:t xml:space="preserve">. Así, teniendo en cuenta la organización del menú general del Portal, faltarían todavía dos elementos o sub-categorías informativas, </w:t>
      </w:r>
      <w:r w:rsidRPr="0093196A">
        <w:rPr>
          <w:i/>
        </w:rPr>
        <w:t>“Normativa de aplicación”</w:t>
      </w:r>
      <w:r w:rsidRPr="005A6843">
        <w:t xml:space="preserve"> y </w:t>
      </w:r>
      <w:r w:rsidRPr="0093196A">
        <w:rPr>
          <w:i/>
        </w:rPr>
        <w:t>“Entes del Sector Público”</w:t>
      </w:r>
      <w:r w:rsidRPr="005A6843">
        <w:t xml:space="preserve">, y sobrarían las relativas a </w:t>
      </w:r>
      <w:r w:rsidRPr="0093196A">
        <w:rPr>
          <w:i/>
        </w:rPr>
        <w:t>“Retribuciones de los Altos Cargos”, “Relaciones de Puestos de Trabajo”, “Autorizaciones de actividad privada en Altos Cargos”, “Indemnizaciones percibidas con ocasión del cese”</w:t>
      </w:r>
      <w:r w:rsidRPr="005A6843">
        <w:t xml:space="preserve"> y </w:t>
      </w:r>
      <w:r w:rsidRPr="0093196A">
        <w:rPr>
          <w:i/>
        </w:rPr>
        <w:t>“Autorización o reconocimiento de compatibilidad de empleados públicos”</w:t>
      </w:r>
      <w:r w:rsidRPr="005A6843">
        <w:t xml:space="preserve">. </w:t>
      </w:r>
    </w:p>
    <w:p w:rsidR="0038108F" w:rsidRPr="005A6843" w:rsidRDefault="0038108F" w:rsidP="00AA712B">
      <w:pPr>
        <w:jc w:val="both"/>
      </w:pPr>
      <w:r w:rsidRPr="005A6843">
        <w:t>Respecto de esta cuestión, deben traerse a colación las consideraciones efectuadas en los anteriores apartados de este documento acerca de la estructuración de aquel menú general y de los distintos menús ministeriales de transparencia.</w:t>
      </w:r>
    </w:p>
    <w:p w:rsidR="0038108F" w:rsidRPr="005A6843" w:rsidRDefault="0038108F" w:rsidP="00AA712B">
      <w:pPr>
        <w:jc w:val="both"/>
      </w:pPr>
      <w:r w:rsidRPr="005A6843">
        <w:t xml:space="preserve">Se analiza ahora el contenido informativo de los elementos o sub--categorías que figuran en el menú. En todas ellas, la información se ajusta al modelo general del Portal por lo que deben tenerse por reproducidas las consideraciones efectuadas en el epígrafe anterior en relación con las correlativas sub-categorías del menú general. </w:t>
      </w:r>
    </w:p>
    <w:p w:rsidR="0038108F" w:rsidRPr="0093196A" w:rsidRDefault="0038108F" w:rsidP="00AA712B">
      <w:pPr>
        <w:jc w:val="both"/>
        <w:rPr>
          <w:b/>
          <w:u w:val="single"/>
        </w:rPr>
      </w:pPr>
      <w:r w:rsidRPr="0093196A">
        <w:rPr>
          <w:b/>
          <w:u w:val="single"/>
        </w:rPr>
        <w:t>Estructura</w:t>
      </w:r>
    </w:p>
    <w:p w:rsidR="0038108F" w:rsidRPr="005A6843" w:rsidRDefault="0038108F" w:rsidP="00AA712B">
      <w:pPr>
        <w:jc w:val="both"/>
      </w:pPr>
      <w:r w:rsidRPr="005A6843">
        <w:t>La estructura es de data posterior al Real Decreto 415/2016, de 3 de noviembre, que regula la organización actual de los Departamentos ministeriales Así, aparece el organigrama completo, hasta el nivel de Subdirector General, y la relación de órganos colegiados y consultivos del Departamento.</w:t>
      </w:r>
    </w:p>
    <w:p w:rsidR="0038108F" w:rsidRPr="005A6843" w:rsidRDefault="0038108F" w:rsidP="00AA712B">
      <w:pPr>
        <w:jc w:val="both"/>
      </w:pPr>
      <w:r w:rsidRPr="005A6843">
        <w:t xml:space="preserve">Estos alcanzan un total de 24 y son los siguientes: 1.- Comisión para la coordinación del transporte de mercancías peligrosas; 2.- Comisión para la coordinación del transporte de mercancías perecederas; 3.- Comisión Nacional de Salvamento Marítimo; 4.- Comisión Interministerial entre Defensa y Fomento (CIDEFO); 5.- Conferencia Sectorial de Vivienda; 6.- Consejo de Obras Públicas; 7.-  Comisión de investigación de accidentes e incidentes de aviación civil; 8.- Comisión de investigación de accidentes ferroviarios; 9.- Comisión permanente de investigación de accidentes e incidentes marítimos; 10.- Consejo Superior Geográfico; 11.- Comisión Española de Geodesia y Geofísica; 12.- Comisión Permanente del Hormigón; 13.- Comisión Permanente del Cemento; 14.- Comisión Permanente de Estructuras de Acero; 15.- Comisión Nacional de Astronomía; 16.- Comisión Permanente de Normas Sismorresistentes; 17.- Comisión Filatélica del Estado; 18.- Consejo Nacional de Transportes Terrestres; 19.- Consejo Superior Postal; 20.- Junta de Contratación del Ministerio de Fomento; 21.- Comités de Coordinación Aeroportuaria; 22.- Comisión Ministerial de Administración Digital del Ministerio de Fomento; 23.- Juntas Arbitrales de Transporte y 24.- Comisión de coordinación financiera de actuaciones inmobiliarias y patrimoniales. </w:t>
      </w:r>
    </w:p>
    <w:p w:rsidR="0038108F" w:rsidRPr="005A6843" w:rsidRDefault="0038108F" w:rsidP="00AA712B">
      <w:pPr>
        <w:jc w:val="both"/>
      </w:pPr>
      <w:r w:rsidRPr="005A6843">
        <w:t>Tal vez, junto a la relación, sería conveniente insertar una breve explicación de la composición y funciones de cada uno.</w:t>
      </w:r>
    </w:p>
    <w:p w:rsidR="0038108F" w:rsidRPr="005A6843" w:rsidRDefault="0038108F" w:rsidP="00AA712B">
      <w:pPr>
        <w:jc w:val="both"/>
      </w:pPr>
      <w:r w:rsidRPr="005A6843">
        <w:t xml:space="preserve">Junto al organigrama se incluye en el menú una relación de organismos vinculados y dependientes: Administrador de Infraestructuras Ferroviarias (ADIF); Agencia Estatal de Seguridad Aérea (AESA); Agencia Estatal de Seguridad Ferroviaria (AESF); Centro de Estudios y Experimentación de Obras Públicas (CEDEX); Enaire; Puertos del Estado; Renfe Operadora; Salvamento Marítimo (SASEMAR) y Entidad Pública Empresarial del Suelo (SEPES). </w:t>
      </w:r>
    </w:p>
    <w:p w:rsidR="0038108F" w:rsidRPr="005A6843" w:rsidRDefault="0038108F" w:rsidP="00AA712B">
      <w:pPr>
        <w:jc w:val="both"/>
      </w:pPr>
      <w:r w:rsidRPr="005A6843">
        <w:t xml:space="preserve">La lista coincide con la que figura en la </w:t>
      </w:r>
      <w:hyperlink r:id="rId65" w:history="1">
        <w:r w:rsidRPr="00C128CF">
          <w:rPr>
            <w:rStyle w:val="Hipervnculo"/>
          </w:rPr>
          <w:t xml:space="preserve">página </w:t>
        </w:r>
        <w:r w:rsidR="00FC4B2E" w:rsidRPr="00C128CF">
          <w:rPr>
            <w:rStyle w:val="Hipervnculo"/>
            <w:i/>
          </w:rPr>
          <w:t>web</w:t>
        </w:r>
        <w:r w:rsidRPr="00C128CF">
          <w:rPr>
            <w:rStyle w:val="Hipervnculo"/>
          </w:rPr>
          <w:t xml:space="preserve"> del Ministerio</w:t>
        </w:r>
      </w:hyperlink>
      <w:r w:rsidRPr="005A6843">
        <w:t>, que aún se refiere a dos organismos más: Sociedad Estatal de Infraestructuras del Transporte Terrestre (SEITTSA) y Centro Nacional de Información Geográfica (CNIG). Si bien se comprende la exclusión del Portal de SEITTSA, por su carácter de Sociedad Estatal, no puede decirse lo mismo de la del CNIG, Organismo Autónomo adscrito a MFOM a través de la Dirección General del Instituto Geográfico Nacional (IGN).</w:t>
      </w:r>
    </w:p>
    <w:p w:rsidR="0038108F" w:rsidRPr="0093196A" w:rsidRDefault="0038108F" w:rsidP="00AA712B">
      <w:pPr>
        <w:jc w:val="both"/>
        <w:rPr>
          <w:b/>
          <w:u w:val="single"/>
        </w:rPr>
      </w:pPr>
      <w:r w:rsidRPr="0093196A">
        <w:rPr>
          <w:b/>
          <w:u w:val="single"/>
        </w:rPr>
        <w:t xml:space="preserve">Funciones </w:t>
      </w:r>
    </w:p>
    <w:p w:rsidR="0038108F" w:rsidRPr="005A6843" w:rsidRDefault="0038108F" w:rsidP="00AA712B">
      <w:pPr>
        <w:jc w:val="both"/>
      </w:pPr>
      <w:r w:rsidRPr="005A6843">
        <w:t xml:space="preserve">“Clicando” en este apartado se accede directamente al texto consolidado del «BOE» del Real Decreto 452/2012, de 5 de marzo, por el que se desarrolla la estructura orgánica básica del Ministerio de Fomento y se modifica el Real Decreto 1887/2011, de 30 de diciembre, por el que se establece la estructura orgánica básica de los departamentos ministeriales. La entrada del «BOE» reconduce a su vez al texto consolidado del Real Decreto 362/2017, de 8 de abril, por el que se desarrolla la estructura orgánica básica del Ministerio de Fomento, y se modifica el Real Decreto 424/2016, de 11 de noviembre, por el que se establece la estructura orgánica básica de los departamentos ministeriales, que lo deroga. </w:t>
      </w:r>
    </w:p>
    <w:p w:rsidR="0038108F" w:rsidRPr="005A6843" w:rsidRDefault="0038108F" w:rsidP="00AA712B">
      <w:pPr>
        <w:jc w:val="both"/>
      </w:pPr>
      <w:r w:rsidRPr="005A6843">
        <w:t>A este respecto deben tenerse en cuenta dos cuestiones: primera, debería sustituirse un texto por el otro, y, segunda,  el reenvío a la norma actual está incluido en el Portal del «BOE» no en el de la AGE: siendo conveniente solventar esta circunstancia.</w:t>
      </w:r>
    </w:p>
    <w:p w:rsidR="0038108F" w:rsidRPr="0093196A" w:rsidRDefault="0038108F" w:rsidP="00AA712B">
      <w:pPr>
        <w:jc w:val="both"/>
        <w:rPr>
          <w:b/>
          <w:u w:val="single"/>
        </w:rPr>
      </w:pPr>
      <w:r w:rsidRPr="0093196A">
        <w:rPr>
          <w:b/>
          <w:u w:val="single"/>
        </w:rPr>
        <w:t>Planes de objetivos</w:t>
      </w:r>
    </w:p>
    <w:p w:rsidR="0038108F" w:rsidRDefault="0038108F" w:rsidP="00AA712B">
      <w:pPr>
        <w:jc w:val="both"/>
      </w:pPr>
      <w:r w:rsidRPr="005A6843">
        <w:t xml:space="preserve">A día de hoy se publican 12 documentos: ocho Planes –entre otros, el </w:t>
      </w:r>
      <w:r w:rsidRPr="0093196A">
        <w:rPr>
          <w:i/>
        </w:rPr>
        <w:t>Plan Estratégico del Ministerio de Fomento 2012-2015</w:t>
      </w:r>
      <w:r w:rsidRPr="005A6843">
        <w:t xml:space="preserve">, el </w:t>
      </w:r>
      <w:r w:rsidRPr="0093196A">
        <w:rPr>
          <w:i/>
        </w:rPr>
        <w:t>Plan de Infraestructuras, Transporte y Vivienda 2012 - 2024</w:t>
      </w:r>
      <w:r w:rsidRPr="005A6843">
        <w:t xml:space="preserve"> y el </w:t>
      </w:r>
      <w:r w:rsidRPr="0093196A">
        <w:rPr>
          <w:i/>
        </w:rPr>
        <w:t>Plan Nacional de Seguridad y Salvamento Marítimo 2010-2018-</w:t>
      </w:r>
      <w:r w:rsidRPr="005A6843">
        <w:t xml:space="preserve"> y cuatro Cartas de Servicios (ENAIRE 2016-2018, AESA / Servicio de Atención al Usuario del Transporte Aéreo, AESA / Estandarización de Procedimientos de Inspección y AESA / Licencias del Personal Aeronáutico d</w:t>
      </w:r>
      <w:r w:rsidR="0093196A">
        <w:t>e vuelo-.</w:t>
      </w:r>
    </w:p>
    <w:p w:rsidR="0038108F" w:rsidRPr="0093196A" w:rsidRDefault="0038108F" w:rsidP="00AA712B">
      <w:pPr>
        <w:jc w:val="both"/>
        <w:rPr>
          <w:b/>
          <w:u w:val="single"/>
        </w:rPr>
      </w:pPr>
      <w:r w:rsidRPr="0093196A">
        <w:rPr>
          <w:b/>
          <w:u w:val="single"/>
        </w:rPr>
        <w:t xml:space="preserve">Retribuciones de Altos Cargos </w:t>
      </w:r>
    </w:p>
    <w:p w:rsidR="0038108F" w:rsidRPr="005A6843" w:rsidRDefault="0038108F" w:rsidP="00AA712B">
      <w:pPr>
        <w:jc w:val="both"/>
      </w:pPr>
      <w:r w:rsidRPr="005A6843">
        <w:t>A fecha de hoy aparecen publicadas las retribuciones íntegras anuales percibidas en 2016 por 31 Altos Cargos, 22 correspondientes al Ministerio y nueve a sus organismos públicos vinculados o dependientes. También se incluyen datos históricos de los años 2013 a 2015.</w:t>
      </w:r>
    </w:p>
    <w:p w:rsidR="0038108F" w:rsidRPr="00BE27A3" w:rsidRDefault="0038108F" w:rsidP="00AA712B">
      <w:pPr>
        <w:jc w:val="both"/>
        <w:rPr>
          <w:b/>
          <w:u w:val="single"/>
        </w:rPr>
      </w:pPr>
      <w:r w:rsidRPr="00BE27A3">
        <w:rPr>
          <w:b/>
          <w:u w:val="single"/>
        </w:rPr>
        <w:t xml:space="preserve">Currículos de Altos Cargos </w:t>
      </w:r>
    </w:p>
    <w:p w:rsidR="0038108F" w:rsidRPr="005A6843" w:rsidRDefault="0038108F" w:rsidP="00AA712B">
      <w:pPr>
        <w:jc w:val="both"/>
      </w:pPr>
      <w:r w:rsidRPr="005A6843">
        <w:t>A día de hoy aparecen 24 currículos, correspondientes a los actuales titulares de los Altos Cargos del Ministerio y sus organismos vinculados y dependientes.</w:t>
      </w:r>
    </w:p>
    <w:p w:rsidR="0038108F" w:rsidRPr="00BE27A3" w:rsidRDefault="0038108F" w:rsidP="00AA712B">
      <w:pPr>
        <w:jc w:val="both"/>
        <w:rPr>
          <w:b/>
          <w:u w:val="single"/>
        </w:rPr>
      </w:pPr>
      <w:r w:rsidRPr="00BE27A3">
        <w:rPr>
          <w:b/>
          <w:u w:val="single"/>
        </w:rPr>
        <w:t>Relaciones de Puestos de Trabajo (RPT)</w:t>
      </w:r>
    </w:p>
    <w:p w:rsidR="0038108F" w:rsidRPr="005A6843" w:rsidRDefault="0038108F" w:rsidP="00AA712B">
      <w:pPr>
        <w:jc w:val="both"/>
      </w:pPr>
      <w:r w:rsidRPr="005A6843">
        <w:t>A día de hoy no se recoge información en este apartado.</w:t>
      </w:r>
    </w:p>
    <w:p w:rsidR="0038108F" w:rsidRPr="005A6843" w:rsidRDefault="0038108F" w:rsidP="009F3B2E">
      <w:pPr>
        <w:pStyle w:val="Ttulo5"/>
      </w:pPr>
      <w:bookmarkStart w:id="252" w:name="_Toc498345421"/>
      <w:bookmarkStart w:id="253" w:name="_Toc501110705"/>
      <w:r w:rsidRPr="005A6843">
        <w:t>Información de relevancia jurídica</w:t>
      </w:r>
      <w:bookmarkEnd w:id="252"/>
      <w:bookmarkEnd w:id="253"/>
      <w:r w:rsidRPr="005A6843">
        <w:t xml:space="preserve"> </w:t>
      </w:r>
    </w:p>
    <w:p w:rsidR="0038108F" w:rsidRPr="005A6843" w:rsidRDefault="0038108F" w:rsidP="00AA712B">
      <w:pPr>
        <w:jc w:val="both"/>
      </w:pPr>
      <w:r w:rsidRPr="005A6843">
        <w:t xml:space="preserve">Incluye las cuatro sub-categorías del menú general de </w:t>
      </w:r>
      <w:r w:rsidRPr="00BE27A3">
        <w:rPr>
          <w:i/>
        </w:rPr>
        <w:t>“Normativa” del Portal: “Normativa destacada”, “Normativa en elaboración”, “Normativa vigente”</w:t>
      </w:r>
      <w:r w:rsidRPr="005A6843">
        <w:t xml:space="preserve"> y </w:t>
      </w:r>
      <w:r w:rsidRPr="00BE27A3">
        <w:rPr>
          <w:i/>
        </w:rPr>
        <w:t>“Otras disposiciones”</w:t>
      </w:r>
      <w:r w:rsidRPr="005A6843">
        <w:t>. Al respecto, deben darse por reproducidas aquí las consideraciones efectuadas en el examen del menú general del Portal respecto de dichos elementos o sub-categorías y de la sub-categoría del art. 7 de la</w:t>
      </w:r>
      <w:r w:rsidR="0069620D">
        <w:t xml:space="preserve"> ley</w:t>
      </w:r>
      <w:r w:rsidR="00E768A4">
        <w:t xml:space="preserve"> de transparencia</w:t>
      </w:r>
      <w:r w:rsidRPr="005A6843">
        <w:t xml:space="preserve"> “Documentos sometidos a audiencia pública durante su tramitación”. </w:t>
      </w:r>
    </w:p>
    <w:p w:rsidR="0038108F" w:rsidRPr="005A6843" w:rsidRDefault="0038108F" w:rsidP="00AA712B">
      <w:pPr>
        <w:jc w:val="both"/>
      </w:pPr>
      <w:r w:rsidRPr="005A6843">
        <w:t xml:space="preserve">Se analizan a continuación, brevemente, cada uno de los elementos o sub--categorías informativas incluidas efectivamente en el menú. En todas ellas, la información se ajusta al modelo general del Portal por lo que deben tenerse por reproducidas las consideraciones efectuadas en el epígrafe anterior en relación con las correlativas sub-categorías del menú general. </w:t>
      </w:r>
    </w:p>
    <w:p w:rsidR="0038108F" w:rsidRPr="00BE27A3" w:rsidRDefault="0038108F" w:rsidP="00AA712B">
      <w:pPr>
        <w:jc w:val="both"/>
        <w:rPr>
          <w:b/>
          <w:u w:val="single"/>
        </w:rPr>
      </w:pPr>
      <w:r w:rsidRPr="00BE27A3">
        <w:rPr>
          <w:b/>
          <w:u w:val="single"/>
        </w:rPr>
        <w:t>Normativa destacada</w:t>
      </w:r>
    </w:p>
    <w:p w:rsidR="0038108F" w:rsidRPr="005A6843" w:rsidRDefault="0038108F" w:rsidP="00AA712B">
      <w:pPr>
        <w:jc w:val="both"/>
      </w:pPr>
      <w:r w:rsidRPr="005A6843">
        <w:t xml:space="preserve">Aparecen a día de hoy 76 normas: una </w:t>
      </w:r>
      <w:r w:rsidR="001C41A6">
        <w:t>Ley</w:t>
      </w:r>
      <w:r w:rsidRPr="005A6843">
        <w:t xml:space="preserve"> Orgánica, 23 Leyes, 7 Reales Decretos-</w:t>
      </w:r>
      <w:r w:rsidR="001C41A6">
        <w:t>Ley</w:t>
      </w:r>
      <w:r w:rsidRPr="005A6843">
        <w:t xml:space="preserve"> –tres de ellos son realmente Reales Decretos Legislativos-, 27 Reales Decretos y 18 etiquetadas como “normativa destacada del Departamento”.</w:t>
      </w:r>
    </w:p>
    <w:p w:rsidR="0038108F" w:rsidRPr="00BE27A3" w:rsidRDefault="0038108F" w:rsidP="00AA712B">
      <w:pPr>
        <w:jc w:val="both"/>
        <w:rPr>
          <w:b/>
          <w:u w:val="single"/>
        </w:rPr>
      </w:pPr>
      <w:r w:rsidRPr="00BE27A3">
        <w:rPr>
          <w:b/>
          <w:u w:val="single"/>
        </w:rPr>
        <w:t>Normativa en elaboración</w:t>
      </w:r>
    </w:p>
    <w:p w:rsidR="0038108F" w:rsidRDefault="0038108F" w:rsidP="00AA712B">
      <w:pPr>
        <w:jc w:val="both"/>
      </w:pPr>
      <w:r w:rsidRPr="005A6843">
        <w:t>Dos resultados a día de hoy: el proyecto de Real Decreto por el que se regula la utilización civil de las aeronaves pilotadas por control remoto, y se modifica el Real Decreto 552/2014, de 27 de junio, por el que se desarrolla el Reglamento del aire y disposiciones operativas comunes para los servicios y procedimientos de navegación aérea y el proyecto de Real Decreto por el que aprueban los Estatutos Generales de los Colegios de Arquitectos y su Consejo Superior</w:t>
      </w:r>
      <w:r w:rsidR="00BE27A3">
        <w:t>.</w:t>
      </w:r>
    </w:p>
    <w:p w:rsidR="0038108F" w:rsidRPr="00BE27A3" w:rsidRDefault="0038108F" w:rsidP="00AA712B">
      <w:pPr>
        <w:jc w:val="both"/>
        <w:rPr>
          <w:b/>
          <w:u w:val="single"/>
        </w:rPr>
      </w:pPr>
      <w:r w:rsidRPr="00BE27A3">
        <w:rPr>
          <w:b/>
          <w:u w:val="single"/>
        </w:rPr>
        <w:t>Normativa en vigor</w:t>
      </w:r>
    </w:p>
    <w:p w:rsidR="0038108F" w:rsidRPr="005A6843" w:rsidRDefault="0038108F" w:rsidP="00AA712B">
      <w:pPr>
        <w:jc w:val="both"/>
      </w:pPr>
      <w:r w:rsidRPr="005A6843">
        <w:t xml:space="preserve">A día de hoy, se publican 25 normas, todas ellas Reales Decretos, salvo el Real Decreto Legislativo 7/2015, de 30 de octubre, por el que se aprueba el texto refundido de la </w:t>
      </w:r>
      <w:r w:rsidR="001C41A6">
        <w:t>Ley</w:t>
      </w:r>
      <w:r w:rsidRPr="005A6843">
        <w:t xml:space="preserve"> de Suelo y Rehabilitación Urbana, cuyo texto ya se publica en normativa destacada. </w:t>
      </w:r>
    </w:p>
    <w:p w:rsidR="0038108F" w:rsidRPr="00BE27A3" w:rsidRDefault="0038108F" w:rsidP="00AA712B">
      <w:pPr>
        <w:jc w:val="both"/>
        <w:rPr>
          <w:b/>
          <w:u w:val="single"/>
        </w:rPr>
      </w:pPr>
      <w:r w:rsidRPr="00BE27A3">
        <w:rPr>
          <w:b/>
          <w:u w:val="single"/>
        </w:rPr>
        <w:t>Otras disposiciones</w:t>
      </w:r>
    </w:p>
    <w:p w:rsidR="0038108F" w:rsidRPr="005A6843" w:rsidRDefault="0038108F" w:rsidP="00AA712B">
      <w:pPr>
        <w:jc w:val="both"/>
      </w:pPr>
      <w:r w:rsidRPr="005A6843">
        <w:t>Se publican 63 documentos a fecha de hoy: dos acuerdos, ocho circulares, un documento sometido a información pública –la modificación de la Orden FOM/534/2014, de 20 de marzo, por la que se aprueba la norma 8.1 – IC señalización vertical de la Instrucción de Carreteras-, cinco instrucciones,  29 órdenes ministeriales y 18 resoluciones.</w:t>
      </w:r>
    </w:p>
    <w:p w:rsidR="0038108F" w:rsidRPr="005A6843" w:rsidRDefault="0038108F" w:rsidP="009F3B2E">
      <w:pPr>
        <w:pStyle w:val="Ttulo5"/>
      </w:pPr>
      <w:bookmarkStart w:id="254" w:name="_Toc498345422"/>
      <w:bookmarkStart w:id="255" w:name="_Toc501110706"/>
      <w:r w:rsidRPr="005A6843">
        <w:t>Información económica, presupuestaria y estadística</w:t>
      </w:r>
      <w:bookmarkEnd w:id="254"/>
      <w:bookmarkEnd w:id="255"/>
    </w:p>
    <w:p w:rsidR="0038108F" w:rsidRDefault="00BE27A3" w:rsidP="00FC26D7">
      <w:pPr>
        <w:pStyle w:val="Prrafodelista"/>
        <w:numPr>
          <w:ilvl w:val="0"/>
          <w:numId w:val="53"/>
        </w:numPr>
        <w:ind w:left="426" w:hanging="426"/>
        <w:jc w:val="both"/>
        <w:rPr>
          <w:b/>
          <w:u w:val="single"/>
        </w:rPr>
      </w:pPr>
      <w:r w:rsidRPr="00BE27A3">
        <w:rPr>
          <w:b/>
          <w:u w:val="single"/>
        </w:rPr>
        <w:t>CONTRATOS, CONVENIOS, SUBVENCIONES Y BINES INMUEBLES</w:t>
      </w:r>
    </w:p>
    <w:p w:rsidR="00BE27A3" w:rsidRDefault="00BE27A3" w:rsidP="00BE27A3">
      <w:pPr>
        <w:pStyle w:val="Prrafodelista"/>
        <w:ind w:left="426"/>
        <w:jc w:val="both"/>
        <w:rPr>
          <w:b/>
          <w:u w:val="single"/>
        </w:rPr>
      </w:pPr>
    </w:p>
    <w:p w:rsidR="0038108F" w:rsidRPr="005A6843" w:rsidRDefault="0038108F" w:rsidP="00AA712B">
      <w:pPr>
        <w:jc w:val="both"/>
      </w:pPr>
      <w:r w:rsidRPr="005A6843">
        <w:t xml:space="preserve">La categoría </w:t>
      </w:r>
      <w:r w:rsidRPr="00BE27A3">
        <w:rPr>
          <w:i/>
        </w:rPr>
        <w:t>“Contratos, Convenios, Subvenciones y Bienes Inmuebles”</w:t>
      </w:r>
      <w:r w:rsidRPr="005A6843">
        <w:t xml:space="preserve"> contiene únicamente tres sub-categorías de información sobre las siete incorporadas al menú general del Portal: </w:t>
      </w:r>
      <w:r w:rsidRPr="00BE27A3">
        <w:rPr>
          <w:i/>
        </w:rPr>
        <w:t>“Contratos”, “Convenios y Encomiendas”</w:t>
      </w:r>
      <w:r w:rsidRPr="005A6843">
        <w:t xml:space="preserve"> y </w:t>
      </w:r>
      <w:r w:rsidRPr="00BE27A3">
        <w:rPr>
          <w:i/>
        </w:rPr>
        <w:t>“Bienes Inmuebles”.</w:t>
      </w:r>
      <w:r w:rsidRPr="005A6843">
        <w:t xml:space="preserve"> En este sentido, deben tenerse en cuenta las consideraciones de este CTBG respecto de los elementos o sub-categorías propios de la categoría.</w:t>
      </w:r>
    </w:p>
    <w:p w:rsidR="0038108F" w:rsidRPr="005A6843" w:rsidRDefault="0038108F" w:rsidP="00AA712B">
      <w:pPr>
        <w:jc w:val="both"/>
      </w:pPr>
      <w:r w:rsidRPr="005A6843">
        <w:t xml:space="preserve">A continuación se analiza el contenido de los tres elementos informativos presentes. La información se ajusta al modelo general del Portal por lo que deben tenerse por reproducidas las sugerencias y consideraciones efectuadas con ocasión de la valoración del mismo. </w:t>
      </w:r>
    </w:p>
    <w:p w:rsidR="0038108F" w:rsidRPr="00BE27A3" w:rsidRDefault="0038108F" w:rsidP="00AA712B">
      <w:pPr>
        <w:jc w:val="both"/>
        <w:rPr>
          <w:b/>
          <w:u w:val="single"/>
        </w:rPr>
      </w:pPr>
      <w:r w:rsidRPr="00BE27A3">
        <w:rPr>
          <w:b/>
          <w:u w:val="single"/>
        </w:rPr>
        <w:t>Contratos</w:t>
      </w:r>
    </w:p>
    <w:p w:rsidR="0038108F" w:rsidRPr="005A6843" w:rsidRDefault="0038108F" w:rsidP="00AA712B">
      <w:pPr>
        <w:jc w:val="both"/>
      </w:pPr>
      <w:r w:rsidRPr="005A6843">
        <w:t xml:space="preserve">El Portal recoge, a día de hoy, 7.481 contratos, clasificados del siguiente modo por procedimientos de contratación: 1.516 contratos abiertos, 7 procedimientos restringidos, 1.288 negociados sin publicidad, 33 negociados con publicidad, 4.455 contratos menores, 57 derivados de Acuerdos-marco y 125 celebrados de acuerdo a normas internas. </w:t>
      </w:r>
    </w:p>
    <w:p w:rsidR="0038108F" w:rsidRPr="00BE27A3" w:rsidRDefault="0038108F" w:rsidP="00AA712B">
      <w:pPr>
        <w:jc w:val="both"/>
        <w:rPr>
          <w:b/>
          <w:u w:val="single"/>
        </w:rPr>
      </w:pPr>
      <w:r w:rsidRPr="00BE27A3">
        <w:rPr>
          <w:b/>
          <w:u w:val="single"/>
        </w:rPr>
        <w:t>Convenios y encomiendas</w:t>
      </w:r>
    </w:p>
    <w:p w:rsidR="0038108F" w:rsidRPr="005A6843" w:rsidRDefault="0038108F" w:rsidP="00AA712B">
      <w:pPr>
        <w:jc w:val="both"/>
      </w:pPr>
      <w:r w:rsidRPr="005A6843">
        <w:t>A fecha de hoy, se publican 774 instrumentos, 491 convenios 207 encomiendas de gestión y 49 encomiendas de gestión con convenio.</w:t>
      </w:r>
    </w:p>
    <w:p w:rsidR="0038108F" w:rsidRPr="005A6843" w:rsidRDefault="0038108F" w:rsidP="00AA712B">
      <w:pPr>
        <w:jc w:val="both"/>
      </w:pPr>
      <w:r w:rsidRPr="00BE27A3">
        <w:rPr>
          <w:b/>
          <w:u w:val="single"/>
        </w:rPr>
        <w:t>Bienes inmuebles</w:t>
      </w:r>
    </w:p>
    <w:p w:rsidR="0038108F" w:rsidRPr="005A6843" w:rsidRDefault="0038108F" w:rsidP="00AA712B">
      <w:pPr>
        <w:jc w:val="both"/>
      </w:pPr>
      <w:r w:rsidRPr="005A6843">
        <w:t>Se recoge información sobre 423 inmuebles, distribuidos del siguiente modo: 299 edificios, 37 solares y 87 suelos rústicos.</w:t>
      </w:r>
    </w:p>
    <w:p w:rsidR="0038108F" w:rsidRDefault="00BE27A3" w:rsidP="00FC26D7">
      <w:pPr>
        <w:pStyle w:val="Prrafodelista"/>
        <w:numPr>
          <w:ilvl w:val="0"/>
          <w:numId w:val="53"/>
        </w:numPr>
        <w:ind w:left="426" w:hanging="426"/>
        <w:jc w:val="both"/>
        <w:rPr>
          <w:b/>
          <w:u w:val="single"/>
        </w:rPr>
      </w:pPr>
      <w:r w:rsidRPr="00BE27A3">
        <w:rPr>
          <w:b/>
          <w:u w:val="single"/>
        </w:rPr>
        <w:t>PRESUPUESTOS, FISCALIZACIÓN E INFORMES</w:t>
      </w:r>
    </w:p>
    <w:p w:rsidR="00BE27A3" w:rsidRDefault="00BE27A3" w:rsidP="00BE27A3">
      <w:pPr>
        <w:pStyle w:val="Prrafodelista"/>
        <w:ind w:left="426"/>
        <w:jc w:val="both"/>
        <w:rPr>
          <w:b/>
          <w:u w:val="single"/>
        </w:rPr>
      </w:pPr>
    </w:p>
    <w:p w:rsidR="0038108F" w:rsidRPr="005A6843" w:rsidRDefault="0038108F" w:rsidP="00AA712B">
      <w:pPr>
        <w:jc w:val="both"/>
      </w:pPr>
      <w:r w:rsidRPr="005A6843">
        <w:t xml:space="preserve">La categoría </w:t>
      </w:r>
      <w:r w:rsidRPr="00BE27A3">
        <w:rPr>
          <w:i/>
        </w:rPr>
        <w:t>“Presupuestos, Fiscalización e Informes”</w:t>
      </w:r>
      <w:r w:rsidRPr="005A6843">
        <w:t xml:space="preserve"> del menú del MFOM presenta únicamente dos sub-categorías informativas: </w:t>
      </w:r>
      <w:r w:rsidRPr="00BE27A3">
        <w:rPr>
          <w:i/>
        </w:rPr>
        <w:t>“Presupuestos Generales del Estado”</w:t>
      </w:r>
      <w:r w:rsidRPr="005A6843">
        <w:t xml:space="preserve"> y </w:t>
      </w:r>
      <w:r w:rsidRPr="00BE27A3">
        <w:rPr>
          <w:i/>
        </w:rPr>
        <w:t>“Estadísticas e Informes Relevantes”</w:t>
      </w:r>
      <w:r w:rsidRPr="005A6843">
        <w:t xml:space="preserve">. Faltan, pues, cinco de las siete que presenta el menú general de </w:t>
      </w:r>
      <w:r w:rsidRPr="00BE27A3">
        <w:rPr>
          <w:i/>
        </w:rPr>
        <w:t>“Presupuestos”</w:t>
      </w:r>
      <w:r w:rsidRPr="005A6843">
        <w:t xml:space="preserve"> del Portal: </w:t>
      </w:r>
      <w:r w:rsidRPr="00BE27A3">
        <w:rPr>
          <w:i/>
        </w:rPr>
        <w:t>“Ejecución Presupuestaria”, “Cuentas anuales e informes de auditoría”, “informes de fiscalización”, “Estabilidad presupuestaria”</w:t>
      </w:r>
      <w:r w:rsidRPr="005A6843">
        <w:t xml:space="preserve"> y </w:t>
      </w:r>
      <w:r w:rsidRPr="00BE27A3">
        <w:rPr>
          <w:i/>
        </w:rPr>
        <w:t>“Más información presupuestaria”</w:t>
      </w:r>
      <w:r w:rsidRPr="005A6843">
        <w:t>. Al respecto han de darse por reproducidas las reflexiones y comentarios efectuados en relación con las sub-categorías o elementos de la categoría.</w:t>
      </w:r>
    </w:p>
    <w:p w:rsidR="0038108F" w:rsidRPr="005A6843" w:rsidRDefault="0038108F" w:rsidP="00AA712B">
      <w:pPr>
        <w:jc w:val="both"/>
      </w:pPr>
      <w:r w:rsidRPr="005A6843">
        <w:t xml:space="preserve">A continuación se analiza el contenido de los elementos efectivamente incluidos en la categoría. En todos ellos, la información se ajusta al modelo general del Portal por lo que deben tenerse por reproducidas las consideraciones efectuadas con ocasión del estudio de éste. </w:t>
      </w:r>
    </w:p>
    <w:p w:rsidR="0038108F" w:rsidRPr="00BE27A3" w:rsidRDefault="0038108F" w:rsidP="00AA712B">
      <w:pPr>
        <w:jc w:val="both"/>
        <w:rPr>
          <w:b/>
          <w:u w:val="single"/>
        </w:rPr>
      </w:pPr>
      <w:r w:rsidRPr="00BE27A3">
        <w:rPr>
          <w:b/>
          <w:u w:val="single"/>
        </w:rPr>
        <w:t xml:space="preserve">Presupuestos Generales </w:t>
      </w:r>
    </w:p>
    <w:p w:rsidR="0038108F" w:rsidRPr="005A6843" w:rsidRDefault="0038108F" w:rsidP="00AA712B">
      <w:pPr>
        <w:jc w:val="both"/>
      </w:pPr>
      <w:r w:rsidRPr="005A6843">
        <w:t xml:space="preserve">En la opción “Gastos” aparecen 32 resultados: uno para 2017 con un enlace directo al Presupuesto de Gastos del MFOM para este ejercicio y 31 para los ejercicios 2014, 2015 y 2016 con accesos a los Presupuestos del Departamento, sus organismos vinculados y dependientes y otros organismos adscritos al Ministerio. Entre las entradas aparecen algunas correspondientes a organismos ajenos al MECD -p. ej. el Consorcio de Compensación de Seguros (CCS), la Fundación Observatorio Ambiental del Puerto de Granadilla o la Fundación General de la UNED-. </w:t>
      </w:r>
    </w:p>
    <w:p w:rsidR="00684CD5" w:rsidRDefault="00684CD5">
      <w:pPr>
        <w:rPr>
          <w:b/>
          <w:u w:val="single"/>
        </w:rPr>
      </w:pPr>
      <w:r>
        <w:rPr>
          <w:b/>
          <w:u w:val="single"/>
        </w:rPr>
        <w:br w:type="page"/>
      </w:r>
    </w:p>
    <w:p w:rsidR="0038108F" w:rsidRPr="00BE27A3" w:rsidRDefault="0038108F" w:rsidP="00AA712B">
      <w:pPr>
        <w:jc w:val="both"/>
        <w:rPr>
          <w:b/>
          <w:u w:val="single"/>
        </w:rPr>
      </w:pPr>
      <w:r w:rsidRPr="00BE27A3">
        <w:rPr>
          <w:b/>
          <w:u w:val="single"/>
        </w:rPr>
        <w:t xml:space="preserve">Información y estadísticas relevantes </w:t>
      </w:r>
    </w:p>
    <w:p w:rsidR="0038108F" w:rsidRPr="005A6843" w:rsidRDefault="0038108F" w:rsidP="00AA712B">
      <w:pPr>
        <w:jc w:val="both"/>
      </w:pPr>
      <w:r w:rsidRPr="005A6843">
        <w:t xml:space="preserve">Se obtienen 18 resultados, de contenido diverso: desde la </w:t>
      </w:r>
      <w:r w:rsidRPr="00BE27A3">
        <w:rPr>
          <w:i/>
        </w:rPr>
        <w:t>Estadística de Vivienda Libre</w:t>
      </w:r>
      <w:r w:rsidRPr="005A6843">
        <w:t xml:space="preserve"> hasta los </w:t>
      </w:r>
      <w:r w:rsidRPr="00BE27A3">
        <w:rPr>
          <w:i/>
        </w:rPr>
        <w:t>Informes Anuales de Salvamento Marítimo 2013 y 2014,</w:t>
      </w:r>
      <w:r w:rsidRPr="005A6843">
        <w:t xml:space="preserve"> pasado por el</w:t>
      </w:r>
      <w:r w:rsidRPr="00BE27A3">
        <w:rPr>
          <w:i/>
        </w:rPr>
        <w:t xml:space="preserve"> Programa Editorial 2015 del Ministerio</w:t>
      </w:r>
      <w:r w:rsidRPr="005A6843">
        <w:t xml:space="preserve">. Algunos de ellos están replicados en la sub-categoría </w:t>
      </w:r>
      <w:r w:rsidRPr="00BE27A3">
        <w:rPr>
          <w:i/>
        </w:rPr>
        <w:t>“Planes de Objetivos”</w:t>
      </w:r>
      <w:r w:rsidRPr="005A6843">
        <w:t xml:space="preserve"> de la categoría </w:t>
      </w:r>
      <w:r w:rsidRPr="00BE27A3">
        <w:rPr>
          <w:i/>
        </w:rPr>
        <w:t>“Institucional”</w:t>
      </w:r>
      <w:r w:rsidRPr="005A6843">
        <w:t xml:space="preserve">. </w:t>
      </w:r>
    </w:p>
    <w:p w:rsidR="00227173" w:rsidRDefault="00227173">
      <w:pPr>
        <w:rPr>
          <w:b/>
          <w:color w:val="1C314E" w:themeColor="accent4" w:themeShade="80"/>
          <w:sz w:val="32"/>
          <w:szCs w:val="28"/>
        </w:rPr>
      </w:pPr>
      <w:bookmarkStart w:id="256" w:name="_Toc498345423"/>
      <w:r>
        <w:br w:type="page"/>
      </w:r>
    </w:p>
    <w:p w:rsidR="0038108F" w:rsidRPr="005A6843" w:rsidRDefault="0038108F" w:rsidP="0016665B">
      <w:pPr>
        <w:pStyle w:val="Ttulo4"/>
      </w:pPr>
      <w:bookmarkStart w:id="257" w:name="_Toc501110707"/>
      <w:r w:rsidRPr="005A6843">
        <w:t>Ministerio de Educación, Cultura y Deporte (MECD)</w:t>
      </w:r>
      <w:bookmarkEnd w:id="256"/>
      <w:bookmarkEnd w:id="257"/>
    </w:p>
    <w:p w:rsidR="0038108F" w:rsidRPr="005A6843" w:rsidRDefault="0038108F" w:rsidP="00AA712B">
      <w:pPr>
        <w:jc w:val="both"/>
      </w:pPr>
      <w:r w:rsidRPr="005A6843">
        <w:t xml:space="preserve">El menú de </w:t>
      </w:r>
      <w:r w:rsidRPr="00412BDD">
        <w:rPr>
          <w:i/>
        </w:rPr>
        <w:t>“Transparencia del Ministerio de Educación, Cultura y Deporte”</w:t>
      </w:r>
      <w:r w:rsidRPr="005A6843">
        <w:t xml:space="preserve"> incorpora las cuatro categorías de información del menú general de categorías del Portal: </w:t>
      </w:r>
      <w:r w:rsidRPr="00412BDD">
        <w:rPr>
          <w:i/>
        </w:rPr>
        <w:t>“Institucional”, “Normativa”, “Contratos, convenios, subvenciones y bienes inmuebles”</w:t>
      </w:r>
      <w:r w:rsidRPr="005A6843">
        <w:t xml:space="preserve"> y </w:t>
      </w:r>
      <w:r w:rsidRPr="00412BDD">
        <w:rPr>
          <w:i/>
        </w:rPr>
        <w:t>“Presupuestos, fiscalización e informes”</w:t>
      </w:r>
      <w:r w:rsidRPr="005A6843">
        <w:t>. Así, en este punto, deben tenerse en cuenta las consideraciones hechas en epígrafes anteriores en relación con dicho menú general.</w:t>
      </w:r>
    </w:p>
    <w:p w:rsidR="0038108F" w:rsidRPr="005A6843" w:rsidRDefault="0038108F" w:rsidP="009F3B2E">
      <w:pPr>
        <w:pStyle w:val="Ttulo5"/>
      </w:pPr>
      <w:bookmarkStart w:id="258" w:name="_Toc498345424"/>
      <w:bookmarkStart w:id="259" w:name="_Toc501110708"/>
      <w:r w:rsidRPr="005A6843">
        <w:t>Información institucional, organizativa y de planificación</w:t>
      </w:r>
      <w:bookmarkEnd w:id="258"/>
      <w:bookmarkEnd w:id="259"/>
    </w:p>
    <w:p w:rsidR="0038108F" w:rsidRPr="005A6843" w:rsidRDefault="0038108F" w:rsidP="00AA712B">
      <w:pPr>
        <w:jc w:val="both"/>
      </w:pPr>
      <w:r w:rsidRPr="005A6843">
        <w:t xml:space="preserve">La categoría de información institucional del MECD presenta seis sub-categorías: </w:t>
      </w:r>
      <w:r w:rsidRPr="00412BDD">
        <w:rPr>
          <w:i/>
        </w:rPr>
        <w:t>“Estructura”, “Funciones”, “Planes de objetivos”, “Retribuciones de Altos Cargos, “Currículos de Altos Cargos”</w:t>
      </w:r>
      <w:r w:rsidRPr="005A6843">
        <w:t xml:space="preserve"> y </w:t>
      </w:r>
      <w:r w:rsidRPr="00412BDD">
        <w:rPr>
          <w:i/>
        </w:rPr>
        <w:t>“Relaciones de Puestos de Trabajo”</w:t>
      </w:r>
      <w:r w:rsidRPr="005A6843">
        <w:t xml:space="preserve">. </w:t>
      </w:r>
    </w:p>
    <w:p w:rsidR="0038108F" w:rsidRPr="005A6843" w:rsidRDefault="0038108F" w:rsidP="00AA712B">
      <w:pPr>
        <w:jc w:val="both"/>
      </w:pPr>
      <w:r w:rsidRPr="005A6843">
        <w:t xml:space="preserve">Deben darse por reproducidas aquí las consideraciones efectuadas en los anteriores apartados de este epígrafe respecto de los elementos o sub-categorías informativas </w:t>
      </w:r>
      <w:r w:rsidRPr="00412BDD">
        <w:rPr>
          <w:i/>
        </w:rPr>
        <w:t>“Normativa de aplicación”, “Retribuciones de los Altos Cargos”, “Relaciones de Puestos de Trabajo”, “Autorizaciones de actividad privada en Altos Cargos”, “Indemnizaciones percibidas con ocasión del cese”</w:t>
      </w:r>
      <w:r w:rsidRPr="005A6843">
        <w:t xml:space="preserve"> y </w:t>
      </w:r>
      <w:r w:rsidRPr="00412BDD">
        <w:rPr>
          <w:i/>
        </w:rPr>
        <w:t>“Autorización o reconocimiento de compatibilidad de empleados públicos”</w:t>
      </w:r>
      <w:r w:rsidRPr="005A6843">
        <w:t>.</w:t>
      </w:r>
    </w:p>
    <w:p w:rsidR="0038108F" w:rsidRPr="005A6843" w:rsidRDefault="0038108F" w:rsidP="00AA712B">
      <w:pPr>
        <w:jc w:val="both"/>
      </w:pPr>
      <w:r w:rsidRPr="005A6843">
        <w:t>Acto seguido se examina el contenido informativo de cada uno de los elementos o sub—categorías que figuran en el menú. En todas ellas, la información se ajusta al modelo establecido con carácter general en el Portal por lo que deben tenerse por reproducidas las consideraciones efectuadas respecto de las sub-categorías paralelas en el análisis del modelo general de éste.</w:t>
      </w:r>
    </w:p>
    <w:p w:rsidR="0038108F" w:rsidRPr="00412BDD" w:rsidRDefault="0038108F" w:rsidP="00AA712B">
      <w:pPr>
        <w:jc w:val="both"/>
        <w:rPr>
          <w:b/>
          <w:u w:val="single"/>
        </w:rPr>
      </w:pPr>
      <w:r w:rsidRPr="00412BDD">
        <w:rPr>
          <w:b/>
          <w:u w:val="single"/>
        </w:rPr>
        <w:t>Estructura</w:t>
      </w:r>
    </w:p>
    <w:p w:rsidR="0038108F" w:rsidRPr="005A6843" w:rsidRDefault="0038108F" w:rsidP="00AA712B">
      <w:pPr>
        <w:jc w:val="both"/>
      </w:pPr>
      <w:r w:rsidRPr="005A6843">
        <w:t xml:space="preserve">La organización del Ministerio es posterior al Real Decreto 415/2016, de 3 de febrero, que regula la organización actual de los Departamentos ministeriales. Así, se incluye el organigrama del Departamento hasta el rango de Subdirector General y con una relación completa de los órganos colegiados y consultivos. </w:t>
      </w:r>
    </w:p>
    <w:p w:rsidR="0038108F" w:rsidRPr="005A6843" w:rsidRDefault="0038108F" w:rsidP="00AA712B">
      <w:pPr>
        <w:jc w:val="both"/>
      </w:pPr>
      <w:r w:rsidRPr="005A6843">
        <w:t>A fecha de hoy, figuran 27: Comisión Consultiva Nacional de Asuntos Taurinos; Comisión de Control y Seguimiento de la Salud y del Dopaje; Comisión de Propiedad Intelectual; Comisión de Seguimiento de Disposiciones y Actos de las Comunidades Autónomas; Comisión Mixta de Coordinación entre los Ministerios de Educación, Cultura y Deporte y de Sanidad, Servicios Sociales e Igualdad, para programa “Erasmus + 2014-2020; Comisión Nacional Evaluadora de la Actividad Investigadora; Conferencia General de Política Universitaria; Conferencia Sectorial de Cultura; Conferencia Sectorial de Educación; Consejo de Cooperación Archivística; Consejo de Cooperación Bibliotecaria; Consejo de Estudiantes Universitario del Estado; Consejo de Patrimonio Histórico; Consejo de Universidades; Consejo Escolar del Estado; Consejo General de Formación Profesional; Consejo Superior de Enseñanzas Artísticas; Junta de Calificación, Valoración y Exportación de Bienes del Patrimonio Histórico Español; Junta Superior de Museos; Observatorio Universitario de Becas, Ayudas al Estudio y Rendimiento Académico; Tribunal Administrativo del Deporte (TAS); Órgano colegiado interministerial gestor del “Programa Universo Mujer”; Observatorio Estatal de la Convivencia Escolar; Mesas de los Órganos de Contratación del Ministerio de Educación, Cultura y Deporte; Junta de Contratación de la Secretaría de Estado de Cultura; Conferencia Interterritorial para el Deporte y Comisión Interterritorial de Protección de la Salud en el Deporte. Sería conveniente incluir una breve explicación de la composición y funciones de cada uno.</w:t>
      </w:r>
    </w:p>
    <w:p w:rsidR="0038108F" w:rsidRPr="005A6843" w:rsidRDefault="0038108F" w:rsidP="00AA712B">
      <w:pPr>
        <w:jc w:val="both"/>
      </w:pPr>
      <w:r w:rsidRPr="005A6843">
        <w:t xml:space="preserve">La información incorpora una relación de los organismos vinculados y dependientes del Departamento. A fecha de hoy son diez en total, que coinciden con los organismos enumerados en el </w:t>
      </w:r>
      <w:hyperlink r:id="rId66" w:history="1">
        <w:r w:rsidRPr="00C128CF">
          <w:rPr>
            <w:rStyle w:val="Hipervnculo"/>
          </w:rPr>
          <w:t>portal institucional del MECD</w:t>
        </w:r>
      </w:hyperlink>
      <w:r w:rsidRPr="005A6843">
        <w:t xml:space="preserve">: Agencia Española de Protección de la Salud en el Deporte (AEPSAD); Agencia Nacional de Evaluación de la Calidad y Acreditación (ANECA); Biblioteca Nacional de España (BNE); Gerencia de Infraestructuras y Equipamientos (GIE); Instituto de la Cinematografía y de las Artes Audiovisuales (ICAA); Instituto Nacional de las Artes Escénicas y de la Música (INAEM); Museo Nacional Centro de Arte Reina Sofía (MNCARS); Museo Nacional del Prado (MNP); Servicio Español para la Internacionalización de la Educación (SEPIE) y Universidad Internacional Menéndez Pelayo (UIMP). </w:t>
      </w:r>
    </w:p>
    <w:p w:rsidR="0038108F" w:rsidRPr="00412BDD" w:rsidRDefault="0038108F" w:rsidP="00AA712B">
      <w:pPr>
        <w:jc w:val="both"/>
        <w:rPr>
          <w:b/>
          <w:u w:val="single"/>
        </w:rPr>
      </w:pPr>
      <w:r w:rsidRPr="00412BDD">
        <w:rPr>
          <w:b/>
          <w:u w:val="single"/>
        </w:rPr>
        <w:t xml:space="preserve">Funciones </w:t>
      </w:r>
    </w:p>
    <w:p w:rsidR="0038108F" w:rsidRPr="005A6843" w:rsidRDefault="0038108F" w:rsidP="00AA712B">
      <w:pPr>
        <w:jc w:val="both"/>
      </w:pPr>
      <w:r w:rsidRPr="005A6843">
        <w:t>“Clicando” en este sub-apartado se accede directamente al texto del «BOE» del Real Decreto 257/2012, de 27 de enero, por el que se desarrolla la estructura orgánica básica del Ministerio de Educación, Cultura y Deporte, que reconduce al texto del Real Decreto 284/2017, de 24 de marzo, por el que se desarrolla la estructura orgánica básica del Ministerio de Educación, Cultura y Deporte. A fecha de hoy, el reenvío a esta norma está incluido en el Portal del «BOE» no en el de la AGE: sería conveniente solventar esta circunstancia.</w:t>
      </w:r>
    </w:p>
    <w:p w:rsidR="0038108F" w:rsidRPr="00412BDD" w:rsidRDefault="0038108F" w:rsidP="00AA712B">
      <w:pPr>
        <w:jc w:val="both"/>
        <w:rPr>
          <w:b/>
          <w:u w:val="single"/>
        </w:rPr>
      </w:pPr>
      <w:r w:rsidRPr="00412BDD">
        <w:rPr>
          <w:b/>
          <w:u w:val="single"/>
        </w:rPr>
        <w:t>Planes de objetivos</w:t>
      </w:r>
    </w:p>
    <w:p w:rsidR="0038108F" w:rsidRPr="005A6843" w:rsidRDefault="0038108F" w:rsidP="00AA712B">
      <w:pPr>
        <w:jc w:val="both"/>
      </w:pPr>
      <w:r w:rsidRPr="005A6843">
        <w:t xml:space="preserve">A fecha de hoy figuran 41 documentos, correspondientes al Ministerio, sus servicios territoriales, los organismos vinculados y otros. Salvo cinco resultados –el </w:t>
      </w:r>
      <w:r w:rsidRPr="00412BDD">
        <w:rPr>
          <w:i/>
        </w:rPr>
        <w:t>Plan estratégico general 2012-2015</w:t>
      </w:r>
      <w:r w:rsidRPr="005A6843">
        <w:t xml:space="preserve"> de la Secretaría de Estado de Cultura</w:t>
      </w:r>
      <w:r w:rsidR="00412BDD">
        <w:t xml:space="preserve">, </w:t>
      </w:r>
      <w:r w:rsidRPr="005A6843">
        <w:t xml:space="preserve">l </w:t>
      </w:r>
      <w:r w:rsidRPr="00412BDD">
        <w:rPr>
          <w:i/>
        </w:rPr>
        <w:t>Plan estratégico 2013-2016</w:t>
      </w:r>
      <w:r w:rsidRPr="005A6843">
        <w:t xml:space="preserve"> de la ANECA</w:t>
      </w:r>
      <w:r w:rsidR="00412BDD">
        <w:t>,</w:t>
      </w:r>
      <w:r w:rsidRPr="005A6843">
        <w:t xml:space="preserve"> el </w:t>
      </w:r>
      <w:r w:rsidRPr="00412BDD">
        <w:rPr>
          <w:i/>
        </w:rPr>
        <w:t>Plan Cultura 2020</w:t>
      </w:r>
      <w:r w:rsidRPr="005A6843">
        <w:t xml:space="preserve"> de la Secretaría de Estado de Cultura</w:t>
      </w:r>
      <w:r w:rsidR="00412BDD">
        <w:t>,</w:t>
      </w:r>
      <w:r w:rsidRPr="005A6843">
        <w:t xml:space="preserve"> el </w:t>
      </w:r>
      <w:r w:rsidRPr="00412BDD">
        <w:rPr>
          <w:i/>
        </w:rPr>
        <w:t>Plan general de actuación 2014-2017</w:t>
      </w:r>
      <w:r w:rsidRPr="005A6843">
        <w:t xml:space="preserve"> del MNCARS y el </w:t>
      </w:r>
      <w:r w:rsidRPr="00412BDD">
        <w:rPr>
          <w:i/>
        </w:rPr>
        <w:t xml:space="preserve">Plan Estratégico 2015-2020 </w:t>
      </w:r>
      <w:r w:rsidRPr="005A6843">
        <w:t xml:space="preserve">de la BNE- el resto (36, un 88 por 100) son Cartas de Servicios de las distintas unidades ministeriales y, especialmente, de los organismos vinculados y dependientes, servicios territoriales y distintos Museos y Archivos. </w:t>
      </w:r>
    </w:p>
    <w:p w:rsidR="0038108F" w:rsidRPr="00412BDD" w:rsidRDefault="0038108F" w:rsidP="00AA712B">
      <w:pPr>
        <w:jc w:val="both"/>
        <w:rPr>
          <w:b/>
          <w:u w:val="single"/>
        </w:rPr>
      </w:pPr>
      <w:r w:rsidRPr="00412BDD">
        <w:rPr>
          <w:b/>
          <w:u w:val="single"/>
        </w:rPr>
        <w:t xml:space="preserve">Retribuciones de Altos Cargos </w:t>
      </w:r>
    </w:p>
    <w:p w:rsidR="0038108F" w:rsidRPr="005A6843" w:rsidRDefault="0038108F" w:rsidP="00AA712B">
      <w:pPr>
        <w:jc w:val="both"/>
      </w:pPr>
      <w:r w:rsidRPr="005A6843">
        <w:t xml:space="preserve">Aparecen publicados los datos de los 18 Altos Cargos o asimilados existentes en el Ministerio durante 2016 más los correspondientes a 13 Altos Cargos o asimilados de sus organismos públicos vinculados o dependientes durante el mismo período. Se incluyen también datos históricos de 2013, 2014 y 2015. </w:t>
      </w:r>
    </w:p>
    <w:p w:rsidR="0038108F" w:rsidRPr="00412BDD" w:rsidRDefault="0038108F" w:rsidP="00AA712B">
      <w:pPr>
        <w:jc w:val="both"/>
        <w:rPr>
          <w:b/>
          <w:u w:val="single"/>
        </w:rPr>
      </w:pPr>
      <w:r w:rsidRPr="00412BDD">
        <w:rPr>
          <w:b/>
          <w:u w:val="single"/>
        </w:rPr>
        <w:t xml:space="preserve">Currículos de Altos Cargos </w:t>
      </w:r>
    </w:p>
    <w:p w:rsidR="0038108F" w:rsidRPr="005A6843" w:rsidRDefault="0038108F" w:rsidP="00AA712B">
      <w:pPr>
        <w:jc w:val="both"/>
      </w:pPr>
      <w:r w:rsidRPr="005A6843">
        <w:t xml:space="preserve">Aparecen los currículos de los Altos Cargos o asimilados del Ministerio, junto con los de los organismos vinculados y dependientes. Figuran únicamente 24 currículos, los de los actuales titulares del puesto. </w:t>
      </w:r>
    </w:p>
    <w:p w:rsidR="0038108F" w:rsidRPr="00412BDD" w:rsidRDefault="0038108F" w:rsidP="00AA712B">
      <w:pPr>
        <w:jc w:val="both"/>
        <w:rPr>
          <w:b/>
          <w:u w:val="single"/>
        </w:rPr>
      </w:pPr>
      <w:r w:rsidRPr="00412BDD">
        <w:rPr>
          <w:b/>
          <w:u w:val="single"/>
        </w:rPr>
        <w:t>Relaciones de puestos de trabajo (RPT)</w:t>
      </w:r>
    </w:p>
    <w:p w:rsidR="0038108F" w:rsidRPr="005A6843" w:rsidRDefault="0038108F" w:rsidP="00AA712B">
      <w:pPr>
        <w:jc w:val="both"/>
      </w:pPr>
      <w:r w:rsidRPr="005A6843">
        <w:t>Se recoge información de la RPT de personal funcionario y laboral del Ministerio y de los organismos públicos (la AEPSAD tiene una RPT aparte). La relación del MECD incluye servicios centrales, servicios territoriales y los servicios en el exterior</w:t>
      </w:r>
    </w:p>
    <w:p w:rsidR="0038108F" w:rsidRPr="005A6843" w:rsidRDefault="0038108F" w:rsidP="009F3B2E">
      <w:pPr>
        <w:pStyle w:val="Ttulo5"/>
      </w:pPr>
      <w:bookmarkStart w:id="260" w:name="_Toc498345425"/>
      <w:bookmarkStart w:id="261" w:name="_Toc501110709"/>
      <w:r w:rsidRPr="005A6843">
        <w:t>Información de relevancia jurídica</w:t>
      </w:r>
      <w:bookmarkEnd w:id="260"/>
      <w:bookmarkEnd w:id="261"/>
    </w:p>
    <w:p w:rsidR="0038108F" w:rsidRPr="005A6843" w:rsidRDefault="0038108F" w:rsidP="00AA712B">
      <w:pPr>
        <w:jc w:val="both"/>
      </w:pPr>
      <w:r w:rsidRPr="005A6843">
        <w:t xml:space="preserve">Incluye las cuatro sub-categorías del menú general de </w:t>
      </w:r>
      <w:r w:rsidRPr="00412BDD">
        <w:rPr>
          <w:i/>
        </w:rPr>
        <w:t>“Normativa”</w:t>
      </w:r>
      <w:r w:rsidRPr="005A6843">
        <w:t xml:space="preserve"> del Portal: </w:t>
      </w:r>
      <w:r w:rsidRPr="00412BDD">
        <w:rPr>
          <w:i/>
        </w:rPr>
        <w:t>“Normativa destacada”, “Normativa en elaboración”, “Normativa vigente”</w:t>
      </w:r>
      <w:r w:rsidRPr="005A6843">
        <w:t xml:space="preserve"> y </w:t>
      </w:r>
      <w:r w:rsidRPr="00412BDD">
        <w:rPr>
          <w:i/>
        </w:rPr>
        <w:t>“Otras disposiciones”</w:t>
      </w:r>
      <w:r w:rsidRPr="005A6843">
        <w:t>. Al respecto, deben darse por reproducidas aquí las consideraciones efectuadas en el examen del menú general del Portal respecto de dichos elementos o sub-categorías y de la sub-categoría del art. 7 de la</w:t>
      </w:r>
      <w:r w:rsidR="0069620D">
        <w:t xml:space="preserve"> ley</w:t>
      </w:r>
      <w:r w:rsidR="00E768A4">
        <w:t xml:space="preserve"> de transparencia</w:t>
      </w:r>
      <w:r w:rsidRPr="005A6843">
        <w:t xml:space="preserve"> </w:t>
      </w:r>
      <w:r w:rsidRPr="00412BDD">
        <w:rPr>
          <w:i/>
        </w:rPr>
        <w:t>“Documentos sometidos a audiencia pública durante su tramitación”</w:t>
      </w:r>
      <w:r w:rsidRPr="005A6843">
        <w:t xml:space="preserve">. </w:t>
      </w:r>
    </w:p>
    <w:p w:rsidR="0038108F" w:rsidRPr="005A6843" w:rsidRDefault="0038108F" w:rsidP="00AA712B">
      <w:pPr>
        <w:jc w:val="both"/>
      </w:pPr>
      <w:r w:rsidRPr="005A6843">
        <w:t xml:space="preserve">Se analizan a continuación, brevemente, cada uno de los elementos o sub--categorías informativas incluidas efectivamente en el menú. En todas ellas, la información se ajusta al modelo general del Portal por lo que deben tenerse por reproducidas las consideraciones efectuadas en el epígrafe anterior en relación con las correlativas sub-categorías de éste. </w:t>
      </w:r>
    </w:p>
    <w:p w:rsidR="0038108F" w:rsidRPr="00412BDD" w:rsidRDefault="0038108F" w:rsidP="00AA712B">
      <w:pPr>
        <w:jc w:val="both"/>
        <w:rPr>
          <w:b/>
          <w:u w:val="single"/>
        </w:rPr>
      </w:pPr>
      <w:r w:rsidRPr="00412BDD">
        <w:rPr>
          <w:b/>
          <w:u w:val="single"/>
        </w:rPr>
        <w:t>Normativa destacada</w:t>
      </w:r>
    </w:p>
    <w:p w:rsidR="0038108F" w:rsidRPr="005A6843" w:rsidRDefault="0038108F" w:rsidP="00AA712B">
      <w:pPr>
        <w:jc w:val="both"/>
      </w:pPr>
      <w:r w:rsidRPr="005A6843">
        <w:t>A fecha de hoy, se publican 115 normas. Desde las Leyes Orgánicas 8/1985, de 3 de julio, reguladora del Derecho a la Educación, 3/2013, de 20 de junio, de Protección de la Salud del Deportista y Lucha contra el Dopaje en la Actividad Deportiva y 8/2013, de 9 de diciembre, para la mejora de la calidad educativa, hasta los Reales Decretos 624/2014, de 18 de julio, por el que se desarrolla el derecho de remuneración a los autores por los préstamos de sus obras realizados en determinados establecimientos accesibles al público o 2134/2008, de 26 de diciembre, por el que se regula el procedimiento a seguir para la restitución a particulares de los documentos incautados con motivo de la Guerra Civil.</w:t>
      </w:r>
    </w:p>
    <w:p w:rsidR="0038108F" w:rsidRPr="005A6843" w:rsidRDefault="0038108F" w:rsidP="00AA712B">
      <w:pPr>
        <w:jc w:val="both"/>
      </w:pPr>
      <w:r w:rsidRPr="005A6843">
        <w:t>Este contenido debe revisarse para definir qué información puede considerarse normativa aplicable al órgano evaluado y ser publicada en información institucional –p. ej. los Reales Decretos 1245/2002, de 29 de noviembre, por el que se aprueba el Reglamento de Organización y Funcionamiento de la Orquesta Nacional de España, 281/2003, de 7 de marzo, por el que se aprueba el Reglamento del Registro General de la Propiedad Intelectual o 188/2013, de 15 de marzo, por el que se aprueba el Estatuto del Museo Nacional Centro de Arte Reina Sofía, y  qué información debería eliminarse o ser publicada como información voluntaria.</w:t>
      </w:r>
    </w:p>
    <w:p w:rsidR="0038108F" w:rsidRPr="00412BDD" w:rsidRDefault="0038108F" w:rsidP="00AA712B">
      <w:pPr>
        <w:jc w:val="both"/>
        <w:rPr>
          <w:b/>
          <w:u w:val="single"/>
        </w:rPr>
      </w:pPr>
      <w:r w:rsidRPr="00412BDD">
        <w:rPr>
          <w:b/>
          <w:u w:val="single"/>
        </w:rPr>
        <w:t>Normativa en elaboración</w:t>
      </w:r>
    </w:p>
    <w:p w:rsidR="0038108F" w:rsidRPr="005A6843" w:rsidRDefault="0038108F" w:rsidP="00AA712B">
      <w:pPr>
        <w:jc w:val="both"/>
      </w:pPr>
      <w:r w:rsidRPr="005A6843">
        <w:t>A fecha de hoy incluye tres resultados, uno con rango de</w:t>
      </w:r>
      <w:r w:rsidR="0069620D">
        <w:t xml:space="preserve"> ley</w:t>
      </w:r>
      <w:r w:rsidRPr="005A6843">
        <w:t xml:space="preserve"> -Proyecto de </w:t>
      </w:r>
      <w:r w:rsidR="001C41A6">
        <w:t>Ley</w:t>
      </w:r>
      <w:r w:rsidRPr="005A6843">
        <w:t xml:space="preserve"> sobre restitución de bienes culturales que hayan salido de forma ilegal del territorio español o de otro Estado Miembro de la Unión Europea, por la que se incorpora al ordenamiento español la Directiva 2014/60/UE, del Parlamento Europeo y del Consejo de 15 de mayo de 2014- y dos de Real Decreto: Proyecto de Real Decreto por el que se modifica el Real Decreto 102/2010, de 5 de febrero, por el que se regula la ordenación de las enseñanzas acogidas al acuerdo entre el Gobierno de España y el Gobierno de Francia relativo a la doble titulación de Bachiller y de Baccalauréat y Proyecto de Real Decreto por el que se establecen la regulación y los procedimientos para el reconocimiento de las cualificaciones profesionales adquiridas en otros Estados miembros de la Unión Europea a los efectos de acceder y ejercer una profesión regulada en España. </w:t>
      </w:r>
    </w:p>
    <w:p w:rsidR="0038108F" w:rsidRPr="00412BDD" w:rsidRDefault="0038108F" w:rsidP="00AA712B">
      <w:pPr>
        <w:jc w:val="both"/>
        <w:rPr>
          <w:b/>
          <w:u w:val="single"/>
        </w:rPr>
      </w:pPr>
      <w:r w:rsidRPr="00412BDD">
        <w:rPr>
          <w:b/>
          <w:u w:val="single"/>
        </w:rPr>
        <w:t>Normativa en vigor</w:t>
      </w:r>
    </w:p>
    <w:p w:rsidR="0038108F" w:rsidRPr="005A6843" w:rsidRDefault="0038108F" w:rsidP="00AA712B">
      <w:pPr>
        <w:jc w:val="both"/>
      </w:pPr>
      <w:r w:rsidRPr="005A6843">
        <w:t>A día de hoy, publica 75 normas, desde el Real Decreto 562/2017, de 2 de junio, por el que se regulan las condiciones para la obtención de los títulos de Graduado en Educación Secundaria Obligatoria y de Bachiller, de acuerdo con lo dispuesto en el Real Decreto-</w:t>
      </w:r>
      <w:r w:rsidR="001C41A6">
        <w:t>ley</w:t>
      </w:r>
      <w:r w:rsidRPr="005A6843">
        <w:t xml:space="preserve"> 5/2016, de 9 de diciembre, de medidas urgentes para la ampliación del calendario de implantación de la </w:t>
      </w:r>
      <w:r w:rsidR="001C41A6">
        <w:t>Ley</w:t>
      </w:r>
      <w:r w:rsidRPr="005A6843">
        <w:t xml:space="preserve"> Orgánica 8/2013, de 9 de diciembre, para la mejora de la calidad educativa hasta el Real Decreto 53/2014, de 31 de enero, por el que se desarrolla la composición, organización y funciones del Tribunal Administrativo del Deporte.</w:t>
      </w:r>
    </w:p>
    <w:p w:rsidR="00684CD5" w:rsidRDefault="00684CD5">
      <w:pPr>
        <w:rPr>
          <w:b/>
          <w:u w:val="single"/>
        </w:rPr>
      </w:pPr>
      <w:r>
        <w:rPr>
          <w:b/>
          <w:u w:val="single"/>
        </w:rPr>
        <w:br w:type="page"/>
      </w:r>
    </w:p>
    <w:p w:rsidR="0038108F" w:rsidRPr="00412BDD" w:rsidRDefault="0038108F" w:rsidP="00AA712B">
      <w:pPr>
        <w:jc w:val="both"/>
        <w:rPr>
          <w:b/>
          <w:u w:val="single"/>
        </w:rPr>
      </w:pPr>
      <w:r w:rsidRPr="00412BDD">
        <w:rPr>
          <w:b/>
          <w:u w:val="single"/>
        </w:rPr>
        <w:t>Otras disposiciones</w:t>
      </w:r>
    </w:p>
    <w:p w:rsidR="0038108F" w:rsidRPr="005A6843" w:rsidRDefault="0038108F" w:rsidP="00AA712B">
      <w:pPr>
        <w:jc w:val="both"/>
      </w:pPr>
      <w:r w:rsidRPr="005A6843">
        <w:t>A día de hoy se publican 321 documentos: 124 órdenes ministeriales, 176 resoluciones, 16 instrucciones y cinco guías u otras denominaciones.</w:t>
      </w:r>
    </w:p>
    <w:p w:rsidR="0038108F" w:rsidRPr="005A6843" w:rsidRDefault="0038108F" w:rsidP="009F3B2E">
      <w:pPr>
        <w:pStyle w:val="Ttulo5"/>
      </w:pPr>
      <w:bookmarkStart w:id="262" w:name="_Toc498345426"/>
      <w:bookmarkStart w:id="263" w:name="_Toc501110710"/>
      <w:r w:rsidRPr="005A6843">
        <w:t>Información económica, presupuestaria y estadística</w:t>
      </w:r>
      <w:bookmarkEnd w:id="262"/>
      <w:bookmarkEnd w:id="263"/>
    </w:p>
    <w:p w:rsidR="0038108F" w:rsidRPr="00412BDD" w:rsidRDefault="00412BDD" w:rsidP="00FC26D7">
      <w:pPr>
        <w:pStyle w:val="Prrafodelista"/>
        <w:numPr>
          <w:ilvl w:val="0"/>
          <w:numId w:val="54"/>
        </w:numPr>
        <w:ind w:left="426" w:hanging="426"/>
        <w:jc w:val="both"/>
      </w:pPr>
      <w:r w:rsidRPr="00412BDD">
        <w:rPr>
          <w:b/>
          <w:u w:val="single"/>
        </w:rPr>
        <w:t>CONTRATOS, CONVENIOS, SUBVENCIONES Y BINES INMUEBLES</w:t>
      </w:r>
    </w:p>
    <w:p w:rsidR="00412BDD" w:rsidRPr="00412BDD" w:rsidRDefault="00412BDD" w:rsidP="00412BDD">
      <w:pPr>
        <w:pStyle w:val="Prrafodelista"/>
        <w:ind w:left="426"/>
        <w:jc w:val="both"/>
      </w:pPr>
    </w:p>
    <w:p w:rsidR="0038108F" w:rsidRPr="005A6843" w:rsidRDefault="0038108F" w:rsidP="00AA712B">
      <w:pPr>
        <w:jc w:val="both"/>
      </w:pPr>
      <w:r w:rsidRPr="005A6843">
        <w:t xml:space="preserve">La categoría </w:t>
      </w:r>
      <w:r w:rsidRPr="00412BDD">
        <w:rPr>
          <w:i/>
        </w:rPr>
        <w:t>“Contratos, Convenios, Subvenciones y Bienes Inmuebles”</w:t>
      </w:r>
      <w:r w:rsidRPr="005A6843">
        <w:t xml:space="preserve"> del menú del MECD contiene únicamente tres sub-categorías de información sobre las siete incorporadas al menú general del Portal: </w:t>
      </w:r>
      <w:r w:rsidRPr="00412BDD">
        <w:rPr>
          <w:i/>
        </w:rPr>
        <w:t>“Contratos”, “Convenios y Encomiendas”</w:t>
      </w:r>
      <w:r w:rsidRPr="005A6843">
        <w:t xml:space="preserve"> y </w:t>
      </w:r>
      <w:r w:rsidRPr="00412BDD">
        <w:rPr>
          <w:i/>
        </w:rPr>
        <w:t>“Bienes Inmuebles”</w:t>
      </w:r>
      <w:r w:rsidRPr="005A6843">
        <w:t>. En este sentido, deben tenerse en cuenta las consideraciones de este CTBG respecto de los elementos o sub-categorías propios de la categoría.</w:t>
      </w:r>
    </w:p>
    <w:p w:rsidR="0038108F" w:rsidRPr="005A6843" w:rsidRDefault="0038108F" w:rsidP="00AA712B">
      <w:pPr>
        <w:jc w:val="both"/>
      </w:pPr>
      <w:r w:rsidRPr="005A6843">
        <w:t xml:space="preserve">Se analiza acto seguido el contenido de los elementos informativos presentes. La información se ajusta al modelo general del Portal por lo que deben tenerse por reproducidas las sugerencias y consideraciones efectuadas en la valoración de éste. </w:t>
      </w:r>
    </w:p>
    <w:p w:rsidR="0038108F" w:rsidRPr="00412BDD" w:rsidRDefault="0038108F" w:rsidP="00AA712B">
      <w:pPr>
        <w:jc w:val="both"/>
        <w:rPr>
          <w:b/>
          <w:u w:val="single"/>
        </w:rPr>
      </w:pPr>
      <w:r w:rsidRPr="00412BDD">
        <w:rPr>
          <w:b/>
          <w:u w:val="single"/>
        </w:rPr>
        <w:t>Contratos</w:t>
      </w:r>
    </w:p>
    <w:p w:rsidR="0038108F" w:rsidRPr="005A6843" w:rsidRDefault="0038108F" w:rsidP="00AA712B">
      <w:pPr>
        <w:jc w:val="both"/>
      </w:pPr>
      <w:r w:rsidRPr="005A6843">
        <w:t xml:space="preserve">A fecha de hoy recoge 9.996 contratos, incluidos los correspondientes a los organismos vinculados y dependientes y a los servicios territoriales del Ministerio, así como a los Archivos, Museos, </w:t>
      </w:r>
      <w:r w:rsidR="00235F53">
        <w:t>etc.</w:t>
      </w:r>
      <w:r w:rsidRPr="005A6843">
        <w:t xml:space="preserve">.  El primero y más reciente, junio de 2017, corresponde a la contratación del servicio de actividades infantiles "Verano 2017" para hijos, hijas y/o menores a cargo de empleados públicos del MNCARS-. </w:t>
      </w:r>
    </w:p>
    <w:p w:rsidR="0038108F" w:rsidRPr="005A6843" w:rsidRDefault="0038108F" w:rsidP="00AA712B">
      <w:pPr>
        <w:jc w:val="both"/>
      </w:pPr>
      <w:r w:rsidRPr="005A6843">
        <w:t xml:space="preserve">Por procedimiento de contratación, la distribución es la siguiente: 479 abiertos, 2 procedimientos restringidos, 1.027 negociados sin publicidad, 14 negociados con publicidad, 26 basados en Acuerdos-marco y 8.467 contratos menores (un 85 por 100 del total). </w:t>
      </w:r>
    </w:p>
    <w:p w:rsidR="0038108F" w:rsidRPr="00412BDD" w:rsidRDefault="0038108F" w:rsidP="00AA712B">
      <w:pPr>
        <w:jc w:val="both"/>
        <w:rPr>
          <w:b/>
          <w:u w:val="single"/>
        </w:rPr>
      </w:pPr>
      <w:r w:rsidRPr="00412BDD">
        <w:rPr>
          <w:b/>
          <w:u w:val="single"/>
        </w:rPr>
        <w:t>Convenios y encomiendas</w:t>
      </w:r>
    </w:p>
    <w:p w:rsidR="0038108F" w:rsidRPr="005A6843" w:rsidRDefault="0038108F" w:rsidP="00AA712B">
      <w:pPr>
        <w:jc w:val="both"/>
      </w:pPr>
      <w:r w:rsidRPr="005A6843">
        <w:t xml:space="preserve">A fecha actual, se publican 750 documentos, 738 convenios, 9 encomiendas de gestión y 3 encomiendas de gestión por convenio. Se trata de un volumen muy importante de información que no aparece sistematizada ni a veces debidamente identificada. Hay una entrada p. ej., </w:t>
      </w:r>
      <w:r w:rsidRPr="00412BDD">
        <w:rPr>
          <w:i/>
        </w:rPr>
        <w:t>“Realización de unas jornadas sobre arte románico”</w:t>
      </w:r>
      <w:r w:rsidRPr="005A6843">
        <w:t xml:space="preserve"> y hay denominaciones diversas: acuerdos, contratos de cesión de explotación, apoyo técnico, impulso, cuestión que dificulta el uso del buscador.</w:t>
      </w:r>
    </w:p>
    <w:p w:rsidR="0038108F" w:rsidRPr="005A6843" w:rsidRDefault="0038108F" w:rsidP="00AA712B">
      <w:pPr>
        <w:jc w:val="both"/>
      </w:pPr>
      <w:r w:rsidRPr="005A6843">
        <w:t>Sería necesario clarificar expresamente los órganos departamentales involucrados. Aparecen convenios suscritos por el Ministerio, los servicios territoriales, sus organismos vinculados y dependientes e, incluso, Museos o instituciones análogas.</w:t>
      </w:r>
    </w:p>
    <w:p w:rsidR="0038108F" w:rsidRPr="00412BDD" w:rsidRDefault="0038108F" w:rsidP="00AA712B">
      <w:pPr>
        <w:jc w:val="both"/>
        <w:rPr>
          <w:b/>
          <w:u w:val="single"/>
        </w:rPr>
      </w:pPr>
      <w:r w:rsidRPr="00412BDD">
        <w:rPr>
          <w:b/>
          <w:u w:val="single"/>
        </w:rPr>
        <w:t>Bienes inmuebles</w:t>
      </w:r>
    </w:p>
    <w:p w:rsidR="0038108F" w:rsidRPr="005A6843" w:rsidRDefault="0038108F" w:rsidP="00AA712B">
      <w:pPr>
        <w:jc w:val="both"/>
      </w:pPr>
      <w:r w:rsidRPr="005A6843">
        <w:t>A día de hoy, se recoge información sobre 579 inmuebles, algunos de titularidad de los organismos vinculados o dependientes del Departamento. La distribución es la siguiente: 465 edificios, 87 solares y 27 suelos rústicos.</w:t>
      </w:r>
    </w:p>
    <w:p w:rsidR="0038108F" w:rsidRPr="00412BDD" w:rsidRDefault="00412BDD" w:rsidP="00FC26D7">
      <w:pPr>
        <w:pStyle w:val="Prrafodelista"/>
        <w:numPr>
          <w:ilvl w:val="0"/>
          <w:numId w:val="54"/>
        </w:numPr>
        <w:ind w:left="426"/>
        <w:jc w:val="both"/>
        <w:rPr>
          <w:b/>
          <w:u w:val="single"/>
        </w:rPr>
      </w:pPr>
      <w:r w:rsidRPr="00412BDD">
        <w:rPr>
          <w:b/>
          <w:u w:val="single"/>
        </w:rPr>
        <w:t>PRESUPUESTOS, FISCALIZACIÓN E INFORMES</w:t>
      </w:r>
    </w:p>
    <w:p w:rsidR="00412BDD" w:rsidRPr="005A6843" w:rsidRDefault="00412BDD" w:rsidP="00412BDD">
      <w:pPr>
        <w:pStyle w:val="Prrafodelista"/>
        <w:ind w:left="426"/>
        <w:jc w:val="both"/>
      </w:pPr>
    </w:p>
    <w:p w:rsidR="0038108F" w:rsidRPr="005A6843" w:rsidRDefault="0038108F" w:rsidP="00AA712B">
      <w:pPr>
        <w:jc w:val="both"/>
      </w:pPr>
      <w:r w:rsidRPr="005A6843">
        <w:t xml:space="preserve">La categoría </w:t>
      </w:r>
      <w:r w:rsidRPr="00412BDD">
        <w:rPr>
          <w:i/>
        </w:rPr>
        <w:t>“Presupuestos, Fiscalización e Informes”</w:t>
      </w:r>
      <w:r w:rsidRPr="005A6843">
        <w:t xml:space="preserve"> del menú del MECD presenta únicamente dos sub-categorías informativas: </w:t>
      </w:r>
      <w:r w:rsidRPr="00412BDD">
        <w:rPr>
          <w:i/>
        </w:rPr>
        <w:t>“Presupuestos Generales del Estado”</w:t>
      </w:r>
      <w:r w:rsidRPr="005A6843">
        <w:t xml:space="preserve"> y </w:t>
      </w:r>
      <w:r w:rsidRPr="00412BDD">
        <w:rPr>
          <w:i/>
        </w:rPr>
        <w:t>“Estadísticas e Informes Relevantes”</w:t>
      </w:r>
      <w:r w:rsidRPr="005A6843">
        <w:t xml:space="preserve">. Faltan, pues, cinco de las siete que presenta el menú general de </w:t>
      </w:r>
      <w:r w:rsidRPr="00412BDD">
        <w:rPr>
          <w:i/>
        </w:rPr>
        <w:t>“Presupuestos”</w:t>
      </w:r>
      <w:r w:rsidRPr="005A6843">
        <w:t xml:space="preserve"> del Portal: </w:t>
      </w:r>
      <w:r w:rsidRPr="00412BDD">
        <w:rPr>
          <w:i/>
        </w:rPr>
        <w:t>“Ejecución Presupuestaria”, “Cuentas anuales e informes de auditoría”, “informes de fiscalización”, “Estabilidad presupuestaria”</w:t>
      </w:r>
      <w:r w:rsidRPr="005A6843">
        <w:t xml:space="preserve"> y </w:t>
      </w:r>
      <w:r w:rsidRPr="00412BDD">
        <w:rPr>
          <w:i/>
        </w:rPr>
        <w:t>“Más información presupuestaria”</w:t>
      </w:r>
      <w:r w:rsidRPr="005A6843">
        <w:t>. Al respecto han de darse por reproducidas las reflexiones y comentarios efectuados en relación con las sub-categorías o elementos de la categoría.</w:t>
      </w:r>
    </w:p>
    <w:p w:rsidR="0038108F" w:rsidRPr="005A6843" w:rsidRDefault="0038108F" w:rsidP="00AA712B">
      <w:pPr>
        <w:jc w:val="both"/>
      </w:pPr>
      <w:r w:rsidRPr="005A6843">
        <w:t xml:space="preserve">A continuación se analiza el contenido de los elementos efectivamente incluidos en la categoría. En todos ellos, la información se ajusta al modelo general del Portal por lo que deben tenerse por reproducidas las consideraciones efectuadas con ocasión del estudio de éste. </w:t>
      </w:r>
    </w:p>
    <w:p w:rsidR="0038108F" w:rsidRPr="00412BDD" w:rsidRDefault="0038108F" w:rsidP="00AA712B">
      <w:pPr>
        <w:jc w:val="both"/>
        <w:rPr>
          <w:b/>
          <w:u w:val="single"/>
        </w:rPr>
      </w:pPr>
      <w:r w:rsidRPr="00412BDD">
        <w:rPr>
          <w:b/>
          <w:u w:val="single"/>
        </w:rPr>
        <w:t xml:space="preserve">Presupuestos Generales </w:t>
      </w:r>
    </w:p>
    <w:p w:rsidR="0038108F" w:rsidRPr="005A6843" w:rsidRDefault="0038108F" w:rsidP="00AA712B">
      <w:pPr>
        <w:jc w:val="both"/>
      </w:pPr>
      <w:r w:rsidRPr="005A6843">
        <w:t xml:space="preserve">En la opción </w:t>
      </w:r>
      <w:r w:rsidRPr="00412BDD">
        <w:rPr>
          <w:i/>
        </w:rPr>
        <w:t>“Gastos”</w:t>
      </w:r>
      <w:r w:rsidRPr="005A6843">
        <w:t xml:space="preserve">, el menú ofrece 43 resultados: uno para 2017 con un enlace directo al Presupuesto de Gastos del MECD y 42 para los ejercicios 2014, 2015 y 2016 con accesos a los Presupuestos del Departamento y sus organismos vinculados y dependientes y diferentes organismos, Centros y dependencias del Ministerio (Museos, Archivos, Fondos, Fundaciones </w:t>
      </w:r>
      <w:r w:rsidR="00235F53">
        <w:t>etc.</w:t>
      </w:r>
      <w:r w:rsidRPr="005A6843">
        <w:t xml:space="preserve">). Entre las entradas aparecen algunas correspondientes a organismos ajenos al MECD -p. ej. la Fundación Puerto de Canarias-. </w:t>
      </w:r>
    </w:p>
    <w:p w:rsidR="0038108F" w:rsidRPr="005D5E8F" w:rsidRDefault="0038108F" w:rsidP="00AA712B">
      <w:pPr>
        <w:jc w:val="both"/>
        <w:rPr>
          <w:b/>
          <w:u w:val="single"/>
        </w:rPr>
      </w:pPr>
      <w:r w:rsidRPr="005D5E8F">
        <w:rPr>
          <w:b/>
          <w:u w:val="single"/>
        </w:rPr>
        <w:t xml:space="preserve">Información y estadísticas relevantes </w:t>
      </w:r>
    </w:p>
    <w:p w:rsidR="00227173" w:rsidRDefault="0038108F" w:rsidP="00C128CF">
      <w:pPr>
        <w:jc w:val="both"/>
        <w:rPr>
          <w:b/>
          <w:color w:val="1C314E" w:themeColor="accent4" w:themeShade="80"/>
          <w:sz w:val="32"/>
          <w:szCs w:val="28"/>
        </w:rPr>
      </w:pPr>
      <w:r w:rsidRPr="005A6843">
        <w:t>A día de hoy, ofrece seis resultados: Programa editorial 2016 del Ministerio de Educación, Cultura y Deporte. Revisión segundo semestre</w:t>
      </w:r>
      <w:r w:rsidR="005D5E8F">
        <w:t>,</w:t>
      </w:r>
      <w:r w:rsidRPr="005A6843">
        <w:t xml:space="preserve"> Programa editorial 2016 del Ministerio de Educación, Cultura y Deporte</w:t>
      </w:r>
      <w:r w:rsidR="005D5E8F">
        <w:t>,</w:t>
      </w:r>
      <w:r w:rsidRPr="005A6843">
        <w:t xml:space="preserve"> Plan de Actuación del Museo Nacional del Prado 2013-2016</w:t>
      </w:r>
      <w:r w:rsidR="005D5E8F">
        <w:t>,</w:t>
      </w:r>
      <w:r w:rsidRPr="005A6843">
        <w:t xml:space="preserve"> Anuario de Estadísticas Deportivas</w:t>
      </w:r>
      <w:r w:rsidR="005D5E8F">
        <w:t>,</w:t>
      </w:r>
      <w:r w:rsidRPr="005A6843">
        <w:t xml:space="preserve"> Anuario de Estadísticas Culturales y </w:t>
      </w:r>
      <w:r w:rsidRPr="005D5E8F">
        <w:rPr>
          <w:i/>
        </w:rPr>
        <w:t>Las cifras de la educación en España</w:t>
      </w:r>
      <w:r w:rsidRPr="005A6843">
        <w:t>. En realidad se trata de un “cajón de sastre” que mezcla el programa editorial del Ministerio con anuarios de estadísticas o el Plan de Actuació</w:t>
      </w:r>
      <w:bookmarkStart w:id="264" w:name="_Toc498345427"/>
      <w:r w:rsidR="00C128CF">
        <w:t>n del Museo Nacional del Prado.</w:t>
      </w:r>
      <w:r w:rsidR="00227173">
        <w:br w:type="page"/>
      </w:r>
    </w:p>
    <w:p w:rsidR="0038108F" w:rsidRPr="005A6843" w:rsidRDefault="0038108F" w:rsidP="0016665B">
      <w:pPr>
        <w:pStyle w:val="Ttulo4"/>
      </w:pPr>
      <w:bookmarkStart w:id="265" w:name="_Toc501110711"/>
      <w:r w:rsidRPr="005A6843">
        <w:t>Ministerio de Empleo y Seguridad Social (MEYSS)</w:t>
      </w:r>
      <w:bookmarkEnd w:id="264"/>
      <w:bookmarkEnd w:id="265"/>
    </w:p>
    <w:p w:rsidR="0038108F" w:rsidRPr="005A6843" w:rsidRDefault="0038108F" w:rsidP="00AA712B">
      <w:pPr>
        <w:jc w:val="both"/>
      </w:pPr>
      <w:r w:rsidRPr="005A6843">
        <w:t xml:space="preserve">Como el menú general del Portal, el menú de </w:t>
      </w:r>
      <w:r w:rsidRPr="005D5E8F">
        <w:rPr>
          <w:i/>
        </w:rPr>
        <w:t>“Transparencia del Ministerio de Empleo y Seguridad Social”</w:t>
      </w:r>
      <w:r w:rsidRPr="005A6843">
        <w:t xml:space="preserve"> aparece estructurado en cuatro categorías de información: </w:t>
      </w:r>
      <w:r w:rsidRPr="005D5E8F">
        <w:rPr>
          <w:i/>
        </w:rPr>
        <w:t>“Institucional”, “Normativa”, “Contratos, convenios, subvenciones y bienes inmuebles”</w:t>
      </w:r>
      <w:r w:rsidRPr="005A6843">
        <w:t xml:space="preserve"> y </w:t>
      </w:r>
      <w:r w:rsidRPr="005D5E8F">
        <w:rPr>
          <w:i/>
        </w:rPr>
        <w:t>“Presupuestos, fiscalización e informes”</w:t>
      </w:r>
      <w:r w:rsidRPr="005A6843">
        <w:t xml:space="preserve">. En este sentido, deben tenerse por reproducidas las consideraciones hechas en relación con aquél. </w:t>
      </w:r>
    </w:p>
    <w:p w:rsidR="0038108F" w:rsidRPr="005A6843" w:rsidRDefault="0038108F" w:rsidP="009F3B2E">
      <w:pPr>
        <w:pStyle w:val="Ttulo5"/>
      </w:pPr>
      <w:bookmarkStart w:id="266" w:name="_Toc498345428"/>
      <w:bookmarkStart w:id="267" w:name="_Toc501110712"/>
      <w:r w:rsidRPr="005A6843">
        <w:t>Información institucional, organizativa y de planificación</w:t>
      </w:r>
      <w:bookmarkEnd w:id="266"/>
      <w:bookmarkEnd w:id="267"/>
    </w:p>
    <w:p w:rsidR="0038108F" w:rsidRPr="005A6843" w:rsidRDefault="0038108F" w:rsidP="00AA712B">
      <w:pPr>
        <w:jc w:val="both"/>
      </w:pPr>
      <w:r w:rsidRPr="005A6843">
        <w:t xml:space="preserve">La categoría de información institucional del MINHAFP presenta seis sub-categorías: </w:t>
      </w:r>
      <w:r w:rsidRPr="005D5E8F">
        <w:rPr>
          <w:i/>
        </w:rPr>
        <w:t>“Estructura”, “Funciones”, “Planes de objetivos”, “Retribuciones de Altos Cargos, “Currículos de Altos Cargos”</w:t>
      </w:r>
      <w:r w:rsidRPr="005A6843">
        <w:t xml:space="preserve"> y </w:t>
      </w:r>
      <w:r w:rsidRPr="005D5E8F">
        <w:rPr>
          <w:i/>
        </w:rPr>
        <w:t>“Relaciones de Puestos de Trabajo”</w:t>
      </w:r>
      <w:r w:rsidRPr="005A6843">
        <w:t xml:space="preserve">. Así, deben darse por reproducidas aquí las consideraciones efectuadas en los anteriores apartados de este epígrafe respecto de los elementos o sub-categorías informativas </w:t>
      </w:r>
      <w:r w:rsidRPr="005D5E8F">
        <w:rPr>
          <w:i/>
        </w:rPr>
        <w:t>“Normativa de aplicación”, “Retribuciones de los Altos Cargos”, “Relaciones de Puestos de Trabajo”, “Autorizaciones de actividad privada en Altos Cargos”, “Indemnizaciones percibidas con ocasión del cese”</w:t>
      </w:r>
      <w:r w:rsidRPr="005A6843">
        <w:t xml:space="preserve"> y </w:t>
      </w:r>
      <w:r w:rsidRPr="005D5E8F">
        <w:rPr>
          <w:i/>
        </w:rPr>
        <w:t>“Autorización o reconocimiento de compatibilidad de empleados públicos”</w:t>
      </w:r>
      <w:r w:rsidRPr="005A6843">
        <w:t>.</w:t>
      </w:r>
    </w:p>
    <w:p w:rsidR="0038108F" w:rsidRPr="005A6843" w:rsidRDefault="0038108F" w:rsidP="00AA712B">
      <w:pPr>
        <w:jc w:val="both"/>
      </w:pPr>
      <w:r w:rsidRPr="005A6843">
        <w:t>Acto seguido se considera brevemente el contenido informativo de los elementos o sub—categorías incorporados al menú. En todos ello, la información se ajusta al modelo establecido con carácter general en el Portal por lo que deben tenerse por reproducidas las consideraciones efectuadas en el análisis del modelo general de contenidos de aquel respecto de las mismas sub-categorías.</w:t>
      </w:r>
    </w:p>
    <w:p w:rsidR="0038108F" w:rsidRPr="005D5E8F" w:rsidRDefault="0038108F" w:rsidP="00AA712B">
      <w:pPr>
        <w:jc w:val="both"/>
        <w:rPr>
          <w:b/>
          <w:u w:val="single"/>
        </w:rPr>
      </w:pPr>
      <w:r w:rsidRPr="005D5E8F">
        <w:rPr>
          <w:b/>
          <w:u w:val="single"/>
        </w:rPr>
        <w:t>Estructura</w:t>
      </w:r>
    </w:p>
    <w:p w:rsidR="0038108F" w:rsidRPr="005A6843" w:rsidRDefault="0038108F" w:rsidP="00AA712B">
      <w:pPr>
        <w:jc w:val="both"/>
      </w:pPr>
      <w:r w:rsidRPr="005A6843">
        <w:t xml:space="preserve">Aparece el organigrama del Departamento, completo, hasta el nivel de Subdirector General, pues la estructura es posterior al Real Decreto 415/2016, que regula la organización actual de los Departamentos ministeriales -Real Decreto 703/2017, de 7 de julio, por el que se desarrolla la estructura orgánica básica del Ministerio de Empleo y Seguridad Social y se modifica el Real Decreto 424/2016, de 11 de noviembre, por el que se establece la estructura orgánica básica de los departamentos ministeriales-. </w:t>
      </w:r>
    </w:p>
    <w:p w:rsidR="0038108F" w:rsidRPr="005A6843" w:rsidRDefault="0038108F" w:rsidP="00AA712B">
      <w:pPr>
        <w:jc w:val="both"/>
      </w:pPr>
      <w:r w:rsidRPr="005A6843">
        <w:t xml:space="preserve">Se incluye un listado de los órganos consultivos y colegiados del Ministerio, un total de 20. Son los siguientes: </w:t>
      </w:r>
    </w:p>
    <w:p w:rsidR="0038108F" w:rsidRPr="005A6843" w:rsidRDefault="0038108F" w:rsidP="00FC26D7">
      <w:pPr>
        <w:pStyle w:val="Prrafodelista"/>
        <w:numPr>
          <w:ilvl w:val="0"/>
          <w:numId w:val="55"/>
        </w:numPr>
        <w:spacing w:line="276" w:lineRule="auto"/>
        <w:ind w:left="714" w:hanging="357"/>
        <w:jc w:val="both"/>
      </w:pPr>
      <w:r w:rsidRPr="005A6843">
        <w:t>Consejo General del Sistema Nacional de Empleo</w:t>
      </w:r>
    </w:p>
    <w:p w:rsidR="0038108F" w:rsidRPr="005A6843" w:rsidRDefault="0038108F" w:rsidP="00FC26D7">
      <w:pPr>
        <w:pStyle w:val="Prrafodelista"/>
        <w:numPr>
          <w:ilvl w:val="0"/>
          <w:numId w:val="55"/>
        </w:numPr>
        <w:spacing w:line="276" w:lineRule="auto"/>
        <w:ind w:left="714" w:hanging="357"/>
        <w:jc w:val="both"/>
      </w:pPr>
      <w:r w:rsidRPr="005A6843">
        <w:t>Consejo Estatal de Responsabilidad Social de las Empresas</w:t>
      </w:r>
    </w:p>
    <w:p w:rsidR="0038108F" w:rsidRPr="005A6843" w:rsidRDefault="0038108F" w:rsidP="00FC26D7">
      <w:pPr>
        <w:pStyle w:val="Prrafodelista"/>
        <w:numPr>
          <w:ilvl w:val="0"/>
          <w:numId w:val="55"/>
        </w:numPr>
        <w:spacing w:line="276" w:lineRule="auto"/>
        <w:ind w:left="714" w:hanging="357"/>
        <w:jc w:val="both"/>
      </w:pPr>
      <w:r w:rsidRPr="005A6843">
        <w:t>Consejo General de Formación Profesional</w:t>
      </w:r>
    </w:p>
    <w:p w:rsidR="0038108F" w:rsidRPr="005A6843" w:rsidRDefault="0038108F" w:rsidP="00FC26D7">
      <w:pPr>
        <w:pStyle w:val="Prrafodelista"/>
        <w:numPr>
          <w:ilvl w:val="0"/>
          <w:numId w:val="55"/>
        </w:numPr>
        <w:spacing w:line="276" w:lineRule="auto"/>
        <w:ind w:left="714" w:hanging="357"/>
        <w:jc w:val="both"/>
      </w:pPr>
      <w:r w:rsidRPr="005A6843">
        <w:t>Consejo de la representatividad de las asociaciones profesionales de trabajadores autónomos</w:t>
      </w:r>
    </w:p>
    <w:p w:rsidR="0038108F" w:rsidRPr="005A6843" w:rsidRDefault="0038108F" w:rsidP="00FC26D7">
      <w:pPr>
        <w:pStyle w:val="Prrafodelista"/>
        <w:numPr>
          <w:ilvl w:val="0"/>
          <w:numId w:val="55"/>
        </w:numPr>
        <w:spacing w:line="276" w:lineRule="auto"/>
        <w:ind w:left="714" w:hanging="357"/>
        <w:jc w:val="both"/>
      </w:pPr>
      <w:r w:rsidRPr="005A6843">
        <w:t>Comisión Nacional de Seguridad y Salud en el Trabajo</w:t>
      </w:r>
    </w:p>
    <w:p w:rsidR="0038108F" w:rsidRPr="005A6843" w:rsidRDefault="0038108F" w:rsidP="00FC26D7">
      <w:pPr>
        <w:pStyle w:val="Prrafodelista"/>
        <w:numPr>
          <w:ilvl w:val="0"/>
          <w:numId w:val="55"/>
        </w:numPr>
        <w:spacing w:line="276" w:lineRule="auto"/>
        <w:ind w:left="714" w:hanging="357"/>
        <w:jc w:val="both"/>
      </w:pPr>
      <w:r w:rsidRPr="005A6843">
        <w:t>Consejo de Fomento de la Economía Social</w:t>
      </w:r>
    </w:p>
    <w:p w:rsidR="0038108F" w:rsidRPr="005A6843" w:rsidRDefault="0038108F" w:rsidP="00FC26D7">
      <w:pPr>
        <w:pStyle w:val="Prrafodelista"/>
        <w:numPr>
          <w:ilvl w:val="0"/>
          <w:numId w:val="55"/>
        </w:numPr>
        <w:spacing w:line="276" w:lineRule="auto"/>
        <w:ind w:left="714" w:hanging="357"/>
        <w:jc w:val="both"/>
      </w:pPr>
      <w:r w:rsidRPr="005A6843">
        <w:t>Consejo del Trabajo Autónomo</w:t>
      </w:r>
    </w:p>
    <w:p w:rsidR="0038108F" w:rsidRPr="005A6843" w:rsidRDefault="0038108F" w:rsidP="00FC26D7">
      <w:pPr>
        <w:pStyle w:val="Prrafodelista"/>
        <w:numPr>
          <w:ilvl w:val="0"/>
          <w:numId w:val="55"/>
        </w:numPr>
        <w:spacing w:line="276" w:lineRule="auto"/>
        <w:ind w:left="714" w:hanging="357"/>
        <w:jc w:val="both"/>
      </w:pPr>
      <w:r w:rsidRPr="005A6843">
        <w:t>Comisión Consultiva Nacional de Convenios Colectivos</w:t>
      </w:r>
    </w:p>
    <w:p w:rsidR="0038108F" w:rsidRPr="005A6843" w:rsidRDefault="0038108F" w:rsidP="00FC26D7">
      <w:pPr>
        <w:pStyle w:val="Prrafodelista"/>
        <w:numPr>
          <w:ilvl w:val="0"/>
          <w:numId w:val="55"/>
        </w:numPr>
        <w:spacing w:line="276" w:lineRule="auto"/>
        <w:ind w:left="714" w:hanging="357"/>
        <w:jc w:val="both"/>
      </w:pPr>
      <w:r w:rsidRPr="005A6843">
        <w:t>Comisión Interministerial de Extranjería</w:t>
      </w:r>
    </w:p>
    <w:p w:rsidR="0038108F" w:rsidRPr="005A6843" w:rsidRDefault="0038108F" w:rsidP="00FC26D7">
      <w:pPr>
        <w:pStyle w:val="Prrafodelista"/>
        <w:numPr>
          <w:ilvl w:val="0"/>
          <w:numId w:val="55"/>
        </w:numPr>
        <w:spacing w:line="276" w:lineRule="auto"/>
        <w:ind w:left="714" w:hanging="357"/>
        <w:jc w:val="both"/>
      </w:pPr>
      <w:r w:rsidRPr="005A6843">
        <w:t>Comisión Laboral Tripartita de Inmigración</w:t>
      </w:r>
    </w:p>
    <w:p w:rsidR="0038108F" w:rsidRPr="005A6843" w:rsidRDefault="0038108F" w:rsidP="00FC26D7">
      <w:pPr>
        <w:pStyle w:val="Prrafodelista"/>
        <w:numPr>
          <w:ilvl w:val="0"/>
          <w:numId w:val="55"/>
        </w:numPr>
        <w:spacing w:line="276" w:lineRule="auto"/>
        <w:ind w:left="714" w:hanging="357"/>
        <w:jc w:val="both"/>
      </w:pPr>
      <w:r w:rsidRPr="005A6843">
        <w:t>Foro para la Integración Social de los Inmigrantes</w:t>
      </w:r>
    </w:p>
    <w:p w:rsidR="0038108F" w:rsidRPr="005A6843" w:rsidRDefault="0038108F" w:rsidP="00FC26D7">
      <w:pPr>
        <w:pStyle w:val="Prrafodelista"/>
        <w:numPr>
          <w:ilvl w:val="0"/>
          <w:numId w:val="55"/>
        </w:numPr>
        <w:spacing w:line="276" w:lineRule="auto"/>
        <w:ind w:left="714" w:hanging="357"/>
        <w:jc w:val="both"/>
      </w:pPr>
      <w:r w:rsidRPr="005A6843">
        <w:t>Consejo General de la Ciudadanía Española en el Exterior</w:t>
      </w:r>
    </w:p>
    <w:p w:rsidR="0038108F" w:rsidRPr="005A6843" w:rsidRDefault="0038108F" w:rsidP="00FC26D7">
      <w:pPr>
        <w:pStyle w:val="Prrafodelista"/>
        <w:numPr>
          <w:ilvl w:val="0"/>
          <w:numId w:val="55"/>
        </w:numPr>
        <w:spacing w:line="276" w:lineRule="auto"/>
        <w:ind w:left="714" w:hanging="357"/>
        <w:jc w:val="both"/>
      </w:pPr>
      <w:r w:rsidRPr="005A6843">
        <w:t>Consejo general de tecnologías de la información y las comunicaciones de la Seguridad Social</w:t>
      </w:r>
    </w:p>
    <w:p w:rsidR="0038108F" w:rsidRPr="005A6843" w:rsidRDefault="0038108F" w:rsidP="00FC26D7">
      <w:pPr>
        <w:pStyle w:val="Prrafodelista"/>
        <w:numPr>
          <w:ilvl w:val="0"/>
          <w:numId w:val="55"/>
        </w:numPr>
        <w:spacing w:line="276" w:lineRule="auto"/>
        <w:ind w:left="714" w:hanging="357"/>
        <w:jc w:val="both"/>
      </w:pPr>
      <w:r w:rsidRPr="005A6843">
        <w:t>Comisión de Estadística del Ministerio de Empleo y Seguridad Social</w:t>
      </w:r>
    </w:p>
    <w:p w:rsidR="0038108F" w:rsidRPr="005A6843" w:rsidRDefault="0038108F" w:rsidP="00FC26D7">
      <w:pPr>
        <w:pStyle w:val="Prrafodelista"/>
        <w:numPr>
          <w:ilvl w:val="0"/>
          <w:numId w:val="55"/>
        </w:numPr>
        <w:spacing w:line="276" w:lineRule="auto"/>
        <w:ind w:left="714" w:hanging="357"/>
        <w:jc w:val="both"/>
      </w:pPr>
      <w:r w:rsidRPr="005A6843">
        <w:t>Comisión Asesora de Estudios del Ministerio de Empleo y Seguridad Social</w:t>
      </w:r>
    </w:p>
    <w:p w:rsidR="0038108F" w:rsidRPr="005A6843" w:rsidRDefault="0038108F" w:rsidP="00FC26D7">
      <w:pPr>
        <w:pStyle w:val="Prrafodelista"/>
        <w:numPr>
          <w:ilvl w:val="0"/>
          <w:numId w:val="55"/>
        </w:numPr>
        <w:spacing w:line="276" w:lineRule="auto"/>
        <w:ind w:left="714" w:hanging="357"/>
        <w:jc w:val="both"/>
      </w:pPr>
      <w:r w:rsidRPr="005A6843">
        <w:t>Consejo General de Administración Electrónica de la Seguridad Social</w:t>
      </w:r>
    </w:p>
    <w:p w:rsidR="0038108F" w:rsidRPr="005A6843" w:rsidRDefault="0038108F" w:rsidP="00FC26D7">
      <w:pPr>
        <w:pStyle w:val="Prrafodelista"/>
        <w:numPr>
          <w:ilvl w:val="0"/>
          <w:numId w:val="55"/>
        </w:numPr>
        <w:spacing w:line="276" w:lineRule="auto"/>
        <w:ind w:left="714" w:hanging="357"/>
        <w:jc w:val="both"/>
      </w:pPr>
      <w:r w:rsidRPr="005A6843">
        <w:t>Junta de Contratación del Mº de Empleo y Seguridad Social</w:t>
      </w:r>
    </w:p>
    <w:p w:rsidR="0038108F" w:rsidRPr="005A6843" w:rsidRDefault="0038108F" w:rsidP="00FC26D7">
      <w:pPr>
        <w:pStyle w:val="Prrafodelista"/>
        <w:numPr>
          <w:ilvl w:val="0"/>
          <w:numId w:val="55"/>
        </w:numPr>
        <w:spacing w:line="276" w:lineRule="auto"/>
        <w:ind w:left="714" w:hanging="357"/>
        <w:jc w:val="both"/>
      </w:pPr>
      <w:r w:rsidRPr="005A6843">
        <w:t>Mesa Única de Contratación del Mº de Empleo y Seguridad Social</w:t>
      </w:r>
    </w:p>
    <w:p w:rsidR="0038108F" w:rsidRPr="005A6843" w:rsidRDefault="0038108F" w:rsidP="00FC26D7">
      <w:pPr>
        <w:pStyle w:val="Prrafodelista"/>
        <w:numPr>
          <w:ilvl w:val="0"/>
          <w:numId w:val="55"/>
        </w:numPr>
        <w:spacing w:line="276" w:lineRule="auto"/>
        <w:ind w:left="714" w:hanging="357"/>
        <w:jc w:val="both"/>
      </w:pPr>
      <w:r w:rsidRPr="005A6843">
        <w:t>Comité de Seguridad de los Sistemas de Información de la Seguridad Social</w:t>
      </w:r>
    </w:p>
    <w:p w:rsidR="0038108F" w:rsidRPr="005A6843" w:rsidRDefault="0038108F" w:rsidP="00684CD5">
      <w:pPr>
        <w:pStyle w:val="Prrafodelista"/>
        <w:numPr>
          <w:ilvl w:val="0"/>
          <w:numId w:val="55"/>
        </w:numPr>
        <w:spacing w:after="120" w:line="276" w:lineRule="auto"/>
        <w:ind w:left="714" w:hanging="357"/>
        <w:jc w:val="both"/>
      </w:pPr>
      <w:r w:rsidRPr="005A6843">
        <w:t>Comisión Ministerial de Administración Digital del Ministerio de Empleo y Seguridad Social</w:t>
      </w:r>
    </w:p>
    <w:p w:rsidR="0038108F" w:rsidRPr="005A6843" w:rsidRDefault="0038108F" w:rsidP="00684CD5">
      <w:pPr>
        <w:spacing w:after="120"/>
        <w:jc w:val="both"/>
      </w:pPr>
      <w:r w:rsidRPr="005A6843">
        <w:t xml:space="preserve">Se incluye una relación completa de los organismos vinculados y dependientes, a saber: Servicio Público de Empleo Estatal (SEPE), Instituto Nacional de la Seguridad Social (INSS), Instituto Social de la Marina (ISM) y Tesorería General de la Seguridad Social (TGSS).  </w:t>
      </w:r>
    </w:p>
    <w:p w:rsidR="0038108F" w:rsidRPr="005A6843" w:rsidRDefault="0038108F" w:rsidP="00AA712B">
      <w:pPr>
        <w:jc w:val="both"/>
      </w:pPr>
      <w:r w:rsidRPr="005A6843">
        <w:t xml:space="preserve">Los organismos coinciden con los que figuran en las distintas pestañas de la </w:t>
      </w:r>
      <w:hyperlink r:id="rId67" w:history="1">
        <w:r w:rsidR="00FC4B2E" w:rsidRPr="00C128CF">
          <w:rPr>
            <w:rStyle w:val="Hipervnculo"/>
            <w:i/>
          </w:rPr>
          <w:t>web</w:t>
        </w:r>
        <w:r w:rsidRPr="00C128CF">
          <w:rPr>
            <w:rStyle w:val="Hipervnculo"/>
          </w:rPr>
          <w:t xml:space="preserve"> del Ministerio</w:t>
        </w:r>
      </w:hyperlink>
      <w:r w:rsidRPr="005A6843">
        <w:t>, que agrega, además, al Fondo de Garantía Salarial (FGS), al Instituto Nacional de Higiene y Seguridad en el Trabajo (INSH) y al Observatorio Español de Racismo y Xenofobia. Si bien la exclusión de este último de la relación de organismos del Portal AGE se justifica en su condición de Observatorio, no puede decirse lo mismo de la exclusión del FGS y el INHS, que tienen naturaleza de Organismo Autónomo. A criterio de este CTBG, sería necesario completar la lista de organismos del organigrama con estos dos últimos y también, para mejor comprensión de la estructura organizativa del MEYSS, señalar que tanto el INSS como el ISM y la TGSS son Entidades Gestoras de la Seguridad Social.</w:t>
      </w:r>
    </w:p>
    <w:p w:rsidR="0038108F" w:rsidRPr="005A6843" w:rsidRDefault="0038108F" w:rsidP="00AA712B">
      <w:pPr>
        <w:jc w:val="both"/>
      </w:pPr>
      <w:r w:rsidRPr="005A6843">
        <w:t xml:space="preserve">La página </w:t>
      </w:r>
      <w:r w:rsidR="00FC4B2E" w:rsidRPr="00FC4B2E">
        <w:rPr>
          <w:i/>
        </w:rPr>
        <w:t>web</w:t>
      </w:r>
      <w:r w:rsidRPr="005A6843">
        <w:t xml:space="preserve"> del MEYSS aún incorpora un nuevo contenido informativo, “</w:t>
      </w:r>
      <w:hyperlink r:id="rId68" w:history="1">
        <w:r w:rsidRPr="00C128CF">
          <w:rPr>
            <w:rStyle w:val="Hipervnculo"/>
          </w:rPr>
          <w:t>El Ministerio en el Mundo</w:t>
        </w:r>
      </w:hyperlink>
      <w:r w:rsidRPr="005A6843">
        <w:t>”, con datos sobre las Consejerías de Empleo y Seguridad Social en el exterior. Tal vez fuera conveniente “</w:t>
      </w:r>
      <w:r w:rsidR="00FC4B2E" w:rsidRPr="00FC4B2E">
        <w:rPr>
          <w:i/>
        </w:rPr>
        <w:t>link</w:t>
      </w:r>
      <w:r w:rsidRPr="005A6843">
        <w:t>ar” el Portal con este contenido.</w:t>
      </w:r>
    </w:p>
    <w:p w:rsidR="0038108F" w:rsidRPr="005D5E8F" w:rsidRDefault="0038108F" w:rsidP="00AA712B">
      <w:pPr>
        <w:jc w:val="both"/>
        <w:rPr>
          <w:b/>
          <w:u w:val="single"/>
        </w:rPr>
      </w:pPr>
      <w:r w:rsidRPr="005D5E8F">
        <w:rPr>
          <w:b/>
          <w:u w:val="single"/>
        </w:rPr>
        <w:t xml:space="preserve">Funciones </w:t>
      </w:r>
    </w:p>
    <w:p w:rsidR="0038108F" w:rsidRPr="005A6843" w:rsidRDefault="0038108F" w:rsidP="00AA712B">
      <w:pPr>
        <w:jc w:val="both"/>
      </w:pPr>
      <w:r w:rsidRPr="005A6843">
        <w:t xml:space="preserve">“Clicando” en este apartado se accede directamente al texto consolidado del «BOE» del nuevo Real Decreto 703/2017, por el que se desarrolla la actual estructura orgánica básica del Ministerio. </w:t>
      </w:r>
    </w:p>
    <w:p w:rsidR="0038108F" w:rsidRPr="005D5E8F" w:rsidRDefault="0038108F" w:rsidP="00AA712B">
      <w:pPr>
        <w:jc w:val="both"/>
        <w:rPr>
          <w:b/>
          <w:u w:val="single"/>
        </w:rPr>
      </w:pPr>
      <w:r w:rsidRPr="005D5E8F">
        <w:rPr>
          <w:b/>
          <w:u w:val="single"/>
        </w:rPr>
        <w:t>Planes de objetivos</w:t>
      </w:r>
    </w:p>
    <w:p w:rsidR="0038108F" w:rsidRPr="005A6843" w:rsidRDefault="0038108F" w:rsidP="00AA712B">
      <w:pPr>
        <w:jc w:val="both"/>
      </w:pPr>
      <w:r w:rsidRPr="005A6843">
        <w:t xml:space="preserve">A día de hoy, se publican 15 documentos: 8 Planes –entre otros, la </w:t>
      </w:r>
      <w:r w:rsidRPr="005D5E8F">
        <w:rPr>
          <w:i/>
        </w:rPr>
        <w:t>Estrategia Española de Responsabilidad Social de las Empresas 2014-2020</w:t>
      </w:r>
      <w:r w:rsidRPr="005A6843">
        <w:t xml:space="preserve">, la </w:t>
      </w:r>
      <w:r w:rsidRPr="005D5E8F">
        <w:rPr>
          <w:i/>
        </w:rPr>
        <w:t>Estrategia de Emprendimiento y Empleo Joven 2013-2016</w:t>
      </w:r>
      <w:r w:rsidRPr="005A6843">
        <w:t xml:space="preserve">, la </w:t>
      </w:r>
      <w:r w:rsidRPr="005D5E8F">
        <w:rPr>
          <w:i/>
        </w:rPr>
        <w:t>Estrategia Española de Activación para el Empleo 2014-2016</w:t>
      </w:r>
      <w:r w:rsidRPr="005A6843">
        <w:t xml:space="preserve"> y la </w:t>
      </w:r>
      <w:r w:rsidRPr="005D5E8F">
        <w:rPr>
          <w:i/>
        </w:rPr>
        <w:t>Estrategia Española de Seguridad y Salud en el Trabajo 2015-2020</w:t>
      </w:r>
      <w:r w:rsidRPr="005A6843">
        <w:t>- y 7 Cartas de Servicios, incluidas las de las Consejerías de Empleo y Seguridad Social en el exterior y las de los Centros de Acogida de Refugiados (CARS). Deberían eliminarse las Cartas de Servicio que corresponden al ámbito de cumplimiento voluntario del Portal y deberían publicarse separadamente</w:t>
      </w:r>
    </w:p>
    <w:p w:rsidR="0038108F" w:rsidRPr="005A6843" w:rsidRDefault="0038108F" w:rsidP="00AA712B">
      <w:pPr>
        <w:jc w:val="both"/>
      </w:pPr>
      <w:r w:rsidRPr="005D5E8F">
        <w:rPr>
          <w:b/>
          <w:u w:val="single"/>
        </w:rPr>
        <w:t xml:space="preserve">Retribuciones de Altos Cargos </w:t>
      </w:r>
    </w:p>
    <w:p w:rsidR="0038108F" w:rsidRPr="005A6843" w:rsidRDefault="0038108F" w:rsidP="00AA712B">
      <w:pPr>
        <w:jc w:val="both"/>
      </w:pPr>
      <w:r w:rsidRPr="005A6843">
        <w:t>A día de hoy, aparecen publicadas las retribuciones íntegras anuales percibidas en 2016 por 17 Altos Cargos, 14 correspondientes al Ministerio y tres a parte de sus organismos públicos vinculados o dependientes (SEPE, INSS y TGSS). También se incorpora información histórica de 2013 a 2015.</w:t>
      </w:r>
    </w:p>
    <w:p w:rsidR="0038108F" w:rsidRPr="005A6843" w:rsidRDefault="0038108F" w:rsidP="00AA712B">
      <w:pPr>
        <w:jc w:val="both"/>
      </w:pPr>
      <w:r w:rsidRPr="005D5E8F">
        <w:rPr>
          <w:b/>
          <w:u w:val="single"/>
        </w:rPr>
        <w:t xml:space="preserve">Currículos de Altos Cargos </w:t>
      </w:r>
    </w:p>
    <w:p w:rsidR="0038108F" w:rsidRPr="005A6843" w:rsidRDefault="0038108F" w:rsidP="00AA712B">
      <w:pPr>
        <w:jc w:val="both"/>
      </w:pPr>
      <w:r w:rsidRPr="005A6843">
        <w:t xml:space="preserve">A la fecha, aparecen publicados 36 currículos, correspondientes a los actuales titulares de los Altos Cargos del Ministerio y a los Presidentes de las Mutuas de Accidentes de Trabajo y Enfermedad Profesionales. Debería eliminarse la información relativa a las Mutuas -son entidades privadas colaboradoras con la Seguridad Social y sustituirse por los currículos de los Altos Cargos de los organismos vinculados y dependientes del Departamento. </w:t>
      </w:r>
    </w:p>
    <w:p w:rsidR="0038108F" w:rsidRPr="005A6843" w:rsidRDefault="0038108F" w:rsidP="00AA712B">
      <w:pPr>
        <w:jc w:val="both"/>
      </w:pPr>
      <w:r w:rsidRPr="005D5E8F">
        <w:rPr>
          <w:b/>
          <w:u w:val="single"/>
        </w:rPr>
        <w:t>Relaciones de Puestos de Trabajo (RPT)</w:t>
      </w:r>
    </w:p>
    <w:p w:rsidR="0038108F" w:rsidRPr="005A6843" w:rsidRDefault="0038108F" w:rsidP="00AA712B">
      <w:pPr>
        <w:jc w:val="both"/>
      </w:pPr>
      <w:r w:rsidRPr="005A6843">
        <w:t>Se recoge información actualizada a junio de 2017 y estructurada en servicios centrales, servicios territoriales, organismos públicos y servicios en el exterior.</w:t>
      </w:r>
    </w:p>
    <w:p w:rsidR="0038108F" w:rsidRPr="005A6843" w:rsidRDefault="0038108F" w:rsidP="009F3B2E">
      <w:pPr>
        <w:pStyle w:val="Ttulo5"/>
      </w:pPr>
      <w:bookmarkStart w:id="268" w:name="_Toc498345429"/>
      <w:bookmarkStart w:id="269" w:name="_Toc501110713"/>
      <w:r w:rsidRPr="005A6843">
        <w:t>Información de relevancia jurídica</w:t>
      </w:r>
      <w:bookmarkEnd w:id="268"/>
      <w:bookmarkEnd w:id="269"/>
    </w:p>
    <w:p w:rsidR="0038108F" w:rsidRPr="005A6843" w:rsidRDefault="0038108F" w:rsidP="00AA712B">
      <w:pPr>
        <w:jc w:val="both"/>
      </w:pPr>
      <w:r w:rsidRPr="005A6843">
        <w:t xml:space="preserve">Incluye las cuatro sub-categorías del menú general de </w:t>
      </w:r>
      <w:r w:rsidRPr="005D5E8F">
        <w:rPr>
          <w:i/>
        </w:rPr>
        <w:t>“Normativa”</w:t>
      </w:r>
      <w:r w:rsidRPr="005A6843">
        <w:t xml:space="preserve"> del Portal: </w:t>
      </w:r>
      <w:r w:rsidRPr="005D5E8F">
        <w:rPr>
          <w:i/>
        </w:rPr>
        <w:t>“Normativa destacada”, “Normativa en elaboración”, “Normativa vigente”</w:t>
      </w:r>
      <w:r w:rsidRPr="005A6843">
        <w:t xml:space="preserve"> y </w:t>
      </w:r>
      <w:r w:rsidRPr="005D5E8F">
        <w:rPr>
          <w:i/>
        </w:rPr>
        <w:t>“Otras disposiciones”</w:t>
      </w:r>
      <w:r w:rsidRPr="005A6843">
        <w:t>. Deben darse por reproducidas al respecto, las consideraciones efectuadas en el examen del menú general del Portal acerca de dichos elementos o sub-categorías y de la sub-categoría del art. 7 de la</w:t>
      </w:r>
      <w:r w:rsidR="0069620D">
        <w:t xml:space="preserve"> ley</w:t>
      </w:r>
      <w:r w:rsidR="00E768A4">
        <w:t xml:space="preserve"> de transparencia</w:t>
      </w:r>
      <w:r w:rsidRPr="005A6843">
        <w:t xml:space="preserve"> </w:t>
      </w:r>
      <w:r w:rsidRPr="005D5E8F">
        <w:rPr>
          <w:i/>
        </w:rPr>
        <w:t>“Documentos sometidos a audiencia pública durante su tramitación”</w:t>
      </w:r>
      <w:r w:rsidRPr="005A6843">
        <w:t xml:space="preserve">. </w:t>
      </w:r>
    </w:p>
    <w:p w:rsidR="0038108F" w:rsidRPr="005A6843" w:rsidRDefault="0038108F" w:rsidP="00AA712B">
      <w:pPr>
        <w:jc w:val="both"/>
      </w:pPr>
      <w:r w:rsidRPr="005A6843">
        <w:t>Se examina a continuación, brevemente, el contenido de los cuatro elementos o sub--categorías informativas presentes. En todas ellas, la información se ajusta al modelo general del Portal por lo que deben tenerse por reproducidas las consideraciones efectuadas en el epígrafe anterior en relación con las correlativas sub-categorías del menú general.</w:t>
      </w:r>
    </w:p>
    <w:p w:rsidR="0038108F" w:rsidRPr="005D5E8F" w:rsidRDefault="0038108F" w:rsidP="00AA712B">
      <w:pPr>
        <w:jc w:val="both"/>
        <w:rPr>
          <w:b/>
          <w:u w:val="single"/>
        </w:rPr>
      </w:pPr>
      <w:r w:rsidRPr="005D5E8F">
        <w:rPr>
          <w:b/>
          <w:u w:val="single"/>
        </w:rPr>
        <w:t>Normativa destacada</w:t>
      </w:r>
    </w:p>
    <w:p w:rsidR="0038108F" w:rsidRPr="005A6843" w:rsidRDefault="0038108F" w:rsidP="00AA712B">
      <w:pPr>
        <w:jc w:val="both"/>
      </w:pPr>
      <w:r w:rsidRPr="005A6843">
        <w:t>A fecha de hoy aparecen 153 entradas: dos Leyes Orgánicas, 33 Leyes, 8 Reales Decretos-</w:t>
      </w:r>
      <w:r w:rsidR="001C41A6">
        <w:t>Ley</w:t>
      </w:r>
      <w:r w:rsidRPr="005A6843">
        <w:t xml:space="preserve"> –uno de ellos, el texto refundido de la </w:t>
      </w:r>
      <w:r w:rsidR="001C41A6">
        <w:t>Ley</w:t>
      </w:r>
      <w:r w:rsidRPr="005A6843">
        <w:t xml:space="preserve"> sobre Infracciones y Sanciones en el Orden Social, es realmente un Real Decreto Legislativo-, 85 Reales Decretos y 25 etiquetadas como “normativa destacada del Departamento”, entre las cuales se observan algunos instrumentos internacionales y Reglamentos europeos.</w:t>
      </w:r>
    </w:p>
    <w:p w:rsidR="0038108F" w:rsidRPr="005D5E8F" w:rsidRDefault="0038108F" w:rsidP="00AA712B">
      <w:pPr>
        <w:jc w:val="both"/>
        <w:rPr>
          <w:b/>
          <w:u w:val="single"/>
        </w:rPr>
      </w:pPr>
      <w:r w:rsidRPr="005D5E8F">
        <w:rPr>
          <w:b/>
          <w:u w:val="single"/>
        </w:rPr>
        <w:t>Normativa en elaboración</w:t>
      </w:r>
    </w:p>
    <w:p w:rsidR="0038108F" w:rsidRPr="005A6843" w:rsidRDefault="0038108F" w:rsidP="00AA712B">
      <w:pPr>
        <w:jc w:val="both"/>
      </w:pPr>
      <w:r w:rsidRPr="005A6843">
        <w:t xml:space="preserve">A la fecha de hoy, no figura ningún resultado, </w:t>
      </w:r>
    </w:p>
    <w:p w:rsidR="0038108F" w:rsidRPr="005A6843" w:rsidRDefault="0038108F" w:rsidP="00AA712B">
      <w:pPr>
        <w:jc w:val="both"/>
      </w:pPr>
      <w:r w:rsidRPr="005D5E8F">
        <w:rPr>
          <w:b/>
          <w:u w:val="single"/>
        </w:rPr>
        <w:t>Normativa en vigor</w:t>
      </w:r>
    </w:p>
    <w:p w:rsidR="0038108F" w:rsidRPr="005A6843" w:rsidRDefault="0038108F" w:rsidP="00AA712B">
      <w:pPr>
        <w:jc w:val="both"/>
      </w:pPr>
      <w:r w:rsidRPr="005A6843">
        <w:t xml:space="preserve">En este sub-apartado del menú del MEYSS se publican, a día de hoy, 39 normas: tres Reales Decretos-Legislativos -Real Decreto Legislativo 8/2015, de 30 de octubre, por el que se aprueba el texto refundido de la </w:t>
      </w:r>
      <w:r w:rsidR="001C41A6">
        <w:t>Ley</w:t>
      </w:r>
      <w:r w:rsidRPr="005A6843">
        <w:t xml:space="preserve"> General de la Seguridad Social; Real Decreto Legislativo 2/2015, de 23 de octubre, por el que se aprueba el texto refundido de la </w:t>
      </w:r>
      <w:r w:rsidR="001C41A6">
        <w:t>Ley</w:t>
      </w:r>
      <w:r w:rsidRPr="005A6843">
        <w:t xml:space="preserve"> del Estatuto de los Trabajadores y Real Decreto Legislativo 3/2015, de 23 de octubre, por el que se aprueba el texto refundido de la </w:t>
      </w:r>
      <w:r w:rsidR="001C41A6">
        <w:t>Ley</w:t>
      </w:r>
      <w:r w:rsidRPr="005A6843">
        <w:t xml:space="preserve"> de Empleo, no incluidos pese a su importancia en la sub-categoría </w:t>
      </w:r>
      <w:r w:rsidRPr="005D5E8F">
        <w:rPr>
          <w:i/>
        </w:rPr>
        <w:t>“Normativa Destacada”</w:t>
      </w:r>
      <w:r w:rsidRPr="005A6843">
        <w:t xml:space="preserve">-, y 36 Reales Decretos. </w:t>
      </w:r>
    </w:p>
    <w:p w:rsidR="0038108F" w:rsidRPr="005D5E8F" w:rsidRDefault="0038108F" w:rsidP="00AA712B">
      <w:pPr>
        <w:jc w:val="both"/>
        <w:rPr>
          <w:b/>
          <w:u w:val="single"/>
        </w:rPr>
      </w:pPr>
      <w:r w:rsidRPr="005D5E8F">
        <w:rPr>
          <w:b/>
          <w:u w:val="single"/>
        </w:rPr>
        <w:t>Otras disposiciones</w:t>
      </w:r>
    </w:p>
    <w:p w:rsidR="0038108F" w:rsidRPr="005A6843" w:rsidRDefault="0038108F" w:rsidP="00AA712B">
      <w:pPr>
        <w:jc w:val="both"/>
      </w:pPr>
      <w:r w:rsidRPr="005A6843">
        <w:t xml:space="preserve">Se publican 63 documentos: dos directrices, un documento sometido a información pública –Nota informativa sobre la aplicación de la prestación por paternidad tras la entrada en vigor de la </w:t>
      </w:r>
      <w:r w:rsidR="001C41A6">
        <w:t>Ley</w:t>
      </w:r>
      <w:r w:rsidRPr="005A6843">
        <w:t xml:space="preserve"> 9/2009, de 6 de octubre, de ampliación de la duración del permiso de paternidad en los casos de nacimiento, adopción o acogida-, 11 instrucciones, 46 órdenes ministeriales, 18 resoluciones normativas y 85 respuestas a consultas.</w:t>
      </w:r>
    </w:p>
    <w:p w:rsidR="00684CD5" w:rsidRDefault="00684CD5">
      <w:pPr>
        <w:rPr>
          <w:b/>
          <w:color w:val="1C314E" w:themeColor="accent4" w:themeShade="80"/>
          <w:sz w:val="28"/>
        </w:rPr>
      </w:pPr>
      <w:bookmarkStart w:id="270" w:name="_Toc498345430"/>
      <w:r>
        <w:br w:type="page"/>
      </w:r>
    </w:p>
    <w:p w:rsidR="0038108F" w:rsidRPr="005A6843" w:rsidRDefault="0038108F" w:rsidP="009F3B2E">
      <w:pPr>
        <w:pStyle w:val="Ttulo5"/>
      </w:pPr>
      <w:bookmarkStart w:id="271" w:name="_Toc501110714"/>
      <w:r w:rsidRPr="005A6843">
        <w:t>Información económica, presupuestaria y estadística</w:t>
      </w:r>
      <w:bookmarkEnd w:id="270"/>
      <w:bookmarkEnd w:id="271"/>
    </w:p>
    <w:p w:rsidR="0038108F" w:rsidRDefault="005D5E8F" w:rsidP="00FC26D7">
      <w:pPr>
        <w:pStyle w:val="Prrafodelista"/>
        <w:numPr>
          <w:ilvl w:val="0"/>
          <w:numId w:val="56"/>
        </w:numPr>
        <w:ind w:left="426" w:hanging="426"/>
        <w:jc w:val="both"/>
        <w:rPr>
          <w:b/>
          <w:u w:val="single"/>
        </w:rPr>
      </w:pPr>
      <w:r w:rsidRPr="005D5E8F">
        <w:rPr>
          <w:b/>
          <w:u w:val="single"/>
        </w:rPr>
        <w:t>CONTRATOS, CONVENIOS, SUBVENCIONES Y BINES INMUEBLES</w:t>
      </w:r>
    </w:p>
    <w:p w:rsidR="005D5E8F" w:rsidRPr="005D5E8F" w:rsidRDefault="005D5E8F" w:rsidP="005D5E8F">
      <w:pPr>
        <w:pStyle w:val="Prrafodelista"/>
        <w:ind w:left="426"/>
        <w:jc w:val="both"/>
        <w:rPr>
          <w:b/>
          <w:u w:val="single"/>
        </w:rPr>
      </w:pPr>
    </w:p>
    <w:p w:rsidR="0038108F" w:rsidRPr="005A6843" w:rsidRDefault="0038108F" w:rsidP="00AA712B">
      <w:pPr>
        <w:jc w:val="both"/>
      </w:pPr>
      <w:r w:rsidRPr="005A6843">
        <w:t xml:space="preserve">El menú de la categoría </w:t>
      </w:r>
      <w:r w:rsidRPr="005D5E8F">
        <w:rPr>
          <w:i/>
        </w:rPr>
        <w:t>“Contratos, Convenios, Subvenciones y Bienes Inmuebles”</w:t>
      </w:r>
      <w:r w:rsidRPr="005A6843">
        <w:t xml:space="preserve"> del MEYSS presenta únicamente tres sub-categorías de información: </w:t>
      </w:r>
      <w:r w:rsidRPr="005D5E8F">
        <w:rPr>
          <w:i/>
        </w:rPr>
        <w:t>“Contratos”, “Convenios y Encomiendas”</w:t>
      </w:r>
      <w:r w:rsidRPr="005A6843">
        <w:t xml:space="preserve"> y </w:t>
      </w:r>
      <w:r w:rsidRPr="005D5E8F">
        <w:rPr>
          <w:i/>
        </w:rPr>
        <w:t>“Bienes Inmuebles”</w:t>
      </w:r>
      <w:r w:rsidRPr="005A6843">
        <w:t xml:space="preserve">. Faltan, pues, cuatro sub-categorías de las contenidas en el menú general de </w:t>
      </w:r>
      <w:r w:rsidRPr="005D5E8F">
        <w:rPr>
          <w:i/>
        </w:rPr>
        <w:t>“Contratos”</w:t>
      </w:r>
      <w:r w:rsidRPr="005A6843">
        <w:t xml:space="preserve"> del Portal: </w:t>
      </w:r>
      <w:r w:rsidRPr="005D5E8F">
        <w:rPr>
          <w:i/>
        </w:rPr>
        <w:t>“Estadística de contratos”</w:t>
      </w:r>
      <w:r w:rsidR="00EA3B49">
        <w:rPr>
          <w:i/>
        </w:rPr>
        <w:t>,</w:t>
      </w:r>
      <w:r w:rsidRPr="005D5E8F">
        <w:rPr>
          <w:i/>
        </w:rPr>
        <w:t xml:space="preserve"> “Contratos basados en Acuerdos-Marco”</w:t>
      </w:r>
      <w:r w:rsidR="00EA3B49">
        <w:rPr>
          <w:i/>
        </w:rPr>
        <w:t>,</w:t>
      </w:r>
      <w:r w:rsidRPr="005D5E8F">
        <w:rPr>
          <w:i/>
        </w:rPr>
        <w:t xml:space="preserve"> “Subvenciones”</w:t>
      </w:r>
      <w:r w:rsidRPr="005A6843">
        <w:t xml:space="preserve"> y </w:t>
      </w:r>
      <w:r w:rsidRPr="00EA3B49">
        <w:rPr>
          <w:i/>
        </w:rPr>
        <w:t>“Subvenciones a los partidos políticos”</w:t>
      </w:r>
      <w:r w:rsidRPr="005A6843">
        <w:t>.</w:t>
      </w:r>
    </w:p>
    <w:p w:rsidR="0038108F" w:rsidRPr="005A6843" w:rsidRDefault="0038108F" w:rsidP="00AA712B">
      <w:pPr>
        <w:jc w:val="both"/>
      </w:pPr>
      <w:r w:rsidRPr="005A6843">
        <w:t>Así, deben darse por reproducidas aquí las consideraciones efectuadas respecto de dichos elementos o sub-categorías en el análisis del menú general del Portal.</w:t>
      </w:r>
    </w:p>
    <w:p w:rsidR="0038108F" w:rsidRPr="005A6843" w:rsidRDefault="0038108F" w:rsidP="00AA712B">
      <w:pPr>
        <w:jc w:val="both"/>
      </w:pPr>
      <w:r w:rsidRPr="005A6843">
        <w:t xml:space="preserve">A continuación se expone brevemente el contenido de cada uno de los elementos informativos incluidos en la categoría. En todos ellos, la información se ajusta al modelo general del Portal por lo que deben tenerse por reproducidas las consideraciones efectuadas con ocasión del análisis de sus elementos correlativos en el análisis de aquel. </w:t>
      </w:r>
    </w:p>
    <w:p w:rsidR="0038108F" w:rsidRPr="00EA3B49" w:rsidRDefault="0038108F" w:rsidP="00AA712B">
      <w:pPr>
        <w:jc w:val="both"/>
        <w:rPr>
          <w:b/>
          <w:u w:val="single"/>
        </w:rPr>
      </w:pPr>
      <w:r w:rsidRPr="00EA3B49">
        <w:rPr>
          <w:b/>
          <w:u w:val="single"/>
        </w:rPr>
        <w:t>Contratos</w:t>
      </w:r>
    </w:p>
    <w:p w:rsidR="0038108F" w:rsidRPr="005A6843" w:rsidRDefault="0038108F" w:rsidP="00AA712B">
      <w:pPr>
        <w:jc w:val="both"/>
      </w:pPr>
      <w:r w:rsidRPr="005A6843">
        <w:t>Recoge a día de hoy 31.120 contratos, clasificados del siguiente modo por procedimientos de contratación: 3.446 contratos abiertos, 10 procedimientos restringidos, 1.169 negociados sin publicidad, 36 negociados con publicidad, 24.379 contratos menores, 81 derivados de Acuerdos-marco, 1.996 celebrados de acuerdo a normas internas y uno adjudicado por “otros” procedimientos -la enajenación, mediante el procedimiento de adjudicación directa, del edificio, propiedad de la Tesorería General de la Seguridad Social, situado en el Paseo Joan de Borbó, 44-45 de Barcelona-.</w:t>
      </w:r>
    </w:p>
    <w:p w:rsidR="0038108F" w:rsidRPr="00EA3B49" w:rsidRDefault="0038108F" w:rsidP="00AA712B">
      <w:pPr>
        <w:jc w:val="both"/>
        <w:rPr>
          <w:b/>
          <w:u w:val="single"/>
        </w:rPr>
      </w:pPr>
      <w:r w:rsidRPr="00EA3B49">
        <w:rPr>
          <w:b/>
          <w:u w:val="single"/>
        </w:rPr>
        <w:t>Convenios y encomiendas</w:t>
      </w:r>
    </w:p>
    <w:p w:rsidR="0038108F" w:rsidRPr="005A6843" w:rsidRDefault="0038108F" w:rsidP="00AA712B">
      <w:pPr>
        <w:jc w:val="both"/>
      </w:pPr>
      <w:r w:rsidRPr="005A6843">
        <w:t xml:space="preserve">A fecha de hoy, se publican 190 instrumentos, 181 convenios y 9 encomiendas de gestión. </w:t>
      </w:r>
    </w:p>
    <w:p w:rsidR="0038108F" w:rsidRPr="00EA3B49" w:rsidRDefault="0038108F" w:rsidP="00AA712B">
      <w:pPr>
        <w:jc w:val="both"/>
        <w:rPr>
          <w:b/>
          <w:u w:val="single"/>
        </w:rPr>
      </w:pPr>
      <w:r w:rsidRPr="00EA3B49">
        <w:rPr>
          <w:b/>
          <w:u w:val="single"/>
        </w:rPr>
        <w:t>Bienes inmuebles</w:t>
      </w:r>
    </w:p>
    <w:p w:rsidR="0038108F" w:rsidRPr="005A6843" w:rsidRDefault="0038108F" w:rsidP="00AA712B">
      <w:pPr>
        <w:jc w:val="both"/>
      </w:pPr>
      <w:r w:rsidRPr="005A6843">
        <w:t xml:space="preserve">Se recoge información sobre 715 inmuebles, distribuidos del siguiente modo: 667 edificios, 41 solares y 7 suelos rústicos. </w:t>
      </w:r>
    </w:p>
    <w:p w:rsidR="0038108F" w:rsidRDefault="00EA3B49" w:rsidP="00FC26D7">
      <w:pPr>
        <w:pStyle w:val="Prrafodelista"/>
        <w:numPr>
          <w:ilvl w:val="0"/>
          <w:numId w:val="56"/>
        </w:numPr>
        <w:ind w:left="426" w:hanging="426"/>
        <w:jc w:val="both"/>
        <w:rPr>
          <w:b/>
          <w:u w:val="single"/>
        </w:rPr>
      </w:pPr>
      <w:r w:rsidRPr="00EA3B49">
        <w:rPr>
          <w:b/>
          <w:u w:val="single"/>
        </w:rPr>
        <w:t>PRESUPUESTOS, FISCALIZACIÓN E INFORMES</w:t>
      </w:r>
    </w:p>
    <w:p w:rsidR="00EA3B49" w:rsidRPr="00EA3B49" w:rsidRDefault="00EA3B49" w:rsidP="00EA3B49">
      <w:pPr>
        <w:pStyle w:val="Prrafodelista"/>
        <w:ind w:left="426"/>
        <w:jc w:val="both"/>
        <w:rPr>
          <w:b/>
          <w:u w:val="single"/>
        </w:rPr>
      </w:pPr>
    </w:p>
    <w:p w:rsidR="0038108F" w:rsidRPr="005A6843" w:rsidRDefault="0038108F" w:rsidP="00AA712B">
      <w:pPr>
        <w:jc w:val="both"/>
      </w:pPr>
      <w:r w:rsidRPr="005A6843">
        <w:t xml:space="preserve">La categoría </w:t>
      </w:r>
      <w:r w:rsidRPr="00EA3B49">
        <w:rPr>
          <w:i/>
        </w:rPr>
        <w:t>“Presupuestos, Fiscalización e Informes”</w:t>
      </w:r>
      <w:r w:rsidRPr="005A6843">
        <w:t xml:space="preserve"> del menú del MEYSS presenta únicamente dos sub-categorías informativas: </w:t>
      </w:r>
      <w:r w:rsidRPr="00EA3B49">
        <w:rPr>
          <w:i/>
        </w:rPr>
        <w:t>“Presupuestos Generales del Estado”</w:t>
      </w:r>
      <w:r w:rsidRPr="005A6843">
        <w:t xml:space="preserve"> y </w:t>
      </w:r>
      <w:r w:rsidRPr="00EA3B49">
        <w:rPr>
          <w:i/>
        </w:rPr>
        <w:t>“Estadísticas e Informes Relevantes”</w:t>
      </w:r>
      <w:r w:rsidRPr="005A6843">
        <w:t xml:space="preserve">. Faltan, pues, cinco de las siete que presenta el menú general de </w:t>
      </w:r>
      <w:r w:rsidRPr="00EA3B49">
        <w:rPr>
          <w:i/>
        </w:rPr>
        <w:t>“Presupuestos”</w:t>
      </w:r>
      <w:r w:rsidRPr="005A6843">
        <w:t xml:space="preserve"> del Portal: “Ejecución Presupuestaria”, “Cuentas anuales e informes de auditoría”, “informes de fiscalización”, “Estabilidad presupuestaria” y “Más información presupuestaria”. </w:t>
      </w:r>
    </w:p>
    <w:p w:rsidR="0038108F" w:rsidRPr="005A6843" w:rsidRDefault="0038108F" w:rsidP="00AA712B">
      <w:pPr>
        <w:jc w:val="both"/>
      </w:pPr>
      <w:r w:rsidRPr="005A6843">
        <w:t>Al respecto han de darse por reproducidas las reflexiones y comentarios efectuados en relación con las sub-categorías o elementos de la categoría.</w:t>
      </w:r>
    </w:p>
    <w:p w:rsidR="0038108F" w:rsidRPr="005A6843" w:rsidRDefault="0038108F" w:rsidP="00AA712B">
      <w:pPr>
        <w:jc w:val="both"/>
      </w:pPr>
      <w:r w:rsidRPr="005A6843">
        <w:t xml:space="preserve">Se analiza acto seguido el contenido de los elementos efectivamente incluidos en la categoría. En todos ellos la información se ajusta al modelo general del Portal por lo que deben tenerse por reproducidas las consideraciones efectuadas con ocasión del estudio de éste. </w:t>
      </w:r>
    </w:p>
    <w:p w:rsidR="0038108F" w:rsidRPr="00EA3B49" w:rsidRDefault="0038108F" w:rsidP="00AA712B">
      <w:pPr>
        <w:jc w:val="both"/>
        <w:rPr>
          <w:b/>
          <w:u w:val="single"/>
        </w:rPr>
      </w:pPr>
      <w:r w:rsidRPr="00EA3B49">
        <w:rPr>
          <w:b/>
          <w:u w:val="single"/>
        </w:rPr>
        <w:t xml:space="preserve">Presupuestos Generales </w:t>
      </w:r>
    </w:p>
    <w:p w:rsidR="0038108F" w:rsidRPr="005A6843" w:rsidRDefault="0038108F" w:rsidP="00AA712B">
      <w:pPr>
        <w:jc w:val="both"/>
      </w:pPr>
      <w:r w:rsidRPr="005A6843">
        <w:t xml:space="preserve">En la opción </w:t>
      </w:r>
      <w:r w:rsidRPr="00EA3B49">
        <w:rPr>
          <w:i/>
        </w:rPr>
        <w:t>“Gastos”</w:t>
      </w:r>
      <w:r w:rsidRPr="005A6843">
        <w:t xml:space="preserve">, el menú ofrece 23 resultados: uno para 2017 con un enlace directo al Presupuesto de Gastos del MEYSS y 22 para los ejercicios 2014, 2015 y 2016 con accesos a los Presupuestos del Departamento, sus organismos vinculados y dependientes y algún organismo adscrito (en Consejo Económico y Social (CES)). Entre las entradas aparecen algunas correspondientes a organismos ajenos al Ministerio -p. ej. RENFE-Operadora o ADIF -. </w:t>
      </w:r>
    </w:p>
    <w:p w:rsidR="0038108F" w:rsidRPr="00EA3B49" w:rsidRDefault="0038108F" w:rsidP="00AA712B">
      <w:pPr>
        <w:jc w:val="both"/>
        <w:rPr>
          <w:b/>
          <w:u w:val="single"/>
        </w:rPr>
      </w:pPr>
      <w:r w:rsidRPr="00EA3B49">
        <w:rPr>
          <w:b/>
          <w:u w:val="single"/>
        </w:rPr>
        <w:t xml:space="preserve">Información y estadísticas relevantes </w:t>
      </w:r>
    </w:p>
    <w:p w:rsidR="00EA3B49" w:rsidRDefault="0038108F" w:rsidP="00AA712B">
      <w:pPr>
        <w:jc w:val="both"/>
      </w:pPr>
      <w:r w:rsidRPr="005A6843">
        <w:t>Se ofrecen 22 resultados de contenido heterogéneo: desde el Programa editorial del Ministerio para 2017 al Marco General para la mejora de la calidad en la Administración General del Estado para 2015 pasando por el Informe Anual sobre el Fondo de Reserva de la Seguridad Social para 2016</w:t>
      </w:r>
    </w:p>
    <w:p w:rsidR="00EA3B49" w:rsidRDefault="00EA3B49">
      <w:r>
        <w:br w:type="page"/>
      </w:r>
    </w:p>
    <w:p w:rsidR="0038108F" w:rsidRPr="005A6843" w:rsidRDefault="0038108F" w:rsidP="0016665B">
      <w:pPr>
        <w:pStyle w:val="Ttulo4"/>
      </w:pPr>
      <w:bookmarkStart w:id="272" w:name="_Toc498345431"/>
      <w:bookmarkStart w:id="273" w:name="_Toc501110715"/>
      <w:r w:rsidRPr="005A6843">
        <w:t>Ministerio de Energía, Turismo y Agenda Digital (MINETAD)</w:t>
      </w:r>
      <w:bookmarkEnd w:id="272"/>
      <w:bookmarkEnd w:id="273"/>
    </w:p>
    <w:p w:rsidR="0038108F" w:rsidRPr="005A6843" w:rsidRDefault="0038108F" w:rsidP="00AA712B">
      <w:pPr>
        <w:jc w:val="both"/>
      </w:pPr>
      <w:r w:rsidRPr="005A6843">
        <w:t xml:space="preserve">El menú de </w:t>
      </w:r>
      <w:r w:rsidRPr="00EA3B49">
        <w:rPr>
          <w:i/>
        </w:rPr>
        <w:t>“Transparencia del Ministerio de Energía, Turismo y Agenda Digital”</w:t>
      </w:r>
      <w:r w:rsidRPr="005A6843">
        <w:t xml:space="preserve"> incorpora las cuatro categorías de información del menú general de categorías del Portal: </w:t>
      </w:r>
      <w:r w:rsidRPr="00EA3B49">
        <w:rPr>
          <w:i/>
        </w:rPr>
        <w:t>“Institucional”, “Normativa”, “Contratos, convenios, subvenciones y bienes inmuebles”</w:t>
      </w:r>
      <w:r w:rsidRPr="005A6843">
        <w:t xml:space="preserve"> y </w:t>
      </w:r>
      <w:r w:rsidRPr="00EA3B49">
        <w:rPr>
          <w:i/>
        </w:rPr>
        <w:t>“Presupuestos, fiscalización e informes”</w:t>
      </w:r>
      <w:r w:rsidRPr="005A6843">
        <w:t>. En este sentido deben traerse a colación las consideraciones hechas en epígrafes anteriores en relación con dicho menú general.</w:t>
      </w:r>
    </w:p>
    <w:p w:rsidR="0038108F" w:rsidRPr="005A6843" w:rsidRDefault="0038108F" w:rsidP="009F3B2E">
      <w:pPr>
        <w:pStyle w:val="Ttulo5"/>
      </w:pPr>
      <w:bookmarkStart w:id="274" w:name="_Toc498345432"/>
      <w:bookmarkStart w:id="275" w:name="_Toc501110716"/>
      <w:r w:rsidRPr="005A6843">
        <w:t>Información institucional, organizativa y de planificación</w:t>
      </w:r>
      <w:bookmarkEnd w:id="274"/>
      <w:bookmarkEnd w:id="275"/>
    </w:p>
    <w:p w:rsidR="0038108F" w:rsidRPr="005A6843" w:rsidRDefault="0038108F" w:rsidP="00AA712B">
      <w:pPr>
        <w:jc w:val="both"/>
      </w:pPr>
      <w:r w:rsidRPr="005A6843">
        <w:t xml:space="preserve">La categoría de información institucional del MECD presenta seis sub-categorías: </w:t>
      </w:r>
      <w:r w:rsidRPr="00EA3B49">
        <w:rPr>
          <w:i/>
        </w:rPr>
        <w:t>“Estructura”, “Funciones”, “Planes de objetivos”, “Retribuciones de Altos Cargos, “Currículos de Altos Cargos”</w:t>
      </w:r>
      <w:r w:rsidRPr="005A6843">
        <w:t xml:space="preserve"> y </w:t>
      </w:r>
      <w:r w:rsidRPr="00EA3B49">
        <w:rPr>
          <w:i/>
        </w:rPr>
        <w:t>“Relaciones de Puestos de Trabajo”</w:t>
      </w:r>
      <w:r w:rsidRPr="005A6843">
        <w:t xml:space="preserve">. </w:t>
      </w:r>
    </w:p>
    <w:p w:rsidR="0038108F" w:rsidRPr="005A6843" w:rsidRDefault="0038108F" w:rsidP="00AA712B">
      <w:pPr>
        <w:jc w:val="both"/>
      </w:pPr>
      <w:r w:rsidRPr="005A6843">
        <w:t xml:space="preserve">Deben darse por reproducidas aquí las consideraciones efectuadas en los anteriores apartados de este epígrafe respecto de los elementos o sub-categorías informativas </w:t>
      </w:r>
      <w:r w:rsidRPr="00EA3B49">
        <w:rPr>
          <w:i/>
        </w:rPr>
        <w:t>“Normativa de aplicación”, “Retribuciones de los Altos Cargos”, “Relaciones de Puestos de Trabajo”, “Autorizaciones de actividad privada en Altos Cargos”, “Indemnizaciones percibidas con ocasión del cese”</w:t>
      </w:r>
      <w:r w:rsidRPr="005A6843">
        <w:t xml:space="preserve"> y </w:t>
      </w:r>
      <w:r w:rsidRPr="00EA3B49">
        <w:rPr>
          <w:i/>
        </w:rPr>
        <w:t>“Autorización o reconocimiento de compatibilidad de empleados públicos”</w:t>
      </w:r>
      <w:r w:rsidRPr="005A6843">
        <w:t>.</w:t>
      </w:r>
    </w:p>
    <w:p w:rsidR="0038108F" w:rsidRPr="005A6843" w:rsidRDefault="0038108F" w:rsidP="00AA712B">
      <w:pPr>
        <w:jc w:val="both"/>
      </w:pPr>
      <w:r w:rsidRPr="005A6843">
        <w:t>Acto seguido se examina el contenido informativo de cada uno de los elementos o sub—categorías que figuran en el menú. En todas ellas, la información se ajusta al modelo establecido con carácter general en el Portal por lo que deben tenerse por reproducidas las consideraciones efectuadas respecto de las sub-categorías paralelas en el análisis del modelo general de éste.</w:t>
      </w:r>
    </w:p>
    <w:p w:rsidR="0038108F" w:rsidRPr="00EA3B49" w:rsidRDefault="0038108F" w:rsidP="00AA712B">
      <w:pPr>
        <w:jc w:val="both"/>
        <w:rPr>
          <w:b/>
          <w:u w:val="single"/>
        </w:rPr>
      </w:pPr>
      <w:r w:rsidRPr="00EA3B49">
        <w:rPr>
          <w:b/>
          <w:u w:val="single"/>
        </w:rPr>
        <w:t>Estructura</w:t>
      </w:r>
    </w:p>
    <w:p w:rsidR="0038108F" w:rsidRPr="005A6843" w:rsidRDefault="0038108F" w:rsidP="00AA712B">
      <w:pPr>
        <w:jc w:val="both"/>
      </w:pPr>
      <w:r w:rsidRPr="005A6843">
        <w:t>La organización del Ministerio es de fecha anterior a la del Real Decreto 415/2016 (Ministerio de Industria, Turismo y Energía). Consecuentemente, aparece el organigrama del Departamento limitado al rango de Director General y no aparecen los órganos colegiados y consultivos.</w:t>
      </w:r>
    </w:p>
    <w:p w:rsidR="0038108F" w:rsidRPr="005A6843" w:rsidRDefault="0038108F" w:rsidP="00AA712B">
      <w:pPr>
        <w:jc w:val="both"/>
      </w:pPr>
      <w:r w:rsidRPr="005A6843">
        <w:t xml:space="preserve">Se incluye una relación de los organismos vinculados y dependientes del Departamento. A fecha de hoy, figuran seis: Centro Español de Metrología, Instituto para la Reestructuración de la Minería del Carbón y Desarrollo Alternativo de las Comarcas Mineras, Instituto de Turismo de España (TURESPAÑA), Oficina Española de Patentes y Marcas, Instituto para la Diversificación y Ahorro de la Energía (IDAE) y Red.es. </w:t>
      </w:r>
    </w:p>
    <w:p w:rsidR="0038108F" w:rsidRPr="005A6843" w:rsidRDefault="0038108F" w:rsidP="00AA712B">
      <w:pPr>
        <w:jc w:val="both"/>
      </w:pPr>
      <w:r w:rsidRPr="005A6843">
        <w:t>En principio, coinciden con los organismos enu</w:t>
      </w:r>
      <w:r w:rsidR="00AE5F66">
        <w:t xml:space="preserve">merados en la </w:t>
      </w:r>
      <w:hyperlink r:id="rId69" w:history="1">
        <w:r w:rsidR="00FC4B2E" w:rsidRPr="00C128CF">
          <w:rPr>
            <w:rStyle w:val="Hipervnculo"/>
            <w:i/>
          </w:rPr>
          <w:t>web</w:t>
        </w:r>
        <w:r w:rsidR="00AE5F66" w:rsidRPr="00C128CF">
          <w:rPr>
            <w:rStyle w:val="Hipervnculo"/>
          </w:rPr>
          <w:t xml:space="preserve"> ministerial</w:t>
        </w:r>
      </w:hyperlink>
      <w:r w:rsidRPr="005A6843">
        <w:t xml:space="preserve"> que menciona, además, otros dos: la Empresa Nacional de Residuos Radiactivos, S.A. (ENRESA) y la Corporación de Reservas Estratégicas de Productos Petrolíferos (CORES). ENRESA tiene naturaleza de sociedad estatal y CORES de corporación de derecho público por lo que su exclusión de la información del MINETAD en el Portal AGE obedece a que no pueden considerarse, propiamente, organismos vinculados o dependientes. </w:t>
      </w:r>
    </w:p>
    <w:p w:rsidR="0038108F" w:rsidRPr="00AE5F66" w:rsidRDefault="0038108F" w:rsidP="00AA712B">
      <w:pPr>
        <w:jc w:val="both"/>
        <w:rPr>
          <w:b/>
          <w:u w:val="single"/>
        </w:rPr>
      </w:pPr>
      <w:r w:rsidRPr="00AE5F66">
        <w:rPr>
          <w:b/>
          <w:u w:val="single"/>
        </w:rPr>
        <w:t xml:space="preserve">Funciones </w:t>
      </w:r>
    </w:p>
    <w:p w:rsidR="0038108F" w:rsidRPr="005A6843" w:rsidRDefault="0038108F" w:rsidP="00AA712B">
      <w:pPr>
        <w:jc w:val="both"/>
      </w:pPr>
      <w:r w:rsidRPr="005A6843">
        <w:t xml:space="preserve">Se accede directamente al texto consolidado del «BOE» del Real Decreto 344/2012, de 10 de febrero, por el que se desarrolla la estructura orgánica básica del extinguido  Ministerio de Industria, Energía y Turismo. </w:t>
      </w:r>
    </w:p>
    <w:p w:rsidR="0038108F" w:rsidRPr="00AE5F66" w:rsidRDefault="0038108F" w:rsidP="00AA712B">
      <w:pPr>
        <w:jc w:val="both"/>
        <w:rPr>
          <w:b/>
          <w:u w:val="single"/>
        </w:rPr>
      </w:pPr>
      <w:r w:rsidRPr="00AE5F66">
        <w:rPr>
          <w:b/>
          <w:u w:val="single"/>
        </w:rPr>
        <w:t>Planes de objetivos</w:t>
      </w:r>
    </w:p>
    <w:p w:rsidR="0038108F" w:rsidRPr="005A6843" w:rsidRDefault="0038108F" w:rsidP="00AA712B">
      <w:pPr>
        <w:jc w:val="both"/>
      </w:pPr>
      <w:r w:rsidRPr="005A6843">
        <w:t xml:space="preserve">A fecha de hoy, figuran 16 documentos, nueve Cartas de Servicios del Ministerio, sus servicios territoriales y algunos de sus organismos vinculados y dependientes y 17 Planes variados. Desde los </w:t>
      </w:r>
      <w:r w:rsidRPr="00AE5F66">
        <w:rPr>
          <w:i/>
        </w:rPr>
        <w:t>Planes de objetivos de la Subsecretaría para 2015, 2016 y 2017</w:t>
      </w:r>
      <w:r w:rsidRPr="005A6843">
        <w:t xml:space="preserve"> hasta el </w:t>
      </w:r>
      <w:r w:rsidRPr="00AE5F66">
        <w:rPr>
          <w:i/>
        </w:rPr>
        <w:t>Plan Nacional Integral de Turismo</w:t>
      </w:r>
      <w:r w:rsidRPr="005A6843">
        <w:t xml:space="preserve"> y la</w:t>
      </w:r>
      <w:r w:rsidRPr="00AE5F66">
        <w:rPr>
          <w:i/>
        </w:rPr>
        <w:t xml:space="preserve"> AGENDA DIGITAL 3</w:t>
      </w:r>
      <w:r w:rsidRPr="005A6843">
        <w:t xml:space="preserve">. </w:t>
      </w:r>
      <w:r w:rsidRPr="00AE5F66">
        <w:rPr>
          <w:i/>
        </w:rPr>
        <w:t>Plan de impulso de la economía digital y los contenidos digitales</w:t>
      </w:r>
      <w:r w:rsidRPr="005A6843">
        <w:t xml:space="preserve">. </w:t>
      </w:r>
    </w:p>
    <w:p w:rsidR="0038108F" w:rsidRPr="00AE5F66" w:rsidRDefault="0038108F" w:rsidP="00AA712B">
      <w:pPr>
        <w:jc w:val="both"/>
        <w:rPr>
          <w:b/>
          <w:u w:val="single"/>
        </w:rPr>
      </w:pPr>
      <w:r w:rsidRPr="00AE5F66">
        <w:rPr>
          <w:b/>
          <w:u w:val="single"/>
        </w:rPr>
        <w:t xml:space="preserve">Retribuciones de Altos Cargos </w:t>
      </w:r>
    </w:p>
    <w:p w:rsidR="0038108F" w:rsidRPr="005A6843" w:rsidRDefault="0038108F" w:rsidP="00AA712B">
      <w:pPr>
        <w:jc w:val="both"/>
      </w:pPr>
      <w:r w:rsidRPr="005A6843">
        <w:t>Aparecen publicados las retribuciones percibidas durante 2016 por 17 Altos Cargos del Ministerio y 6 Altos Cargos correspondientes a los organismos públicos vinculados o dependientes. La información se completa con datos de los ejercicios 2013, 2014 y 2015.</w:t>
      </w:r>
    </w:p>
    <w:p w:rsidR="0038108F" w:rsidRPr="00AE5F66" w:rsidRDefault="0038108F" w:rsidP="00AA712B">
      <w:pPr>
        <w:jc w:val="both"/>
        <w:rPr>
          <w:b/>
          <w:u w:val="single"/>
        </w:rPr>
      </w:pPr>
      <w:r w:rsidRPr="00AE5F66">
        <w:rPr>
          <w:b/>
          <w:u w:val="single"/>
        </w:rPr>
        <w:t xml:space="preserve">Currículos de Altos Cargos </w:t>
      </w:r>
    </w:p>
    <w:p w:rsidR="0038108F" w:rsidRPr="005A6843" w:rsidRDefault="0038108F" w:rsidP="00AA712B">
      <w:pPr>
        <w:jc w:val="both"/>
      </w:pPr>
      <w:r w:rsidRPr="005A6843">
        <w:t>A fecha de hoy figuran los currículos de los 15 actuales Altos Cargos ministeriales. No se incluyen los de los organismos vinculados y dependientes.</w:t>
      </w:r>
    </w:p>
    <w:p w:rsidR="0038108F" w:rsidRPr="00AE5F66" w:rsidRDefault="0038108F" w:rsidP="00AA712B">
      <w:pPr>
        <w:jc w:val="both"/>
        <w:rPr>
          <w:b/>
          <w:u w:val="single"/>
        </w:rPr>
      </w:pPr>
      <w:r w:rsidRPr="00AE5F66">
        <w:rPr>
          <w:b/>
          <w:u w:val="single"/>
        </w:rPr>
        <w:t>Relaciones de puestos de trabajo (RPT)</w:t>
      </w:r>
    </w:p>
    <w:p w:rsidR="0038108F" w:rsidRPr="005A6843" w:rsidRDefault="0038108F" w:rsidP="00AA712B">
      <w:pPr>
        <w:jc w:val="both"/>
      </w:pPr>
      <w:r w:rsidRPr="005A6843">
        <w:t>A día de hoy, no figura información.</w:t>
      </w:r>
    </w:p>
    <w:p w:rsidR="0038108F" w:rsidRPr="005A6843" w:rsidRDefault="0038108F" w:rsidP="009F3B2E">
      <w:pPr>
        <w:pStyle w:val="Ttulo5"/>
      </w:pPr>
      <w:bookmarkStart w:id="276" w:name="_Toc498345433"/>
      <w:bookmarkStart w:id="277" w:name="_Toc501110717"/>
      <w:r w:rsidRPr="005A6843">
        <w:t>Información de relevancia jurídica</w:t>
      </w:r>
      <w:bookmarkEnd w:id="276"/>
      <w:bookmarkEnd w:id="277"/>
    </w:p>
    <w:p w:rsidR="0038108F" w:rsidRPr="005A6843" w:rsidRDefault="0038108F" w:rsidP="00AA712B">
      <w:pPr>
        <w:jc w:val="both"/>
      </w:pPr>
      <w:r w:rsidRPr="005A6843">
        <w:t xml:space="preserve">Incluye las cuatro sub-categorías del menú general de </w:t>
      </w:r>
      <w:r w:rsidRPr="00AE5F66">
        <w:rPr>
          <w:i/>
        </w:rPr>
        <w:t>“Normativa”</w:t>
      </w:r>
      <w:r w:rsidRPr="005A6843">
        <w:t xml:space="preserve"> del Portal: </w:t>
      </w:r>
      <w:r w:rsidRPr="00AE5F66">
        <w:rPr>
          <w:i/>
        </w:rPr>
        <w:t>“Normativa destacada”, “Normativa en elaboración”, “Normativa vigente”</w:t>
      </w:r>
      <w:r w:rsidRPr="005A6843">
        <w:t xml:space="preserve"> y </w:t>
      </w:r>
      <w:r w:rsidRPr="00AE5F66">
        <w:rPr>
          <w:i/>
        </w:rPr>
        <w:t>“Otras disposiciones”</w:t>
      </w:r>
      <w:r w:rsidRPr="005A6843">
        <w:t>. Deben darse por reproducidas al respecto las consideraciones efectuadas en el examen del menú general del Portal acerca de dichos elementos o sub-categorías y de la sub-categoría del art. 7 de la</w:t>
      </w:r>
      <w:r w:rsidR="0069620D">
        <w:t xml:space="preserve"> ley</w:t>
      </w:r>
      <w:r w:rsidR="00E768A4">
        <w:t xml:space="preserve"> de transparencia</w:t>
      </w:r>
      <w:r w:rsidRPr="005A6843">
        <w:t xml:space="preserve"> </w:t>
      </w:r>
      <w:r w:rsidRPr="00AE5F66">
        <w:rPr>
          <w:i/>
        </w:rPr>
        <w:t>“Documentos sometidos a audiencia pública durante su tramitación”</w:t>
      </w:r>
      <w:r w:rsidRPr="005A6843">
        <w:t xml:space="preserve">. </w:t>
      </w:r>
    </w:p>
    <w:p w:rsidR="0038108F" w:rsidRPr="005A6843" w:rsidRDefault="0038108F" w:rsidP="00AA712B">
      <w:pPr>
        <w:jc w:val="both"/>
      </w:pPr>
      <w:r w:rsidRPr="005A6843">
        <w:t>Se examina a continuación, brevemente, el contenido de los cuatro elementos o sub--categorías informativas presentes. En todas ellas, la información se ajusta al modelo general del Portal por lo que deben tenerse por reproducidas las consideraciones efectuadas en el epígrafe anterior en relación con las correlativas sub-categorías del menú general.</w:t>
      </w:r>
    </w:p>
    <w:p w:rsidR="0038108F" w:rsidRPr="00AE5F66" w:rsidRDefault="0038108F" w:rsidP="00AA712B">
      <w:pPr>
        <w:jc w:val="both"/>
        <w:rPr>
          <w:b/>
          <w:u w:val="single"/>
        </w:rPr>
      </w:pPr>
      <w:r w:rsidRPr="00AE5F66">
        <w:rPr>
          <w:b/>
          <w:u w:val="single"/>
        </w:rPr>
        <w:t>Normativa destacada</w:t>
      </w:r>
    </w:p>
    <w:p w:rsidR="0038108F" w:rsidRPr="005A6843" w:rsidRDefault="0038108F" w:rsidP="00AA712B">
      <w:pPr>
        <w:jc w:val="both"/>
      </w:pPr>
      <w:r w:rsidRPr="005A6843">
        <w:t>A día de hoy fecha de hoy, se publican 70 normas: un Real Decreto-</w:t>
      </w:r>
      <w:r w:rsidR="001C41A6">
        <w:t>Ley</w:t>
      </w:r>
      <w:r w:rsidRPr="005A6843">
        <w:t xml:space="preserve"> –que en realidad es un Real decreto Legislativo, el Real Decreto Legislativo 3/2011, de 14 de noviembre, por el que se aprueba el texto refundido de la </w:t>
      </w:r>
      <w:r w:rsidR="001C41A6">
        <w:t>Ley</w:t>
      </w:r>
      <w:r w:rsidRPr="005A6843">
        <w:t xml:space="preserve"> de Contratos del Sector Público- 23 Leyes, 32 Reales Decretos y 14 normas de diverso rango, etiquetadas </w:t>
      </w:r>
      <w:r w:rsidRPr="00AE5F66">
        <w:rPr>
          <w:i/>
        </w:rPr>
        <w:t>“normativa destacada del Departamento”</w:t>
      </w:r>
      <w:r w:rsidRPr="005A6843">
        <w:t>.</w:t>
      </w:r>
    </w:p>
    <w:p w:rsidR="0038108F" w:rsidRPr="00AE5F66" w:rsidRDefault="0038108F" w:rsidP="00AA712B">
      <w:pPr>
        <w:jc w:val="both"/>
        <w:rPr>
          <w:b/>
          <w:u w:val="single"/>
        </w:rPr>
      </w:pPr>
      <w:r w:rsidRPr="00AE5F66">
        <w:rPr>
          <w:b/>
          <w:u w:val="single"/>
        </w:rPr>
        <w:t>Normativa en elaboración</w:t>
      </w:r>
    </w:p>
    <w:p w:rsidR="0038108F" w:rsidRPr="005A6843" w:rsidRDefault="0038108F" w:rsidP="00AA712B">
      <w:pPr>
        <w:jc w:val="both"/>
      </w:pPr>
      <w:r w:rsidRPr="005A6843">
        <w:t xml:space="preserve">A fecha de hoy, no figura ningún resultado. </w:t>
      </w:r>
    </w:p>
    <w:p w:rsidR="0038108F" w:rsidRPr="00AE5F66" w:rsidRDefault="0038108F" w:rsidP="00AA712B">
      <w:pPr>
        <w:jc w:val="both"/>
        <w:rPr>
          <w:b/>
          <w:u w:val="single"/>
        </w:rPr>
      </w:pPr>
      <w:r w:rsidRPr="00AE5F66">
        <w:rPr>
          <w:b/>
          <w:u w:val="single"/>
        </w:rPr>
        <w:t>Normativa en vigor</w:t>
      </w:r>
    </w:p>
    <w:p w:rsidR="0038108F" w:rsidRPr="005A6843" w:rsidRDefault="0038108F" w:rsidP="00AA712B">
      <w:pPr>
        <w:jc w:val="both"/>
      </w:pPr>
      <w:r w:rsidRPr="005A6843">
        <w:t xml:space="preserve">A fecha de hoy, no figura ningún resultado. </w:t>
      </w:r>
    </w:p>
    <w:p w:rsidR="0038108F" w:rsidRPr="00AE5F66" w:rsidRDefault="0038108F" w:rsidP="00AA712B">
      <w:pPr>
        <w:jc w:val="both"/>
        <w:rPr>
          <w:b/>
          <w:u w:val="single"/>
        </w:rPr>
      </w:pPr>
      <w:r w:rsidRPr="00AE5F66">
        <w:rPr>
          <w:b/>
          <w:u w:val="single"/>
        </w:rPr>
        <w:t>Otras disposiciones</w:t>
      </w:r>
    </w:p>
    <w:p w:rsidR="0038108F" w:rsidRPr="005A6843" w:rsidRDefault="0038108F" w:rsidP="00AA712B">
      <w:pPr>
        <w:jc w:val="both"/>
      </w:pPr>
      <w:r w:rsidRPr="005A6843">
        <w:t xml:space="preserve">Se publican 77 órdenes ministeriales a fecha de hoy. Habría que completar la información con los datos correspondientes a las circulares, instrucciones, directrices, </w:t>
      </w:r>
      <w:r w:rsidR="00235F53">
        <w:t>etc.</w:t>
      </w:r>
      <w:r w:rsidRPr="005A6843">
        <w:t xml:space="preserve">, elaboradas por el MINETAD. </w:t>
      </w:r>
    </w:p>
    <w:p w:rsidR="0038108F" w:rsidRPr="005A6843" w:rsidRDefault="0038108F" w:rsidP="009F3B2E">
      <w:pPr>
        <w:pStyle w:val="Ttulo5"/>
      </w:pPr>
      <w:bookmarkStart w:id="278" w:name="_Toc498345434"/>
      <w:bookmarkStart w:id="279" w:name="_Toc501110718"/>
      <w:r w:rsidRPr="005A6843">
        <w:t>Información económica, presupuestaria y estadística</w:t>
      </w:r>
      <w:bookmarkEnd w:id="278"/>
      <w:bookmarkEnd w:id="279"/>
    </w:p>
    <w:p w:rsidR="0038108F" w:rsidRDefault="00AE5F66" w:rsidP="00FC26D7">
      <w:pPr>
        <w:pStyle w:val="Prrafodelista"/>
        <w:numPr>
          <w:ilvl w:val="0"/>
          <w:numId w:val="57"/>
        </w:numPr>
        <w:ind w:left="426" w:hanging="426"/>
        <w:jc w:val="both"/>
        <w:rPr>
          <w:b/>
          <w:u w:val="single"/>
        </w:rPr>
      </w:pPr>
      <w:r w:rsidRPr="00AE5F66">
        <w:rPr>
          <w:b/>
          <w:u w:val="single"/>
        </w:rPr>
        <w:t>CONTRATOS, CONVENIOS, SUBVENCIONES Y BIENES INMUEBLES</w:t>
      </w:r>
    </w:p>
    <w:p w:rsidR="00AE5F66" w:rsidRPr="00AE5F66" w:rsidRDefault="00AE5F66" w:rsidP="00AE5F66">
      <w:pPr>
        <w:pStyle w:val="Prrafodelista"/>
        <w:ind w:left="426"/>
        <w:jc w:val="both"/>
        <w:rPr>
          <w:b/>
          <w:u w:val="single"/>
        </w:rPr>
      </w:pPr>
    </w:p>
    <w:p w:rsidR="0038108F" w:rsidRPr="005A6843" w:rsidRDefault="0038108F" w:rsidP="00AA712B">
      <w:pPr>
        <w:jc w:val="both"/>
      </w:pPr>
      <w:r w:rsidRPr="005A6843">
        <w:t>El menú de la categoría</w:t>
      </w:r>
      <w:r w:rsidRPr="00AE5F66">
        <w:rPr>
          <w:i/>
        </w:rPr>
        <w:t xml:space="preserve"> “Contratos, Convenios, Subvenciones y Bienes Inmuebles”</w:t>
      </w:r>
      <w:r w:rsidRPr="005A6843">
        <w:t xml:space="preserve"> del MINETAD presenta únicamente tres sub-categorías de información: </w:t>
      </w:r>
      <w:r w:rsidRPr="00AE5F66">
        <w:rPr>
          <w:i/>
        </w:rPr>
        <w:t>“Contratos”, “Convenios y Encomiendas”</w:t>
      </w:r>
      <w:r w:rsidRPr="005A6843">
        <w:t xml:space="preserve"> y </w:t>
      </w:r>
      <w:r w:rsidRPr="00AE5F66">
        <w:rPr>
          <w:i/>
        </w:rPr>
        <w:t>“Bienes Inmuebles”</w:t>
      </w:r>
      <w:r w:rsidRPr="005A6843">
        <w:t xml:space="preserve">. Faltan, pues, cuatro sub-categorías de las contenidas en el menú general de </w:t>
      </w:r>
      <w:r w:rsidRPr="00AE5F66">
        <w:rPr>
          <w:i/>
        </w:rPr>
        <w:t>“Contratos” del Portal: “Estadística de contratos”</w:t>
      </w:r>
      <w:r w:rsidR="00AE5F66">
        <w:rPr>
          <w:i/>
        </w:rPr>
        <w:t>,</w:t>
      </w:r>
      <w:r w:rsidRPr="00AE5F66">
        <w:rPr>
          <w:i/>
        </w:rPr>
        <w:t xml:space="preserve"> “Contratos basados en Acuerdos-Marco”</w:t>
      </w:r>
      <w:r w:rsidR="00AE5F66">
        <w:rPr>
          <w:i/>
        </w:rPr>
        <w:t>,</w:t>
      </w:r>
      <w:r w:rsidRPr="00AE5F66">
        <w:rPr>
          <w:i/>
        </w:rPr>
        <w:t xml:space="preserve"> “Subvenciones”</w:t>
      </w:r>
      <w:r w:rsidRPr="005A6843">
        <w:t xml:space="preserve"> y </w:t>
      </w:r>
      <w:r w:rsidRPr="00AE5F66">
        <w:rPr>
          <w:i/>
        </w:rPr>
        <w:t>“Subvenciones a los partidos políticos”</w:t>
      </w:r>
      <w:r w:rsidRPr="005A6843">
        <w:t>.</w:t>
      </w:r>
    </w:p>
    <w:p w:rsidR="0038108F" w:rsidRPr="005A6843" w:rsidRDefault="0038108F" w:rsidP="00AA712B">
      <w:pPr>
        <w:jc w:val="both"/>
      </w:pPr>
      <w:r w:rsidRPr="005A6843">
        <w:t>Deben darse por reproducidas aquí las consideraciones efectuadas respecto de dichos elementos o sub-categorías en el análisis del menú general del Portal.</w:t>
      </w:r>
    </w:p>
    <w:p w:rsidR="00684CD5" w:rsidRDefault="00684CD5">
      <w:pPr>
        <w:rPr>
          <w:b/>
          <w:u w:val="single"/>
        </w:rPr>
      </w:pPr>
      <w:r>
        <w:rPr>
          <w:b/>
          <w:u w:val="single"/>
        </w:rPr>
        <w:br w:type="page"/>
      </w:r>
    </w:p>
    <w:p w:rsidR="0038108F" w:rsidRPr="00AE5F66" w:rsidRDefault="0038108F" w:rsidP="00AA712B">
      <w:pPr>
        <w:jc w:val="both"/>
        <w:rPr>
          <w:b/>
          <w:u w:val="single"/>
        </w:rPr>
      </w:pPr>
      <w:r w:rsidRPr="00AE5F66">
        <w:rPr>
          <w:b/>
          <w:u w:val="single"/>
        </w:rPr>
        <w:t>Contratos</w:t>
      </w:r>
    </w:p>
    <w:p w:rsidR="0038108F" w:rsidRPr="005A6843" w:rsidRDefault="0038108F" w:rsidP="00AA712B">
      <w:pPr>
        <w:jc w:val="both"/>
      </w:pPr>
      <w:r w:rsidRPr="005A6843">
        <w:t>A fecha de hoy recoge 2.292 contratos: 531 abiertos; un procedimiento restringido –la contratación de los servicios relacionados con la campaña internacional de publicidad en medios on-line del Instituto de Turismo de España-</w:t>
      </w:r>
      <w:r w:rsidR="00AE5F66">
        <w:t>,</w:t>
      </w:r>
      <w:r w:rsidRPr="005A6843">
        <w:t xml:space="preserve"> 186 negociados sin publicidad</w:t>
      </w:r>
      <w:r w:rsidR="00AE5F66">
        <w:t>,</w:t>
      </w:r>
      <w:r w:rsidRPr="005A6843">
        <w:t xml:space="preserve"> 6 negociados con publicidad</w:t>
      </w:r>
      <w:r w:rsidR="00AE5F66">
        <w:t>,</w:t>
      </w:r>
      <w:r w:rsidRPr="005A6843">
        <w:t xml:space="preserve"> 1.564 menores (el 68 por 100 del total)y 4 derivados de Acuerdos marco.</w:t>
      </w:r>
    </w:p>
    <w:p w:rsidR="0038108F" w:rsidRPr="00AE5F66" w:rsidRDefault="0038108F" w:rsidP="00AA712B">
      <w:pPr>
        <w:jc w:val="both"/>
        <w:rPr>
          <w:b/>
          <w:u w:val="single"/>
        </w:rPr>
      </w:pPr>
      <w:r w:rsidRPr="00AE5F66">
        <w:rPr>
          <w:b/>
          <w:u w:val="single"/>
        </w:rPr>
        <w:t>Convenios y encomiendas</w:t>
      </w:r>
    </w:p>
    <w:p w:rsidR="0038108F" w:rsidRPr="005A6843" w:rsidRDefault="0038108F" w:rsidP="00AA712B">
      <w:pPr>
        <w:jc w:val="both"/>
      </w:pPr>
      <w:r w:rsidRPr="005A6843">
        <w:t>A fecha actual, se publican 396 instrumentos, 361 convenios, 26 encomiendas de gestión y 9 encomiendas de gestión por convenio. 102 de ellos tienen financiación a cargo de MINETAD.</w:t>
      </w:r>
    </w:p>
    <w:p w:rsidR="0038108F" w:rsidRPr="00AE5F66" w:rsidRDefault="0038108F" w:rsidP="00AA712B">
      <w:pPr>
        <w:jc w:val="both"/>
        <w:rPr>
          <w:b/>
          <w:u w:val="single"/>
        </w:rPr>
      </w:pPr>
      <w:r w:rsidRPr="00AE5F66">
        <w:rPr>
          <w:b/>
          <w:u w:val="single"/>
        </w:rPr>
        <w:t>Bienes inmuebles</w:t>
      </w:r>
    </w:p>
    <w:p w:rsidR="0038108F" w:rsidRPr="005A6843" w:rsidRDefault="0038108F" w:rsidP="00AA712B">
      <w:pPr>
        <w:jc w:val="both"/>
      </w:pPr>
      <w:r w:rsidRPr="005A6843">
        <w:t>A día de hoy, presenta un listado con 186 resultados, distribuidos del siguiente modo: 160 edificios, 17 solares y 9 suelo rústico.</w:t>
      </w:r>
    </w:p>
    <w:p w:rsidR="0038108F" w:rsidRPr="00684CD5" w:rsidRDefault="00AE5F66" w:rsidP="00FC26D7">
      <w:pPr>
        <w:pStyle w:val="Prrafodelista"/>
        <w:numPr>
          <w:ilvl w:val="0"/>
          <w:numId w:val="57"/>
        </w:numPr>
        <w:ind w:left="426" w:hanging="426"/>
        <w:jc w:val="both"/>
        <w:rPr>
          <w:b/>
        </w:rPr>
      </w:pPr>
      <w:r w:rsidRPr="00684CD5">
        <w:rPr>
          <w:b/>
        </w:rPr>
        <w:t>PRESUPUESTOS, FISCALIZACIÓN E INFORMES</w:t>
      </w:r>
    </w:p>
    <w:p w:rsidR="00AE5F66" w:rsidRPr="005A6843" w:rsidRDefault="00AE5F66" w:rsidP="00AE5F66">
      <w:pPr>
        <w:pStyle w:val="Prrafodelista"/>
        <w:jc w:val="both"/>
      </w:pPr>
    </w:p>
    <w:p w:rsidR="0038108F" w:rsidRPr="005A6843" w:rsidRDefault="0038108F" w:rsidP="00AA712B">
      <w:pPr>
        <w:jc w:val="both"/>
      </w:pPr>
      <w:r w:rsidRPr="005A6843">
        <w:t xml:space="preserve">La categoría </w:t>
      </w:r>
      <w:r w:rsidRPr="00AE5F66">
        <w:rPr>
          <w:i/>
        </w:rPr>
        <w:t>“Presupuestos, Fiscalización e Informes”</w:t>
      </w:r>
      <w:r w:rsidRPr="005A6843">
        <w:t xml:space="preserve"> del menú del MEYSS presenta únicamente dos sub-categorías informativas: </w:t>
      </w:r>
      <w:r w:rsidRPr="00AE5F66">
        <w:rPr>
          <w:i/>
        </w:rPr>
        <w:t>“Presupuestos Generales del Estado”</w:t>
      </w:r>
      <w:r w:rsidRPr="005A6843">
        <w:t xml:space="preserve"> y</w:t>
      </w:r>
      <w:r w:rsidRPr="00AE5F66">
        <w:rPr>
          <w:i/>
        </w:rPr>
        <w:t xml:space="preserve"> “Estadísticas e Informes Relevantes”</w:t>
      </w:r>
      <w:r w:rsidRPr="005A6843">
        <w:t xml:space="preserve">. Faltan, pues, cinco de las siete que presenta el menú general de </w:t>
      </w:r>
      <w:r w:rsidRPr="00AE5F66">
        <w:rPr>
          <w:i/>
        </w:rPr>
        <w:t>“Presupuestos”</w:t>
      </w:r>
      <w:r w:rsidRPr="005A6843">
        <w:t xml:space="preserve"> del Portal: </w:t>
      </w:r>
      <w:r w:rsidRPr="00AE5F66">
        <w:rPr>
          <w:i/>
        </w:rPr>
        <w:t>“Ejecución Presupuestaria”, “Cuentas anuales e informes de auditoría”, “informes de fiscalización”, “Estabilidad presupuestaria”</w:t>
      </w:r>
      <w:r w:rsidRPr="005A6843">
        <w:t xml:space="preserve"> y </w:t>
      </w:r>
      <w:r w:rsidRPr="00AE5F66">
        <w:rPr>
          <w:i/>
        </w:rPr>
        <w:t>“Más información presupuestaria”</w:t>
      </w:r>
      <w:r w:rsidRPr="005A6843">
        <w:t xml:space="preserve">. </w:t>
      </w:r>
    </w:p>
    <w:p w:rsidR="0038108F" w:rsidRPr="005A6843" w:rsidRDefault="0038108F" w:rsidP="00AA712B">
      <w:pPr>
        <w:jc w:val="both"/>
      </w:pPr>
      <w:r w:rsidRPr="005A6843">
        <w:t>Al respecto han de darse por reproducidas las reflexiones y comentarios efectuados en relación con las sub-categorías o elementos de la categoría.</w:t>
      </w:r>
    </w:p>
    <w:p w:rsidR="0038108F" w:rsidRPr="005A6843" w:rsidRDefault="0038108F" w:rsidP="00AA712B">
      <w:pPr>
        <w:jc w:val="both"/>
      </w:pPr>
      <w:r w:rsidRPr="005A6843">
        <w:t xml:space="preserve">Se analiza acto seguido el contenido de los elementos efectivamente incluidos en la categoría. En todos ellos la información se ajusta al modelo general del Portal por lo que deben tenerse por reproducidas las consideraciones efectuadas con ocasión del estudio de éste. </w:t>
      </w:r>
    </w:p>
    <w:p w:rsidR="0038108F" w:rsidRPr="00AE5F66" w:rsidRDefault="0038108F" w:rsidP="00AA712B">
      <w:pPr>
        <w:jc w:val="both"/>
        <w:rPr>
          <w:b/>
          <w:u w:val="single"/>
        </w:rPr>
      </w:pPr>
      <w:r w:rsidRPr="00AE5F66">
        <w:rPr>
          <w:b/>
          <w:u w:val="single"/>
        </w:rPr>
        <w:t xml:space="preserve">Presupuestos Generales </w:t>
      </w:r>
    </w:p>
    <w:p w:rsidR="0038108F" w:rsidRPr="005A6843" w:rsidRDefault="0038108F" w:rsidP="00AA712B">
      <w:pPr>
        <w:jc w:val="both"/>
      </w:pPr>
      <w:r w:rsidRPr="005A6843">
        <w:t xml:space="preserve">En la opción </w:t>
      </w:r>
      <w:r w:rsidRPr="00A10FA4">
        <w:rPr>
          <w:i/>
        </w:rPr>
        <w:t>“Gastos”</w:t>
      </w:r>
      <w:r w:rsidRPr="005A6843">
        <w:t>, se ofrecen 26 resultados: uno para 2017 con un enlace directo al Presupuesto de Gastos del MINETAD y 25 para los ejercicios 2014, 2015 y 2016 con accesos no solo a los Presupuestos del Departamento, sus organismos vinculados y dependientes como también a los del Consejo de Seguridad Nuclear (CSN) o del Fondo Financiero para la Modernización de la Industria Turística (FOMIT).</w:t>
      </w:r>
    </w:p>
    <w:p w:rsidR="00684CD5" w:rsidRDefault="00684CD5">
      <w:pPr>
        <w:rPr>
          <w:b/>
          <w:u w:val="single"/>
        </w:rPr>
      </w:pPr>
      <w:r>
        <w:rPr>
          <w:b/>
          <w:u w:val="single"/>
        </w:rPr>
        <w:br w:type="page"/>
      </w:r>
    </w:p>
    <w:p w:rsidR="0038108F" w:rsidRPr="00A10FA4" w:rsidRDefault="0038108F" w:rsidP="00AA712B">
      <w:pPr>
        <w:jc w:val="both"/>
        <w:rPr>
          <w:b/>
          <w:u w:val="single"/>
        </w:rPr>
      </w:pPr>
      <w:r w:rsidRPr="00A10FA4">
        <w:rPr>
          <w:b/>
          <w:u w:val="single"/>
        </w:rPr>
        <w:t xml:space="preserve">Información y estadísticas relevantes </w:t>
      </w:r>
    </w:p>
    <w:p w:rsidR="00F04990" w:rsidRDefault="0038108F" w:rsidP="00AA712B">
      <w:pPr>
        <w:jc w:val="both"/>
      </w:pPr>
      <w:r w:rsidRPr="005A6843">
        <w:t xml:space="preserve">A fecha de hoy, presenta 21 resultados variados: desde una </w:t>
      </w:r>
      <w:r w:rsidRPr="00A10FA4">
        <w:rPr>
          <w:i/>
        </w:rPr>
        <w:t>Evolución histórica de los dominios '.es'</w:t>
      </w:r>
      <w:r w:rsidRPr="005A6843">
        <w:t xml:space="preserve"> hasta el </w:t>
      </w:r>
      <w:r w:rsidRPr="00A10FA4">
        <w:rPr>
          <w:i/>
        </w:rPr>
        <w:t>Programa Editorial</w:t>
      </w:r>
      <w:r w:rsidRPr="005A6843">
        <w:t xml:space="preserve"> del Ministerio para 2015, 2016 y 2017 y una </w:t>
      </w:r>
      <w:r w:rsidRPr="00A10FA4">
        <w:rPr>
          <w:i/>
        </w:rPr>
        <w:t>Estadística de Fabricación de Vehículos Automóviles y Bicicletas.</w:t>
      </w:r>
      <w:r w:rsidRPr="005A6843">
        <w:t xml:space="preserve"> En algunos casos, el título del documento que se ofrece resulta escasamente expresivo de su contenido –p. ej. </w:t>
      </w:r>
      <w:r w:rsidRPr="00A10FA4">
        <w:rPr>
          <w:i/>
        </w:rPr>
        <w:t>Informe sobre grado de cumplimiento del PAT 2014</w:t>
      </w:r>
      <w:r w:rsidRPr="005A6843">
        <w:t>-.</w:t>
      </w:r>
    </w:p>
    <w:p w:rsidR="00F04990" w:rsidRDefault="00F04990">
      <w:r>
        <w:br w:type="page"/>
      </w:r>
    </w:p>
    <w:p w:rsidR="0038108F" w:rsidRPr="0016665B" w:rsidRDefault="0038108F" w:rsidP="0016665B">
      <w:pPr>
        <w:pStyle w:val="Ttulo4"/>
      </w:pPr>
      <w:bookmarkStart w:id="280" w:name="_Toc498345435"/>
      <w:bookmarkStart w:id="281" w:name="_Toc501110719"/>
      <w:r w:rsidRPr="0016665B">
        <w:t>Ministerio de Agricultura, Pesca, Alimentación y Medio Ambiente (MAPAMA)</w:t>
      </w:r>
      <w:bookmarkEnd w:id="280"/>
      <w:bookmarkEnd w:id="281"/>
    </w:p>
    <w:p w:rsidR="0038108F" w:rsidRPr="005A6843" w:rsidRDefault="0038108F" w:rsidP="00AA712B">
      <w:pPr>
        <w:jc w:val="both"/>
      </w:pPr>
      <w:r w:rsidRPr="005A6843">
        <w:t xml:space="preserve">La “Transparencia del Ministerio de Agricultura, Pesca, Alimentación y Medio Ambiente” incluye las cuatro categorías de información del menú general de categorías del Portal: “Institucional”, “Normativa”, “Contratos, convenios, subvenciones y bienes inmuebles” y “Presupuestos, fiscalización e informes”. En este sentido deben de tenerse en cuenta las consideraciones hechas en relación con éste. </w:t>
      </w:r>
    </w:p>
    <w:p w:rsidR="0038108F" w:rsidRPr="005A6843" w:rsidRDefault="0038108F" w:rsidP="009F3B2E">
      <w:pPr>
        <w:pStyle w:val="Ttulo5"/>
      </w:pPr>
      <w:bookmarkStart w:id="282" w:name="_Toc498345436"/>
      <w:bookmarkStart w:id="283" w:name="_Toc501110720"/>
      <w:r w:rsidRPr="005A6843">
        <w:t>Información institucional, organizativa y de planificación</w:t>
      </w:r>
      <w:bookmarkEnd w:id="282"/>
      <w:bookmarkEnd w:id="283"/>
    </w:p>
    <w:p w:rsidR="0038108F" w:rsidRPr="005A6843" w:rsidRDefault="0038108F" w:rsidP="00AA712B">
      <w:pPr>
        <w:jc w:val="both"/>
      </w:pPr>
      <w:r w:rsidRPr="005A6843">
        <w:t xml:space="preserve">La categoría de información institucional presenta seis sub-categorías o elementos informativos: </w:t>
      </w:r>
      <w:r w:rsidRPr="009F3B2E">
        <w:rPr>
          <w:i/>
        </w:rPr>
        <w:t>“Estructura”, “Funciones”, “Planes de objetivos”, “Retribuciones de Altos Cargos, “Currículos de Altos Cargos”</w:t>
      </w:r>
      <w:r w:rsidRPr="005A6843">
        <w:t xml:space="preserve"> y </w:t>
      </w:r>
      <w:r w:rsidRPr="009F3B2E">
        <w:rPr>
          <w:i/>
        </w:rPr>
        <w:t>“Relaciones de Puestos de Trabajo”</w:t>
      </w:r>
      <w:r w:rsidRPr="005A6843">
        <w:t>. De este modo, teniendo en cuenta la organización del menú general del Portal, faltarían todavía dos elementos o sub-categorías informativas,</w:t>
      </w:r>
      <w:r w:rsidRPr="009F3B2E">
        <w:rPr>
          <w:i/>
        </w:rPr>
        <w:t xml:space="preserve"> “Normativa de aplicación” y “Entes del Sector Público”</w:t>
      </w:r>
      <w:r w:rsidRPr="005A6843">
        <w:t xml:space="preserve">, y sobrarían las relativas a </w:t>
      </w:r>
      <w:r w:rsidRPr="009F3B2E">
        <w:rPr>
          <w:i/>
        </w:rPr>
        <w:t>“Retribuciones de los Altos Cargos”</w:t>
      </w:r>
      <w:r w:rsidRPr="005A6843">
        <w:t xml:space="preserve">, </w:t>
      </w:r>
      <w:r w:rsidRPr="009F3B2E">
        <w:rPr>
          <w:i/>
        </w:rPr>
        <w:t>“Relaciones de Puestos de Trabajo”, “Autorizaciones de actividad privada en Altos Cargos”, “Indemnizaciones percibidas con ocasión del cese”</w:t>
      </w:r>
      <w:r w:rsidRPr="005A6843">
        <w:t xml:space="preserve"> y </w:t>
      </w:r>
      <w:r w:rsidRPr="009F3B2E">
        <w:rPr>
          <w:i/>
        </w:rPr>
        <w:t>“Autorización o reconocimiento de compatibilidad de empleados públicos”.</w:t>
      </w:r>
      <w:r w:rsidRPr="005A6843">
        <w:t xml:space="preserve"> </w:t>
      </w:r>
    </w:p>
    <w:p w:rsidR="0038108F" w:rsidRPr="005A6843" w:rsidRDefault="0038108F" w:rsidP="00AA712B">
      <w:pPr>
        <w:jc w:val="both"/>
      </w:pPr>
      <w:r w:rsidRPr="005A6843">
        <w:t>Respecto de esta cuestión, deben traerse a colación las consideraciones efectuadas en los anteriores apartados de este documento acerca de la estructuración de aquel menú general y de los distintos menús ministeriales de transparencia.</w:t>
      </w:r>
    </w:p>
    <w:p w:rsidR="0038108F" w:rsidRPr="005A6843" w:rsidRDefault="0038108F" w:rsidP="00AA712B">
      <w:pPr>
        <w:jc w:val="both"/>
      </w:pPr>
      <w:r w:rsidRPr="005A6843">
        <w:t xml:space="preserve">Se analiza ahora el contenido informativo de los elementos o sub--categorías que figuran en el menú. En todas ellas, la información se ajusta al modelo general del Portal por lo que deben tenerse por reproducidas las consideraciones efectuadas en el epígrafe anterior en relación con las correlativas sub-categorías del menú general. </w:t>
      </w:r>
    </w:p>
    <w:p w:rsidR="0038108F" w:rsidRPr="009F3B2E" w:rsidRDefault="0038108F" w:rsidP="00AA712B">
      <w:pPr>
        <w:jc w:val="both"/>
        <w:rPr>
          <w:b/>
          <w:u w:val="single"/>
        </w:rPr>
      </w:pPr>
      <w:r w:rsidRPr="009F3B2E">
        <w:rPr>
          <w:b/>
          <w:u w:val="single"/>
        </w:rPr>
        <w:t>Estructura</w:t>
      </w:r>
    </w:p>
    <w:p w:rsidR="0038108F" w:rsidRPr="005A6843" w:rsidRDefault="0038108F" w:rsidP="00AA712B">
      <w:pPr>
        <w:jc w:val="both"/>
      </w:pPr>
      <w:r w:rsidRPr="005A6843">
        <w:t xml:space="preserve">Aparece el organigrama del Departamento limitado al rango de Director General dado que la organización del Ministerio es de fecha anterior a la del Real Decreto 415/2016, de 3 de noviembre. Por la misma razón, no se completa el organigrama con la relación de los órganos colegiados y consultivos. </w:t>
      </w:r>
    </w:p>
    <w:p w:rsidR="0038108F" w:rsidRPr="005A6843" w:rsidRDefault="0038108F" w:rsidP="00AA712B">
      <w:pPr>
        <w:jc w:val="both"/>
      </w:pPr>
      <w:r w:rsidRPr="005A6843">
        <w:t>Se relacionan los organismos vinculados y dependientes del MAPAMA: Agencia de Información y Control Alimentarios (AICA); Agencia Estatal de Meteorología (AEMET); Entidad Estatal de Seguros Agrarios (ENESA); Fondo Español de Garantía Agraria (FEGA); Confederaciones Hidrográficas (Cantábrico, Duero, Ebro, Guadalquivir, Guadiana, Júcar, Miño-Sil, Segura y Tajo) y Organismo Autónomo Parques Nacionales (OAPN).</w:t>
      </w:r>
    </w:p>
    <w:p w:rsidR="0038108F" w:rsidRPr="005A6843" w:rsidRDefault="0038108F" w:rsidP="00AA712B">
      <w:pPr>
        <w:jc w:val="both"/>
      </w:pPr>
      <w:r w:rsidRPr="005A6843">
        <w:t xml:space="preserve">Los organismos coinciden con los que figuran en la página </w:t>
      </w:r>
      <w:hyperlink r:id="rId70" w:history="1">
        <w:r w:rsidR="00FC4B2E" w:rsidRPr="00C128CF">
          <w:rPr>
            <w:rStyle w:val="Hipervnculo"/>
            <w:i/>
          </w:rPr>
          <w:t>web</w:t>
        </w:r>
        <w:r w:rsidRPr="00C128CF">
          <w:rPr>
            <w:rStyle w:val="Hipervnculo"/>
          </w:rPr>
          <w:t xml:space="preserve"> del Ministerio</w:t>
        </w:r>
      </w:hyperlink>
      <w:r w:rsidRPr="005A6843">
        <w:t xml:space="preserve"> que agrega, además, la Mancomunidad de los Canales del Taibilla. La exclusión de este último de la relación de organismos del Portal AGE se justifica en su naturaleza peculiar -Mancomunidad de municipios-, que hace que no pueda considerarse organismo vinculado o dependiente.</w:t>
      </w:r>
    </w:p>
    <w:p w:rsidR="0038108F" w:rsidRPr="009F3B2E" w:rsidRDefault="0038108F" w:rsidP="00AA712B">
      <w:pPr>
        <w:jc w:val="both"/>
        <w:rPr>
          <w:b/>
          <w:u w:val="single"/>
        </w:rPr>
      </w:pPr>
      <w:r w:rsidRPr="009F3B2E">
        <w:rPr>
          <w:b/>
          <w:u w:val="single"/>
        </w:rPr>
        <w:t xml:space="preserve">Funciones </w:t>
      </w:r>
    </w:p>
    <w:p w:rsidR="0038108F" w:rsidRPr="005A6843" w:rsidRDefault="0038108F" w:rsidP="00AA712B">
      <w:pPr>
        <w:jc w:val="both"/>
      </w:pPr>
      <w:r w:rsidRPr="005A6843">
        <w:t xml:space="preserve">Al pinchar en este sub-apartado se accede directamente al texto consolidado del «BOE» del Real Decreto 401/2012, de 17 de febrero, por el que se desarrolla la estructura orgánica básica del antiguo Ministerio de Agricultura, Alimentación y Medio Ambiente. </w:t>
      </w:r>
    </w:p>
    <w:p w:rsidR="0038108F" w:rsidRPr="009F3B2E" w:rsidRDefault="0038108F" w:rsidP="00AA712B">
      <w:pPr>
        <w:jc w:val="both"/>
        <w:rPr>
          <w:b/>
          <w:u w:val="single"/>
        </w:rPr>
      </w:pPr>
      <w:r w:rsidRPr="009F3B2E">
        <w:rPr>
          <w:b/>
          <w:u w:val="single"/>
        </w:rPr>
        <w:t>Planes de objetivos</w:t>
      </w:r>
    </w:p>
    <w:p w:rsidR="0038108F" w:rsidRPr="005A6843" w:rsidRDefault="0038108F" w:rsidP="00AA712B">
      <w:pPr>
        <w:jc w:val="both"/>
      </w:pPr>
      <w:r w:rsidRPr="005A6843">
        <w:t xml:space="preserve">A día de hoy, se publican 23 documentos: 21 Planes de Objetivos y dos Cartas de Servicios. </w:t>
      </w:r>
    </w:p>
    <w:p w:rsidR="0038108F" w:rsidRPr="005A6843" w:rsidRDefault="0038108F" w:rsidP="00AA712B">
      <w:pPr>
        <w:jc w:val="both"/>
      </w:pPr>
      <w:r w:rsidRPr="005A6843">
        <w:t xml:space="preserve">Respecto de los Planes, el más antiguo data de 1999. Según se indica, todos ellos se encuentran vigentes. Sin embargo, al acceder a ellos se comprueba, por ejemplo, que el </w:t>
      </w:r>
      <w:r w:rsidRPr="009F3B2E">
        <w:rPr>
          <w:i/>
        </w:rPr>
        <w:t xml:space="preserve">Plan nacional de calidad del aire y protección de la atmósfera 2013-2016 </w:t>
      </w:r>
      <w:r w:rsidRPr="005A6843">
        <w:t>(Plan AIRE) finalizó el 31 de diciembre de 2016.</w:t>
      </w:r>
    </w:p>
    <w:p w:rsidR="0038108F" w:rsidRPr="005A6843" w:rsidRDefault="0038108F" w:rsidP="00AA712B">
      <w:pPr>
        <w:jc w:val="both"/>
      </w:pPr>
      <w:r w:rsidRPr="005A6843">
        <w:t xml:space="preserve">Por lo que respecta a las Cartas de Servicios, se publican la Carta de Servicios del FEGA Agraria y la Cata de Servicios de la Dirección General de Producciones y Mercados Agrarios. Respecto de la primera se indica que está vigente hasta 31 de diciembre de 2017 y que la información aparece actualizada a 15 de febrero de este año. Se incluye un informe de seguimiento de la carta de servicios correspondiente a 2015, datado 15/2/2016. La documentación aparece publicada en la página </w:t>
      </w:r>
      <w:r w:rsidR="00FC4B2E" w:rsidRPr="00FC4B2E">
        <w:rPr>
          <w:i/>
        </w:rPr>
        <w:t>web</w:t>
      </w:r>
      <w:r w:rsidRPr="005A6843">
        <w:t xml:space="preserve"> del FEGA. Respecto de la segunda, se indica que está vigente hasta 8 de julio de 2017. Se incluye un informe de seguimiento de la carta de servicios correspondiente a 2015, datado 19/1/2017. La documentación aparece publicada en la página </w:t>
      </w:r>
      <w:r w:rsidR="00FC4B2E" w:rsidRPr="00FC4B2E">
        <w:rPr>
          <w:i/>
        </w:rPr>
        <w:t>web</w:t>
      </w:r>
      <w:r w:rsidRPr="005A6843">
        <w:t xml:space="preserve"> de MAPAMA.</w:t>
      </w:r>
    </w:p>
    <w:p w:rsidR="0038108F" w:rsidRPr="009F3B2E" w:rsidRDefault="0038108F" w:rsidP="00AA712B">
      <w:pPr>
        <w:jc w:val="both"/>
        <w:rPr>
          <w:b/>
          <w:u w:val="single"/>
        </w:rPr>
      </w:pPr>
      <w:r w:rsidRPr="009F3B2E">
        <w:rPr>
          <w:b/>
          <w:u w:val="single"/>
        </w:rPr>
        <w:t xml:space="preserve">Retribuciones de Altos Cargos </w:t>
      </w:r>
    </w:p>
    <w:p w:rsidR="0038108F" w:rsidRPr="005A6843" w:rsidRDefault="0038108F" w:rsidP="00AA712B">
      <w:pPr>
        <w:jc w:val="both"/>
      </w:pPr>
      <w:r w:rsidRPr="005A6843">
        <w:t>A día de hoy aparecen publicadas las retribuciones íntegras anuales percibidas en 2016 por 22 Altos Cargos, 19 correspondientes al Ministerio y tres a AEMET y FEGA -de los restantes organismos vinculados y dependientes no existe información al tener sus titulares rango de subdirector general-. Debe tenerse en cuenta que existen cargos que han tenido más de un titular (FEGA, Dirección General de Desarrollo Rural y Política Forestal).</w:t>
      </w:r>
    </w:p>
    <w:p w:rsidR="00684CD5" w:rsidRDefault="00684CD5">
      <w:pPr>
        <w:rPr>
          <w:b/>
          <w:u w:val="single"/>
        </w:rPr>
      </w:pPr>
      <w:r>
        <w:rPr>
          <w:b/>
          <w:u w:val="single"/>
        </w:rPr>
        <w:br w:type="page"/>
      </w:r>
    </w:p>
    <w:p w:rsidR="0038108F" w:rsidRPr="009F3B2E" w:rsidRDefault="0038108F" w:rsidP="00AA712B">
      <w:pPr>
        <w:jc w:val="both"/>
        <w:rPr>
          <w:b/>
          <w:u w:val="single"/>
        </w:rPr>
      </w:pPr>
      <w:r w:rsidRPr="009F3B2E">
        <w:rPr>
          <w:b/>
          <w:u w:val="single"/>
        </w:rPr>
        <w:t>Incorpora información de 2013, 2014 y 2015.</w:t>
      </w:r>
    </w:p>
    <w:p w:rsidR="0038108F" w:rsidRPr="005A6843" w:rsidRDefault="0038108F" w:rsidP="00AA712B">
      <w:pPr>
        <w:jc w:val="both"/>
      </w:pPr>
      <w:r w:rsidRPr="005A6843">
        <w:t xml:space="preserve">Currículos de Altos Cargos </w:t>
      </w:r>
    </w:p>
    <w:p w:rsidR="009F3B2E" w:rsidRDefault="0038108F" w:rsidP="00AA712B">
      <w:pPr>
        <w:jc w:val="both"/>
      </w:pPr>
      <w:r w:rsidRPr="005A6843">
        <w:t xml:space="preserve">A día de hoy aparecen 20 </w:t>
      </w:r>
      <w:r w:rsidR="009F3B2E" w:rsidRPr="005A6843">
        <w:t>currículos</w:t>
      </w:r>
      <w:r w:rsidRPr="005A6843">
        <w:t>. Sólo aparece publicados los currículos de los titulares de dos de los organismos públicos dependientes del MAPAMA: AEMET y FEGA. De los restantes no existe información al tener sus titulare</w:t>
      </w:r>
      <w:r w:rsidR="009F3B2E">
        <w:t>s rango de Subdirector general.</w:t>
      </w:r>
    </w:p>
    <w:p w:rsidR="0038108F" w:rsidRPr="009F3B2E" w:rsidRDefault="0038108F" w:rsidP="00AA712B">
      <w:pPr>
        <w:jc w:val="both"/>
        <w:rPr>
          <w:b/>
          <w:u w:val="single"/>
        </w:rPr>
      </w:pPr>
      <w:r w:rsidRPr="009F3B2E">
        <w:rPr>
          <w:b/>
          <w:u w:val="single"/>
        </w:rPr>
        <w:t>Relaciones de Puestos de Trabajo (RPT)</w:t>
      </w:r>
    </w:p>
    <w:p w:rsidR="0038108F" w:rsidRPr="005A6843" w:rsidRDefault="0038108F" w:rsidP="00AA712B">
      <w:pPr>
        <w:jc w:val="both"/>
      </w:pPr>
      <w:r w:rsidRPr="005A6843">
        <w:t>Se recoge información de la RPT de personal funcionario y laboral del Ministerio, así como de la AEMET. La información aparece actualizada a noviembre de 2016.</w:t>
      </w:r>
    </w:p>
    <w:p w:rsidR="0038108F" w:rsidRPr="005A6843" w:rsidRDefault="0038108F" w:rsidP="009F3B2E">
      <w:pPr>
        <w:pStyle w:val="Ttulo5"/>
      </w:pPr>
      <w:bookmarkStart w:id="284" w:name="_Toc498345437"/>
      <w:bookmarkStart w:id="285" w:name="_Toc501110721"/>
      <w:r w:rsidRPr="005A6843">
        <w:t>Información de relevancia jurídica</w:t>
      </w:r>
      <w:bookmarkEnd w:id="284"/>
      <w:bookmarkEnd w:id="285"/>
    </w:p>
    <w:p w:rsidR="0038108F" w:rsidRPr="005A6843" w:rsidRDefault="0038108F" w:rsidP="00AA712B">
      <w:pPr>
        <w:jc w:val="both"/>
      </w:pPr>
      <w:r w:rsidRPr="005A6843">
        <w:t xml:space="preserve">Incluye las cuatro sub-categorías del menú general de </w:t>
      </w:r>
      <w:r w:rsidRPr="009F3B2E">
        <w:rPr>
          <w:i/>
        </w:rPr>
        <w:t>“Normativa”</w:t>
      </w:r>
      <w:r w:rsidRPr="005A6843">
        <w:t xml:space="preserve"> del Portal: </w:t>
      </w:r>
      <w:r w:rsidRPr="009F3B2E">
        <w:rPr>
          <w:i/>
        </w:rPr>
        <w:t>“Normativa destacada”, “Normativa en elaboración”, “Normativa vigente”</w:t>
      </w:r>
      <w:r w:rsidRPr="005A6843">
        <w:t xml:space="preserve"> y </w:t>
      </w:r>
      <w:r w:rsidRPr="009F3B2E">
        <w:rPr>
          <w:i/>
        </w:rPr>
        <w:t>“Otras disposiciones”</w:t>
      </w:r>
      <w:r w:rsidRPr="005A6843">
        <w:t>. Deben darse por reproducidas al respecto, las consideraciones efectuadas en el examen del menú general del Portal acerca de dichos elementos o sub-categorías y de la sub-categoría del art. 7 de la</w:t>
      </w:r>
      <w:r w:rsidR="0069620D">
        <w:t xml:space="preserve"> ley</w:t>
      </w:r>
      <w:r w:rsidR="00E768A4">
        <w:t xml:space="preserve"> de transparencia</w:t>
      </w:r>
      <w:r w:rsidRPr="005A6843">
        <w:t xml:space="preserve"> “Documentos sometidos a audiencia pública durante su tramitación”. </w:t>
      </w:r>
    </w:p>
    <w:p w:rsidR="0038108F" w:rsidRPr="005A6843" w:rsidRDefault="0038108F" w:rsidP="00AA712B">
      <w:pPr>
        <w:jc w:val="both"/>
      </w:pPr>
      <w:r w:rsidRPr="005A6843">
        <w:t xml:space="preserve">Se examina a continuación, brevemente, el contenido de los cuatro elementos o sub--categorías informativas presentes. En todas ellas, la información se ajusta al modelo general del Portal por lo que deben tenerse por reproducidas las consideraciones efectuadas en el epígrafe anterior en relación con las correlativas sub-categorías del menú general. </w:t>
      </w:r>
    </w:p>
    <w:p w:rsidR="0038108F" w:rsidRPr="009F3B2E" w:rsidRDefault="0038108F" w:rsidP="00AA712B">
      <w:pPr>
        <w:jc w:val="both"/>
        <w:rPr>
          <w:b/>
          <w:u w:val="single"/>
        </w:rPr>
      </w:pPr>
      <w:r w:rsidRPr="009F3B2E">
        <w:rPr>
          <w:b/>
          <w:u w:val="single"/>
        </w:rPr>
        <w:t>Normativa destacada</w:t>
      </w:r>
    </w:p>
    <w:p w:rsidR="0038108F" w:rsidRPr="005A6843" w:rsidRDefault="0038108F" w:rsidP="00AA712B">
      <w:pPr>
        <w:jc w:val="both"/>
      </w:pPr>
      <w:r w:rsidRPr="005A6843">
        <w:t xml:space="preserve">A día de hoy se publican en este apartado 120 normas: 34 Leyes, 33 Reales Decretos, 11 Órdenes ministeriales y 33 resoluciones de carácter normativo. También se publican </w:t>
      </w:r>
      <w:hyperlink r:id="rId71" w:history="1">
        <w:r w:rsidRPr="00C128CF">
          <w:rPr>
            <w:rStyle w:val="Hipervnculo"/>
          </w:rPr>
          <w:t>nueve reglamentos comunitarios y un enlace con normativa destacada de la CHG del Júcar</w:t>
        </w:r>
      </w:hyperlink>
      <w:r w:rsidRPr="005A6843">
        <w:t>.</w:t>
      </w:r>
    </w:p>
    <w:p w:rsidR="0038108F" w:rsidRPr="005A6843" w:rsidRDefault="0038108F" w:rsidP="00AA712B">
      <w:pPr>
        <w:jc w:val="both"/>
      </w:pPr>
      <w:r w:rsidRPr="005A6843">
        <w:t>Existen cuestiones en este apartado que llaman la atención, como la publicación de una norma derogada (el Real Decreto 478/2013, de 21 de junio, por el que se aprueba el Plan Hidrológico de la parte española de la Demarcación Hidrográfica del Duero) y otra norma, el Real Decreto 1055/1995, de 23 de junio, por el que se modifica parcialmente la estructura orgánica básica del Ministerio de Agricultura, Pesca y Alimentación, cuya publicación resulta asimismo extraña.</w:t>
      </w:r>
    </w:p>
    <w:p w:rsidR="0038108F" w:rsidRPr="009F3B2E" w:rsidRDefault="0038108F" w:rsidP="00AA712B">
      <w:pPr>
        <w:jc w:val="both"/>
        <w:rPr>
          <w:b/>
          <w:u w:val="single"/>
        </w:rPr>
      </w:pPr>
      <w:r w:rsidRPr="009F3B2E">
        <w:rPr>
          <w:b/>
          <w:u w:val="single"/>
        </w:rPr>
        <w:t>Normativa en elaboración</w:t>
      </w:r>
    </w:p>
    <w:p w:rsidR="0038108F" w:rsidRPr="005A6843" w:rsidRDefault="0038108F" w:rsidP="00AA712B">
      <w:pPr>
        <w:jc w:val="both"/>
      </w:pPr>
      <w:r w:rsidRPr="005A6843">
        <w:t>A fecha de hoy no figura ningún resultado.</w:t>
      </w:r>
    </w:p>
    <w:p w:rsidR="0038108F" w:rsidRPr="009F3B2E" w:rsidRDefault="0038108F" w:rsidP="00AA712B">
      <w:pPr>
        <w:jc w:val="both"/>
        <w:rPr>
          <w:b/>
          <w:u w:val="single"/>
        </w:rPr>
      </w:pPr>
      <w:r w:rsidRPr="009F3B2E">
        <w:rPr>
          <w:b/>
          <w:u w:val="single"/>
        </w:rPr>
        <w:t>Normativa en vigor</w:t>
      </w:r>
    </w:p>
    <w:p w:rsidR="0038108F" w:rsidRPr="005A6843" w:rsidRDefault="0038108F" w:rsidP="00AA712B">
      <w:pPr>
        <w:jc w:val="both"/>
      </w:pPr>
      <w:r w:rsidRPr="005A6843">
        <w:t>A día de hoy no figura ningún resultado sin que se alcance a comprender bien la razón.</w:t>
      </w:r>
    </w:p>
    <w:p w:rsidR="0038108F" w:rsidRPr="009F3B2E" w:rsidRDefault="0038108F" w:rsidP="00AA712B">
      <w:pPr>
        <w:jc w:val="both"/>
        <w:rPr>
          <w:b/>
          <w:u w:val="single"/>
        </w:rPr>
      </w:pPr>
      <w:r w:rsidRPr="009F3B2E">
        <w:rPr>
          <w:b/>
          <w:u w:val="single"/>
        </w:rPr>
        <w:t>Otras disposiciones</w:t>
      </w:r>
    </w:p>
    <w:p w:rsidR="0038108F" w:rsidRPr="005A6843" w:rsidRDefault="0038108F" w:rsidP="00AA712B">
      <w:pPr>
        <w:jc w:val="both"/>
      </w:pPr>
      <w:r w:rsidRPr="005A6843">
        <w:t xml:space="preserve">En este elemento se publican 138 normas a fecha de hoy, la mayoría de ellas Órdenes ministeriales, en número de 55. El resto de normativa incluye resoluciones, circulares, acuerdos e incluso se publica una directiva comunitaria. </w:t>
      </w:r>
    </w:p>
    <w:p w:rsidR="0038108F" w:rsidRPr="005A6843" w:rsidRDefault="0038108F" w:rsidP="009F3B2E">
      <w:pPr>
        <w:pStyle w:val="Ttulo5"/>
      </w:pPr>
      <w:bookmarkStart w:id="286" w:name="_Toc498345438"/>
      <w:bookmarkStart w:id="287" w:name="_Toc501110722"/>
      <w:r w:rsidRPr="005A6843">
        <w:t>Información económica, presupuestaria y estadística</w:t>
      </w:r>
      <w:bookmarkEnd w:id="286"/>
      <w:bookmarkEnd w:id="287"/>
    </w:p>
    <w:p w:rsidR="0038108F" w:rsidRPr="009F3B2E" w:rsidRDefault="009F3B2E" w:rsidP="00FC26D7">
      <w:pPr>
        <w:pStyle w:val="Prrafodelista"/>
        <w:numPr>
          <w:ilvl w:val="0"/>
          <w:numId w:val="58"/>
        </w:numPr>
        <w:ind w:left="426" w:hanging="426"/>
        <w:jc w:val="both"/>
      </w:pPr>
      <w:r w:rsidRPr="009F3B2E">
        <w:rPr>
          <w:b/>
          <w:u w:val="single"/>
        </w:rPr>
        <w:t>CONTRATOS, CONVENIOS, SUBVENCIONES Y BINES INMUEBLES</w:t>
      </w:r>
    </w:p>
    <w:p w:rsidR="009F3B2E" w:rsidRPr="005A6843" w:rsidRDefault="009F3B2E" w:rsidP="009F3B2E">
      <w:pPr>
        <w:pStyle w:val="Prrafodelista"/>
        <w:ind w:left="426"/>
        <w:jc w:val="both"/>
      </w:pPr>
    </w:p>
    <w:p w:rsidR="0038108F" w:rsidRPr="005A6843" w:rsidRDefault="0038108F" w:rsidP="00AA712B">
      <w:pPr>
        <w:jc w:val="both"/>
      </w:pPr>
      <w:r w:rsidRPr="005A6843">
        <w:t xml:space="preserve">La categoría </w:t>
      </w:r>
      <w:r w:rsidRPr="009F3B2E">
        <w:rPr>
          <w:i/>
        </w:rPr>
        <w:t>“Contratos, Convenios, Subvenciones y Bienes Inmuebles”</w:t>
      </w:r>
      <w:r w:rsidRPr="005A6843">
        <w:t xml:space="preserve"> contiene únicamente tres sub-categorías de información sobre las siete incorporadas al menú general del Portal: </w:t>
      </w:r>
      <w:r w:rsidRPr="009F3B2E">
        <w:rPr>
          <w:i/>
        </w:rPr>
        <w:t>“Contratos”, “Convenios y Encomiendas”</w:t>
      </w:r>
      <w:r w:rsidRPr="005A6843">
        <w:t xml:space="preserve"> y </w:t>
      </w:r>
      <w:r w:rsidRPr="009F3B2E">
        <w:rPr>
          <w:i/>
        </w:rPr>
        <w:t>“Bienes Inmuebles”</w:t>
      </w:r>
      <w:r w:rsidRPr="005A6843">
        <w:t>. A este respecto deben tenerse en cuenta las consideraciones de este CTBG respecto de los elementos o sub-categorías propios de esta categoría.</w:t>
      </w:r>
    </w:p>
    <w:p w:rsidR="0038108F" w:rsidRPr="005A6843" w:rsidRDefault="0038108F" w:rsidP="00AA712B">
      <w:pPr>
        <w:jc w:val="both"/>
      </w:pPr>
      <w:r w:rsidRPr="005A6843">
        <w:t xml:space="preserve">Se examinan ahora los tres elementos informativos incorporados al menú. La información se ajusta al modelo general del Portal por lo que deben reproducirse aquí las mismas sugerencias y consideraciones que se formularon en la valoración de aquel. </w:t>
      </w:r>
    </w:p>
    <w:p w:rsidR="0038108F" w:rsidRPr="009F3B2E" w:rsidRDefault="0038108F" w:rsidP="00AA712B">
      <w:pPr>
        <w:jc w:val="both"/>
        <w:rPr>
          <w:b/>
          <w:u w:val="single"/>
        </w:rPr>
      </w:pPr>
      <w:r w:rsidRPr="009F3B2E">
        <w:rPr>
          <w:b/>
          <w:u w:val="single"/>
        </w:rPr>
        <w:t>Contratos</w:t>
      </w:r>
    </w:p>
    <w:p w:rsidR="0038108F" w:rsidRPr="005A6843" w:rsidRDefault="0038108F" w:rsidP="00AA712B">
      <w:pPr>
        <w:jc w:val="both"/>
      </w:pPr>
      <w:r w:rsidRPr="005A6843">
        <w:t xml:space="preserve">El Portal recoge, a día de hoy, 6.591 contratos del Ministerio y sus organismos vinculados y dependientes. Su distribución por procedimiento de contratación es la siguiente: 1.342 contratos abiertos, 593 negociados sin publicidad, un negociado con publicidad -obras accesorias de la adecuación del parque sobre el antiguo cauce del río Guadaíra. Término municipal de Sevilla, financiado con los Fondos Europeos de Desarrollo Regional, Fondos FEDER-, 1.755 contratos menores y seis derivados de Acuerdos-marco. </w:t>
      </w:r>
    </w:p>
    <w:p w:rsidR="0038108F" w:rsidRPr="009F3B2E" w:rsidRDefault="0038108F" w:rsidP="00AA712B">
      <w:pPr>
        <w:jc w:val="both"/>
        <w:rPr>
          <w:b/>
          <w:u w:val="single"/>
        </w:rPr>
      </w:pPr>
      <w:r w:rsidRPr="009F3B2E">
        <w:rPr>
          <w:b/>
          <w:u w:val="single"/>
        </w:rPr>
        <w:t>Convenios y encomiendas</w:t>
      </w:r>
    </w:p>
    <w:p w:rsidR="0038108F" w:rsidRPr="005A6843" w:rsidRDefault="0038108F" w:rsidP="00AA712B">
      <w:pPr>
        <w:jc w:val="both"/>
      </w:pPr>
      <w:r w:rsidRPr="005A6843">
        <w:t xml:space="preserve">A fecha de hoy, se publican 693 instrumentos, 344 convenios, 296 encomiendas de gestión y 46 encomiendas de gestión por convenio. </w:t>
      </w:r>
    </w:p>
    <w:p w:rsidR="0038108F" w:rsidRPr="009F3B2E" w:rsidRDefault="0038108F" w:rsidP="00AA712B">
      <w:pPr>
        <w:jc w:val="both"/>
        <w:rPr>
          <w:b/>
          <w:u w:val="single"/>
        </w:rPr>
      </w:pPr>
      <w:r w:rsidRPr="009F3B2E">
        <w:rPr>
          <w:b/>
          <w:u w:val="single"/>
        </w:rPr>
        <w:t>Bienes inmuebles</w:t>
      </w:r>
    </w:p>
    <w:p w:rsidR="0038108F" w:rsidRPr="005A6843" w:rsidRDefault="0038108F" w:rsidP="00AA712B">
      <w:pPr>
        <w:jc w:val="both"/>
      </w:pPr>
      <w:r w:rsidRPr="005A6843">
        <w:t xml:space="preserve">A día de hoy se recoge información sobre 621 inmuebles, distribuidos del siguiente modo: 361 edificios, 145 solares y 115 suelos rústicos. </w:t>
      </w:r>
    </w:p>
    <w:p w:rsidR="0038108F" w:rsidRPr="009F3B2E" w:rsidRDefault="009F3B2E" w:rsidP="00FC26D7">
      <w:pPr>
        <w:pStyle w:val="Prrafodelista"/>
        <w:numPr>
          <w:ilvl w:val="0"/>
          <w:numId w:val="58"/>
        </w:numPr>
        <w:ind w:left="426"/>
        <w:jc w:val="both"/>
      </w:pPr>
      <w:r w:rsidRPr="009F3B2E">
        <w:rPr>
          <w:b/>
          <w:u w:val="single"/>
        </w:rPr>
        <w:t>PRESUPUESTOS, FISCALIZACIÓN E INFORMES</w:t>
      </w:r>
    </w:p>
    <w:p w:rsidR="009F3B2E" w:rsidRPr="005A6843" w:rsidRDefault="009F3B2E" w:rsidP="009F3B2E">
      <w:pPr>
        <w:pStyle w:val="Prrafodelista"/>
        <w:ind w:left="426"/>
        <w:jc w:val="both"/>
      </w:pPr>
    </w:p>
    <w:p w:rsidR="0038108F" w:rsidRPr="005A6843" w:rsidRDefault="0038108F" w:rsidP="00AA712B">
      <w:pPr>
        <w:jc w:val="both"/>
      </w:pPr>
      <w:r w:rsidRPr="005A6843">
        <w:t xml:space="preserve">La categoría </w:t>
      </w:r>
      <w:r w:rsidRPr="009F3B2E">
        <w:rPr>
          <w:i/>
        </w:rPr>
        <w:t>“Presupuestos, Fiscalización e Informes”</w:t>
      </w:r>
      <w:r w:rsidRPr="005A6843">
        <w:t xml:space="preserve"> del menú del MAPAMA presenta únicamente dos sub-categorías informativas: </w:t>
      </w:r>
      <w:r w:rsidRPr="009F3B2E">
        <w:rPr>
          <w:i/>
        </w:rPr>
        <w:t>“Presupuestos Generales del Estado”</w:t>
      </w:r>
      <w:r w:rsidRPr="005A6843">
        <w:t xml:space="preserve"> y </w:t>
      </w:r>
      <w:r w:rsidRPr="009F3B2E">
        <w:rPr>
          <w:i/>
        </w:rPr>
        <w:t>“Estadísticas e Informes Relevantes”</w:t>
      </w:r>
      <w:r w:rsidRPr="005A6843">
        <w:t xml:space="preserve">. Faltan, pues, cinco de las siete que presenta el menú general de </w:t>
      </w:r>
      <w:r w:rsidRPr="009F3B2E">
        <w:rPr>
          <w:i/>
        </w:rPr>
        <w:t>“Presupuestos”</w:t>
      </w:r>
      <w:r w:rsidRPr="005A6843">
        <w:t xml:space="preserve"> del Portal: </w:t>
      </w:r>
      <w:r w:rsidRPr="009F3B2E">
        <w:rPr>
          <w:i/>
        </w:rPr>
        <w:t>“Ejecución Presupuestaria”, “Cuentas anuales e informes de auditoría”, “informes de fiscalización”, “Estabilidad presupuestaria”</w:t>
      </w:r>
      <w:r w:rsidRPr="005A6843">
        <w:t xml:space="preserve"> y </w:t>
      </w:r>
      <w:r w:rsidRPr="009F3B2E">
        <w:rPr>
          <w:i/>
        </w:rPr>
        <w:t>“Más información presupuestaria”</w:t>
      </w:r>
      <w:r w:rsidRPr="005A6843">
        <w:t xml:space="preserve">. </w:t>
      </w:r>
    </w:p>
    <w:p w:rsidR="0038108F" w:rsidRPr="005A6843" w:rsidRDefault="0038108F" w:rsidP="00AA712B">
      <w:pPr>
        <w:jc w:val="both"/>
      </w:pPr>
      <w:r w:rsidRPr="005A6843">
        <w:t>Al respecto han de darse por reproducidas las reflexiones y comentarios efectuados en relación con las sub-categorías o elementos de la categoría.</w:t>
      </w:r>
    </w:p>
    <w:p w:rsidR="0038108F" w:rsidRPr="005A6843" w:rsidRDefault="0038108F" w:rsidP="00AA712B">
      <w:pPr>
        <w:jc w:val="both"/>
      </w:pPr>
      <w:r w:rsidRPr="005A6843">
        <w:t>Se analiza acto seguido el contenido de los elementos efectivamente incluidos en la categoría. En todos ellos la información se ajusta al modelo general del Portal por lo que deben tenerse por reproducidas las consideraciones efectuadas con ocasión del estudio de éste.</w:t>
      </w:r>
    </w:p>
    <w:p w:rsidR="0038108F" w:rsidRPr="009F3B2E" w:rsidRDefault="0038108F" w:rsidP="00AA712B">
      <w:pPr>
        <w:jc w:val="both"/>
        <w:rPr>
          <w:b/>
          <w:u w:val="single"/>
        </w:rPr>
      </w:pPr>
      <w:r w:rsidRPr="009F3B2E">
        <w:rPr>
          <w:b/>
          <w:u w:val="single"/>
        </w:rPr>
        <w:t xml:space="preserve">Presupuestos Generales </w:t>
      </w:r>
    </w:p>
    <w:p w:rsidR="0038108F" w:rsidRPr="005A6843" w:rsidRDefault="0038108F" w:rsidP="00AA712B">
      <w:pPr>
        <w:jc w:val="both"/>
      </w:pPr>
      <w:r w:rsidRPr="005A6843">
        <w:t xml:space="preserve">La opción </w:t>
      </w:r>
      <w:r w:rsidRPr="009F3B2E">
        <w:rPr>
          <w:i/>
        </w:rPr>
        <w:t>“Gastos”</w:t>
      </w:r>
      <w:r w:rsidRPr="005A6843">
        <w:t xml:space="preserve"> ofrece 54 resultados: uno para 2017, con un enlace directo al Presupuesto de Gastos del MAPAMA, y el resto para los ejercicios 2014, 2015 y 2016 con accesos a los Presupuestos del Departamento, sus organismos vinculados y dependientes y algunos Fondos como el Fondo de Apoyo a la Diversificación del Sector Pesquero y Acuícola.  </w:t>
      </w:r>
    </w:p>
    <w:p w:rsidR="0038108F" w:rsidRPr="009F3B2E" w:rsidRDefault="0038108F" w:rsidP="00AA712B">
      <w:pPr>
        <w:jc w:val="both"/>
        <w:rPr>
          <w:b/>
          <w:u w:val="single"/>
        </w:rPr>
      </w:pPr>
      <w:r w:rsidRPr="009F3B2E">
        <w:rPr>
          <w:b/>
          <w:u w:val="single"/>
        </w:rPr>
        <w:t xml:space="preserve">Información y estadísticas relevantes </w:t>
      </w:r>
    </w:p>
    <w:p w:rsidR="0038108F" w:rsidRPr="005A6843" w:rsidRDefault="0038108F" w:rsidP="00AA712B">
      <w:pPr>
        <w:jc w:val="both"/>
      </w:pPr>
      <w:r w:rsidRPr="005A6843">
        <w:t xml:space="preserve">Se publican un total de 43 documentos de contenido muy diverso. Como ejemplos se pueden citar, el Real Decreto 1520/1991, de 25 de octubre, por el que se extingue la Confederación Nacional de Cámaras Agrarias, si bien se le da el título de </w:t>
      </w:r>
      <w:r w:rsidRPr="009F3B2E">
        <w:rPr>
          <w:i/>
        </w:rPr>
        <w:t>Comisión Gestora de la Extinta Confederación Nacional de Cámaras Agrarias</w:t>
      </w:r>
      <w:r w:rsidR="009F3B2E">
        <w:t>,</w:t>
      </w:r>
      <w:r w:rsidRPr="005A6843">
        <w:t xml:space="preserve"> el </w:t>
      </w:r>
      <w:r w:rsidRPr="009F3B2E">
        <w:rPr>
          <w:i/>
        </w:rPr>
        <w:t>Plan de Sensibilización y Voluntariado Ambiental</w:t>
      </w:r>
      <w:r w:rsidRPr="005A6843">
        <w:t xml:space="preserve"> del Organismo Autónomo PN, el Programa </w:t>
      </w:r>
      <w:r w:rsidRPr="009F3B2E">
        <w:rPr>
          <w:i/>
        </w:rPr>
        <w:t>CENEAM con la Escuela</w:t>
      </w:r>
      <w:r w:rsidR="009F3B2E">
        <w:t>,</w:t>
      </w:r>
      <w:r w:rsidRPr="005A6843">
        <w:t xml:space="preserve"> la </w:t>
      </w:r>
      <w:r w:rsidRPr="009F3B2E">
        <w:rPr>
          <w:i/>
        </w:rPr>
        <w:t>Red Española de Reservas de la Biosfera</w:t>
      </w:r>
      <w:r w:rsidRPr="005A6843">
        <w:t xml:space="preserve">, </w:t>
      </w:r>
      <w:r w:rsidR="00235F53">
        <w:t>etc.</w:t>
      </w:r>
    </w:p>
    <w:p w:rsidR="0038108F" w:rsidRPr="005A6843" w:rsidRDefault="0038108F" w:rsidP="00AA712B">
      <w:pPr>
        <w:jc w:val="both"/>
      </w:pPr>
      <w:r w:rsidRPr="005A6843">
        <w:t xml:space="preserve">En el ámbito estadístico se pueden citar los </w:t>
      </w:r>
      <w:r w:rsidRPr="009F3B2E">
        <w:rPr>
          <w:i/>
        </w:rPr>
        <w:t xml:space="preserve">Anuarios de Estadística </w:t>
      </w:r>
      <w:r w:rsidRPr="005A6843">
        <w:t>de los años 2013, 2014 y 2015.</w:t>
      </w:r>
    </w:p>
    <w:p w:rsidR="00227173" w:rsidRDefault="00227173">
      <w:pPr>
        <w:rPr>
          <w:b/>
          <w:color w:val="1C314E" w:themeColor="accent4" w:themeShade="80"/>
          <w:sz w:val="32"/>
          <w:szCs w:val="28"/>
        </w:rPr>
      </w:pPr>
      <w:bookmarkStart w:id="288" w:name="_Toc498345439"/>
      <w:r>
        <w:br w:type="page"/>
      </w:r>
    </w:p>
    <w:p w:rsidR="0038108F" w:rsidRPr="005A6843" w:rsidRDefault="0038108F" w:rsidP="009F3B2E">
      <w:pPr>
        <w:pStyle w:val="Ttulo4"/>
      </w:pPr>
      <w:bookmarkStart w:id="289" w:name="_Toc501110723"/>
      <w:r w:rsidRPr="005A6843">
        <w:t>Ministerio de Presidencia y para las Administraciones Territoriales (MPREAT)</w:t>
      </w:r>
      <w:bookmarkEnd w:id="288"/>
      <w:bookmarkEnd w:id="289"/>
    </w:p>
    <w:p w:rsidR="00F04990" w:rsidRDefault="0038108F" w:rsidP="00AA712B">
      <w:pPr>
        <w:jc w:val="both"/>
      </w:pPr>
      <w:r w:rsidRPr="005A6843">
        <w:t xml:space="preserve">Como el menú general del Portal, el menú de </w:t>
      </w:r>
      <w:r w:rsidRPr="00F52385">
        <w:rPr>
          <w:i/>
        </w:rPr>
        <w:t>“Transparencia del Ministerio de Presidencia y para las Administraciones Territoriales”</w:t>
      </w:r>
      <w:r w:rsidRPr="005A6843">
        <w:t xml:space="preserve"> aparece estructurado en cuatro categorías de información: </w:t>
      </w:r>
      <w:r w:rsidRPr="00F52385">
        <w:rPr>
          <w:i/>
        </w:rPr>
        <w:t>“Institucional”, “Normativa”, “Contratos, convenios, subvenciones y bienes inmuebles”</w:t>
      </w:r>
      <w:r w:rsidRPr="005A6843">
        <w:t xml:space="preserve"> y </w:t>
      </w:r>
      <w:r w:rsidRPr="00F52385">
        <w:rPr>
          <w:i/>
        </w:rPr>
        <w:t>“Presupuestos, fiscalización e informes”</w:t>
      </w:r>
      <w:r w:rsidRPr="005A6843">
        <w:t xml:space="preserve">. Al respecto, deben darse por reproducidas aquí las consideraciones hechas en relación con aquél. </w:t>
      </w:r>
    </w:p>
    <w:p w:rsidR="0038108F" w:rsidRPr="005A6843" w:rsidRDefault="0038108F" w:rsidP="00F52385">
      <w:pPr>
        <w:pStyle w:val="Ttulo5"/>
      </w:pPr>
      <w:bookmarkStart w:id="290" w:name="_Toc498345440"/>
      <w:bookmarkStart w:id="291" w:name="_Toc501110724"/>
      <w:r w:rsidRPr="005A6843">
        <w:t>Información institucional, organizativa y de planificación</w:t>
      </w:r>
      <w:bookmarkEnd w:id="290"/>
      <w:bookmarkEnd w:id="291"/>
    </w:p>
    <w:p w:rsidR="0038108F" w:rsidRPr="005A6843" w:rsidRDefault="0038108F" w:rsidP="00AA712B">
      <w:pPr>
        <w:jc w:val="both"/>
      </w:pPr>
      <w:r w:rsidRPr="005A6843">
        <w:t xml:space="preserve">La categoría de información institucional del MPREAT presenta seis sub-categorías: </w:t>
      </w:r>
      <w:r w:rsidRPr="00F52385">
        <w:rPr>
          <w:i/>
        </w:rPr>
        <w:t>“Estructura”, “Funciones”, “Planes de objetivos”, “Retribuciones de Altos Cargos, “Currículos de Altos Cargos”</w:t>
      </w:r>
      <w:r w:rsidRPr="005A6843">
        <w:t xml:space="preserve"> y </w:t>
      </w:r>
      <w:r w:rsidRPr="00F52385">
        <w:rPr>
          <w:i/>
        </w:rPr>
        <w:t>“Relaciones de Puestos de Trabajo”</w:t>
      </w:r>
      <w:r w:rsidRPr="005A6843">
        <w:t xml:space="preserve">. </w:t>
      </w:r>
    </w:p>
    <w:p w:rsidR="0038108F" w:rsidRPr="005A6843" w:rsidRDefault="0038108F" w:rsidP="00AA712B">
      <w:pPr>
        <w:jc w:val="both"/>
      </w:pPr>
      <w:r w:rsidRPr="005A6843">
        <w:t xml:space="preserve">Deben darse por reproducidas aquí las consideraciones efectuadas en los anteriores apartados de este epígrafe respecto de los elementos o sub-categorías informativas </w:t>
      </w:r>
      <w:r w:rsidRPr="00F52385">
        <w:rPr>
          <w:i/>
        </w:rPr>
        <w:t>“Normativa de aplicación”, “Retribuciones de los Altos Cargos”, “Relaciones de Puestos de Trabajo”, “Autorizaciones de actividad privada en Altos Cargos”, “Indemnizaciones percibidas con ocasión del cese”</w:t>
      </w:r>
      <w:r w:rsidRPr="005A6843">
        <w:t xml:space="preserve"> y </w:t>
      </w:r>
      <w:r w:rsidRPr="00F52385">
        <w:rPr>
          <w:i/>
        </w:rPr>
        <w:t>“Autorización o reconocimiento de compatibilidad de empleados públicos”</w:t>
      </w:r>
      <w:r w:rsidRPr="005A6843">
        <w:t>.</w:t>
      </w:r>
    </w:p>
    <w:p w:rsidR="0038108F" w:rsidRPr="005A6843" w:rsidRDefault="0038108F" w:rsidP="00AA712B">
      <w:pPr>
        <w:jc w:val="both"/>
      </w:pPr>
      <w:r w:rsidRPr="005A6843">
        <w:t xml:space="preserve">Se analiza acto seguido el contenido informativo de cada uno de los elementos o sub--categorías. En todas ellas, la información se ajusta al modelo establecido con carácter general en el Portal por lo que deben tenerse por reproducidas las consideraciones efectuadas respecto de las sub-categorías paralelas en el análisis del modelo general de contenidos de aquel </w:t>
      </w:r>
    </w:p>
    <w:p w:rsidR="0038108F" w:rsidRPr="00F52385" w:rsidRDefault="0038108F" w:rsidP="00AA712B">
      <w:pPr>
        <w:jc w:val="both"/>
        <w:rPr>
          <w:b/>
          <w:u w:val="single"/>
        </w:rPr>
      </w:pPr>
      <w:r w:rsidRPr="00F52385">
        <w:rPr>
          <w:b/>
          <w:u w:val="single"/>
        </w:rPr>
        <w:t>Estructura</w:t>
      </w:r>
    </w:p>
    <w:p w:rsidR="0038108F" w:rsidRPr="005A6843" w:rsidRDefault="0038108F" w:rsidP="00AA712B">
      <w:pPr>
        <w:jc w:val="both"/>
      </w:pPr>
      <w:r w:rsidRPr="005A6843">
        <w:t xml:space="preserve">La organización del Ministerio es posterior al Real Decreto 415/2016, de 3 de noviembre, habiéndose aprobado ya el nuevo Real Decreto de estructura orgánica (ver el siguiente apartado </w:t>
      </w:r>
      <w:r w:rsidRPr="00F52385">
        <w:rPr>
          <w:i/>
        </w:rPr>
        <w:t>“Funciones”</w:t>
      </w:r>
      <w:r w:rsidRPr="005A6843">
        <w:t xml:space="preserve">). No obstante, a día de hoy y debido seguramente a lo reciente de la reestructuración, continúa apareciendo el organigrama anterior, limitado al rango de Director General y sin la lista de los órganos colegiados y consultivos adscritos. </w:t>
      </w:r>
    </w:p>
    <w:p w:rsidR="0038108F" w:rsidRPr="005A6843" w:rsidRDefault="0038108F" w:rsidP="00AA712B">
      <w:pPr>
        <w:jc w:val="both"/>
      </w:pPr>
      <w:r w:rsidRPr="005A6843">
        <w:t xml:space="preserve">Se relacionan los organismos vinculados y dependientes: Agencia Estatal Boletín Oficial del Estado (BOE); Centro de Estudios Políticos y Constitucionales (CEPCO); Centro de Investigaciones Sociológicas (CIS), y Consejo de Administración del Patrimonio Nacional (PN). </w:t>
      </w:r>
    </w:p>
    <w:p w:rsidR="0038108F" w:rsidRPr="005A6843" w:rsidRDefault="0038108F" w:rsidP="00AA712B">
      <w:pPr>
        <w:jc w:val="both"/>
      </w:pPr>
      <w:r w:rsidRPr="005A6843">
        <w:t xml:space="preserve">Los organismos coinciden con los que figuran en la página </w:t>
      </w:r>
      <w:hyperlink r:id="rId72" w:history="1">
        <w:r w:rsidR="00FC4B2E" w:rsidRPr="00C128CF">
          <w:rPr>
            <w:rStyle w:val="Hipervnculo"/>
            <w:i/>
          </w:rPr>
          <w:t>web</w:t>
        </w:r>
        <w:r w:rsidRPr="00C128CF">
          <w:rPr>
            <w:rStyle w:val="Hipervnculo"/>
          </w:rPr>
          <w:t xml:space="preserve"> del Ministerio</w:t>
        </w:r>
      </w:hyperlink>
      <w:r w:rsidRPr="005A6843">
        <w:t>, que agrega, además, al Centro Nacional de Inteligencia (CNI). La exclusión de este último de la relación de organismos del Portal AGE se justifica en su condición de organismo adscrito, que no puede considerarse organismo vinculado o dependiente.</w:t>
      </w:r>
    </w:p>
    <w:p w:rsidR="0038108F" w:rsidRPr="00F52385" w:rsidRDefault="0038108F" w:rsidP="00AA712B">
      <w:pPr>
        <w:jc w:val="both"/>
        <w:rPr>
          <w:b/>
          <w:u w:val="single"/>
        </w:rPr>
      </w:pPr>
      <w:r w:rsidRPr="00F52385">
        <w:rPr>
          <w:b/>
          <w:u w:val="single"/>
        </w:rPr>
        <w:t xml:space="preserve">Funciones </w:t>
      </w:r>
    </w:p>
    <w:p w:rsidR="0038108F" w:rsidRPr="005A6843" w:rsidRDefault="0038108F" w:rsidP="00AA712B">
      <w:pPr>
        <w:jc w:val="both"/>
      </w:pPr>
      <w:r w:rsidRPr="005A6843">
        <w:t xml:space="preserve">“Clicando” en este apartado se accede directamente al texto consolidado del «BOE» del Real Decreto 199/2012, de 23 de enero, por el que se desarrolla la estructura orgánica básica del Ministerio de la Presidencia. </w:t>
      </w:r>
    </w:p>
    <w:p w:rsidR="0038108F" w:rsidRPr="00F52385" w:rsidRDefault="0038108F" w:rsidP="00AA712B">
      <w:pPr>
        <w:jc w:val="both"/>
        <w:rPr>
          <w:b/>
          <w:u w:val="single"/>
        </w:rPr>
      </w:pPr>
      <w:r w:rsidRPr="00F52385">
        <w:rPr>
          <w:b/>
          <w:u w:val="single"/>
        </w:rPr>
        <w:t>Planes de objetivos</w:t>
      </w:r>
    </w:p>
    <w:p w:rsidR="0038108F" w:rsidRPr="005A6843" w:rsidRDefault="0038108F" w:rsidP="00AA712B">
      <w:pPr>
        <w:jc w:val="both"/>
      </w:pPr>
      <w:r w:rsidRPr="005A6843">
        <w:t>A día de hoy, se publican 12 documentos: ocho Planes de Objetivos -</w:t>
      </w:r>
      <w:r w:rsidRPr="00F52385">
        <w:rPr>
          <w:i/>
        </w:rPr>
        <w:t>Plan 2014 de Comunicación y Publicidad Institucional</w:t>
      </w:r>
      <w:r w:rsidR="00F52385">
        <w:rPr>
          <w:i/>
        </w:rPr>
        <w:t>,</w:t>
      </w:r>
      <w:r w:rsidRPr="00F52385">
        <w:rPr>
          <w:i/>
        </w:rPr>
        <w:t xml:space="preserve"> Plan 2015 de Comunicación y Publicidad Institucional, Plan 2017 de Comunicación y Publicidad Institucional, .Plan de actuación</w:t>
      </w:r>
      <w:r w:rsidRPr="005A6843">
        <w:t xml:space="preserve"> del Consejo de Administración del Patrimonio Nacional, </w:t>
      </w:r>
      <w:r w:rsidRPr="00F52385">
        <w:rPr>
          <w:i/>
        </w:rPr>
        <w:t>Plan de Acción 2016</w:t>
      </w:r>
      <w:r w:rsidRPr="005A6843">
        <w:t xml:space="preserve"> del BOE, </w:t>
      </w:r>
      <w:r w:rsidRPr="00F52385">
        <w:rPr>
          <w:i/>
        </w:rPr>
        <w:t>Plan de Acción 2017</w:t>
      </w:r>
      <w:r w:rsidRPr="005A6843">
        <w:t xml:space="preserve"> del BOE, Contrato de Gestión del BOE y </w:t>
      </w:r>
      <w:r w:rsidRPr="00F52385">
        <w:rPr>
          <w:i/>
        </w:rPr>
        <w:t>II Plan de Acción de España en materia de Gobierno Abierto</w:t>
      </w:r>
      <w:r w:rsidRPr="005A6843">
        <w:t>- más cuatro Carta de Servicios -Servicios Electrónicos del Ministerio de la Presidencia, CIS, Palacio Real 2016-2019 y BOE 2016-2019-.</w:t>
      </w:r>
    </w:p>
    <w:p w:rsidR="0038108F" w:rsidRPr="00F52385" w:rsidRDefault="0038108F" w:rsidP="00AA712B">
      <w:pPr>
        <w:jc w:val="both"/>
        <w:rPr>
          <w:b/>
          <w:u w:val="single"/>
        </w:rPr>
      </w:pPr>
      <w:r w:rsidRPr="00F52385">
        <w:rPr>
          <w:b/>
          <w:u w:val="single"/>
        </w:rPr>
        <w:t xml:space="preserve">Retribuciones de Altos Cargos </w:t>
      </w:r>
    </w:p>
    <w:p w:rsidR="0038108F" w:rsidRPr="005A6843" w:rsidRDefault="0038108F" w:rsidP="00AA712B">
      <w:pPr>
        <w:jc w:val="both"/>
      </w:pPr>
      <w:r w:rsidRPr="005A6843">
        <w:t>A día de hoy, aparecen publicadas las retribuciones íntegras anuales percibidas en 2016 por los 13 Altos Cargos del Ministerio en el año 2016 y los 5 correspondientes a sus organismos públicos vinculados o dependientes. No se publican los datos de las retribuciones de los Delegados del Gobierno, que aparecen publicados en el menú del MINHAFP.</w:t>
      </w:r>
    </w:p>
    <w:p w:rsidR="0038108F" w:rsidRPr="005A6843" w:rsidRDefault="0038108F" w:rsidP="00AA712B">
      <w:pPr>
        <w:jc w:val="both"/>
      </w:pPr>
      <w:r w:rsidRPr="005A6843">
        <w:t xml:space="preserve">A criterio de este CTBG, y </w:t>
      </w:r>
      <w:r w:rsidR="00F52385" w:rsidRPr="005A6843">
        <w:t>aun</w:t>
      </w:r>
      <w:r w:rsidRPr="005A6843">
        <w:t xml:space="preserve"> considerando que el motivo de esta circunstancia es otra vez la falta de aprobación del nuevo Real Decreto de estructura orgánica del Departamento, sería conveniente trasladar los datos al menú del MPREAT, añadiendo las explicaciones pertinentes. </w:t>
      </w:r>
    </w:p>
    <w:p w:rsidR="0038108F" w:rsidRPr="00F52385" w:rsidRDefault="0038108F" w:rsidP="00AA712B">
      <w:pPr>
        <w:jc w:val="both"/>
        <w:rPr>
          <w:b/>
          <w:u w:val="single"/>
        </w:rPr>
      </w:pPr>
      <w:r w:rsidRPr="00F52385">
        <w:rPr>
          <w:b/>
          <w:u w:val="single"/>
        </w:rPr>
        <w:t xml:space="preserve">Currículos de Altos Cargos </w:t>
      </w:r>
    </w:p>
    <w:p w:rsidR="0038108F" w:rsidRPr="005A6843" w:rsidRDefault="0038108F" w:rsidP="00AA712B">
      <w:pPr>
        <w:jc w:val="both"/>
      </w:pPr>
      <w:r w:rsidRPr="005A6843">
        <w:t xml:space="preserve">A día de hoy, aparecen publicados 36 </w:t>
      </w:r>
      <w:r w:rsidR="00F52385" w:rsidRPr="005A6843">
        <w:t>currículos</w:t>
      </w:r>
      <w:r w:rsidRPr="005A6843">
        <w:t xml:space="preserve">, entre los que se incluyen los de los 19 Delegados del Gobierno, lo que constituye un nuevo argumento a favor de la incorporación de sus datos retributivos a este menú Departamental. </w:t>
      </w:r>
    </w:p>
    <w:p w:rsidR="0038108F" w:rsidRPr="00F52385" w:rsidRDefault="0038108F" w:rsidP="00AA712B">
      <w:pPr>
        <w:jc w:val="both"/>
        <w:rPr>
          <w:b/>
          <w:u w:val="single"/>
        </w:rPr>
      </w:pPr>
      <w:r w:rsidRPr="00F52385">
        <w:rPr>
          <w:b/>
          <w:u w:val="single"/>
        </w:rPr>
        <w:t>Relaciones de Puestos de Trabajo (RPT)</w:t>
      </w:r>
    </w:p>
    <w:p w:rsidR="0038108F" w:rsidRPr="005A6843" w:rsidRDefault="0038108F" w:rsidP="00AA712B">
      <w:pPr>
        <w:jc w:val="both"/>
      </w:pPr>
      <w:r w:rsidRPr="005A6843">
        <w:t xml:space="preserve">Se recoge información actualizada a noviembre de 2016 de las RPT del MPREAT, Agencia BOE y PN, que debería completarse con las del resto de los organismos dependientes y vinculados. En cualquier caso, se trata de información que, a criterio de este CTBG, debería trasladarse a un eventual apartado de información voluntaria. </w:t>
      </w:r>
    </w:p>
    <w:p w:rsidR="0038108F" w:rsidRPr="005A6843" w:rsidRDefault="0038108F" w:rsidP="00F52385">
      <w:pPr>
        <w:pStyle w:val="Ttulo5"/>
      </w:pPr>
      <w:bookmarkStart w:id="292" w:name="_Toc498345441"/>
      <w:bookmarkStart w:id="293" w:name="_Toc501110725"/>
      <w:r w:rsidRPr="005A6843">
        <w:t>Información de relevancia jurídica</w:t>
      </w:r>
      <w:bookmarkEnd w:id="292"/>
      <w:bookmarkEnd w:id="293"/>
    </w:p>
    <w:p w:rsidR="0038108F" w:rsidRPr="005A6843" w:rsidRDefault="0038108F" w:rsidP="00AA712B">
      <w:pPr>
        <w:jc w:val="both"/>
      </w:pPr>
      <w:r w:rsidRPr="005A6843">
        <w:t xml:space="preserve">Incluye las cuatro sub-categorías del menú general de </w:t>
      </w:r>
      <w:r w:rsidRPr="00F52385">
        <w:rPr>
          <w:i/>
        </w:rPr>
        <w:t>“Normativa”</w:t>
      </w:r>
      <w:r w:rsidRPr="005A6843">
        <w:t xml:space="preserve"> del Portal: </w:t>
      </w:r>
      <w:r w:rsidRPr="00F52385">
        <w:rPr>
          <w:i/>
        </w:rPr>
        <w:t>“Normativa destacada”, “Normativa en elaboración”, “Normativa vigente”</w:t>
      </w:r>
      <w:r w:rsidRPr="005A6843">
        <w:t xml:space="preserve"> y </w:t>
      </w:r>
      <w:r w:rsidRPr="00F52385">
        <w:rPr>
          <w:i/>
        </w:rPr>
        <w:t>“Otras disposiciones”</w:t>
      </w:r>
      <w:r w:rsidRPr="005A6843">
        <w:t>. Deben darse por reproducidas al respecto, las consideraciones efectuadas en el examen del menú general del Portal acerca de dichos elementos o sub-categorías y de la sub-categoría del art. 7 de la</w:t>
      </w:r>
      <w:r w:rsidR="0069620D">
        <w:t xml:space="preserve"> ley</w:t>
      </w:r>
      <w:r w:rsidR="00E768A4">
        <w:t xml:space="preserve"> de transparencia</w:t>
      </w:r>
      <w:r w:rsidRPr="005A6843">
        <w:t xml:space="preserve"> </w:t>
      </w:r>
      <w:r w:rsidRPr="00F52385">
        <w:rPr>
          <w:i/>
        </w:rPr>
        <w:t>“Documentos sometidos a audiencia pública durante su tramitación”</w:t>
      </w:r>
      <w:r w:rsidRPr="005A6843">
        <w:t xml:space="preserve">. </w:t>
      </w:r>
    </w:p>
    <w:p w:rsidR="0038108F" w:rsidRPr="005A6843" w:rsidRDefault="0038108F" w:rsidP="00AA712B">
      <w:pPr>
        <w:jc w:val="both"/>
      </w:pPr>
      <w:r w:rsidRPr="005A6843">
        <w:t xml:space="preserve">Se examina a continuación, brevemente, el contenido de cada uno de los elementos o sub--categorías informativas incluidas. En todas ellas, la información se ajusta al modelo general del Portal por lo que deben tenerse por reproducidas las consideraciones efectuadas en el epígrafe anterior en relación con las correlativas sub-categorías del menú general. </w:t>
      </w:r>
    </w:p>
    <w:p w:rsidR="0038108F" w:rsidRPr="00F52385" w:rsidRDefault="0038108F" w:rsidP="00AA712B">
      <w:pPr>
        <w:jc w:val="both"/>
        <w:rPr>
          <w:b/>
          <w:u w:val="single"/>
        </w:rPr>
      </w:pPr>
      <w:r w:rsidRPr="00F52385">
        <w:rPr>
          <w:b/>
          <w:u w:val="single"/>
        </w:rPr>
        <w:t>Normativa destacada</w:t>
      </w:r>
    </w:p>
    <w:p w:rsidR="0038108F" w:rsidRPr="005A6843" w:rsidRDefault="0038108F" w:rsidP="00AA712B">
      <w:pPr>
        <w:jc w:val="both"/>
      </w:pPr>
      <w:r w:rsidRPr="005A6843">
        <w:t xml:space="preserve">A día de hoy, se publican 38 normas: cuatro Leyes Orgánicas, 15 Leyes y 19 Reales Decretos. Se echa en falta información acerca de los criterios seguidos para la publicación de estas normas y no de otras. </w:t>
      </w:r>
    </w:p>
    <w:p w:rsidR="0038108F" w:rsidRPr="00F52385" w:rsidRDefault="0038108F" w:rsidP="00AA712B">
      <w:pPr>
        <w:jc w:val="both"/>
        <w:rPr>
          <w:b/>
          <w:u w:val="single"/>
        </w:rPr>
      </w:pPr>
      <w:r w:rsidRPr="00F52385">
        <w:rPr>
          <w:b/>
          <w:u w:val="single"/>
        </w:rPr>
        <w:t>Normativa en elaboración</w:t>
      </w:r>
    </w:p>
    <w:p w:rsidR="0038108F" w:rsidRPr="005A6843" w:rsidRDefault="0038108F" w:rsidP="00AA712B">
      <w:pPr>
        <w:jc w:val="both"/>
      </w:pPr>
      <w:r w:rsidRPr="005A6843">
        <w:t>A fecha de hoy, no figura ningún resultado.</w:t>
      </w:r>
    </w:p>
    <w:p w:rsidR="0038108F" w:rsidRPr="00F52385" w:rsidRDefault="0038108F" w:rsidP="00AA712B">
      <w:pPr>
        <w:jc w:val="both"/>
        <w:rPr>
          <w:b/>
          <w:u w:val="single"/>
        </w:rPr>
      </w:pPr>
      <w:r w:rsidRPr="00F52385">
        <w:rPr>
          <w:b/>
          <w:u w:val="single"/>
        </w:rPr>
        <w:t>Normativa en vigor</w:t>
      </w:r>
    </w:p>
    <w:p w:rsidR="0038108F" w:rsidRPr="005A6843" w:rsidRDefault="0038108F" w:rsidP="00AA712B">
      <w:pPr>
        <w:jc w:val="both"/>
      </w:pPr>
      <w:r w:rsidRPr="005A6843">
        <w:t>A día de hoy no figura ningún resultado sin que se alcance a comprender bien la razón.</w:t>
      </w:r>
    </w:p>
    <w:p w:rsidR="0038108F" w:rsidRPr="00F52385" w:rsidRDefault="0038108F" w:rsidP="00AA712B">
      <w:pPr>
        <w:jc w:val="both"/>
        <w:rPr>
          <w:b/>
          <w:u w:val="single"/>
        </w:rPr>
      </w:pPr>
      <w:r w:rsidRPr="00F52385">
        <w:rPr>
          <w:b/>
          <w:u w:val="single"/>
        </w:rPr>
        <w:t>Otras disposiciones</w:t>
      </w:r>
    </w:p>
    <w:p w:rsidR="0038108F" w:rsidRPr="005A6843" w:rsidRDefault="0038108F" w:rsidP="00AA712B">
      <w:pPr>
        <w:jc w:val="both"/>
      </w:pPr>
      <w:r w:rsidRPr="005A6843">
        <w:t xml:space="preserve">Se publican 14 documentos de contenido diverso: 7 órdenes ministeriales, y 7 resoluciones normativas. </w:t>
      </w:r>
    </w:p>
    <w:p w:rsidR="0038108F" w:rsidRPr="005A6843" w:rsidRDefault="0038108F" w:rsidP="00F52385">
      <w:pPr>
        <w:pStyle w:val="Ttulo5"/>
      </w:pPr>
      <w:bookmarkStart w:id="294" w:name="_Toc498345442"/>
      <w:bookmarkStart w:id="295" w:name="_Toc501110726"/>
      <w:r w:rsidRPr="005A6843">
        <w:t>Información económica, presupuestaria y estadística</w:t>
      </w:r>
      <w:bookmarkEnd w:id="294"/>
      <w:bookmarkEnd w:id="295"/>
    </w:p>
    <w:p w:rsidR="0038108F" w:rsidRPr="00F52385" w:rsidRDefault="00F52385" w:rsidP="00FC26D7">
      <w:pPr>
        <w:pStyle w:val="Prrafodelista"/>
        <w:numPr>
          <w:ilvl w:val="0"/>
          <w:numId w:val="59"/>
        </w:numPr>
        <w:ind w:left="426" w:hanging="426"/>
        <w:jc w:val="both"/>
      </w:pPr>
      <w:r w:rsidRPr="00F52385">
        <w:rPr>
          <w:b/>
          <w:u w:val="single"/>
        </w:rPr>
        <w:t>CONTRATOS, CONVENIOS, SUBVENCIONES Y BIENES INMUEBLES</w:t>
      </w:r>
    </w:p>
    <w:p w:rsidR="00F52385" w:rsidRPr="005A6843" w:rsidRDefault="00F52385" w:rsidP="00F52385">
      <w:pPr>
        <w:pStyle w:val="Prrafodelista"/>
        <w:ind w:left="426"/>
        <w:jc w:val="both"/>
      </w:pPr>
    </w:p>
    <w:p w:rsidR="0038108F" w:rsidRPr="005A6843" w:rsidRDefault="0038108F" w:rsidP="00AA712B">
      <w:pPr>
        <w:jc w:val="both"/>
      </w:pPr>
      <w:r w:rsidRPr="005A6843">
        <w:t xml:space="preserve">La categoría </w:t>
      </w:r>
      <w:r w:rsidRPr="00F52385">
        <w:rPr>
          <w:i/>
        </w:rPr>
        <w:t>“Contratos, Convenios, Subvenciones y Bienes Inmuebles”</w:t>
      </w:r>
      <w:r w:rsidRPr="005A6843">
        <w:t xml:space="preserve"> contiene únicamente tres sub-categorías de información sobre las siete incorporadas al menú general del Portal: </w:t>
      </w:r>
      <w:r w:rsidRPr="00F52385">
        <w:rPr>
          <w:i/>
        </w:rPr>
        <w:t>“Contratos”, “Convenios y Encomiendas”</w:t>
      </w:r>
      <w:r w:rsidRPr="005A6843">
        <w:t xml:space="preserve"> y </w:t>
      </w:r>
      <w:r w:rsidRPr="00F52385">
        <w:rPr>
          <w:i/>
        </w:rPr>
        <w:t>“Bienes Inmuebles”</w:t>
      </w:r>
      <w:r w:rsidRPr="005A6843">
        <w:t>. En este sentido, deben tenerse en cuenta las consideraciones de este CTBG respecto de los elementos o sub-categorías propios de esta categoría.</w:t>
      </w:r>
    </w:p>
    <w:p w:rsidR="0038108F" w:rsidRPr="005A6843" w:rsidRDefault="0038108F" w:rsidP="00AA712B">
      <w:pPr>
        <w:jc w:val="both"/>
      </w:pPr>
      <w:r w:rsidRPr="005A6843">
        <w:t>A continuación se analiza el contenido de los tres elementos informativos presentes. La información se ajusta al modelo general del Portal por lo que deben reproducirse aquí las sugerencias y consideraciones efectuadas con ocasión de la valoración de aquel.</w:t>
      </w:r>
    </w:p>
    <w:p w:rsidR="0038108F" w:rsidRPr="00F52385" w:rsidRDefault="0038108F" w:rsidP="00AA712B">
      <w:pPr>
        <w:jc w:val="both"/>
        <w:rPr>
          <w:b/>
          <w:u w:val="single"/>
        </w:rPr>
      </w:pPr>
      <w:r w:rsidRPr="00F52385">
        <w:rPr>
          <w:b/>
          <w:u w:val="single"/>
        </w:rPr>
        <w:t>Contratos</w:t>
      </w:r>
    </w:p>
    <w:p w:rsidR="0038108F" w:rsidRPr="005A6843" w:rsidRDefault="0038108F" w:rsidP="00AA712B">
      <w:pPr>
        <w:jc w:val="both"/>
      </w:pPr>
      <w:r w:rsidRPr="005A6843">
        <w:t xml:space="preserve">El Portal recoge, a  día de hoy, 2.234 contratos del Ministerio y sus organismos vinculados y dependientes. Su distribución por procedimiento de contratación es la siguiente: 127 contratos abiertos, un procedimiento restringido -suministro de combustible de automoción, lote 1-, 323 negociados sin publicidad, 7 negociados con publicidad, 1.755 contratos menores y 21 derivados de Acuerdos-marco. </w:t>
      </w:r>
    </w:p>
    <w:p w:rsidR="0038108F" w:rsidRPr="00F52385" w:rsidRDefault="0038108F" w:rsidP="00AA712B">
      <w:pPr>
        <w:jc w:val="both"/>
        <w:rPr>
          <w:b/>
          <w:u w:val="single"/>
        </w:rPr>
      </w:pPr>
      <w:r w:rsidRPr="00F52385">
        <w:rPr>
          <w:b/>
          <w:u w:val="single"/>
        </w:rPr>
        <w:t>Convenios y encomiendas</w:t>
      </w:r>
    </w:p>
    <w:p w:rsidR="0038108F" w:rsidRPr="005A6843" w:rsidRDefault="0038108F" w:rsidP="00AA712B">
      <w:pPr>
        <w:jc w:val="both"/>
      </w:pPr>
      <w:r w:rsidRPr="005A6843">
        <w:t xml:space="preserve">A fecha de hoy, se publican 178 instrumentos, 145 convenios y 23 encomiendas de gestión. </w:t>
      </w:r>
    </w:p>
    <w:p w:rsidR="0038108F" w:rsidRPr="00F52385" w:rsidRDefault="0038108F" w:rsidP="00AA712B">
      <w:pPr>
        <w:jc w:val="both"/>
        <w:rPr>
          <w:b/>
          <w:u w:val="single"/>
        </w:rPr>
      </w:pPr>
      <w:r w:rsidRPr="00F52385">
        <w:rPr>
          <w:b/>
          <w:u w:val="single"/>
        </w:rPr>
        <w:t>Bienes inmuebles</w:t>
      </w:r>
    </w:p>
    <w:p w:rsidR="0038108F" w:rsidRPr="005A6843" w:rsidRDefault="0038108F" w:rsidP="00AA712B">
      <w:pPr>
        <w:jc w:val="both"/>
      </w:pPr>
      <w:r w:rsidRPr="005A6843">
        <w:t xml:space="preserve">A día de hoy, se recoge información sobre 215 inmuebles, distribuidos del siguiente modo: 212 edificios y 3 solares. </w:t>
      </w:r>
    </w:p>
    <w:p w:rsidR="0038108F" w:rsidRPr="00F52385" w:rsidRDefault="00F52385" w:rsidP="00FC26D7">
      <w:pPr>
        <w:pStyle w:val="Prrafodelista"/>
        <w:numPr>
          <w:ilvl w:val="0"/>
          <w:numId w:val="59"/>
        </w:numPr>
        <w:ind w:left="426" w:hanging="426"/>
        <w:jc w:val="both"/>
      </w:pPr>
      <w:r w:rsidRPr="00F52385">
        <w:rPr>
          <w:b/>
          <w:u w:val="single"/>
        </w:rPr>
        <w:t>PRESUPUESTOS, FISCALIZACIÓN E INFORMES</w:t>
      </w:r>
    </w:p>
    <w:p w:rsidR="00F52385" w:rsidRPr="005A6843" w:rsidRDefault="00F52385" w:rsidP="00F52385">
      <w:pPr>
        <w:pStyle w:val="Prrafodelista"/>
        <w:ind w:left="426"/>
        <w:jc w:val="both"/>
      </w:pPr>
    </w:p>
    <w:p w:rsidR="0038108F" w:rsidRPr="005A6843" w:rsidRDefault="0038108F" w:rsidP="00AA712B">
      <w:pPr>
        <w:jc w:val="both"/>
      </w:pPr>
      <w:r w:rsidRPr="005A6843">
        <w:t xml:space="preserve">La categoría </w:t>
      </w:r>
      <w:r w:rsidRPr="00F52385">
        <w:rPr>
          <w:i/>
        </w:rPr>
        <w:t>“Presupuestos, Fiscalización e Informes”</w:t>
      </w:r>
      <w:r w:rsidRPr="005A6843">
        <w:t xml:space="preserve"> del menú del MINHAFP presenta únicamente dos sub-categorías informativas: </w:t>
      </w:r>
      <w:r w:rsidRPr="00F52385">
        <w:rPr>
          <w:i/>
        </w:rPr>
        <w:t>“Presupuestos Generales del Estado”</w:t>
      </w:r>
      <w:r w:rsidRPr="005A6843">
        <w:t xml:space="preserve"> y </w:t>
      </w:r>
      <w:r w:rsidRPr="00F52385">
        <w:rPr>
          <w:i/>
        </w:rPr>
        <w:t>“Estadísticas e Informes Relevantes”</w:t>
      </w:r>
      <w:r w:rsidRPr="005A6843">
        <w:t>. En relación con este punto, deben darse por reproducidas aquí las reflexiones y comentarios efectuados en relación con dichos elementos o sub-categorías en el análisis general del Portal.</w:t>
      </w:r>
    </w:p>
    <w:p w:rsidR="0038108F" w:rsidRPr="005A6843" w:rsidRDefault="0038108F" w:rsidP="00AA712B">
      <w:pPr>
        <w:jc w:val="both"/>
      </w:pPr>
      <w:r w:rsidRPr="005A6843">
        <w:t>Se expone brevemente el contenido de cada uno de los elementos informativos efectivamente incluidos en la categoría. En todos ellos, la información se ajusta al modelo general del Portal por lo que deben tenerse por reproducidas las consideraciones efectuadas con ocasión del estudio de aquel.</w:t>
      </w:r>
    </w:p>
    <w:p w:rsidR="00684CD5" w:rsidRDefault="00684CD5">
      <w:pPr>
        <w:rPr>
          <w:b/>
          <w:u w:val="single"/>
        </w:rPr>
      </w:pPr>
      <w:r>
        <w:rPr>
          <w:b/>
          <w:u w:val="single"/>
        </w:rPr>
        <w:br w:type="page"/>
      </w:r>
    </w:p>
    <w:p w:rsidR="0038108F" w:rsidRPr="00F52385" w:rsidRDefault="0038108F" w:rsidP="00AA712B">
      <w:pPr>
        <w:jc w:val="both"/>
        <w:rPr>
          <w:b/>
          <w:u w:val="single"/>
        </w:rPr>
      </w:pPr>
      <w:r w:rsidRPr="00F52385">
        <w:rPr>
          <w:b/>
          <w:u w:val="single"/>
        </w:rPr>
        <w:t xml:space="preserve">Presupuestos Generales </w:t>
      </w:r>
    </w:p>
    <w:p w:rsidR="0038108F" w:rsidRPr="005A6843" w:rsidRDefault="0038108F" w:rsidP="00AA712B">
      <w:pPr>
        <w:jc w:val="both"/>
      </w:pPr>
      <w:r w:rsidRPr="005A6843">
        <w:t xml:space="preserve">En la opción </w:t>
      </w:r>
      <w:r w:rsidRPr="00F52385">
        <w:rPr>
          <w:i/>
        </w:rPr>
        <w:t>“Gastos”</w:t>
      </w:r>
      <w:r w:rsidRPr="005A6843">
        <w:t xml:space="preserve">, ofrece 18 resultados: uno para 2017 con un enlace directo al Presupuesto de Gastos del MPREAT y el resto para los ejercicios 2014, 2015 y 2016 con accesos a los Presupuestos del Departamento, sus organismos vinculados y dependientes y el CNI.  </w:t>
      </w:r>
    </w:p>
    <w:p w:rsidR="0038108F" w:rsidRPr="00F52385" w:rsidRDefault="0038108F" w:rsidP="00AA712B">
      <w:pPr>
        <w:jc w:val="both"/>
        <w:rPr>
          <w:b/>
          <w:u w:val="single"/>
        </w:rPr>
      </w:pPr>
      <w:r w:rsidRPr="00F52385">
        <w:rPr>
          <w:b/>
          <w:u w:val="single"/>
        </w:rPr>
        <w:t xml:space="preserve">Información y estadísticas relevantes </w:t>
      </w:r>
    </w:p>
    <w:p w:rsidR="0038108F" w:rsidRPr="005A6843" w:rsidRDefault="0038108F" w:rsidP="00AA712B">
      <w:pPr>
        <w:jc w:val="both"/>
      </w:pPr>
      <w:r w:rsidRPr="005A6843">
        <w:t>Figuran 21 resultados, de contenido heterogéneo: desde el</w:t>
      </w:r>
      <w:r w:rsidRPr="00F52385">
        <w:rPr>
          <w:i/>
        </w:rPr>
        <w:t xml:space="preserve"> Plan General de Publicaciones Oficiales de la Administración General del Estado</w:t>
      </w:r>
      <w:r w:rsidRPr="005A6843">
        <w:t xml:space="preserve"> para 2014, 2015 y 2016 hasta el</w:t>
      </w:r>
      <w:r w:rsidRPr="00F52385">
        <w:rPr>
          <w:i/>
        </w:rPr>
        <w:t xml:space="preserve"> Informe del primer año de CORA (Comisión para la Reforma de las Administraciones Públicas)</w:t>
      </w:r>
      <w:r w:rsidRPr="005A6843">
        <w:t xml:space="preserve"> o los </w:t>
      </w:r>
      <w:r w:rsidRPr="00F52385">
        <w:rPr>
          <w:i/>
        </w:rPr>
        <w:t>Estudios de la OCDE sobre Gobernanza Pública</w:t>
      </w:r>
      <w:r w:rsidRPr="005A6843">
        <w:t xml:space="preserve">. </w:t>
      </w:r>
    </w:p>
    <w:p w:rsidR="00227173" w:rsidRDefault="00227173">
      <w:pPr>
        <w:rPr>
          <w:b/>
          <w:color w:val="1C314E" w:themeColor="accent4" w:themeShade="80"/>
          <w:sz w:val="32"/>
          <w:szCs w:val="28"/>
        </w:rPr>
      </w:pPr>
      <w:bookmarkStart w:id="296" w:name="_Toc498345443"/>
      <w:r>
        <w:br w:type="page"/>
      </w:r>
    </w:p>
    <w:p w:rsidR="0038108F" w:rsidRPr="005A6843" w:rsidRDefault="0038108F" w:rsidP="007809B2">
      <w:pPr>
        <w:pStyle w:val="Ttulo4"/>
      </w:pPr>
      <w:bookmarkStart w:id="297" w:name="_Toc501110727"/>
      <w:r w:rsidRPr="005A6843">
        <w:t>Ministerio de Economía, Industria y Competitividad (MINECO)</w:t>
      </w:r>
      <w:bookmarkEnd w:id="296"/>
      <w:bookmarkEnd w:id="297"/>
    </w:p>
    <w:p w:rsidR="0038108F" w:rsidRPr="005A6843" w:rsidRDefault="0038108F" w:rsidP="00AA712B">
      <w:pPr>
        <w:jc w:val="both"/>
      </w:pPr>
      <w:r w:rsidRPr="005A6843">
        <w:t xml:space="preserve">La transparencia del Ministerio de Economía, Industria y Competitividad aparece estructurada en cuatro categorías de información: </w:t>
      </w:r>
      <w:r w:rsidRPr="00F52385">
        <w:rPr>
          <w:i/>
        </w:rPr>
        <w:t>“Institucional”, “Normativa”, “Contratos, convenios, subvenciones y bienes inmuebles”</w:t>
      </w:r>
      <w:r w:rsidRPr="005A6843">
        <w:t xml:space="preserve"> y </w:t>
      </w:r>
      <w:r w:rsidRPr="00F52385">
        <w:rPr>
          <w:i/>
        </w:rPr>
        <w:t>“Presupuestos, fiscalización e informes”</w:t>
      </w:r>
      <w:r w:rsidRPr="005A6843">
        <w:t>. En este sentido deben de tenerse en cuenta las consideraciones hechas en relación con éste.</w:t>
      </w:r>
    </w:p>
    <w:p w:rsidR="0038108F" w:rsidRPr="005A6843" w:rsidRDefault="0038108F" w:rsidP="00F52385">
      <w:pPr>
        <w:pStyle w:val="Ttulo5"/>
      </w:pPr>
      <w:bookmarkStart w:id="298" w:name="_Toc498345444"/>
      <w:bookmarkStart w:id="299" w:name="_Toc501110728"/>
      <w:r w:rsidRPr="005A6843">
        <w:t>Información institucional, organizativa y de planificación</w:t>
      </w:r>
      <w:bookmarkEnd w:id="298"/>
      <w:bookmarkEnd w:id="299"/>
    </w:p>
    <w:p w:rsidR="0038108F" w:rsidRPr="005A6843" w:rsidRDefault="0038108F" w:rsidP="00AA712B">
      <w:pPr>
        <w:jc w:val="both"/>
      </w:pPr>
      <w:r w:rsidRPr="005A6843">
        <w:t xml:space="preserve">La categoría de información institucional de MINECO presenta seis sub-categorías o elementos informativos: </w:t>
      </w:r>
      <w:r w:rsidRPr="00F52385">
        <w:rPr>
          <w:i/>
        </w:rPr>
        <w:t>“Estructura”, “Funciones”, “Planes de objetivos”, “Retribuciones de Altos Cargos, “Currículos de Altos Cargos”</w:t>
      </w:r>
      <w:r w:rsidRPr="005A6843">
        <w:t xml:space="preserve"> y </w:t>
      </w:r>
      <w:r w:rsidRPr="00F52385">
        <w:rPr>
          <w:i/>
        </w:rPr>
        <w:t>“Relaciones de Puestos de Trabajo”</w:t>
      </w:r>
      <w:r w:rsidRPr="005A6843">
        <w:t xml:space="preserve">. De este modo, teniendo en cuenta la organización del menú general del Portal, faltarían todavía dos elementos o sub-categorías informativas, </w:t>
      </w:r>
      <w:r w:rsidRPr="00F52385">
        <w:rPr>
          <w:i/>
        </w:rPr>
        <w:t>“Normativa de aplicación”</w:t>
      </w:r>
      <w:r w:rsidRPr="005A6843">
        <w:t xml:space="preserve"> y </w:t>
      </w:r>
      <w:r w:rsidRPr="00F52385">
        <w:rPr>
          <w:i/>
        </w:rPr>
        <w:t>“Entes del Sector Público”</w:t>
      </w:r>
      <w:r w:rsidRPr="005A6843">
        <w:t xml:space="preserve">, y sobrarían las relativas a </w:t>
      </w:r>
      <w:r w:rsidRPr="00DD6AC4">
        <w:rPr>
          <w:i/>
        </w:rPr>
        <w:t>“Retribuciones de los Altos Cargos”, “Relaciones de Puestos de Trabajo”, “Autorizaciones de actividad privada en Altos Cargos”, “Indemnizaciones percibidas con ocasión del cese”</w:t>
      </w:r>
      <w:r w:rsidR="00DD6AC4">
        <w:t xml:space="preserve"> </w:t>
      </w:r>
      <w:r w:rsidRPr="005A6843">
        <w:t xml:space="preserve">y </w:t>
      </w:r>
      <w:r w:rsidRPr="00DD6AC4">
        <w:rPr>
          <w:i/>
        </w:rPr>
        <w:t>“Autorización o reconocimiento de compatibilidad de empleados públicos”</w:t>
      </w:r>
      <w:r w:rsidRPr="005A6843">
        <w:t xml:space="preserve">. </w:t>
      </w:r>
    </w:p>
    <w:p w:rsidR="0038108F" w:rsidRPr="005A6843" w:rsidRDefault="0038108F" w:rsidP="00AA712B">
      <w:pPr>
        <w:jc w:val="both"/>
      </w:pPr>
      <w:r w:rsidRPr="005A6843">
        <w:t>Respecto de esta cuestión, deben traerse a colación las consideraciones efectuadas en los anteriores apartados de este documento acerca de la estructuración de aquel menú general y de los distintos menús ministeriales de transparencia.</w:t>
      </w:r>
    </w:p>
    <w:p w:rsidR="0038108F" w:rsidRPr="005A6843" w:rsidRDefault="0038108F" w:rsidP="00AA712B">
      <w:pPr>
        <w:jc w:val="both"/>
      </w:pPr>
      <w:r w:rsidRPr="005A6843">
        <w:t xml:space="preserve">Se analiza ahora el contenido informativo de los elementos o sub--categorías que figuran en el menú. En todas ellas, la información se ajusta al modelo general del Portal por lo que deben tenerse por reproducidas las consideraciones efectuadas en el epígrafe anterior en relación con las correlativas sub-categorías del menú general. </w:t>
      </w:r>
    </w:p>
    <w:p w:rsidR="0038108F" w:rsidRPr="00DD6AC4" w:rsidRDefault="0038108F" w:rsidP="00AA712B">
      <w:pPr>
        <w:jc w:val="both"/>
        <w:rPr>
          <w:b/>
          <w:u w:val="single"/>
        </w:rPr>
      </w:pPr>
      <w:r w:rsidRPr="00DD6AC4">
        <w:rPr>
          <w:b/>
          <w:u w:val="single"/>
        </w:rPr>
        <w:t>Estructura</w:t>
      </w:r>
    </w:p>
    <w:p w:rsidR="0038108F" w:rsidRPr="005A6843" w:rsidRDefault="0038108F" w:rsidP="00AA712B">
      <w:pPr>
        <w:jc w:val="both"/>
      </w:pPr>
      <w:r w:rsidRPr="005A6843">
        <w:t xml:space="preserve">Aparece el organigrama del Departamento, completo, hasta el nivel de Subdirector General, pues la estructura es posterior al Real Decreto 415/2016, que regula la organización actual de los Departamentos ministeriales. </w:t>
      </w:r>
    </w:p>
    <w:p w:rsidR="0038108F" w:rsidRPr="005A6843" w:rsidRDefault="0038108F" w:rsidP="00AA712B">
      <w:pPr>
        <w:jc w:val="both"/>
      </w:pPr>
      <w:r w:rsidRPr="005A6843">
        <w:t>Se incluye un listado de los órganos consultivos y colegiados del Ministerio, un total de 29. Son los siguientes: 1.- Comité Interministerial de Financiación Exterior; 2.- Comisión de prevención del blanqueo de capitales e infracciones monetarias; 3.- Comisión de evaluación de los proyectos de fondos de titulización de préstamos a las PYMES (FTPYMES); 4.- Comité para la Mejora de la Regulación; 5.- Comité de Política Económica; 6.- Junta Consultiva de Seguros y Fondos de Pensiones; 7.- Observatorio de Precios del Comercio Minorista; 8.- Junta interministerial Reguladora de Comercio Exterior de Material de Defensa y de Doble Uso; 9.- Junta Superior Arancelaria; 10.- Comisión Interministerial de Coordinación de la Participación Española en la Conferencia de las Naciones Unidas para el Comercio y Desarrollo; 11.- Comisión Consultiva de Negociaciones Comerciales Internacionales; 12.- Conferencia Sectorial de Comercio Interior; 12.- Observatorio de la Distribución Comercial; 13.- Observatorio de Pagos con Tarjeta Electrónica; 14.- Consejo General de la Ciencia y la Tecnología; 15.- Consejo Asesor para la Ciencia y la Tecnología; 16.- Consejo Asesor de Ciencia, Tecnología e Innovación; 17.- Consejo de Política Científica, Tecnológica y de Innovación; 18.- Junta Asesora Permanente; 19.- Comité de Bioética de España (adscrito al Instituto de Salud Carlos III); 20.- Comité Consultivo de la Comisión Nacional del Mercado de Valores; 21.- Junta de Contratación del Mº de Economía, Industria y Competitividad; 22.- Consejo de la Comisión Nacional de los Mercados y la Competencia; 23.- Comisión de Valoración Técnico Profesional de las Oficinas Económicas y Comerciales en el Exterior; 24.- Comisión Interministerial para las negociaciones en la Organización Mundial del Comercio; 25.- Comisión Interministerial de Estadística; 26.- Comité de Seguimiento del proceso de titulización del déficit del sistema eléctrico; 27.- Comisión Ministerial de Administración Digital del Mº de Economía, Industria y Competitividad; 28.- Conferencia Sectorial de Industria y de la Pequeña y Mediana Empresa, y 29.- Comité Polar Español.</w:t>
      </w:r>
    </w:p>
    <w:p w:rsidR="0038108F" w:rsidRPr="005A6843" w:rsidRDefault="0038108F" w:rsidP="00AA712B">
      <w:pPr>
        <w:jc w:val="both"/>
      </w:pPr>
      <w:r w:rsidRPr="005A6843">
        <w:t>Además del organigrama del Departamento, se ofrecen enlaces a los organigramas de los organismos vinculados y dependientes: Instituto de Astrofísica de Canarias (IAC), Instituto de Contabilidad y Auditoría de Cuentas (ICAC), Centro para el Desarrollo Tecnológico Industrial (CDTI), Instituto de Salud Carlos III (ISC3), Centro de Investigaciones Energéticas, Medioambientales y Tecnológicas (CIEMAT), Instituto Nacional de Investigación y Tecnología Agraria y Alimentaria (INIA), Instituto de Crédito Oficial (ICO), Instituto Español de Oceanografía (IEO), España, Exportación e Inversiones (ICEX), Consejo Superior de Investigaciones Científicas (CSIC), Instituto Nacional de Estadística (INE), Instituto Geológico y Minero de España (IGME) y Agencia Estatal de Investigación (AEI).</w:t>
      </w:r>
    </w:p>
    <w:p w:rsidR="0038108F" w:rsidRPr="005A6843" w:rsidRDefault="0038108F" w:rsidP="00AA712B">
      <w:pPr>
        <w:jc w:val="both"/>
      </w:pPr>
      <w:r w:rsidRPr="005A6843">
        <w:t xml:space="preserve">Los organismos reflejados coinciden con los enumerados en la </w:t>
      </w:r>
      <w:hyperlink r:id="rId73" w:history="1">
        <w:r w:rsidR="00FC4B2E" w:rsidRPr="00C128CF">
          <w:rPr>
            <w:rStyle w:val="Hipervnculo"/>
            <w:i/>
          </w:rPr>
          <w:t>web</w:t>
        </w:r>
        <w:r w:rsidRPr="00C128CF">
          <w:rPr>
            <w:rStyle w:val="Hipervnculo"/>
          </w:rPr>
          <w:t xml:space="preserve"> del Ministerio</w:t>
        </w:r>
      </w:hyperlink>
      <w:r w:rsidRPr="005A6843">
        <w:t xml:space="preserve"> que menciona algunos más: Fundación Pública Escuela de Organización Industrial (EOI), Centro Español de Metrología (CEM), Empresa Nacional de Investigación (ENISA), Compañía Española de Reafianzamiento (CERSA), Consorcio de Compensación de Seguros (CCS), Comisión Nacional del Mercado de Valores (CNMV) y Comisión Nacional de los Mercados y la Competencia (CNMC). La mayor parte de ellos no pueden considerarse organismos vinculados y dependientes del Ministerio a causa de su naturaleza jurídica: CNMV y CNMC son organismos independientes adscritos; ENISA y CERSA son Sociedades Estatales y EOI es una Fundación pública. Pero en el caso del CEM -Organismo Autónomo- y el CCS -EPE- la distinción no está tan clara. A juicio de este CTBG, sería conveniente revisar la lista y estructurarla según un criterio homogéneo. </w:t>
      </w:r>
    </w:p>
    <w:p w:rsidR="0038108F" w:rsidRPr="005A6843" w:rsidRDefault="0038108F" w:rsidP="00AA712B">
      <w:pPr>
        <w:jc w:val="both"/>
      </w:pPr>
      <w:r w:rsidRPr="005A6843">
        <w:t xml:space="preserve">Hay que destacar finalmente que, accediendo al </w:t>
      </w:r>
      <w:hyperlink r:id="rId74" w:history="1">
        <w:r w:rsidRPr="00C128CF">
          <w:rPr>
            <w:rStyle w:val="Hipervnculo"/>
          </w:rPr>
          <w:t xml:space="preserve">Portal ICEX de la </w:t>
        </w:r>
        <w:r w:rsidR="00FC4B2E" w:rsidRPr="00C128CF">
          <w:rPr>
            <w:rStyle w:val="Hipervnculo"/>
            <w:i/>
          </w:rPr>
          <w:t>web</w:t>
        </w:r>
        <w:r w:rsidRPr="00C128CF">
          <w:rPr>
            <w:rStyle w:val="Hipervnculo"/>
          </w:rPr>
          <w:t xml:space="preserve"> de MINECO</w:t>
        </w:r>
      </w:hyperlink>
      <w:r w:rsidRPr="005A6843">
        <w:t>, bajo el epígrafe Red de Oficinas Económicas y Comerciales de España en el Exterior se ofrecen los datos de estas unidades. Tal vez sería co</w:t>
      </w:r>
      <w:r w:rsidR="00DD6AC4">
        <w:t xml:space="preserve">nveniente incorporar al Portal </w:t>
      </w:r>
      <w:r w:rsidRPr="005A6843">
        <w:t xml:space="preserve">un </w:t>
      </w:r>
      <w:r w:rsidR="00FC4B2E" w:rsidRPr="00FC4B2E">
        <w:rPr>
          <w:i/>
        </w:rPr>
        <w:t>link</w:t>
      </w:r>
      <w:r w:rsidRPr="005A6843">
        <w:t xml:space="preserve"> paralelo.</w:t>
      </w:r>
    </w:p>
    <w:p w:rsidR="0038108F" w:rsidRPr="00DD6AC4" w:rsidRDefault="0038108F" w:rsidP="00AA712B">
      <w:pPr>
        <w:jc w:val="both"/>
        <w:rPr>
          <w:b/>
          <w:u w:val="single"/>
        </w:rPr>
      </w:pPr>
      <w:r w:rsidRPr="00DD6AC4">
        <w:rPr>
          <w:b/>
          <w:u w:val="single"/>
        </w:rPr>
        <w:t xml:space="preserve">Funciones </w:t>
      </w:r>
    </w:p>
    <w:p w:rsidR="0038108F" w:rsidRPr="005A6843" w:rsidRDefault="0038108F" w:rsidP="00AA712B">
      <w:pPr>
        <w:jc w:val="both"/>
      </w:pPr>
      <w:r w:rsidRPr="005A6843">
        <w:t xml:space="preserve">Se accede directamente al texto consolidado del «BOE» del Real Decreto 531/2017, de 26 de mayo, por el que se desarrolla la estructura orgánica básica del Ministerio de Economía, Industria y Competitividad; se modifica el Real Decreto 424/2016, de 11 de noviembre, por el que se establece la estructura orgánica básica de los Departamentos ministeriales; y se modifican los Estatutos de entidades del Departamento que tienen la condición de medio propio para adaptar su denominación a lo dispuesto en la </w:t>
      </w:r>
      <w:r w:rsidR="001C41A6">
        <w:t>Ley</w:t>
      </w:r>
      <w:r w:rsidRPr="005A6843">
        <w:t xml:space="preserve"> 40/2015, de 1 de octubre. </w:t>
      </w:r>
    </w:p>
    <w:p w:rsidR="0038108F" w:rsidRPr="00DD6AC4" w:rsidRDefault="0038108F" w:rsidP="00AA712B">
      <w:pPr>
        <w:jc w:val="both"/>
        <w:rPr>
          <w:b/>
          <w:u w:val="single"/>
        </w:rPr>
      </w:pPr>
      <w:r w:rsidRPr="00DD6AC4">
        <w:rPr>
          <w:b/>
          <w:u w:val="single"/>
        </w:rPr>
        <w:t>Planes de objetivos</w:t>
      </w:r>
    </w:p>
    <w:p w:rsidR="0038108F" w:rsidRPr="005A6843" w:rsidRDefault="0038108F" w:rsidP="00AA712B">
      <w:pPr>
        <w:jc w:val="both"/>
      </w:pPr>
      <w:r w:rsidRPr="005A6843">
        <w:t xml:space="preserve">A fecha de hoy figuran cuatro documentos, </w:t>
      </w:r>
      <w:r w:rsidRPr="00DD6AC4">
        <w:rPr>
          <w:i/>
        </w:rPr>
        <w:t>Plan Estatal de Investigación Científica y Técnica y de Innovación Plan Estratégico de Internacionalización de la Economía Española 2014-2015 Plan de Objetivos 2015</w:t>
      </w:r>
      <w:r w:rsidRPr="005A6843">
        <w:t xml:space="preserve"> y </w:t>
      </w:r>
      <w:r w:rsidRPr="00DD6AC4">
        <w:rPr>
          <w:i/>
        </w:rPr>
        <w:t>Plan Editorial 2017</w:t>
      </w:r>
      <w:r w:rsidRPr="005A6843">
        <w:t xml:space="preserve"> del MEIC. </w:t>
      </w:r>
    </w:p>
    <w:p w:rsidR="0038108F" w:rsidRPr="00DD6AC4" w:rsidRDefault="0038108F" w:rsidP="00AA712B">
      <w:pPr>
        <w:jc w:val="both"/>
        <w:rPr>
          <w:b/>
          <w:u w:val="single"/>
        </w:rPr>
      </w:pPr>
      <w:r w:rsidRPr="00DD6AC4">
        <w:rPr>
          <w:b/>
          <w:u w:val="single"/>
        </w:rPr>
        <w:t xml:space="preserve">Retribuciones de Altos Cargos </w:t>
      </w:r>
    </w:p>
    <w:p w:rsidR="0038108F" w:rsidRPr="005A6843" w:rsidRDefault="0038108F" w:rsidP="00AA712B">
      <w:pPr>
        <w:jc w:val="both"/>
      </w:pPr>
      <w:r w:rsidRPr="005A6843">
        <w:t xml:space="preserve">A fecha de hoy aparecen publicados las retribuciones percibidas durante 2016 por 63 Altos Cargos, 26 correspondientes al Ministerio y 37 a determinados organismos públicos vinculados o dependientes (INE, ICS3, ICAC, ICO. ICEX y CDTI) y a los organismos adscritos (CNMC y CNMV). Sería conveniente incorporar algún texto explicativo de la selección efectuada. </w:t>
      </w:r>
    </w:p>
    <w:p w:rsidR="0038108F" w:rsidRPr="005A6843" w:rsidRDefault="0038108F" w:rsidP="00AA712B">
      <w:pPr>
        <w:jc w:val="both"/>
      </w:pPr>
      <w:r w:rsidRPr="005A6843">
        <w:t>Así mismo aparecen datos de ejercicios anteriores (2013, 2014 y 2015).</w:t>
      </w:r>
    </w:p>
    <w:p w:rsidR="0038108F" w:rsidRPr="00DD6AC4" w:rsidRDefault="0038108F" w:rsidP="00AA712B">
      <w:pPr>
        <w:jc w:val="both"/>
        <w:rPr>
          <w:b/>
          <w:u w:val="single"/>
        </w:rPr>
      </w:pPr>
      <w:r w:rsidRPr="00DD6AC4">
        <w:rPr>
          <w:b/>
          <w:u w:val="single"/>
        </w:rPr>
        <w:t xml:space="preserve">Currículos de Altos Cargos </w:t>
      </w:r>
    </w:p>
    <w:p w:rsidR="0038108F" w:rsidRPr="005A6843" w:rsidRDefault="0038108F" w:rsidP="00AA712B">
      <w:pPr>
        <w:jc w:val="both"/>
      </w:pPr>
      <w:r w:rsidRPr="005A6843">
        <w:t xml:space="preserve">A fecha de hoy figuran 32 currículos correspondientes a los actuales Altos Cargos ministeriales y los de determinados organismos públicos vinculados o dependientes y de los organismos adscritos. Como en el apartado anterior, se considera conveniente incorporar algún texto explicativo de la selección efectuada. </w:t>
      </w:r>
    </w:p>
    <w:p w:rsidR="0038108F" w:rsidRPr="00DD6AC4" w:rsidRDefault="0038108F" w:rsidP="00AA712B">
      <w:pPr>
        <w:jc w:val="both"/>
        <w:rPr>
          <w:b/>
          <w:u w:val="single"/>
        </w:rPr>
      </w:pPr>
      <w:r w:rsidRPr="00DD6AC4">
        <w:rPr>
          <w:b/>
          <w:u w:val="single"/>
        </w:rPr>
        <w:t>Relaciones de Puestos de Trabajo (RPT)</w:t>
      </w:r>
    </w:p>
    <w:p w:rsidR="0038108F" w:rsidRPr="005A6843" w:rsidRDefault="0038108F" w:rsidP="00AA712B">
      <w:pPr>
        <w:jc w:val="both"/>
      </w:pPr>
      <w:r w:rsidRPr="005A6843">
        <w:t>A día de hoy, no figura información.</w:t>
      </w:r>
    </w:p>
    <w:p w:rsidR="00684CD5" w:rsidRDefault="00684CD5">
      <w:pPr>
        <w:rPr>
          <w:b/>
          <w:color w:val="1C314E" w:themeColor="accent4" w:themeShade="80"/>
          <w:sz w:val="28"/>
        </w:rPr>
      </w:pPr>
      <w:bookmarkStart w:id="300" w:name="_Toc498345445"/>
      <w:r>
        <w:br w:type="page"/>
      </w:r>
    </w:p>
    <w:p w:rsidR="0038108F" w:rsidRPr="005A6843" w:rsidRDefault="0038108F" w:rsidP="00DD6AC4">
      <w:pPr>
        <w:pStyle w:val="Ttulo5"/>
      </w:pPr>
      <w:bookmarkStart w:id="301" w:name="_Toc501110729"/>
      <w:r w:rsidRPr="005A6843">
        <w:t>Información de relevancia jurídica</w:t>
      </w:r>
      <w:bookmarkEnd w:id="300"/>
      <w:bookmarkEnd w:id="301"/>
    </w:p>
    <w:p w:rsidR="0038108F" w:rsidRPr="005A6843" w:rsidRDefault="0038108F" w:rsidP="00AA712B">
      <w:pPr>
        <w:jc w:val="both"/>
      </w:pPr>
      <w:r w:rsidRPr="005A6843">
        <w:t xml:space="preserve">Incluye las cuatro sub-categorías del menú general de </w:t>
      </w:r>
      <w:r w:rsidRPr="00DD6AC4">
        <w:rPr>
          <w:i/>
        </w:rPr>
        <w:t>“Normativa”</w:t>
      </w:r>
      <w:r w:rsidRPr="005A6843">
        <w:t xml:space="preserve"> del Portal: </w:t>
      </w:r>
      <w:r w:rsidRPr="00DD6AC4">
        <w:rPr>
          <w:i/>
        </w:rPr>
        <w:t>“Normativa destacada”, “Normativa en elaboración”, “Normativa vigente”</w:t>
      </w:r>
      <w:r w:rsidRPr="005A6843">
        <w:t xml:space="preserve"> y </w:t>
      </w:r>
      <w:r w:rsidRPr="00DD6AC4">
        <w:rPr>
          <w:i/>
        </w:rPr>
        <w:t>“Otras disposiciones”</w:t>
      </w:r>
      <w:r w:rsidRPr="005A6843">
        <w:t>. Deben darse por reproducidas al respecto, las consideraciones efectuadas en el examen del menú general del Portal acerca de dichos elementos o sub-categorías y de la sub-categoría del art. 7 de la</w:t>
      </w:r>
      <w:r w:rsidR="0069620D">
        <w:t xml:space="preserve"> ley</w:t>
      </w:r>
      <w:r w:rsidR="00E768A4">
        <w:t xml:space="preserve"> de transparencia</w:t>
      </w:r>
      <w:r w:rsidRPr="005A6843">
        <w:t xml:space="preserve"> </w:t>
      </w:r>
      <w:r w:rsidRPr="00DD6AC4">
        <w:rPr>
          <w:i/>
        </w:rPr>
        <w:t>“Documentos sometidos a audiencia pública durante su tramitación”</w:t>
      </w:r>
      <w:r w:rsidRPr="005A6843">
        <w:t xml:space="preserve">. </w:t>
      </w:r>
    </w:p>
    <w:p w:rsidR="0038108F" w:rsidRPr="005A6843" w:rsidRDefault="0038108F" w:rsidP="00AA712B">
      <w:pPr>
        <w:jc w:val="both"/>
      </w:pPr>
      <w:r w:rsidRPr="005A6843">
        <w:t xml:space="preserve">Se examina a continuación, brevemente, el contenido de los cuatro elementos o sub--categorías informativas presentes. En todas ellas, la información se ajusta al modelo general del Portal por lo que deben tenerse por reproducidas las consideraciones efectuadas en el epígrafe anterior en relación con las correlativas sub-categorías del menú general. </w:t>
      </w:r>
    </w:p>
    <w:p w:rsidR="0038108F" w:rsidRPr="00E805F0" w:rsidRDefault="0038108F" w:rsidP="00AA712B">
      <w:pPr>
        <w:jc w:val="both"/>
        <w:rPr>
          <w:b/>
          <w:u w:val="single"/>
        </w:rPr>
      </w:pPr>
      <w:r w:rsidRPr="00E805F0">
        <w:rPr>
          <w:b/>
          <w:u w:val="single"/>
        </w:rPr>
        <w:t>Normativa destacada</w:t>
      </w:r>
    </w:p>
    <w:p w:rsidR="0038108F" w:rsidRPr="005A6843" w:rsidRDefault="0038108F" w:rsidP="00AA712B">
      <w:pPr>
        <w:jc w:val="both"/>
      </w:pPr>
      <w:r w:rsidRPr="005A6843">
        <w:t>A fecha de hoy, se publican 43 normas: 39 leyes y cuatro Reales Decretos.</w:t>
      </w:r>
    </w:p>
    <w:p w:rsidR="0038108F" w:rsidRPr="00E805F0" w:rsidRDefault="0038108F" w:rsidP="00AA712B">
      <w:pPr>
        <w:jc w:val="both"/>
        <w:rPr>
          <w:b/>
          <w:u w:val="single"/>
        </w:rPr>
      </w:pPr>
      <w:r w:rsidRPr="00E805F0">
        <w:rPr>
          <w:b/>
          <w:u w:val="single"/>
        </w:rPr>
        <w:t>Normativa en elaboración</w:t>
      </w:r>
    </w:p>
    <w:p w:rsidR="0038108F" w:rsidRPr="005A6843" w:rsidRDefault="0038108F" w:rsidP="00AA712B">
      <w:pPr>
        <w:jc w:val="both"/>
      </w:pPr>
      <w:r w:rsidRPr="005A6843">
        <w:t xml:space="preserve">A fecha de hoy, no figura ningún resultado. </w:t>
      </w:r>
    </w:p>
    <w:p w:rsidR="0038108F" w:rsidRPr="00E805F0" w:rsidRDefault="0038108F" w:rsidP="00AA712B">
      <w:pPr>
        <w:jc w:val="both"/>
        <w:rPr>
          <w:b/>
          <w:u w:val="single"/>
        </w:rPr>
      </w:pPr>
      <w:r w:rsidRPr="00E805F0">
        <w:rPr>
          <w:b/>
          <w:u w:val="single"/>
        </w:rPr>
        <w:t>Normativa en vigor</w:t>
      </w:r>
    </w:p>
    <w:p w:rsidR="0038108F" w:rsidRPr="005A6843" w:rsidRDefault="0038108F" w:rsidP="00AA712B">
      <w:pPr>
        <w:jc w:val="both"/>
      </w:pPr>
      <w:r w:rsidRPr="005A6843">
        <w:t xml:space="preserve">Mismo formato que en los restantes menús ministeriales. A fecha de hoy, no figura ningún resultado. </w:t>
      </w:r>
    </w:p>
    <w:p w:rsidR="0038108F" w:rsidRPr="00E805F0" w:rsidRDefault="0038108F" w:rsidP="00AA712B">
      <w:pPr>
        <w:jc w:val="both"/>
        <w:rPr>
          <w:b/>
          <w:u w:val="single"/>
        </w:rPr>
      </w:pPr>
      <w:r w:rsidRPr="00E805F0">
        <w:rPr>
          <w:b/>
          <w:u w:val="single"/>
        </w:rPr>
        <w:t>Otras disposiciones</w:t>
      </w:r>
    </w:p>
    <w:p w:rsidR="0038108F" w:rsidRPr="005A6843" w:rsidRDefault="0038108F" w:rsidP="00AA712B">
      <w:pPr>
        <w:jc w:val="both"/>
      </w:pPr>
      <w:r w:rsidRPr="005A6843">
        <w:t>A fecha de hoy aparecen nueve 9 normas -siete Órdenes ministeriales y dos resoluciones normativas-, entre las que se encuentran dos que no deberían formar parte de este sub-apartado: el Código de Conducta y el Reglamento de Régimen Interior de la CNMV, justamente las dos resoluciones. En todo caso, llama la atención la baja cantidad de normas publicadas, cuando MINECO ha aprobado otras muchas que podrían publicarse en este sub-apartado.</w:t>
      </w:r>
    </w:p>
    <w:p w:rsidR="0038108F" w:rsidRPr="005A6843" w:rsidRDefault="0038108F" w:rsidP="00E805F0">
      <w:pPr>
        <w:pStyle w:val="Ttulo5"/>
      </w:pPr>
      <w:bookmarkStart w:id="302" w:name="_Toc498345446"/>
      <w:bookmarkStart w:id="303" w:name="_Toc501110730"/>
      <w:r w:rsidRPr="005A6843">
        <w:t>Información económica, presupuestaria y estadística</w:t>
      </w:r>
      <w:bookmarkEnd w:id="302"/>
      <w:bookmarkEnd w:id="303"/>
    </w:p>
    <w:p w:rsidR="00E805F0" w:rsidRDefault="00E805F0" w:rsidP="00FC26D7">
      <w:pPr>
        <w:pStyle w:val="Prrafodelista"/>
        <w:numPr>
          <w:ilvl w:val="0"/>
          <w:numId w:val="60"/>
        </w:numPr>
        <w:ind w:left="426"/>
        <w:jc w:val="both"/>
        <w:rPr>
          <w:b/>
          <w:u w:val="single"/>
        </w:rPr>
      </w:pPr>
      <w:r w:rsidRPr="00E805F0">
        <w:rPr>
          <w:b/>
          <w:u w:val="single"/>
        </w:rPr>
        <w:t>CONTRATOS, CONVENIOS, SUBVENCIONES Y BINES INMUEBLES</w:t>
      </w:r>
    </w:p>
    <w:p w:rsidR="00E805F0" w:rsidRPr="00E805F0" w:rsidRDefault="00E805F0" w:rsidP="00E805F0">
      <w:pPr>
        <w:pStyle w:val="Prrafodelista"/>
        <w:ind w:left="426"/>
        <w:jc w:val="both"/>
        <w:rPr>
          <w:b/>
          <w:u w:val="single"/>
        </w:rPr>
      </w:pPr>
    </w:p>
    <w:p w:rsidR="0038108F" w:rsidRPr="005A6843" w:rsidRDefault="0038108F" w:rsidP="00AA712B">
      <w:pPr>
        <w:jc w:val="both"/>
      </w:pPr>
      <w:r w:rsidRPr="005A6843">
        <w:t xml:space="preserve">La categoría </w:t>
      </w:r>
      <w:r w:rsidRPr="00E805F0">
        <w:rPr>
          <w:i/>
        </w:rPr>
        <w:t>“Contratos, Convenios, Subvenciones y Bienes Inmuebles”</w:t>
      </w:r>
      <w:r w:rsidRPr="005A6843">
        <w:t xml:space="preserve"> contiene únicamente tres sub-categorías de información sobre las siete incorporadas al menú general del Portal: </w:t>
      </w:r>
      <w:r w:rsidRPr="00E805F0">
        <w:rPr>
          <w:i/>
        </w:rPr>
        <w:t>“Contratos”, “Convenios y Encomiendas”</w:t>
      </w:r>
      <w:r w:rsidRPr="005A6843">
        <w:t xml:space="preserve"> y </w:t>
      </w:r>
      <w:r w:rsidRPr="00E805F0">
        <w:rPr>
          <w:i/>
        </w:rPr>
        <w:t>“Bienes Inmuebles”</w:t>
      </w:r>
      <w:r w:rsidRPr="005A6843">
        <w:t>. A este respecto deben tenerse en cuenta las consideraciones de este CTBG respecto de los elementos o sub-categorías propios de esta categoría.</w:t>
      </w:r>
    </w:p>
    <w:p w:rsidR="0038108F" w:rsidRPr="005A6843" w:rsidRDefault="0038108F" w:rsidP="00AA712B">
      <w:pPr>
        <w:jc w:val="both"/>
      </w:pPr>
      <w:r w:rsidRPr="005A6843">
        <w:t xml:space="preserve">Se examinan ahora los tres elementos informativos incorporados al menú. La información se ajusta al modelo general del Portal por lo que deben reproducirse aquí las mismas sugerencias y consideraciones que se formularon en la valoración de aquel. </w:t>
      </w:r>
    </w:p>
    <w:p w:rsidR="0038108F" w:rsidRPr="00E805F0" w:rsidRDefault="0038108F" w:rsidP="00AA712B">
      <w:pPr>
        <w:jc w:val="both"/>
        <w:rPr>
          <w:b/>
          <w:u w:val="single"/>
        </w:rPr>
      </w:pPr>
      <w:r w:rsidRPr="00E805F0">
        <w:rPr>
          <w:b/>
          <w:u w:val="single"/>
        </w:rPr>
        <w:t>Contratos</w:t>
      </w:r>
    </w:p>
    <w:p w:rsidR="0038108F" w:rsidRPr="005A6843" w:rsidRDefault="0038108F" w:rsidP="00AA712B">
      <w:pPr>
        <w:jc w:val="both"/>
      </w:pPr>
      <w:r w:rsidRPr="005A6843">
        <w:t>A fecha de hoy recoge 6.534 contratos del Ministerio y sus órganos vinculados y dependientes, distribuidos del siguiente modo por procedimientos de contratación 920 abiertos; 1.021 negociados sin publicidad; 3 negociados con publicidad; 4.556 menores (un 70 por 100 del total), 33 derivados de Acuerdos marco y una contratación por “otros” procedimientos, el suministro de electrónica de red para el nuevo edificio del C.N.M. En relación con esta contratación, debe señalarse que, después de consultar toda la información relacionada con la misma que figura en el Portal, ha sido imposible desentrañar el significado del acrónimo C.N.M., que ha de corresponder a algún Centro o Unidad adscrita al ICS3-.</w:t>
      </w:r>
    </w:p>
    <w:p w:rsidR="0038108F" w:rsidRPr="00E805F0" w:rsidRDefault="0038108F" w:rsidP="00AA712B">
      <w:pPr>
        <w:jc w:val="both"/>
        <w:rPr>
          <w:b/>
          <w:u w:val="single"/>
        </w:rPr>
      </w:pPr>
      <w:r w:rsidRPr="00E805F0">
        <w:rPr>
          <w:b/>
          <w:u w:val="single"/>
        </w:rPr>
        <w:t>Convenios y encomiendas</w:t>
      </w:r>
    </w:p>
    <w:p w:rsidR="0038108F" w:rsidRPr="005A6843" w:rsidRDefault="0038108F" w:rsidP="00AA712B">
      <w:pPr>
        <w:jc w:val="both"/>
      </w:pPr>
      <w:r w:rsidRPr="005A6843">
        <w:t>A fecha actual, se publican 11 convenios. No figura ninguna encomienda de gestión, desconociéndose si es que no se ha celebrado ninguna desde la fecha de puesta en funcionamiento del Portal o es que se ha omitido la publicación de estos instrumentos. De los 11 convenios, tres tienen financiación a cargo de MINECO.</w:t>
      </w:r>
    </w:p>
    <w:p w:rsidR="0038108F" w:rsidRPr="00E805F0" w:rsidRDefault="0038108F" w:rsidP="00AA712B">
      <w:pPr>
        <w:jc w:val="both"/>
        <w:rPr>
          <w:b/>
          <w:u w:val="single"/>
        </w:rPr>
      </w:pPr>
      <w:r w:rsidRPr="00E805F0">
        <w:rPr>
          <w:b/>
          <w:u w:val="single"/>
        </w:rPr>
        <w:t>Bienes inmuebles</w:t>
      </w:r>
    </w:p>
    <w:p w:rsidR="0038108F" w:rsidRPr="005A6843" w:rsidRDefault="0038108F" w:rsidP="00AA712B">
      <w:pPr>
        <w:jc w:val="both"/>
      </w:pPr>
      <w:r w:rsidRPr="005A6843">
        <w:t>A día de hoy, se recoge información sobre 113 inmuebles. La información publicada incluye: tipo, título, departamento, localización, uso y superficie.</w:t>
      </w:r>
    </w:p>
    <w:p w:rsidR="0038108F" w:rsidRPr="005A6843" w:rsidRDefault="0038108F" w:rsidP="00AA712B">
      <w:pPr>
        <w:jc w:val="both"/>
      </w:pPr>
      <w:r w:rsidRPr="005A6843">
        <w:t>La</w:t>
      </w:r>
      <w:r w:rsidR="0069620D">
        <w:t xml:space="preserve"> ley</w:t>
      </w:r>
      <w:r w:rsidR="00E768A4">
        <w:t xml:space="preserve"> de transparencia</w:t>
      </w:r>
      <w:r w:rsidRPr="005A6843">
        <w:t xml:space="preserve"> en esta categoría establece que </w:t>
      </w:r>
      <w:r w:rsidRPr="00E805F0">
        <w:rPr>
          <w:i/>
        </w:rPr>
        <w:t>“las Administraciones Públicas publicarán la relación de los bienes inmuebles que sean de su propiedad o sobre los que ostenten algún derecho real”</w:t>
      </w:r>
      <w:r w:rsidRPr="005A6843">
        <w:t xml:space="preserve">. No se contienen más detalles acerca de la forma de publicar esta información. No obstante, se considera necesario aportar más información respecto de cada propiedad, para determinar al menos su uso. Sirva como ejemplo un bien inmueble, edificio, descrito de la siguiente manera: </w:t>
      </w:r>
      <w:r w:rsidRPr="00E805F0">
        <w:rPr>
          <w:i/>
        </w:rPr>
        <w:t>LISBOA - CAMPO GRANDE N</w:t>
      </w:r>
      <w:r w:rsidR="00E805F0" w:rsidRPr="00E805F0">
        <w:rPr>
          <w:i/>
        </w:rPr>
        <w:t>.</w:t>
      </w:r>
      <w:r w:rsidRPr="00E805F0">
        <w:rPr>
          <w:i/>
        </w:rPr>
        <w:t xml:space="preserve"> 28, 2º B, Portugal,</w:t>
      </w:r>
      <w:r w:rsidRPr="005A6843">
        <w:t xml:space="preserve"> de 470 metros cuadrados. Resulta difícil saber quién ocupa ese edificio y a qué uso está destinado.</w:t>
      </w:r>
    </w:p>
    <w:p w:rsidR="00684CD5" w:rsidRDefault="00684CD5">
      <w:pPr>
        <w:rPr>
          <w:b/>
          <w:u w:val="single"/>
        </w:rPr>
      </w:pPr>
      <w:r>
        <w:rPr>
          <w:b/>
          <w:u w:val="single"/>
        </w:rPr>
        <w:br w:type="page"/>
      </w:r>
    </w:p>
    <w:p w:rsidR="0038108F" w:rsidRPr="00E805F0" w:rsidRDefault="00E805F0" w:rsidP="00FC26D7">
      <w:pPr>
        <w:pStyle w:val="Prrafodelista"/>
        <w:numPr>
          <w:ilvl w:val="0"/>
          <w:numId w:val="60"/>
        </w:numPr>
        <w:ind w:left="426" w:hanging="426"/>
        <w:jc w:val="both"/>
        <w:rPr>
          <w:b/>
          <w:u w:val="single"/>
        </w:rPr>
      </w:pPr>
      <w:r w:rsidRPr="00E805F0">
        <w:rPr>
          <w:b/>
          <w:u w:val="single"/>
        </w:rPr>
        <w:t>PRESUPUESTOS, FISCALIZACIÓN E INFORMES</w:t>
      </w:r>
    </w:p>
    <w:p w:rsidR="00E805F0" w:rsidRPr="005A6843" w:rsidRDefault="00E805F0" w:rsidP="00E805F0">
      <w:pPr>
        <w:pStyle w:val="Prrafodelista"/>
        <w:ind w:left="426"/>
        <w:jc w:val="both"/>
      </w:pPr>
    </w:p>
    <w:p w:rsidR="0038108F" w:rsidRPr="005A6843" w:rsidRDefault="0038108F" w:rsidP="00AA712B">
      <w:pPr>
        <w:jc w:val="both"/>
      </w:pPr>
      <w:r w:rsidRPr="005A6843">
        <w:t xml:space="preserve">La categoría </w:t>
      </w:r>
      <w:r w:rsidRPr="00E805F0">
        <w:rPr>
          <w:i/>
        </w:rPr>
        <w:t>“Presupuestos, Fiscalización e Informes”</w:t>
      </w:r>
      <w:r w:rsidRPr="005A6843">
        <w:t xml:space="preserve"> del menú ministerial presenta únicamente dos sub-categorías informativas: </w:t>
      </w:r>
      <w:r w:rsidRPr="00E805F0">
        <w:rPr>
          <w:i/>
        </w:rPr>
        <w:t>“Presupuestos Generales del Estado”</w:t>
      </w:r>
      <w:r w:rsidRPr="005A6843">
        <w:t xml:space="preserve"> y </w:t>
      </w:r>
      <w:r w:rsidRPr="00E805F0">
        <w:rPr>
          <w:i/>
        </w:rPr>
        <w:t>“Estadísticas e Informes Relevantes”</w:t>
      </w:r>
      <w:r w:rsidRPr="005A6843">
        <w:t xml:space="preserve">. Faltan, pues, cinco de las siete que presenta el menú general de </w:t>
      </w:r>
      <w:r w:rsidRPr="00E805F0">
        <w:rPr>
          <w:i/>
        </w:rPr>
        <w:t>“Presupuestos” del Portal: “Ejecución Presupuestaria”, “Cuentas anuales e informes de auditoría”, “informes de fiscalización”, “Estabilidad presupuestaria”</w:t>
      </w:r>
      <w:r w:rsidRPr="005A6843">
        <w:t xml:space="preserve"> y </w:t>
      </w:r>
      <w:r w:rsidRPr="00E805F0">
        <w:rPr>
          <w:i/>
        </w:rPr>
        <w:t>“Más información presupuestaria”</w:t>
      </w:r>
      <w:r w:rsidRPr="005A6843">
        <w:t xml:space="preserve">. </w:t>
      </w:r>
    </w:p>
    <w:p w:rsidR="0038108F" w:rsidRPr="005A6843" w:rsidRDefault="0038108F" w:rsidP="00AA712B">
      <w:pPr>
        <w:jc w:val="both"/>
      </w:pPr>
      <w:r w:rsidRPr="005A6843">
        <w:t>Al respecto han de darse por reproducidas las reflexiones y comentarios efectuados en relación con las sub-categorías o elementos de la categoría.</w:t>
      </w:r>
    </w:p>
    <w:p w:rsidR="0038108F" w:rsidRPr="005A6843" w:rsidRDefault="0038108F" w:rsidP="00AA712B">
      <w:pPr>
        <w:jc w:val="both"/>
      </w:pPr>
      <w:r w:rsidRPr="005A6843">
        <w:t xml:space="preserve">Se analiza acto seguido el contenido de los elementos efectivamente incluidos en la categoría. En todos ellos la información se ajusta al modelo general del Portal por lo que deben tenerse por reproducidas las consideraciones efectuadas con ocasión del estudio de éste. </w:t>
      </w:r>
    </w:p>
    <w:p w:rsidR="0038108F" w:rsidRPr="00E805F0" w:rsidRDefault="0038108F" w:rsidP="00AA712B">
      <w:pPr>
        <w:jc w:val="both"/>
        <w:rPr>
          <w:b/>
          <w:u w:val="single"/>
        </w:rPr>
      </w:pPr>
      <w:r w:rsidRPr="00E805F0">
        <w:rPr>
          <w:b/>
          <w:u w:val="single"/>
        </w:rPr>
        <w:t xml:space="preserve">Presupuestos Generales </w:t>
      </w:r>
    </w:p>
    <w:p w:rsidR="0038108F" w:rsidRPr="005A6843" w:rsidRDefault="0038108F" w:rsidP="00AA712B">
      <w:pPr>
        <w:jc w:val="both"/>
      </w:pPr>
      <w:r w:rsidRPr="005A6843">
        <w:t xml:space="preserve">En la opción </w:t>
      </w:r>
      <w:r w:rsidRPr="00E805F0">
        <w:rPr>
          <w:i/>
        </w:rPr>
        <w:t>“Gastos”</w:t>
      </w:r>
      <w:r w:rsidRPr="005A6843">
        <w:t xml:space="preserve"> se ofrecen 75 resultados para los ejercicios 2014, 2015 y 2016 con accesos no solo a los Presupuestos del Departamento, sus organismos vinculados y dependientes y los organismos adscritos sino también a los de numerosos Consorcios de Investigación, Laboratorios y Fondos presupuestarios. Para 2017 no se recoge información alguna.</w:t>
      </w:r>
    </w:p>
    <w:p w:rsidR="0038108F" w:rsidRPr="00E805F0" w:rsidRDefault="0038108F" w:rsidP="00AA712B">
      <w:pPr>
        <w:jc w:val="both"/>
        <w:rPr>
          <w:b/>
          <w:u w:val="single"/>
        </w:rPr>
      </w:pPr>
      <w:r w:rsidRPr="00E805F0">
        <w:rPr>
          <w:b/>
          <w:u w:val="single"/>
        </w:rPr>
        <w:t xml:space="preserve">Información y estadísticas relevantes </w:t>
      </w:r>
    </w:p>
    <w:p w:rsidR="0038108F" w:rsidRPr="005A6843" w:rsidRDefault="0038108F" w:rsidP="00AA712B">
      <w:pPr>
        <w:jc w:val="both"/>
      </w:pPr>
      <w:r w:rsidRPr="005A6843">
        <w:t xml:space="preserve">A fecha de hoy, se publican únicamente dos documentos: el </w:t>
      </w:r>
      <w:r w:rsidRPr="00E805F0">
        <w:rPr>
          <w:i/>
        </w:rPr>
        <w:t>Programa Editorial 2016</w:t>
      </w:r>
      <w:r w:rsidRPr="005A6843">
        <w:t xml:space="preserve"> del Departamento y una </w:t>
      </w:r>
      <w:r w:rsidRPr="00E805F0">
        <w:rPr>
          <w:i/>
        </w:rPr>
        <w:t>Síntesis de indicadores económicos</w:t>
      </w:r>
      <w:r w:rsidRPr="005A6843">
        <w:t xml:space="preserve">. Este último lleva a un enlace de la </w:t>
      </w:r>
      <w:hyperlink r:id="rId75" w:history="1">
        <w:r w:rsidRPr="00C128CF">
          <w:rPr>
            <w:rStyle w:val="Hipervnculo"/>
          </w:rPr>
          <w:t>Dirección General de Análisis Macroeconómico y Análisis Internacional</w:t>
        </w:r>
      </w:hyperlink>
      <w:r w:rsidR="00C128CF">
        <w:t>.</w:t>
      </w:r>
    </w:p>
    <w:p w:rsidR="00227173" w:rsidRDefault="00227173">
      <w:pPr>
        <w:rPr>
          <w:b/>
          <w:color w:val="1C314E" w:themeColor="accent4" w:themeShade="80"/>
          <w:sz w:val="32"/>
          <w:szCs w:val="28"/>
        </w:rPr>
      </w:pPr>
      <w:bookmarkStart w:id="304" w:name="_Toc498345447"/>
      <w:r>
        <w:br w:type="page"/>
      </w:r>
    </w:p>
    <w:p w:rsidR="0038108F" w:rsidRPr="005A6843" w:rsidRDefault="0038108F" w:rsidP="00E805F0">
      <w:pPr>
        <w:pStyle w:val="Ttulo4"/>
      </w:pPr>
      <w:bookmarkStart w:id="305" w:name="_Toc501110731"/>
      <w:r w:rsidRPr="005A6843">
        <w:t>Ministerio de Sanidad, Servicios Sociales e Igualdad (MSSSI)</w:t>
      </w:r>
      <w:bookmarkEnd w:id="304"/>
      <w:bookmarkEnd w:id="305"/>
    </w:p>
    <w:p w:rsidR="0038108F" w:rsidRPr="005A6843" w:rsidRDefault="0038108F" w:rsidP="00AA712B">
      <w:pPr>
        <w:jc w:val="both"/>
      </w:pPr>
      <w:r w:rsidRPr="005A6843">
        <w:t xml:space="preserve">Como el menú general del Portal, el menú de </w:t>
      </w:r>
      <w:r w:rsidRPr="00E805F0">
        <w:rPr>
          <w:i/>
        </w:rPr>
        <w:t>“Transparencia del Ministerio de Sanidad, Servicios Sociales e Igualdad”</w:t>
      </w:r>
      <w:r w:rsidRPr="005A6843">
        <w:t xml:space="preserve"> aparece estructurado en cuatro categorías de información: </w:t>
      </w:r>
      <w:r w:rsidRPr="00E805F0">
        <w:rPr>
          <w:i/>
        </w:rPr>
        <w:t>“Institucional”, “Normativa”, “Contratos, convenios, subvenciones y bienes inmuebles”</w:t>
      </w:r>
      <w:r w:rsidRPr="005A6843">
        <w:t xml:space="preserve"> y </w:t>
      </w:r>
      <w:r w:rsidRPr="00E805F0">
        <w:rPr>
          <w:i/>
        </w:rPr>
        <w:t>“Presupuestos, fiscalización e informes”</w:t>
      </w:r>
      <w:r w:rsidRPr="005A6843">
        <w:t xml:space="preserve">. Al respecto, deben darse por reproducidas aquí las consideraciones hechas en relación con aquél. </w:t>
      </w:r>
    </w:p>
    <w:p w:rsidR="0038108F" w:rsidRPr="005A6843" w:rsidRDefault="0038108F" w:rsidP="00E805F0">
      <w:pPr>
        <w:pStyle w:val="Ttulo5"/>
      </w:pPr>
      <w:bookmarkStart w:id="306" w:name="_Toc498345448"/>
      <w:bookmarkStart w:id="307" w:name="_Toc501110732"/>
      <w:r w:rsidRPr="005A6843">
        <w:t>Información institucional, organizativa y de planificación</w:t>
      </w:r>
      <w:bookmarkEnd w:id="306"/>
      <w:bookmarkEnd w:id="307"/>
    </w:p>
    <w:p w:rsidR="0038108F" w:rsidRPr="005A6843" w:rsidRDefault="0038108F" w:rsidP="00AA712B">
      <w:pPr>
        <w:jc w:val="both"/>
      </w:pPr>
      <w:r w:rsidRPr="005A6843">
        <w:t xml:space="preserve">La categoría de información institucional del MSSI presenta seis sub-categorías: </w:t>
      </w:r>
      <w:r w:rsidRPr="00E805F0">
        <w:rPr>
          <w:i/>
        </w:rPr>
        <w:t>“Estructura”, “Funciones”, “Planes de objetivos”, “Retribuciones de Altos Cargos, “Currículos de Altos Cargos”</w:t>
      </w:r>
      <w:r w:rsidRPr="005A6843">
        <w:t xml:space="preserve"> y </w:t>
      </w:r>
      <w:r w:rsidRPr="00E805F0">
        <w:rPr>
          <w:i/>
        </w:rPr>
        <w:t>“Relaciones de Puestos de Trabajo”</w:t>
      </w:r>
      <w:r w:rsidRPr="005A6843">
        <w:t xml:space="preserve">. </w:t>
      </w:r>
    </w:p>
    <w:p w:rsidR="0038108F" w:rsidRPr="005A6843" w:rsidRDefault="0038108F" w:rsidP="00AA712B">
      <w:pPr>
        <w:jc w:val="both"/>
      </w:pPr>
      <w:r w:rsidRPr="005A6843">
        <w:t xml:space="preserve">Deben darse por reproducidas aquí las consideraciones efectuadas en los anteriores apartados de este epígrafe respecto de los elementos o sub-categorías informativas </w:t>
      </w:r>
      <w:r w:rsidRPr="00E805F0">
        <w:rPr>
          <w:i/>
        </w:rPr>
        <w:t>“Normativa de aplicación”, “Retribuciones de los Altos Cargos”, “Relaciones de Puestos de Trabajo”, “Autorizaciones de actividad privada en Altos Cargos”, “Indemnizaciones percibidas con ocasión del cese”</w:t>
      </w:r>
      <w:r w:rsidRPr="005A6843">
        <w:t xml:space="preserve"> y </w:t>
      </w:r>
      <w:r w:rsidRPr="00E805F0">
        <w:rPr>
          <w:i/>
        </w:rPr>
        <w:t>“Autorización o reconocimiento de compatibilidad de empleados públicos”.</w:t>
      </w:r>
    </w:p>
    <w:p w:rsidR="0038108F" w:rsidRPr="005A6843" w:rsidRDefault="0038108F" w:rsidP="00AA712B">
      <w:pPr>
        <w:jc w:val="both"/>
      </w:pPr>
      <w:r w:rsidRPr="005A6843">
        <w:t xml:space="preserve">Se analiza acto seguido el contenido informativo de cada uno de los elementos o sub--categorías. En todas ellas, la información se ajusta al modelo establecido con carácter general en el Portal por lo que deben tenerse por reproducidas las consideraciones efectuadas respecto de las sub-categorías paralelas en el análisis del modelo general de contenidos de aquel </w:t>
      </w:r>
    </w:p>
    <w:p w:rsidR="0038108F" w:rsidRPr="00E805F0" w:rsidRDefault="0038108F" w:rsidP="00AA712B">
      <w:pPr>
        <w:jc w:val="both"/>
        <w:rPr>
          <w:b/>
          <w:u w:val="single"/>
        </w:rPr>
      </w:pPr>
      <w:r w:rsidRPr="00E805F0">
        <w:rPr>
          <w:b/>
          <w:u w:val="single"/>
        </w:rPr>
        <w:t>Estructura</w:t>
      </w:r>
    </w:p>
    <w:p w:rsidR="0038108F" w:rsidRPr="005A6843" w:rsidRDefault="0038108F" w:rsidP="00AA712B">
      <w:pPr>
        <w:jc w:val="both"/>
      </w:pPr>
      <w:r w:rsidRPr="005A6843">
        <w:t>Aparece el organigrama del Departamento, completo, hasta el nivel de Subdirector General, pues la estructura es posterior al Real Decreto 415/2016, que regula la organización actual de los Departamentos ministeriales. Consecuentemente, el organigrama se completa con la relación de los órganos colegiados y consultivos del Departamento.</w:t>
      </w:r>
    </w:p>
    <w:p w:rsidR="0038108F" w:rsidRPr="005A6843" w:rsidRDefault="0038108F" w:rsidP="00AA712B">
      <w:pPr>
        <w:jc w:val="both"/>
      </w:pPr>
      <w:r w:rsidRPr="005A6843">
        <w:t>Estos son 32: Consejo Asesor de Sanidad; Comisión de Ayudas Sociales a los Afectados por el VIH; Conferencia Sectorial del Plan Nacional sobre Drogas; Mesa de Coordinación de Adjudicaciones; Comisión Técnica de valoración de actuaciones sobre drogas; Comisión Asesora de Publicaciones del Departamento; Conferencia Sectorial de Consumo; Consejo Interterritorial del Sistema Nacional de Salud; Consejo de Consumidores y Usuarios; Comisión Nacional de Reproducción Humana Asistida; Plan Nacional sobre el Sida; Comisión Nacional de Coordinación y Seguimiento de Programas de Prevención del Sida; Comisión Nacional de Hemoterapia; Comisión de Evaluación de las Ayudas Sociales (CEVHC); Comisión Interministerial de Precios de los Medicamentos; Comité Asesor de la Hormona del Crecimiento y Sustancias Relacionadas; Comisión de Recursos Humanos del Sistema Nacional de Salud; Comisión Interministerial para la Ordenación Alimentaria; Comisión Nacional de Radiofísica Hospitalaria, Comisión Mixta de coordinación entre el Ministerio de Economía y Competitividad y el Ministerio de Sanidad, Servicios Sociales e Igualdad , en relación con el Instituto de Salud Carlos III; Comisión de Cooperación de Consumo -Consejo Nacional de la Discapacidad; Comisión de protección patrimonial de las personas con discapacidad; Foro de Cultura Inclusiva; Comisión para el Diálogo Civil con la Plataforma del Tercer Sector; Comisión Interministerial de Igualdad entre mujeres y hombres; Consejo de la Red Española de Agencias de Evaluación de Tecnologías Sanitarias y Prestaciones del Sistema Nacional de Salud; Observatorio de Salud; Consejo Español de Drogodependencias y otras Adicciones; Consejo para la Eliminación de la Discriminación Racial o Étnica y Comisión Ministerial de Administración Digital. Sería conveniente incluir una breve explicación de la composición y funciones de cada uno</w:t>
      </w:r>
    </w:p>
    <w:p w:rsidR="0038108F" w:rsidRPr="005A6843" w:rsidRDefault="0038108F" w:rsidP="00AA712B">
      <w:pPr>
        <w:jc w:val="both"/>
      </w:pPr>
      <w:r w:rsidRPr="005A6843">
        <w:t xml:space="preserve">El menú proporciona también acceso a los organismos vinculados y dependientes del Ministerio. Son los siguientes: Agencia Española de Medicamentos y Productos Sanitarios (AEMPS). Agencia Española de Consumo, Seguridad Alimentaria y Nutrición (AECOSAN), Organización Nacional de Trasplantes (ONT). Instituto Nacional de Gestión Sanitaria (INGESA). Instituto de la Mujer y para la Igualdad de Oportunidades, Instituto de Mayores y Servicios Sociales (IMSERSO) e  Instituto de la Juventud (INJUVE) y Real Patronato sobre Discapacidad (RPD). La lista coincide con la que figura en la </w:t>
      </w:r>
      <w:hyperlink r:id="rId76" w:history="1">
        <w:r w:rsidR="00FC4B2E" w:rsidRPr="00C128CF">
          <w:rPr>
            <w:rStyle w:val="Hipervnculo"/>
            <w:i/>
          </w:rPr>
          <w:t>web</w:t>
        </w:r>
        <w:r w:rsidRPr="00C128CF">
          <w:rPr>
            <w:rStyle w:val="Hipervnculo"/>
          </w:rPr>
          <w:t xml:space="preserve"> del Ministerio</w:t>
        </w:r>
      </w:hyperlink>
      <w:r w:rsidR="00C128CF">
        <w:rPr>
          <w:i/>
        </w:rPr>
        <w:t>.</w:t>
      </w:r>
      <w:r w:rsidRPr="005A6843">
        <w:t xml:space="preserve"> </w:t>
      </w:r>
    </w:p>
    <w:p w:rsidR="0038108F" w:rsidRPr="00E805F0" w:rsidRDefault="0038108F" w:rsidP="00AA712B">
      <w:pPr>
        <w:jc w:val="both"/>
        <w:rPr>
          <w:b/>
          <w:u w:val="single"/>
        </w:rPr>
      </w:pPr>
      <w:r w:rsidRPr="00E805F0">
        <w:rPr>
          <w:b/>
          <w:u w:val="single"/>
        </w:rPr>
        <w:t xml:space="preserve">Funciones </w:t>
      </w:r>
    </w:p>
    <w:p w:rsidR="0038108F" w:rsidRPr="005A6843" w:rsidRDefault="0038108F" w:rsidP="00AA712B">
      <w:pPr>
        <w:jc w:val="both"/>
      </w:pPr>
      <w:r w:rsidRPr="005A6843">
        <w:t>Al “pinchar” en este sub-apartado se accede directamente al texto del «BOE» del Real Decreto 485/2017, de 12 de mayo, por el que se desarrolla la estructura orgánica básica del Ministerio de Sanidad, Servicios Sociales e Igualdad, que lo deroga.</w:t>
      </w:r>
    </w:p>
    <w:p w:rsidR="0038108F" w:rsidRPr="00E805F0" w:rsidRDefault="0038108F" w:rsidP="00AA712B">
      <w:pPr>
        <w:jc w:val="both"/>
        <w:rPr>
          <w:b/>
          <w:u w:val="single"/>
        </w:rPr>
      </w:pPr>
      <w:r w:rsidRPr="00E805F0">
        <w:rPr>
          <w:b/>
          <w:u w:val="single"/>
        </w:rPr>
        <w:t>Planes de objetivos</w:t>
      </w:r>
    </w:p>
    <w:p w:rsidR="0038108F" w:rsidRPr="00E805F0" w:rsidRDefault="0038108F" w:rsidP="00AA712B">
      <w:pPr>
        <w:jc w:val="both"/>
        <w:rPr>
          <w:i/>
        </w:rPr>
      </w:pPr>
      <w:r w:rsidRPr="005A6843">
        <w:t xml:space="preserve">A día de hoy, se publican 10 documentos: Carta de Servicios del INJUVE, Carta de Servicios de la oficina de atención a la discapacidad, Carta de Servicios de la Agencia Estatal de Medicamentos y Productos Sanitarios (AEMPS), Carta de Servicios del Centro Euro-latinoamericano de Juventud del INJUVE, Carta de Servicios del Servicio de Información Telefónica, Carta de Servicios del Centro de Documentación, </w:t>
      </w:r>
      <w:r w:rsidRPr="00E805F0">
        <w:rPr>
          <w:i/>
        </w:rPr>
        <w:t>Plan de Acción para la Igualdad de oportunidades en la sociedad de la información 2014-2017, Plan para la prevención y control de la tuberculosis, Plan Integral de Apoyo a la Familia 2015-2017 y Estrategia Nacional para la Inclusión Social de la Población Gitana en España 2012-2020.</w:t>
      </w:r>
    </w:p>
    <w:p w:rsidR="0038108F" w:rsidRPr="005A6843" w:rsidRDefault="0038108F" w:rsidP="00AA712B">
      <w:pPr>
        <w:jc w:val="both"/>
      </w:pPr>
      <w:r w:rsidRPr="005A6843">
        <w:t>Salvo los cuatro últimos documentos, que son realmente Planes de objetivos, el resto de los documentos son Cartas de Servicios.</w:t>
      </w:r>
    </w:p>
    <w:p w:rsidR="0038108F" w:rsidRPr="00E805F0" w:rsidRDefault="0038108F" w:rsidP="00AA712B">
      <w:pPr>
        <w:jc w:val="both"/>
        <w:rPr>
          <w:b/>
          <w:u w:val="single"/>
        </w:rPr>
      </w:pPr>
      <w:r w:rsidRPr="00E805F0">
        <w:rPr>
          <w:b/>
          <w:u w:val="single"/>
        </w:rPr>
        <w:t xml:space="preserve">Retribuciones de Altos Cargos </w:t>
      </w:r>
    </w:p>
    <w:p w:rsidR="0038108F" w:rsidRPr="005A6843" w:rsidRDefault="0038108F" w:rsidP="00AA712B">
      <w:pPr>
        <w:jc w:val="both"/>
      </w:pPr>
      <w:r w:rsidRPr="005A6843">
        <w:t xml:space="preserve">A día de hoy aparecen publicados los datos de las retribuciones íntegras anuales percibidas en 2016 por 18 Altos Cargos del Ministerio y siete Altos Cargos o asimilados de sus organismos públicos vinculados o dependientes. Debe tenerse en cuenta que existen cargos que han tenido más de un titular, por lo que se publican los datos de todas las personas que han ocupado dichos cargos. </w:t>
      </w:r>
    </w:p>
    <w:p w:rsidR="0038108F" w:rsidRPr="005A6843" w:rsidRDefault="0038108F" w:rsidP="00AA712B">
      <w:pPr>
        <w:jc w:val="both"/>
      </w:pPr>
      <w:r w:rsidRPr="005A6843">
        <w:t>La información se completa con datos retributivos de 2013, 2014 y 2015.</w:t>
      </w:r>
    </w:p>
    <w:p w:rsidR="0038108F" w:rsidRPr="00E805F0" w:rsidRDefault="0038108F" w:rsidP="00AA712B">
      <w:pPr>
        <w:jc w:val="both"/>
        <w:rPr>
          <w:b/>
          <w:u w:val="single"/>
        </w:rPr>
      </w:pPr>
      <w:r w:rsidRPr="00E805F0">
        <w:rPr>
          <w:b/>
          <w:u w:val="single"/>
        </w:rPr>
        <w:t xml:space="preserve">Currículos de Altos Cargos </w:t>
      </w:r>
    </w:p>
    <w:p w:rsidR="0038108F" w:rsidRPr="005A6843" w:rsidRDefault="0038108F" w:rsidP="00AA712B">
      <w:pPr>
        <w:jc w:val="both"/>
      </w:pPr>
      <w:r w:rsidRPr="005A6843">
        <w:t xml:space="preserve">A día de hoy, aparecen publicados 19 currículos, correspondientes a los actuales titulares de los Altos Cargos del Ministerio. Falta por incluir información del Secretario General de Sanidad y Consumo, que aparece sin contenido. </w:t>
      </w:r>
    </w:p>
    <w:p w:rsidR="0038108F" w:rsidRPr="00E805F0" w:rsidRDefault="0038108F" w:rsidP="00AA712B">
      <w:pPr>
        <w:jc w:val="both"/>
        <w:rPr>
          <w:b/>
          <w:u w:val="single"/>
        </w:rPr>
      </w:pPr>
      <w:r w:rsidRPr="00E805F0">
        <w:rPr>
          <w:b/>
          <w:u w:val="single"/>
        </w:rPr>
        <w:t>Relaciones de Puestos de Trabajo (RPT)</w:t>
      </w:r>
    </w:p>
    <w:p w:rsidR="0038108F" w:rsidRPr="005A6843" w:rsidRDefault="0038108F" w:rsidP="00AA712B">
      <w:pPr>
        <w:jc w:val="both"/>
      </w:pPr>
      <w:r w:rsidRPr="005A6843">
        <w:t>Se recoge información de la RPT de personal funcionario y laboral del Ministerio, así como la de la AEMPS. Se desconocen las razones por las que sólo se publica la RPT de la Agencia, cuando existen otros siete organismos públicos en el Ministerio.</w:t>
      </w:r>
    </w:p>
    <w:p w:rsidR="0038108F" w:rsidRPr="005A6843" w:rsidRDefault="0038108F" w:rsidP="00E805F0">
      <w:pPr>
        <w:pStyle w:val="Ttulo5"/>
      </w:pPr>
      <w:bookmarkStart w:id="308" w:name="_Toc498345449"/>
      <w:bookmarkStart w:id="309" w:name="_Toc501110733"/>
      <w:r w:rsidRPr="005A6843">
        <w:t>Información de relevancia jurídica</w:t>
      </w:r>
      <w:bookmarkEnd w:id="308"/>
      <w:bookmarkEnd w:id="309"/>
    </w:p>
    <w:p w:rsidR="0038108F" w:rsidRPr="005A6843" w:rsidRDefault="0038108F" w:rsidP="00AA712B">
      <w:pPr>
        <w:jc w:val="both"/>
      </w:pPr>
      <w:r w:rsidRPr="005A6843">
        <w:t xml:space="preserve">Incluye las cuatro sub-categorías del menú general de </w:t>
      </w:r>
      <w:r w:rsidRPr="00300495">
        <w:rPr>
          <w:i/>
        </w:rPr>
        <w:t>“Normativa”</w:t>
      </w:r>
      <w:r w:rsidRPr="005A6843">
        <w:t xml:space="preserve"> del Portal: “</w:t>
      </w:r>
      <w:r w:rsidRPr="00300495">
        <w:rPr>
          <w:i/>
        </w:rPr>
        <w:t>Normativa destacada”, “Normativa en elaboración”, “Normativa vigente”</w:t>
      </w:r>
      <w:r w:rsidRPr="005A6843">
        <w:t xml:space="preserve"> y </w:t>
      </w:r>
      <w:r w:rsidRPr="00300495">
        <w:rPr>
          <w:i/>
        </w:rPr>
        <w:t>“Otras disposiciones”</w:t>
      </w:r>
      <w:r w:rsidRPr="005A6843">
        <w:t>. Deben darse por reproducidas al respecto, las consideraciones efectuadas en el examen del menú general del Portal acerca de dichos elementos o sub-categorías y de la sub-categoría del art. 7 de la</w:t>
      </w:r>
      <w:r w:rsidR="0069620D">
        <w:t xml:space="preserve"> ley</w:t>
      </w:r>
      <w:r w:rsidR="00E768A4">
        <w:t xml:space="preserve"> de transparencia</w:t>
      </w:r>
      <w:r w:rsidRPr="005A6843">
        <w:t xml:space="preserve"> </w:t>
      </w:r>
      <w:r w:rsidRPr="00300495">
        <w:rPr>
          <w:i/>
        </w:rPr>
        <w:t>“Documentos sometidos a audiencia pública durante su tramitación”</w:t>
      </w:r>
      <w:r w:rsidRPr="005A6843">
        <w:t xml:space="preserve">. </w:t>
      </w:r>
    </w:p>
    <w:p w:rsidR="0038108F" w:rsidRPr="005A6843" w:rsidRDefault="0038108F" w:rsidP="00AA712B">
      <w:pPr>
        <w:jc w:val="both"/>
      </w:pPr>
      <w:r w:rsidRPr="005A6843">
        <w:t>Se examina a continuación, brevemente, el contenido de cada uno de los elementos o sub--categorías informativas incluidas. En todas ellas, la información se ajusta al modelo general del Portal por lo que deben tenerse por reproducidas las consideraciones efectuadas en el epígrafe anterior en relación con las correlativas sub-categorías del menú general.</w:t>
      </w:r>
    </w:p>
    <w:p w:rsidR="00684CD5" w:rsidRDefault="00684CD5">
      <w:pPr>
        <w:rPr>
          <w:b/>
          <w:u w:val="single"/>
        </w:rPr>
      </w:pPr>
      <w:r>
        <w:rPr>
          <w:b/>
          <w:u w:val="single"/>
        </w:rPr>
        <w:br w:type="page"/>
      </w:r>
    </w:p>
    <w:p w:rsidR="0038108F" w:rsidRPr="00300495" w:rsidRDefault="0038108F" w:rsidP="00AA712B">
      <w:pPr>
        <w:jc w:val="both"/>
        <w:rPr>
          <w:b/>
          <w:u w:val="single"/>
        </w:rPr>
      </w:pPr>
      <w:r w:rsidRPr="00300495">
        <w:rPr>
          <w:b/>
          <w:u w:val="single"/>
        </w:rPr>
        <w:t>Normativa destacada</w:t>
      </w:r>
    </w:p>
    <w:p w:rsidR="0038108F" w:rsidRPr="005A6843" w:rsidRDefault="0038108F" w:rsidP="00AA712B">
      <w:pPr>
        <w:jc w:val="both"/>
      </w:pPr>
      <w:r w:rsidRPr="005A6843">
        <w:t xml:space="preserve">A día de hoy aparecen 109 normas, de las que 35 son leyes, 71 reales decretos y 3 órdenes ministeriales. Se indica que todas ellas se encuentran vigentes. </w:t>
      </w:r>
    </w:p>
    <w:p w:rsidR="0038108F" w:rsidRPr="00300495" w:rsidRDefault="0038108F" w:rsidP="00AA712B">
      <w:pPr>
        <w:jc w:val="both"/>
        <w:rPr>
          <w:b/>
          <w:u w:val="single"/>
        </w:rPr>
      </w:pPr>
      <w:r w:rsidRPr="00300495">
        <w:rPr>
          <w:b/>
          <w:u w:val="single"/>
        </w:rPr>
        <w:t>Normativa en elaboración</w:t>
      </w:r>
    </w:p>
    <w:p w:rsidR="0038108F" w:rsidRPr="005A6843" w:rsidRDefault="0038108F" w:rsidP="00AA712B">
      <w:pPr>
        <w:jc w:val="both"/>
      </w:pPr>
      <w:r w:rsidRPr="005A6843">
        <w:t xml:space="preserve">A día de hoy se publican 14 proyectos de normativa. Todos son proyectos de reales decretos, con la excepción del Proyecto de </w:t>
      </w:r>
      <w:r w:rsidR="001C41A6">
        <w:t>Ley</w:t>
      </w:r>
      <w:r w:rsidRPr="005A6843">
        <w:t xml:space="preserve"> por la que se incorpora al ordenamiento jurídico español la Directiva 2013/11/UE, del Parlamento Europeo y del Consejo, de 21 de mayo de 2013, relativa a la resolución alternativa de litigios en materia de consumo. Este proyecto viene acompañado de todos los informes preceptivos: Consejo General del Poder Judicial, dictamen del Consejo de Estado, memoria de análisis de impacto normativo (MAIN), etc.</w:t>
      </w:r>
    </w:p>
    <w:p w:rsidR="0038108F" w:rsidRPr="005A6843" w:rsidRDefault="0038108F" w:rsidP="00AA712B">
      <w:pPr>
        <w:jc w:val="both"/>
      </w:pPr>
      <w:r w:rsidRPr="005A6843">
        <w:t>Por lo que se refiere al resto de proyectos, en todos ellos se publica el texto y la MAIN. De acuerdo con el artículo 7. d), deben publicarse el resto de informes preceptivos, como el de la Secretaría General Técnica del Ministerio y, cuando proceda, el dictamen del Consejo de Estado.</w:t>
      </w:r>
    </w:p>
    <w:p w:rsidR="0038108F" w:rsidRPr="00300495" w:rsidRDefault="0038108F" w:rsidP="00AA712B">
      <w:pPr>
        <w:jc w:val="both"/>
        <w:rPr>
          <w:b/>
          <w:u w:val="single"/>
        </w:rPr>
      </w:pPr>
      <w:r w:rsidRPr="00300495">
        <w:rPr>
          <w:b/>
          <w:u w:val="single"/>
        </w:rPr>
        <w:t>Normativa en vigor</w:t>
      </w:r>
    </w:p>
    <w:p w:rsidR="0038108F" w:rsidRPr="005A6843" w:rsidRDefault="0038108F" w:rsidP="00AA712B">
      <w:pPr>
        <w:jc w:val="both"/>
      </w:pPr>
      <w:r w:rsidRPr="005A6843">
        <w:t xml:space="preserve">A fecha de hoy se publican 23 normas, todas ellas reales decretos, salvo el Real Decreto Legislativo 1/2015, de 24 de julio, por el que se aprueba el texto refundido de la </w:t>
      </w:r>
      <w:r w:rsidR="001C41A6">
        <w:t>Ley</w:t>
      </w:r>
      <w:r w:rsidRPr="005A6843">
        <w:t xml:space="preserve"> de garantías y uso racional de los medicamentos y productos sanitarios, cuyo texto ya se publica en normativa destacada.</w:t>
      </w:r>
    </w:p>
    <w:p w:rsidR="0038108F" w:rsidRPr="00300495" w:rsidRDefault="0038108F" w:rsidP="00AA712B">
      <w:pPr>
        <w:jc w:val="both"/>
        <w:rPr>
          <w:b/>
          <w:u w:val="single"/>
        </w:rPr>
      </w:pPr>
      <w:r w:rsidRPr="00300495">
        <w:rPr>
          <w:b/>
          <w:u w:val="single"/>
        </w:rPr>
        <w:t>Otras disposiciones</w:t>
      </w:r>
    </w:p>
    <w:p w:rsidR="00F04990" w:rsidRDefault="0038108F" w:rsidP="00AA712B">
      <w:pPr>
        <w:jc w:val="both"/>
      </w:pPr>
      <w:r w:rsidRPr="005A6843">
        <w:t xml:space="preserve">Se publican a día de hoy 74 documentos: 44 órdenes ministeriales, 25 resoluciones y 3 circulares e instrucciones, más un real decreto –que debería eliminarse- y un proyecto de norma, el </w:t>
      </w:r>
      <w:r w:rsidRPr="00300495">
        <w:rPr>
          <w:i/>
        </w:rPr>
        <w:t>Proyecto de orden por la que se determinan los criterios mínimos y procedimiento para la comunicación de la intención de adecuar los medicamentos homeopáticos comercializados al amparo de la Disposición transitoria segunda del Real Decreto 2208/1994, de 16 de noviembre, por el que se regulan los medicamentos homeopáticos de uso humano de fabricación industrial, al Real Decreto 1345/2007, de 11 de octubre</w:t>
      </w:r>
      <w:r w:rsidRPr="005A6843">
        <w:t>. Este proyecto ya no es tal, con lo que debería retirarse su publicación en los términos en los que está realizada.</w:t>
      </w:r>
    </w:p>
    <w:p w:rsidR="00684CD5" w:rsidRDefault="00684CD5">
      <w:pPr>
        <w:rPr>
          <w:b/>
          <w:color w:val="1C314E" w:themeColor="accent4" w:themeShade="80"/>
          <w:sz w:val="28"/>
        </w:rPr>
      </w:pPr>
      <w:bookmarkStart w:id="310" w:name="_Toc498345450"/>
      <w:r>
        <w:br w:type="page"/>
      </w:r>
    </w:p>
    <w:p w:rsidR="0038108F" w:rsidRPr="005A6843" w:rsidRDefault="0038108F" w:rsidP="00300495">
      <w:pPr>
        <w:pStyle w:val="Ttulo5"/>
      </w:pPr>
      <w:bookmarkStart w:id="311" w:name="_Toc501110734"/>
      <w:r w:rsidRPr="005A6843">
        <w:t>Información económica, presupuestaria y estadística</w:t>
      </w:r>
      <w:bookmarkEnd w:id="310"/>
      <w:bookmarkEnd w:id="311"/>
    </w:p>
    <w:p w:rsidR="0038108F" w:rsidRPr="00FC4B2E" w:rsidRDefault="00300495" w:rsidP="00FC26D7">
      <w:pPr>
        <w:pStyle w:val="Prrafodelista"/>
        <w:numPr>
          <w:ilvl w:val="0"/>
          <w:numId w:val="61"/>
        </w:numPr>
        <w:ind w:left="426" w:hanging="426"/>
        <w:jc w:val="both"/>
        <w:rPr>
          <w:b/>
          <w:u w:val="single"/>
        </w:rPr>
      </w:pPr>
      <w:r w:rsidRPr="00FC4B2E">
        <w:rPr>
          <w:b/>
          <w:u w:val="single"/>
        </w:rPr>
        <w:t>CONTRATOS, CONVENIOS, SUBVENCIONES Y BIENES INMUEBLES</w:t>
      </w:r>
    </w:p>
    <w:p w:rsidR="00300495" w:rsidRPr="005A6843" w:rsidRDefault="00300495" w:rsidP="00300495">
      <w:pPr>
        <w:pStyle w:val="Prrafodelista"/>
        <w:ind w:left="426"/>
        <w:jc w:val="both"/>
      </w:pPr>
    </w:p>
    <w:p w:rsidR="0038108F" w:rsidRPr="005A6843" w:rsidRDefault="0038108F" w:rsidP="00AA712B">
      <w:pPr>
        <w:jc w:val="both"/>
      </w:pPr>
      <w:r w:rsidRPr="005A6843">
        <w:t xml:space="preserve">La categoría </w:t>
      </w:r>
      <w:r w:rsidRPr="00300495">
        <w:rPr>
          <w:i/>
        </w:rPr>
        <w:t>“Contratos, Convenios, Subvenciones y Bienes Inmuebles”</w:t>
      </w:r>
      <w:r w:rsidRPr="005A6843">
        <w:t xml:space="preserve"> contiene únicamente tres sub-categorías de información sobre las siete incorporadas al menú general del Portal: </w:t>
      </w:r>
      <w:r w:rsidRPr="00300495">
        <w:rPr>
          <w:i/>
        </w:rPr>
        <w:t>“Contratos”, “Convenios y Encomiendas” y “Bienes Inmuebles”</w:t>
      </w:r>
      <w:r w:rsidRPr="005A6843">
        <w:t>. En este sentido, deben tenerse en cuenta las consideraciones de este CTBG respecto de los elementos o sub-categorías propios de esta categoría.</w:t>
      </w:r>
    </w:p>
    <w:p w:rsidR="0038108F" w:rsidRPr="005A6843" w:rsidRDefault="0038108F" w:rsidP="00AA712B">
      <w:pPr>
        <w:jc w:val="both"/>
      </w:pPr>
      <w:r w:rsidRPr="005A6843">
        <w:t xml:space="preserve">A continuación se analiza el contenido de los tres elementos informativos presentes. La información se ajusta al modelo general del Portal por lo que deben reproducirse aquí las sugerencias y consideraciones efectuadas con ocasión de la valoración de aquel. </w:t>
      </w:r>
    </w:p>
    <w:p w:rsidR="0038108F" w:rsidRPr="00300495" w:rsidRDefault="0038108F" w:rsidP="00AA712B">
      <w:pPr>
        <w:jc w:val="both"/>
        <w:rPr>
          <w:b/>
          <w:u w:val="single"/>
        </w:rPr>
      </w:pPr>
      <w:r w:rsidRPr="00300495">
        <w:rPr>
          <w:b/>
          <w:u w:val="single"/>
        </w:rPr>
        <w:t>Contratos</w:t>
      </w:r>
    </w:p>
    <w:p w:rsidR="0038108F" w:rsidRPr="005A6843" w:rsidRDefault="0038108F" w:rsidP="00AA712B">
      <w:pPr>
        <w:jc w:val="both"/>
      </w:pPr>
      <w:r w:rsidRPr="005A6843">
        <w:t>El Portal recoge, a  día de hoy, 4.447 registros e incluye las contrataciones de los organismos públicos y los hospitales de Ceuta y Melilla. La distribución es la siguiente: 432 contratos abiertos</w:t>
      </w:r>
      <w:r w:rsidR="00300495">
        <w:t>,</w:t>
      </w:r>
      <w:r w:rsidRPr="005A6843">
        <w:t xml:space="preserve"> 1 procedimiento restringido -contratación de la gestión integral del Centro de Referencia Estatal de Atención Psicosocial a Personas con Trastorno Mental Grave en Valencia, titularidad del IMSERSO</w:t>
      </w:r>
      <w:r w:rsidR="00300495">
        <w:t>-</w:t>
      </w:r>
      <w:r w:rsidRPr="005A6843">
        <w:t xml:space="preserve"> 906 negociados sin publicidad</w:t>
      </w:r>
      <w:r w:rsidR="00300495">
        <w:t>,</w:t>
      </w:r>
      <w:r w:rsidRPr="005A6843">
        <w:t xml:space="preserve"> 19 negociados con publicidad</w:t>
      </w:r>
      <w:r w:rsidR="00300495">
        <w:t>,</w:t>
      </w:r>
      <w:r w:rsidRPr="005A6843">
        <w:t xml:space="preserve"> 3.184 contratos menores y 5 derivados de Acuerdos-marco.</w:t>
      </w:r>
    </w:p>
    <w:p w:rsidR="0038108F" w:rsidRPr="00300495" w:rsidRDefault="0038108F" w:rsidP="00AA712B">
      <w:pPr>
        <w:jc w:val="both"/>
        <w:rPr>
          <w:b/>
          <w:u w:val="single"/>
        </w:rPr>
      </w:pPr>
      <w:r w:rsidRPr="00300495">
        <w:rPr>
          <w:b/>
          <w:u w:val="single"/>
        </w:rPr>
        <w:t>Convenios y encomiendas</w:t>
      </w:r>
    </w:p>
    <w:p w:rsidR="0038108F" w:rsidRPr="005A6843" w:rsidRDefault="0038108F" w:rsidP="00AA712B">
      <w:pPr>
        <w:jc w:val="both"/>
      </w:pPr>
      <w:r w:rsidRPr="005A6843">
        <w:t xml:space="preserve">A fecha de hoy, se publican 441 documentos, 391 convenios, 42 encomiendas de gestión y 2 encomiendas de gestión con convenio. La información relativa al objeto del convenio resulta escasa y poco descriptiva y debería completarse para facilitar la consulta de la información. </w:t>
      </w:r>
    </w:p>
    <w:p w:rsidR="0038108F" w:rsidRPr="00300495" w:rsidRDefault="0038108F" w:rsidP="00AA712B">
      <w:pPr>
        <w:jc w:val="both"/>
        <w:rPr>
          <w:b/>
          <w:u w:val="single"/>
        </w:rPr>
      </w:pPr>
      <w:r w:rsidRPr="00300495">
        <w:rPr>
          <w:b/>
          <w:u w:val="single"/>
        </w:rPr>
        <w:t>Bienes inmuebles</w:t>
      </w:r>
    </w:p>
    <w:p w:rsidR="0038108F" w:rsidRPr="005A6843" w:rsidRDefault="0038108F" w:rsidP="00AA712B">
      <w:pPr>
        <w:jc w:val="both"/>
      </w:pPr>
      <w:r w:rsidRPr="005A6843">
        <w:t xml:space="preserve">Se recoge información sobre 23 inmuebles. Sorprende el bajo número de inmuebles comparado con otros Ministerios. </w:t>
      </w:r>
    </w:p>
    <w:p w:rsidR="00F04990" w:rsidRDefault="0038108F" w:rsidP="00AA712B">
      <w:pPr>
        <w:jc w:val="both"/>
      </w:pPr>
      <w:r w:rsidRPr="005A6843">
        <w:t xml:space="preserve">Se considera necesario aportar más información respecto de cada propiedad, para determinar al menos su uso. Sirva como ejemplo un bien inmueble, tipificado como solar, descrito de la siguiente manera: </w:t>
      </w:r>
      <w:r w:rsidRPr="00300495">
        <w:rPr>
          <w:i/>
        </w:rPr>
        <w:t>“PARTIDO DE LA CAPILLA, Málaga, de 100.000 metros cuadrados”</w:t>
      </w:r>
      <w:r w:rsidRPr="005A6843">
        <w:t>. Este inmueble corresponde al INJUVE, pero nada se indica acerca de su uso, en el sentido de si alberga oficinas, o si se utiliza para otros fines distintos.</w:t>
      </w:r>
    </w:p>
    <w:p w:rsidR="00684CD5" w:rsidRDefault="00684CD5">
      <w:pPr>
        <w:rPr>
          <w:b/>
          <w:u w:val="single"/>
        </w:rPr>
      </w:pPr>
      <w:r>
        <w:rPr>
          <w:b/>
          <w:u w:val="single"/>
        </w:rPr>
        <w:br w:type="page"/>
      </w:r>
    </w:p>
    <w:p w:rsidR="0038108F" w:rsidRPr="00300495" w:rsidRDefault="00300495" w:rsidP="00FC26D7">
      <w:pPr>
        <w:pStyle w:val="Prrafodelista"/>
        <w:numPr>
          <w:ilvl w:val="0"/>
          <w:numId w:val="61"/>
        </w:numPr>
        <w:ind w:left="426"/>
        <w:jc w:val="both"/>
        <w:rPr>
          <w:b/>
          <w:u w:val="single"/>
        </w:rPr>
      </w:pPr>
      <w:r w:rsidRPr="00300495">
        <w:rPr>
          <w:b/>
          <w:u w:val="single"/>
        </w:rPr>
        <w:t>PRESUPUESTOS, FISCALIZACIÓN E INFORMES</w:t>
      </w:r>
    </w:p>
    <w:p w:rsidR="00300495" w:rsidRPr="005A6843" w:rsidRDefault="00300495" w:rsidP="00300495">
      <w:pPr>
        <w:pStyle w:val="Prrafodelista"/>
        <w:ind w:left="426"/>
        <w:jc w:val="both"/>
      </w:pPr>
    </w:p>
    <w:p w:rsidR="0038108F" w:rsidRPr="005A6843" w:rsidRDefault="0038108F" w:rsidP="00AA712B">
      <w:pPr>
        <w:jc w:val="both"/>
      </w:pPr>
      <w:r w:rsidRPr="005A6843">
        <w:t xml:space="preserve">La categoría </w:t>
      </w:r>
      <w:r w:rsidRPr="00300495">
        <w:rPr>
          <w:i/>
        </w:rPr>
        <w:t>“Presupuestos, Fiscalización e Informes”</w:t>
      </w:r>
      <w:r w:rsidRPr="005A6843">
        <w:t xml:space="preserve"> del menú del MINHAFP presenta únicamente dos sub-categorías informativas: </w:t>
      </w:r>
      <w:r w:rsidRPr="00300495">
        <w:rPr>
          <w:i/>
        </w:rPr>
        <w:t>“Presupuestos Generales del Estado”</w:t>
      </w:r>
      <w:r w:rsidRPr="005A6843">
        <w:t xml:space="preserve"> y </w:t>
      </w:r>
      <w:r w:rsidRPr="00300495">
        <w:rPr>
          <w:i/>
        </w:rPr>
        <w:t>“Estadísticas e Informes Relevantes”</w:t>
      </w:r>
      <w:r w:rsidRPr="005A6843">
        <w:t>. En relación con este punto, deben darse por reproducidas aquí las reflexiones y comentarios efectuados en relación con dichos elementos o sub-categorías en el análisis general del Portal.</w:t>
      </w:r>
    </w:p>
    <w:p w:rsidR="0038108F" w:rsidRPr="005A6843" w:rsidRDefault="0038108F" w:rsidP="00AA712B">
      <w:pPr>
        <w:jc w:val="both"/>
      </w:pPr>
      <w:r w:rsidRPr="005A6843">
        <w:t xml:space="preserve">Se expone brevemente el contenido de cada uno de los elementos informativos efectivamente incluidos en la categoría. En todos ellos, la información se ajusta al modelo general del Portal por lo que deben tenerse por reproducidas las consideraciones efectuadas con ocasión del estudio de aquel. </w:t>
      </w:r>
    </w:p>
    <w:p w:rsidR="0038108F" w:rsidRPr="00300495" w:rsidRDefault="0038108F" w:rsidP="00AA712B">
      <w:pPr>
        <w:jc w:val="both"/>
        <w:rPr>
          <w:b/>
          <w:u w:val="single"/>
        </w:rPr>
      </w:pPr>
      <w:r w:rsidRPr="00300495">
        <w:rPr>
          <w:b/>
          <w:u w:val="single"/>
        </w:rPr>
        <w:t xml:space="preserve">Presupuestos Generales </w:t>
      </w:r>
    </w:p>
    <w:p w:rsidR="0038108F" w:rsidRPr="005A6843" w:rsidRDefault="0038108F" w:rsidP="00AA712B">
      <w:pPr>
        <w:jc w:val="both"/>
      </w:pPr>
      <w:r w:rsidRPr="005A6843">
        <w:t xml:space="preserve">En la opción </w:t>
      </w:r>
      <w:r w:rsidRPr="00300495">
        <w:rPr>
          <w:i/>
        </w:rPr>
        <w:t>“Gastos”</w:t>
      </w:r>
      <w:r w:rsidRPr="005A6843">
        <w:t xml:space="preserve">, se ofrecen 32 resultados: uno para 2017 con un enlace directo al Presupuesto de Gastos del MSSSI y 31 para los ejercicios 2014, 2015 y 2016 con accesos a los Presupuestos del Departamento y sus organismos vinculados y dependientes. Entre las entradas aparecen algunas correspondientes a organismos ajenos al Ministerio -p. ej. el Instituto de Crédito Oficial (ICO) del MINECO. </w:t>
      </w:r>
    </w:p>
    <w:p w:rsidR="0038108F" w:rsidRPr="00300495" w:rsidRDefault="0038108F" w:rsidP="00AA712B">
      <w:pPr>
        <w:jc w:val="both"/>
        <w:rPr>
          <w:b/>
          <w:u w:val="single"/>
        </w:rPr>
      </w:pPr>
      <w:r w:rsidRPr="00300495">
        <w:rPr>
          <w:b/>
          <w:u w:val="single"/>
        </w:rPr>
        <w:t xml:space="preserve">Información y estadísticas relevantes </w:t>
      </w:r>
    </w:p>
    <w:p w:rsidR="0038108F" w:rsidRPr="005A6843" w:rsidRDefault="0038108F" w:rsidP="00AA712B">
      <w:pPr>
        <w:jc w:val="both"/>
      </w:pPr>
      <w:r w:rsidRPr="005A6843">
        <w:t xml:space="preserve">Se publican 97 documentos a fecha de hoy. Entre ellos se pueden citar el </w:t>
      </w:r>
      <w:r w:rsidRPr="00300495">
        <w:rPr>
          <w:i/>
        </w:rPr>
        <w:t>Programa Editorial 2016</w:t>
      </w:r>
      <w:r w:rsidRPr="005A6843">
        <w:t xml:space="preserve"> (cuyo enlace no funciona), el </w:t>
      </w:r>
      <w:r w:rsidRPr="00300495">
        <w:rPr>
          <w:i/>
        </w:rPr>
        <w:t>Plan de Acción sobre Drogas 2013-2016</w:t>
      </w:r>
      <w:r w:rsidRPr="005A6843">
        <w:t xml:space="preserve">, la </w:t>
      </w:r>
      <w:r w:rsidRPr="00300495">
        <w:rPr>
          <w:i/>
        </w:rPr>
        <w:t>Estadística sobre gasto sanitario público en España</w:t>
      </w:r>
      <w:r w:rsidRPr="005A6843">
        <w:t xml:space="preserve"> o la </w:t>
      </w:r>
      <w:r w:rsidRPr="00300495">
        <w:rPr>
          <w:i/>
        </w:rPr>
        <w:t>Encuesta Nacional de Salud de España</w:t>
      </w:r>
      <w:r w:rsidRPr="005A6843">
        <w:t xml:space="preserve">. Tal vez los dos primeros documentos tendrían mejor encaje en la sub-categoría </w:t>
      </w:r>
      <w:r w:rsidRPr="00300495">
        <w:rPr>
          <w:i/>
        </w:rPr>
        <w:t>“Planes de Objetivos”</w:t>
      </w:r>
      <w:r w:rsidRPr="005A6843">
        <w:t xml:space="preserve"> de la categoría de información institucional.  </w:t>
      </w:r>
    </w:p>
    <w:p w:rsidR="0038108F" w:rsidRPr="005A6843" w:rsidRDefault="0038108F" w:rsidP="00AA712B">
      <w:pPr>
        <w:jc w:val="both"/>
      </w:pPr>
      <w:r w:rsidRPr="005A6843">
        <w:t>Sin perjuicio de que se trate de documentación de interés, sería conveniente revisar el contenido informativo de esta sub-categoría. No toda ella responde a lo dispuesto en la</w:t>
      </w:r>
      <w:r w:rsidR="0069620D">
        <w:t xml:space="preserve"> ley</w:t>
      </w:r>
      <w:r w:rsidR="00E768A4">
        <w:t xml:space="preserve"> de transparencia</w:t>
      </w:r>
      <w:r w:rsidRPr="005A6843">
        <w:t xml:space="preserve"> por lo que se recomienda que no forme parte del Portal o se publique dentro de éste como un apartado distinto a modo de </w:t>
      </w:r>
      <w:r w:rsidRPr="00300495">
        <w:rPr>
          <w:i/>
        </w:rPr>
        <w:t>“Otra información”</w:t>
      </w:r>
      <w:r w:rsidRPr="005A6843">
        <w:t>.</w:t>
      </w:r>
    </w:p>
    <w:sectPr w:rsidR="0038108F" w:rsidRPr="005A6843" w:rsidSect="00A64E36">
      <w:type w:val="continuous"/>
      <w:pgSz w:w="11906" w:h="16838" w:code="9"/>
      <w:pgMar w:top="2126" w:right="1134" w:bottom="1843" w:left="1134"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DEA" w:rsidRDefault="00F44DEA" w:rsidP="007802CA">
      <w:pPr>
        <w:spacing w:after="0" w:line="240" w:lineRule="auto"/>
      </w:pPr>
      <w:r>
        <w:separator/>
      </w:r>
    </w:p>
  </w:endnote>
  <w:endnote w:type="continuationSeparator" w:id="0">
    <w:p w:rsidR="00F44DEA" w:rsidRDefault="00F44DEA" w:rsidP="007802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dE Neue Helvetica">
    <w:altName w:val="Bold ENeue Helvetica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Lato Heavy">
    <w:altName w:val="Lato Heavy"/>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500" w:type="pct"/>
      <w:tblCellMar>
        <w:top w:w="72" w:type="dxa"/>
        <w:left w:w="115" w:type="dxa"/>
        <w:bottom w:w="72" w:type="dxa"/>
        <w:right w:w="115" w:type="dxa"/>
      </w:tblCellMar>
      <w:tblLook w:val="04A0"/>
    </w:tblPr>
    <w:tblGrid>
      <w:gridCol w:w="987"/>
      <w:gridCol w:w="8882"/>
      <w:gridCol w:w="986"/>
    </w:tblGrid>
    <w:tr w:rsidR="006A28AE" w:rsidTr="006A28AE">
      <w:tc>
        <w:tcPr>
          <w:tcW w:w="455" w:type="pct"/>
          <w:tcBorders>
            <w:top w:val="single" w:sz="4" w:space="0" w:color="A3171D" w:themeColor="accent2" w:themeShade="BF"/>
          </w:tcBorders>
          <w:shd w:val="clear" w:color="auto" w:fill="2A4975" w:themeFill="accent4" w:themeFillShade="BF"/>
        </w:tcPr>
        <w:p w:rsidR="006A28AE" w:rsidRPr="006A28AE" w:rsidRDefault="00DF0E4B">
          <w:pPr>
            <w:pStyle w:val="Piedepgina"/>
            <w:jc w:val="right"/>
            <w:rPr>
              <w:b/>
              <w:color w:val="FFFFFF" w:themeColor="background1"/>
            </w:rPr>
          </w:pPr>
          <w:r w:rsidRPr="006A28AE">
            <w:rPr>
              <w:color w:val="FFFFFF" w:themeColor="background1"/>
              <w:sz w:val="22"/>
            </w:rPr>
            <w:fldChar w:fldCharType="begin"/>
          </w:r>
          <w:r w:rsidR="006A28AE" w:rsidRPr="006A28AE">
            <w:rPr>
              <w:color w:val="FFFFFF" w:themeColor="background1"/>
              <w:sz w:val="22"/>
            </w:rPr>
            <w:instrText xml:space="preserve"> PAGE   \* MERGEFORMAT </w:instrText>
          </w:r>
          <w:r w:rsidRPr="006A28AE">
            <w:rPr>
              <w:color w:val="FFFFFF" w:themeColor="background1"/>
              <w:sz w:val="22"/>
            </w:rPr>
            <w:fldChar w:fldCharType="separate"/>
          </w:r>
          <w:r w:rsidR="00AF5351">
            <w:rPr>
              <w:noProof/>
              <w:color w:val="FFFFFF" w:themeColor="background1"/>
            </w:rPr>
            <w:t>10</w:t>
          </w:r>
          <w:r w:rsidRPr="006A28AE">
            <w:rPr>
              <w:color w:val="FFFFFF" w:themeColor="background1"/>
              <w:sz w:val="22"/>
            </w:rPr>
            <w:fldChar w:fldCharType="end"/>
          </w:r>
        </w:p>
      </w:tc>
      <w:tc>
        <w:tcPr>
          <w:tcW w:w="4091" w:type="pct"/>
          <w:tcBorders>
            <w:top w:val="single" w:sz="4" w:space="0" w:color="auto"/>
          </w:tcBorders>
        </w:tcPr>
        <w:p w:rsidR="006A28AE" w:rsidRDefault="006A28AE" w:rsidP="006A28AE">
          <w:pPr>
            <w:pStyle w:val="Piedepgina"/>
            <w:tabs>
              <w:tab w:val="clear" w:pos="4252"/>
            </w:tabs>
            <w:ind w:right="310"/>
            <w:rPr>
              <w:sz w:val="20"/>
            </w:rPr>
          </w:pPr>
          <w:r w:rsidRPr="0045179C">
            <w:rPr>
              <w:sz w:val="20"/>
            </w:rPr>
            <w:t xml:space="preserve">Informe de evaluación del cumplimiento de la </w:t>
          </w:r>
          <w:r>
            <w:rPr>
              <w:sz w:val="20"/>
            </w:rPr>
            <w:t>Ley de transparencia</w:t>
          </w:r>
        </w:p>
        <w:p w:rsidR="006A28AE" w:rsidRDefault="006A28AE" w:rsidP="006A28AE">
          <w:pPr>
            <w:pStyle w:val="Piedepgina"/>
            <w:tabs>
              <w:tab w:val="clear" w:pos="4252"/>
            </w:tabs>
            <w:ind w:right="310"/>
          </w:pPr>
          <w:r w:rsidRPr="0045179C">
            <w:rPr>
              <w:sz w:val="20"/>
            </w:rPr>
            <w:t>Portal de la Transparencia de la AGE</w:t>
          </w:r>
        </w:p>
      </w:tc>
      <w:tc>
        <w:tcPr>
          <w:tcW w:w="455" w:type="pct"/>
        </w:tcPr>
        <w:p w:rsidR="006A28AE" w:rsidRDefault="00DF0E4B" w:rsidP="00B426A1">
          <w:pPr>
            <w:pStyle w:val="Encabezado"/>
            <w:jc w:val="right"/>
            <w:rPr>
              <w:color w:val="FFFFFF" w:themeColor="background1"/>
            </w:rPr>
          </w:pPr>
          <w:r>
            <w:fldChar w:fldCharType="begin"/>
          </w:r>
          <w:r w:rsidR="006A28AE">
            <w:instrText xml:space="preserve"> PAGE   \* MERGEFORMAT </w:instrText>
          </w:r>
          <w:r>
            <w:fldChar w:fldCharType="separate"/>
          </w:r>
          <w:r w:rsidR="00AF5351" w:rsidRPr="00AF5351">
            <w:rPr>
              <w:noProof/>
              <w:color w:val="FFFFFF" w:themeColor="background1"/>
            </w:rPr>
            <w:t>10</w:t>
          </w:r>
          <w:r>
            <w:fldChar w:fldCharType="end"/>
          </w:r>
        </w:p>
      </w:tc>
    </w:tr>
  </w:tbl>
  <w:p w:rsidR="006A28AE" w:rsidRDefault="006A28A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81"/>
      <w:gridCol w:w="987"/>
    </w:tblGrid>
    <w:tr w:rsidR="006A28AE" w:rsidTr="00B426A1">
      <w:tc>
        <w:tcPr>
          <w:tcW w:w="4500" w:type="pct"/>
          <w:tcBorders>
            <w:top w:val="single" w:sz="4" w:space="0" w:color="000000" w:themeColor="text1"/>
          </w:tcBorders>
        </w:tcPr>
        <w:p w:rsidR="006A28AE" w:rsidRDefault="006A28AE" w:rsidP="00B426A1">
          <w:pPr>
            <w:pStyle w:val="Piedepgina"/>
            <w:tabs>
              <w:tab w:val="clear" w:pos="4252"/>
            </w:tabs>
            <w:ind w:right="310"/>
            <w:jc w:val="right"/>
            <w:rPr>
              <w:sz w:val="20"/>
            </w:rPr>
          </w:pPr>
          <w:r w:rsidRPr="0045179C">
            <w:rPr>
              <w:sz w:val="20"/>
            </w:rPr>
            <w:t xml:space="preserve">Informe de evaluación del cumplimiento de la </w:t>
          </w:r>
          <w:r>
            <w:rPr>
              <w:sz w:val="20"/>
            </w:rPr>
            <w:t>Ley de transparencia</w:t>
          </w:r>
        </w:p>
        <w:p w:rsidR="006A28AE" w:rsidRDefault="006A28AE" w:rsidP="00B426A1">
          <w:pPr>
            <w:pStyle w:val="Piedepgina"/>
            <w:tabs>
              <w:tab w:val="clear" w:pos="4252"/>
            </w:tabs>
            <w:ind w:right="310"/>
            <w:jc w:val="right"/>
          </w:pPr>
          <w:r w:rsidRPr="0045179C">
            <w:rPr>
              <w:sz w:val="20"/>
            </w:rPr>
            <w:t>Portal de la Transparencia de la AGE</w:t>
          </w:r>
        </w:p>
      </w:tc>
      <w:tc>
        <w:tcPr>
          <w:tcW w:w="500" w:type="pct"/>
          <w:tcBorders>
            <w:top w:val="single" w:sz="4" w:space="0" w:color="DA1F28" w:themeColor="accent2"/>
          </w:tcBorders>
          <w:shd w:val="clear" w:color="auto" w:fill="2A4975" w:themeFill="accent4" w:themeFillShade="BF"/>
        </w:tcPr>
        <w:p w:rsidR="006A28AE" w:rsidRDefault="00DF0E4B" w:rsidP="00B426A1">
          <w:pPr>
            <w:pStyle w:val="Encabezado"/>
            <w:jc w:val="right"/>
            <w:rPr>
              <w:color w:val="FFFFFF" w:themeColor="background1"/>
            </w:rPr>
          </w:pPr>
          <w:r w:rsidRPr="006A28AE">
            <w:rPr>
              <w:sz w:val="22"/>
            </w:rPr>
            <w:fldChar w:fldCharType="begin"/>
          </w:r>
          <w:r w:rsidR="006A28AE" w:rsidRPr="006A28AE">
            <w:rPr>
              <w:sz w:val="22"/>
            </w:rPr>
            <w:instrText xml:space="preserve"> PAGE   \* MERGEFORMAT </w:instrText>
          </w:r>
          <w:r w:rsidRPr="006A28AE">
            <w:rPr>
              <w:sz w:val="22"/>
            </w:rPr>
            <w:fldChar w:fldCharType="separate"/>
          </w:r>
          <w:r w:rsidR="00AF5351" w:rsidRPr="00AF5351">
            <w:rPr>
              <w:noProof/>
              <w:color w:val="FFFFFF" w:themeColor="background1"/>
            </w:rPr>
            <w:t>11</w:t>
          </w:r>
          <w:r w:rsidRPr="006A28AE">
            <w:rPr>
              <w:sz w:val="22"/>
            </w:rPr>
            <w:fldChar w:fldCharType="end"/>
          </w:r>
        </w:p>
      </w:tc>
    </w:tr>
  </w:tbl>
  <w:p w:rsidR="006A28AE" w:rsidRDefault="006A28A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81"/>
      <w:gridCol w:w="987"/>
    </w:tblGrid>
    <w:tr w:rsidR="006A28AE" w:rsidTr="006A28AE">
      <w:tc>
        <w:tcPr>
          <w:tcW w:w="4500" w:type="pct"/>
          <w:tcBorders>
            <w:top w:val="single" w:sz="4" w:space="0" w:color="000000" w:themeColor="text1"/>
          </w:tcBorders>
        </w:tcPr>
        <w:p w:rsidR="006A28AE" w:rsidRDefault="006A28AE" w:rsidP="006A28AE">
          <w:pPr>
            <w:pStyle w:val="Piedepgina"/>
            <w:tabs>
              <w:tab w:val="clear" w:pos="4252"/>
            </w:tabs>
            <w:ind w:right="310"/>
            <w:jc w:val="right"/>
            <w:rPr>
              <w:sz w:val="20"/>
            </w:rPr>
          </w:pPr>
          <w:r w:rsidRPr="0045179C">
            <w:rPr>
              <w:sz w:val="20"/>
            </w:rPr>
            <w:t xml:space="preserve">Informe de evaluación del cumplimiento de la </w:t>
          </w:r>
          <w:r>
            <w:rPr>
              <w:sz w:val="20"/>
            </w:rPr>
            <w:t>Ley de transparencia</w:t>
          </w:r>
        </w:p>
        <w:p w:rsidR="006A28AE" w:rsidRDefault="006A28AE" w:rsidP="006A28AE">
          <w:pPr>
            <w:pStyle w:val="Piedepgina"/>
            <w:tabs>
              <w:tab w:val="clear" w:pos="4252"/>
            </w:tabs>
            <w:ind w:right="310"/>
            <w:jc w:val="right"/>
          </w:pPr>
          <w:r w:rsidRPr="0045179C">
            <w:rPr>
              <w:sz w:val="20"/>
            </w:rPr>
            <w:t>Portal de la Transparencia de la AGE</w:t>
          </w:r>
        </w:p>
      </w:tc>
      <w:tc>
        <w:tcPr>
          <w:tcW w:w="500" w:type="pct"/>
          <w:tcBorders>
            <w:top w:val="single" w:sz="4" w:space="0" w:color="DA1F28" w:themeColor="accent2"/>
          </w:tcBorders>
          <w:shd w:val="clear" w:color="auto" w:fill="2A4975" w:themeFill="accent4" w:themeFillShade="BF"/>
        </w:tcPr>
        <w:p w:rsidR="006A28AE" w:rsidRDefault="00DF0E4B" w:rsidP="006A28AE">
          <w:pPr>
            <w:pStyle w:val="Encabezado"/>
            <w:jc w:val="right"/>
            <w:rPr>
              <w:color w:val="FFFFFF" w:themeColor="background1"/>
            </w:rPr>
          </w:pPr>
          <w:r w:rsidRPr="00DF0E4B">
            <w:fldChar w:fldCharType="begin"/>
          </w:r>
          <w:r w:rsidR="00AF5351">
            <w:instrText xml:space="preserve"> PAGE   \* MERGEFORMAT </w:instrText>
          </w:r>
          <w:r w:rsidRPr="00DF0E4B">
            <w:fldChar w:fldCharType="separate"/>
          </w:r>
          <w:r w:rsidR="006A28AE" w:rsidRPr="006A28AE">
            <w:rPr>
              <w:noProof/>
              <w:color w:val="FFFFFF" w:themeColor="background1"/>
            </w:rPr>
            <w:t>1</w:t>
          </w:r>
          <w:r>
            <w:rPr>
              <w:noProof/>
              <w:color w:val="FFFFFF" w:themeColor="background1"/>
            </w:rPr>
            <w:fldChar w:fldCharType="end"/>
          </w:r>
        </w:p>
      </w:tc>
    </w:tr>
  </w:tbl>
  <w:p w:rsidR="000563DF" w:rsidRPr="006A28AE" w:rsidRDefault="000563DF" w:rsidP="006A28A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DEA" w:rsidRDefault="00F44DEA" w:rsidP="007802CA">
      <w:pPr>
        <w:spacing w:after="0" w:line="240" w:lineRule="auto"/>
      </w:pPr>
      <w:r>
        <w:separator/>
      </w:r>
    </w:p>
  </w:footnote>
  <w:footnote w:type="continuationSeparator" w:id="0">
    <w:p w:rsidR="00F44DEA" w:rsidRDefault="00F44DEA" w:rsidP="007802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3DF" w:rsidRDefault="000563DF" w:rsidP="000563DF">
    <w:pPr>
      <w:pStyle w:val="Encabezado"/>
      <w:jc w:val="right"/>
    </w:pPr>
    <w:r w:rsidRPr="000563DF">
      <w:rPr>
        <w:noProof/>
        <w:lang w:eastAsia="es-ES"/>
      </w:rPr>
      <w:drawing>
        <wp:inline distT="0" distB="0" distL="0" distR="0">
          <wp:extent cx="1447800" cy="1023584"/>
          <wp:effectExtent l="19050" t="0" r="0" b="0"/>
          <wp:docPr id="677" name="671 Imagen" descr="Logo CT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TBG.jpg"/>
                  <pic:cNvPicPr/>
                </pic:nvPicPr>
                <pic:blipFill>
                  <a:blip r:embed="rId1"/>
                  <a:stretch>
                    <a:fillRect/>
                  </a:stretch>
                </pic:blipFill>
                <pic:spPr>
                  <a:xfrm>
                    <a:off x="0" y="0"/>
                    <a:ext cx="1453683" cy="102774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AE" w:rsidRDefault="006A28AE">
    <w:pPr>
      <w:pStyle w:val="Encabezado"/>
    </w:pPr>
    <w:r w:rsidRPr="006A28AE">
      <w:rPr>
        <w:noProof/>
        <w:lang w:eastAsia="es-ES"/>
      </w:rPr>
      <w:drawing>
        <wp:inline distT="0" distB="0" distL="0" distR="0">
          <wp:extent cx="1447800" cy="1023584"/>
          <wp:effectExtent l="19050" t="0" r="0" b="0"/>
          <wp:docPr id="679" name="671 Imagen" descr="Logo CT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TBG.jpg"/>
                  <pic:cNvPicPr/>
                </pic:nvPicPr>
                <pic:blipFill>
                  <a:blip r:embed="rId1"/>
                  <a:stretch>
                    <a:fillRect/>
                  </a:stretch>
                </pic:blipFill>
                <pic:spPr>
                  <a:xfrm>
                    <a:off x="0" y="0"/>
                    <a:ext cx="1453683" cy="1027743"/>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3DF" w:rsidRDefault="000563DF" w:rsidP="00896758">
    <w:pPr>
      <w:pStyle w:val="Encabezado"/>
    </w:pPr>
    <w:r>
      <w:rPr>
        <w:noProof/>
        <w:lang w:eastAsia="es-ES"/>
      </w:rPr>
      <w:drawing>
        <wp:inline distT="0" distB="0" distL="0" distR="0">
          <wp:extent cx="1447800" cy="1023584"/>
          <wp:effectExtent l="19050" t="0" r="0" b="0"/>
          <wp:docPr id="676" name="671 Imagen" descr="Logo CT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TBG.jpg"/>
                  <pic:cNvPicPr/>
                </pic:nvPicPr>
                <pic:blipFill>
                  <a:blip r:embed="rId1"/>
                  <a:stretch>
                    <a:fillRect/>
                  </a:stretch>
                </pic:blipFill>
                <pic:spPr>
                  <a:xfrm>
                    <a:off x="0" y="0"/>
                    <a:ext cx="1453683" cy="102774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A5B"/>
    <w:multiLevelType w:val="hybridMultilevel"/>
    <w:tmpl w:val="BDBA2DEC"/>
    <w:lvl w:ilvl="0" w:tplc="58F2D4D0">
      <w:start w:val="1"/>
      <w:numFmt w:val="upperLetter"/>
      <w:lvlText w:val="%1)"/>
      <w:lvlJc w:val="left"/>
      <w:pPr>
        <w:ind w:left="720" w:hanging="360"/>
      </w:pPr>
      <w:rPr>
        <w:rFonts w:hint="default"/>
        <w:b/>
      </w:rPr>
    </w:lvl>
    <w:lvl w:ilvl="1" w:tplc="4E4A05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A21188"/>
    <w:multiLevelType w:val="hybridMultilevel"/>
    <w:tmpl w:val="7BCCC78E"/>
    <w:lvl w:ilvl="0" w:tplc="8BB66048">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AC707B"/>
    <w:multiLevelType w:val="hybridMultilevel"/>
    <w:tmpl w:val="B0B4554E"/>
    <w:lvl w:ilvl="0" w:tplc="06C62768">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08C22902"/>
    <w:multiLevelType w:val="hybridMultilevel"/>
    <w:tmpl w:val="7C80C588"/>
    <w:lvl w:ilvl="0" w:tplc="58F2D4D0">
      <w:start w:val="1"/>
      <w:numFmt w:val="upperLetter"/>
      <w:lvlText w:val="%1)"/>
      <w:lvlJc w:val="left"/>
      <w:pPr>
        <w:ind w:left="720" w:hanging="360"/>
      </w:pPr>
      <w:rPr>
        <w:rFonts w:hint="default"/>
        <w:b/>
      </w:rPr>
    </w:lvl>
    <w:lvl w:ilvl="1" w:tplc="4E4A05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765DAD"/>
    <w:multiLevelType w:val="hybridMultilevel"/>
    <w:tmpl w:val="41D284D0"/>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2F1671"/>
    <w:multiLevelType w:val="hybridMultilevel"/>
    <w:tmpl w:val="E690C6B6"/>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6D7302"/>
    <w:multiLevelType w:val="hybridMultilevel"/>
    <w:tmpl w:val="3C32AD8A"/>
    <w:lvl w:ilvl="0" w:tplc="06C627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EB6168A"/>
    <w:multiLevelType w:val="hybridMultilevel"/>
    <w:tmpl w:val="30B848D4"/>
    <w:lvl w:ilvl="0" w:tplc="06C62768">
      <w:start w:val="1"/>
      <w:numFmt w:val="bullet"/>
      <w:lvlText w:val=""/>
      <w:lvlJc w:val="left"/>
      <w:pPr>
        <w:ind w:left="14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5628F3"/>
    <w:multiLevelType w:val="hybridMultilevel"/>
    <w:tmpl w:val="87FC2EAC"/>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7B10A27"/>
    <w:multiLevelType w:val="hybridMultilevel"/>
    <w:tmpl w:val="28720C90"/>
    <w:lvl w:ilvl="0" w:tplc="06C62768">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nsid w:val="1A586056"/>
    <w:multiLevelType w:val="hybridMultilevel"/>
    <w:tmpl w:val="BC64D928"/>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C400CEA"/>
    <w:multiLevelType w:val="hybridMultilevel"/>
    <w:tmpl w:val="767034B4"/>
    <w:lvl w:ilvl="0" w:tplc="8F30B910">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C4C5871"/>
    <w:multiLevelType w:val="hybridMultilevel"/>
    <w:tmpl w:val="0B4E20B2"/>
    <w:lvl w:ilvl="0" w:tplc="6270BB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00F12D9"/>
    <w:multiLevelType w:val="hybridMultilevel"/>
    <w:tmpl w:val="38104D20"/>
    <w:lvl w:ilvl="0" w:tplc="06C627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43250EC"/>
    <w:multiLevelType w:val="hybridMultilevel"/>
    <w:tmpl w:val="D71A84FA"/>
    <w:lvl w:ilvl="0" w:tplc="C0588A84">
      <w:start w:val="1"/>
      <w:numFmt w:val="decimalZero"/>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4F27AE"/>
    <w:multiLevelType w:val="hybridMultilevel"/>
    <w:tmpl w:val="2598A1B8"/>
    <w:lvl w:ilvl="0" w:tplc="58F2D4D0">
      <w:start w:val="1"/>
      <w:numFmt w:val="upperLetter"/>
      <w:lvlText w:val="%1)"/>
      <w:lvlJc w:val="left"/>
      <w:pPr>
        <w:ind w:left="720" w:hanging="360"/>
      </w:pPr>
      <w:rPr>
        <w:rFonts w:hint="default"/>
        <w:b/>
      </w:rPr>
    </w:lvl>
    <w:lvl w:ilvl="1" w:tplc="4E4A05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60E1DB1"/>
    <w:multiLevelType w:val="hybridMultilevel"/>
    <w:tmpl w:val="A34ADE0C"/>
    <w:lvl w:ilvl="0" w:tplc="06C627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647255E"/>
    <w:multiLevelType w:val="hybridMultilevel"/>
    <w:tmpl w:val="767C0C00"/>
    <w:lvl w:ilvl="0" w:tplc="8BB6604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9571996"/>
    <w:multiLevelType w:val="hybridMultilevel"/>
    <w:tmpl w:val="8F46F89C"/>
    <w:lvl w:ilvl="0" w:tplc="C0588A84">
      <w:start w:val="1"/>
      <w:numFmt w:val="decimalZero"/>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9973B1D"/>
    <w:multiLevelType w:val="hybridMultilevel"/>
    <w:tmpl w:val="BD4802BC"/>
    <w:lvl w:ilvl="0" w:tplc="58F2D4D0">
      <w:start w:val="1"/>
      <w:numFmt w:val="upperLetter"/>
      <w:lvlText w:val="%1)"/>
      <w:lvlJc w:val="left"/>
      <w:pPr>
        <w:ind w:left="720" w:hanging="360"/>
      </w:pPr>
      <w:rPr>
        <w:rFonts w:hint="default"/>
        <w:b/>
      </w:rPr>
    </w:lvl>
    <w:lvl w:ilvl="1" w:tplc="4E4A05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A7175DC"/>
    <w:multiLevelType w:val="hybridMultilevel"/>
    <w:tmpl w:val="16587320"/>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C0B6699"/>
    <w:multiLevelType w:val="hybridMultilevel"/>
    <w:tmpl w:val="657A5BDE"/>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CFA3E0E"/>
    <w:multiLevelType w:val="hybridMultilevel"/>
    <w:tmpl w:val="83E43F78"/>
    <w:lvl w:ilvl="0" w:tplc="58F2D4D0">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E984277"/>
    <w:multiLevelType w:val="hybridMultilevel"/>
    <w:tmpl w:val="28F00B3E"/>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22A391C"/>
    <w:multiLevelType w:val="hybridMultilevel"/>
    <w:tmpl w:val="A9BCFE02"/>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4304B2E"/>
    <w:multiLevelType w:val="hybridMultilevel"/>
    <w:tmpl w:val="AB903DE4"/>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80B493E"/>
    <w:multiLevelType w:val="hybridMultilevel"/>
    <w:tmpl w:val="78B8B1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AA514F0"/>
    <w:multiLevelType w:val="hybridMultilevel"/>
    <w:tmpl w:val="5AC22F50"/>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D56593E"/>
    <w:multiLevelType w:val="hybridMultilevel"/>
    <w:tmpl w:val="CE76198A"/>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DE36A0B"/>
    <w:multiLevelType w:val="hybridMultilevel"/>
    <w:tmpl w:val="5554F76C"/>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0EF4231"/>
    <w:multiLevelType w:val="hybridMultilevel"/>
    <w:tmpl w:val="1332C1C2"/>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6044468"/>
    <w:multiLevelType w:val="hybridMultilevel"/>
    <w:tmpl w:val="9A6A83C4"/>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94B796E"/>
    <w:multiLevelType w:val="hybridMultilevel"/>
    <w:tmpl w:val="996EC088"/>
    <w:lvl w:ilvl="0" w:tplc="06C627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AF73C60"/>
    <w:multiLevelType w:val="hybridMultilevel"/>
    <w:tmpl w:val="F518574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D0B6A07"/>
    <w:multiLevelType w:val="hybridMultilevel"/>
    <w:tmpl w:val="D62E3A98"/>
    <w:lvl w:ilvl="0" w:tplc="6270BB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102074A"/>
    <w:multiLevelType w:val="hybridMultilevel"/>
    <w:tmpl w:val="B23C49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16A228D"/>
    <w:multiLevelType w:val="hybridMultilevel"/>
    <w:tmpl w:val="780CF63E"/>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29441B4"/>
    <w:multiLevelType w:val="hybridMultilevel"/>
    <w:tmpl w:val="D0A28B50"/>
    <w:lvl w:ilvl="0" w:tplc="81AE93B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29A218C"/>
    <w:multiLevelType w:val="hybridMultilevel"/>
    <w:tmpl w:val="95A6795A"/>
    <w:lvl w:ilvl="0" w:tplc="8BB6604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7005D16"/>
    <w:multiLevelType w:val="hybridMultilevel"/>
    <w:tmpl w:val="D0B442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7936649"/>
    <w:multiLevelType w:val="hybridMultilevel"/>
    <w:tmpl w:val="89AAC4DE"/>
    <w:lvl w:ilvl="0" w:tplc="58F2D4D0">
      <w:start w:val="1"/>
      <w:numFmt w:val="upperLetter"/>
      <w:lvlText w:val="%1)"/>
      <w:lvlJc w:val="left"/>
      <w:pPr>
        <w:ind w:left="720" w:hanging="360"/>
      </w:pPr>
      <w:rPr>
        <w:rFonts w:hint="default"/>
        <w:b/>
      </w:rPr>
    </w:lvl>
    <w:lvl w:ilvl="1" w:tplc="4E4A05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D637454"/>
    <w:multiLevelType w:val="hybridMultilevel"/>
    <w:tmpl w:val="2ADCC346"/>
    <w:lvl w:ilvl="0" w:tplc="6270BB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DA96682"/>
    <w:multiLevelType w:val="hybridMultilevel"/>
    <w:tmpl w:val="1A4E84FE"/>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F16124C"/>
    <w:multiLevelType w:val="hybridMultilevel"/>
    <w:tmpl w:val="C66254BA"/>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F4B7DF1"/>
    <w:multiLevelType w:val="hybridMultilevel"/>
    <w:tmpl w:val="E8F82960"/>
    <w:lvl w:ilvl="0" w:tplc="58F2D4D0">
      <w:start w:val="1"/>
      <w:numFmt w:val="upperLetter"/>
      <w:lvlText w:val="%1)"/>
      <w:lvlJc w:val="left"/>
      <w:pPr>
        <w:ind w:left="720" w:hanging="360"/>
      </w:pPr>
      <w:rPr>
        <w:rFonts w:hint="default"/>
        <w:b/>
      </w:rPr>
    </w:lvl>
    <w:lvl w:ilvl="1" w:tplc="4E4A05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0EF0BAF"/>
    <w:multiLevelType w:val="hybridMultilevel"/>
    <w:tmpl w:val="592427DA"/>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0FA299F"/>
    <w:multiLevelType w:val="hybridMultilevel"/>
    <w:tmpl w:val="9B92B394"/>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1DF62AA"/>
    <w:multiLevelType w:val="hybridMultilevel"/>
    <w:tmpl w:val="13B08B46"/>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8FE26A1"/>
    <w:multiLevelType w:val="hybridMultilevel"/>
    <w:tmpl w:val="A5264E78"/>
    <w:lvl w:ilvl="0" w:tplc="58F2D4D0">
      <w:start w:val="1"/>
      <w:numFmt w:val="upperLetter"/>
      <w:lvlText w:val="%1)"/>
      <w:lvlJc w:val="left"/>
      <w:pPr>
        <w:ind w:left="720" w:hanging="360"/>
      </w:pPr>
      <w:rPr>
        <w:rFonts w:hint="default"/>
        <w:b/>
      </w:rPr>
    </w:lvl>
    <w:lvl w:ilvl="1" w:tplc="4E4A05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93F702E"/>
    <w:multiLevelType w:val="hybridMultilevel"/>
    <w:tmpl w:val="11C4EA20"/>
    <w:lvl w:ilvl="0" w:tplc="58F2D4D0">
      <w:start w:val="1"/>
      <w:numFmt w:val="upperLetter"/>
      <w:lvlText w:val="%1)"/>
      <w:lvlJc w:val="left"/>
      <w:pPr>
        <w:ind w:left="720" w:hanging="360"/>
      </w:pPr>
      <w:rPr>
        <w:rFonts w:hint="default"/>
        <w:b/>
      </w:rPr>
    </w:lvl>
    <w:lvl w:ilvl="1" w:tplc="4E4A05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B7707E9"/>
    <w:multiLevelType w:val="hybridMultilevel"/>
    <w:tmpl w:val="9AB6DB78"/>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B963148"/>
    <w:multiLevelType w:val="hybridMultilevel"/>
    <w:tmpl w:val="CDEE9B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6BEE578C"/>
    <w:multiLevelType w:val="multilevel"/>
    <w:tmpl w:val="739ED42E"/>
    <w:lvl w:ilvl="0">
      <w:start w:val="1"/>
      <w:numFmt w:val="decimal"/>
      <w:pStyle w:val="Ttulo4"/>
      <w:lvlText w:val="%1."/>
      <w:lvlJc w:val="left"/>
      <w:pPr>
        <w:ind w:left="357" w:hanging="357"/>
      </w:pPr>
      <w:rPr>
        <w:rFonts w:hint="default"/>
      </w:rPr>
    </w:lvl>
    <w:lvl w:ilvl="1">
      <w:start w:val="1"/>
      <w:numFmt w:val="decimal"/>
      <w:pStyle w:val="Ttulo5"/>
      <w:isLgl/>
      <w:lvlText w:val="%1.%2."/>
      <w:lvlJc w:val="left"/>
      <w:pPr>
        <w:ind w:left="357" w:hanging="357"/>
      </w:pPr>
      <w:rPr>
        <w:rFonts w:hint="default"/>
      </w:rPr>
    </w:lvl>
    <w:lvl w:ilvl="2">
      <w:start w:val="1"/>
      <w:numFmt w:val="decimal"/>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53">
    <w:nsid w:val="6C49792F"/>
    <w:multiLevelType w:val="hybridMultilevel"/>
    <w:tmpl w:val="4CF4B4CC"/>
    <w:lvl w:ilvl="0" w:tplc="22B0073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FB94C29"/>
    <w:multiLevelType w:val="multilevel"/>
    <w:tmpl w:val="A9EEA0AA"/>
    <w:lvl w:ilvl="0">
      <w:start w:val="1"/>
      <w:numFmt w:val="decimal"/>
      <w:pStyle w:val="Ttulo1"/>
      <w:lvlText w:val="%1."/>
      <w:lvlJc w:val="left"/>
      <w:pPr>
        <w:ind w:left="360" w:hanging="360"/>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5">
    <w:nsid w:val="70C91B79"/>
    <w:multiLevelType w:val="hybridMultilevel"/>
    <w:tmpl w:val="8DE0387C"/>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1307B89"/>
    <w:multiLevelType w:val="hybridMultilevel"/>
    <w:tmpl w:val="641272E2"/>
    <w:lvl w:ilvl="0" w:tplc="58F2D4D0">
      <w:start w:val="1"/>
      <w:numFmt w:val="upperLetter"/>
      <w:lvlText w:val="%1)"/>
      <w:lvlJc w:val="left"/>
      <w:pPr>
        <w:ind w:left="720" w:hanging="360"/>
      </w:pPr>
      <w:rPr>
        <w:rFonts w:hint="default"/>
        <w:b/>
      </w:rPr>
    </w:lvl>
    <w:lvl w:ilvl="1" w:tplc="4E4A05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7293974"/>
    <w:multiLevelType w:val="hybridMultilevel"/>
    <w:tmpl w:val="E7E4DDE2"/>
    <w:lvl w:ilvl="0" w:tplc="C0588A84">
      <w:start w:val="1"/>
      <w:numFmt w:val="decimalZero"/>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8E00DB9"/>
    <w:multiLevelType w:val="hybridMultilevel"/>
    <w:tmpl w:val="7A70A01C"/>
    <w:lvl w:ilvl="0" w:tplc="58F2D4D0">
      <w:start w:val="1"/>
      <w:numFmt w:val="upperLetter"/>
      <w:lvlText w:val="%1)"/>
      <w:lvlJc w:val="left"/>
      <w:pPr>
        <w:ind w:left="720" w:hanging="360"/>
      </w:pPr>
      <w:rPr>
        <w:rFonts w:hint="default"/>
        <w:b/>
      </w:rPr>
    </w:lvl>
    <w:lvl w:ilvl="1" w:tplc="4E4A05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A4F74B7"/>
    <w:multiLevelType w:val="hybridMultilevel"/>
    <w:tmpl w:val="11902B82"/>
    <w:lvl w:ilvl="0" w:tplc="6270BB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7B567868"/>
    <w:multiLevelType w:val="hybridMultilevel"/>
    <w:tmpl w:val="17D0FEA2"/>
    <w:lvl w:ilvl="0" w:tplc="58F2D4D0">
      <w:start w:val="1"/>
      <w:numFmt w:val="upperLetter"/>
      <w:lvlText w:val="%1)"/>
      <w:lvlJc w:val="left"/>
      <w:pPr>
        <w:ind w:left="720" w:hanging="360"/>
      </w:pPr>
      <w:rPr>
        <w:rFonts w:hint="default"/>
        <w:b/>
      </w:rPr>
    </w:lvl>
    <w:lvl w:ilvl="1" w:tplc="4E4A05B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C4A6E7F"/>
    <w:multiLevelType w:val="hybridMultilevel"/>
    <w:tmpl w:val="DF1496CE"/>
    <w:lvl w:ilvl="0" w:tplc="8F30B9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CD95E7E"/>
    <w:multiLevelType w:val="multilevel"/>
    <w:tmpl w:val="6FD4A372"/>
    <w:styleLink w:val="Estilo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nsid w:val="7CE0754B"/>
    <w:multiLevelType w:val="hybridMultilevel"/>
    <w:tmpl w:val="8CA2C432"/>
    <w:lvl w:ilvl="0" w:tplc="06C627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4"/>
  </w:num>
  <w:num w:numId="2">
    <w:abstractNumId w:val="62"/>
  </w:num>
  <w:num w:numId="3">
    <w:abstractNumId w:val="11"/>
  </w:num>
  <w:num w:numId="4">
    <w:abstractNumId w:val="7"/>
  </w:num>
  <w:num w:numId="5">
    <w:abstractNumId w:val="13"/>
  </w:num>
  <w:num w:numId="6">
    <w:abstractNumId w:val="32"/>
  </w:num>
  <w:num w:numId="7">
    <w:abstractNumId w:val="36"/>
  </w:num>
  <w:num w:numId="8">
    <w:abstractNumId w:val="1"/>
  </w:num>
  <w:num w:numId="9">
    <w:abstractNumId w:val="38"/>
  </w:num>
  <w:num w:numId="10">
    <w:abstractNumId w:val="17"/>
  </w:num>
  <w:num w:numId="11">
    <w:abstractNumId w:val="63"/>
  </w:num>
  <w:num w:numId="12">
    <w:abstractNumId w:val="53"/>
  </w:num>
  <w:num w:numId="13">
    <w:abstractNumId w:val="37"/>
  </w:num>
  <w:num w:numId="14">
    <w:abstractNumId w:val="26"/>
  </w:num>
  <w:num w:numId="15">
    <w:abstractNumId w:val="35"/>
  </w:num>
  <w:num w:numId="16">
    <w:abstractNumId w:val="6"/>
  </w:num>
  <w:num w:numId="17">
    <w:abstractNumId w:val="30"/>
  </w:num>
  <w:num w:numId="18">
    <w:abstractNumId w:val="5"/>
  </w:num>
  <w:num w:numId="19">
    <w:abstractNumId w:val="47"/>
  </w:num>
  <w:num w:numId="20">
    <w:abstractNumId w:val="16"/>
  </w:num>
  <w:num w:numId="21">
    <w:abstractNumId w:val="20"/>
  </w:num>
  <w:num w:numId="22">
    <w:abstractNumId w:val="8"/>
  </w:num>
  <w:num w:numId="23">
    <w:abstractNumId w:val="12"/>
  </w:num>
  <w:num w:numId="24">
    <w:abstractNumId w:val="31"/>
  </w:num>
  <w:num w:numId="25">
    <w:abstractNumId w:val="24"/>
  </w:num>
  <w:num w:numId="26">
    <w:abstractNumId w:val="10"/>
  </w:num>
  <w:num w:numId="27">
    <w:abstractNumId w:val="23"/>
  </w:num>
  <w:num w:numId="28">
    <w:abstractNumId w:val="42"/>
  </w:num>
  <w:num w:numId="29">
    <w:abstractNumId w:val="29"/>
  </w:num>
  <w:num w:numId="30">
    <w:abstractNumId w:val="34"/>
  </w:num>
  <w:num w:numId="31">
    <w:abstractNumId w:val="4"/>
  </w:num>
  <w:num w:numId="32">
    <w:abstractNumId w:val="21"/>
  </w:num>
  <w:num w:numId="33">
    <w:abstractNumId w:val="28"/>
  </w:num>
  <w:num w:numId="34">
    <w:abstractNumId w:val="59"/>
  </w:num>
  <w:num w:numId="35">
    <w:abstractNumId w:val="61"/>
  </w:num>
  <w:num w:numId="36">
    <w:abstractNumId w:val="27"/>
  </w:num>
  <w:num w:numId="37">
    <w:abstractNumId w:val="55"/>
  </w:num>
  <w:num w:numId="38">
    <w:abstractNumId w:val="43"/>
  </w:num>
  <w:num w:numId="39">
    <w:abstractNumId w:val="45"/>
  </w:num>
  <w:num w:numId="40">
    <w:abstractNumId w:val="50"/>
  </w:num>
  <w:num w:numId="41">
    <w:abstractNumId w:val="57"/>
  </w:num>
  <w:num w:numId="42">
    <w:abstractNumId w:val="46"/>
  </w:num>
  <w:num w:numId="43">
    <w:abstractNumId w:val="2"/>
  </w:num>
  <w:num w:numId="44">
    <w:abstractNumId w:val="25"/>
  </w:num>
  <w:num w:numId="45">
    <w:abstractNumId w:val="9"/>
  </w:num>
  <w:num w:numId="46">
    <w:abstractNumId w:val="52"/>
  </w:num>
  <w:num w:numId="47">
    <w:abstractNumId w:val="14"/>
  </w:num>
  <w:num w:numId="48">
    <w:abstractNumId w:val="41"/>
  </w:num>
  <w:num w:numId="49">
    <w:abstractNumId w:val="22"/>
  </w:num>
  <w:num w:numId="50">
    <w:abstractNumId w:val="49"/>
  </w:num>
  <w:num w:numId="51">
    <w:abstractNumId w:val="0"/>
  </w:num>
  <w:num w:numId="52">
    <w:abstractNumId w:val="15"/>
  </w:num>
  <w:num w:numId="53">
    <w:abstractNumId w:val="40"/>
  </w:num>
  <w:num w:numId="54">
    <w:abstractNumId w:val="58"/>
  </w:num>
  <w:num w:numId="55">
    <w:abstractNumId w:val="18"/>
  </w:num>
  <w:num w:numId="56">
    <w:abstractNumId w:val="48"/>
  </w:num>
  <w:num w:numId="57">
    <w:abstractNumId w:val="60"/>
  </w:num>
  <w:num w:numId="58">
    <w:abstractNumId w:val="44"/>
  </w:num>
  <w:num w:numId="59">
    <w:abstractNumId w:val="3"/>
  </w:num>
  <w:num w:numId="60">
    <w:abstractNumId w:val="19"/>
  </w:num>
  <w:num w:numId="61">
    <w:abstractNumId w:val="56"/>
  </w:num>
  <w:num w:numId="62">
    <w:abstractNumId w:val="51"/>
  </w:num>
  <w:num w:numId="63">
    <w:abstractNumId w:val="39"/>
  </w:num>
  <w:num w:numId="64">
    <w:abstractNumId w:val="33"/>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evenAndOddHeaders/>
  <w:drawingGridHorizontalSpacing w:val="12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025568"/>
    <w:rsid w:val="000030E9"/>
    <w:rsid w:val="00003782"/>
    <w:rsid w:val="00003CCB"/>
    <w:rsid w:val="0001138E"/>
    <w:rsid w:val="00011487"/>
    <w:rsid w:val="0001208B"/>
    <w:rsid w:val="00012F98"/>
    <w:rsid w:val="000147A1"/>
    <w:rsid w:val="00015E62"/>
    <w:rsid w:val="0001638B"/>
    <w:rsid w:val="00016EA0"/>
    <w:rsid w:val="00020E24"/>
    <w:rsid w:val="00021100"/>
    <w:rsid w:val="00021E2E"/>
    <w:rsid w:val="000233C6"/>
    <w:rsid w:val="00023602"/>
    <w:rsid w:val="00023EB6"/>
    <w:rsid w:val="00024E66"/>
    <w:rsid w:val="000254CD"/>
    <w:rsid w:val="00025568"/>
    <w:rsid w:val="00026167"/>
    <w:rsid w:val="00026553"/>
    <w:rsid w:val="000265AB"/>
    <w:rsid w:val="00027289"/>
    <w:rsid w:val="00030C1E"/>
    <w:rsid w:val="00030F33"/>
    <w:rsid w:val="00032073"/>
    <w:rsid w:val="00041580"/>
    <w:rsid w:val="00042F0F"/>
    <w:rsid w:val="00044124"/>
    <w:rsid w:val="00044902"/>
    <w:rsid w:val="000450B3"/>
    <w:rsid w:val="00045B29"/>
    <w:rsid w:val="00045D13"/>
    <w:rsid w:val="0004632C"/>
    <w:rsid w:val="000469E9"/>
    <w:rsid w:val="000478D3"/>
    <w:rsid w:val="000501D7"/>
    <w:rsid w:val="000517A5"/>
    <w:rsid w:val="00051923"/>
    <w:rsid w:val="00051F71"/>
    <w:rsid w:val="00052C14"/>
    <w:rsid w:val="00052E5B"/>
    <w:rsid w:val="00052FF3"/>
    <w:rsid w:val="000539CC"/>
    <w:rsid w:val="00053F68"/>
    <w:rsid w:val="00054DBD"/>
    <w:rsid w:val="000561BA"/>
    <w:rsid w:val="000563DF"/>
    <w:rsid w:val="00060D96"/>
    <w:rsid w:val="00061B76"/>
    <w:rsid w:val="000634D9"/>
    <w:rsid w:val="000637D9"/>
    <w:rsid w:val="000649F0"/>
    <w:rsid w:val="000651AF"/>
    <w:rsid w:val="00067AF8"/>
    <w:rsid w:val="000707D2"/>
    <w:rsid w:val="00070D51"/>
    <w:rsid w:val="000715AE"/>
    <w:rsid w:val="00071699"/>
    <w:rsid w:val="0007296F"/>
    <w:rsid w:val="00072B51"/>
    <w:rsid w:val="0007485C"/>
    <w:rsid w:val="0007537F"/>
    <w:rsid w:val="000753F9"/>
    <w:rsid w:val="00076AC8"/>
    <w:rsid w:val="00077407"/>
    <w:rsid w:val="000775D1"/>
    <w:rsid w:val="00080890"/>
    <w:rsid w:val="0008093B"/>
    <w:rsid w:val="000809BE"/>
    <w:rsid w:val="0008113D"/>
    <w:rsid w:val="00081464"/>
    <w:rsid w:val="00082A13"/>
    <w:rsid w:val="00084ADB"/>
    <w:rsid w:val="00085B2C"/>
    <w:rsid w:val="000872E8"/>
    <w:rsid w:val="0008767B"/>
    <w:rsid w:val="000877A9"/>
    <w:rsid w:val="00091904"/>
    <w:rsid w:val="000921EC"/>
    <w:rsid w:val="00092F40"/>
    <w:rsid w:val="000933DE"/>
    <w:rsid w:val="00094176"/>
    <w:rsid w:val="00095244"/>
    <w:rsid w:val="000A0664"/>
    <w:rsid w:val="000A06CF"/>
    <w:rsid w:val="000A23A3"/>
    <w:rsid w:val="000A276F"/>
    <w:rsid w:val="000A2D2E"/>
    <w:rsid w:val="000A3585"/>
    <w:rsid w:val="000A5420"/>
    <w:rsid w:val="000A5DCD"/>
    <w:rsid w:val="000A6288"/>
    <w:rsid w:val="000A68A6"/>
    <w:rsid w:val="000A6D3C"/>
    <w:rsid w:val="000A6DFD"/>
    <w:rsid w:val="000B2DFA"/>
    <w:rsid w:val="000B4B25"/>
    <w:rsid w:val="000B5A43"/>
    <w:rsid w:val="000B7463"/>
    <w:rsid w:val="000B7A64"/>
    <w:rsid w:val="000B7D94"/>
    <w:rsid w:val="000B7F5E"/>
    <w:rsid w:val="000C1396"/>
    <w:rsid w:val="000C1A00"/>
    <w:rsid w:val="000C2E73"/>
    <w:rsid w:val="000C3253"/>
    <w:rsid w:val="000C3F87"/>
    <w:rsid w:val="000C4416"/>
    <w:rsid w:val="000C5FC3"/>
    <w:rsid w:val="000C67FA"/>
    <w:rsid w:val="000C6AE9"/>
    <w:rsid w:val="000C7753"/>
    <w:rsid w:val="000D00D7"/>
    <w:rsid w:val="000D11EA"/>
    <w:rsid w:val="000D27F3"/>
    <w:rsid w:val="000D382B"/>
    <w:rsid w:val="000D4965"/>
    <w:rsid w:val="000D513D"/>
    <w:rsid w:val="000D545A"/>
    <w:rsid w:val="000D6671"/>
    <w:rsid w:val="000D6AD3"/>
    <w:rsid w:val="000D71AB"/>
    <w:rsid w:val="000D76F8"/>
    <w:rsid w:val="000D7D97"/>
    <w:rsid w:val="000E001A"/>
    <w:rsid w:val="000E0558"/>
    <w:rsid w:val="000E1145"/>
    <w:rsid w:val="000E1AEA"/>
    <w:rsid w:val="000E2ABA"/>
    <w:rsid w:val="000E385F"/>
    <w:rsid w:val="000E3A96"/>
    <w:rsid w:val="000E432E"/>
    <w:rsid w:val="000E445A"/>
    <w:rsid w:val="000E4D24"/>
    <w:rsid w:val="000E5AED"/>
    <w:rsid w:val="000E646A"/>
    <w:rsid w:val="000E6A4C"/>
    <w:rsid w:val="000E708E"/>
    <w:rsid w:val="000F0063"/>
    <w:rsid w:val="000F0E13"/>
    <w:rsid w:val="000F1317"/>
    <w:rsid w:val="000F3193"/>
    <w:rsid w:val="000F3745"/>
    <w:rsid w:val="000F3D44"/>
    <w:rsid w:val="000F4663"/>
    <w:rsid w:val="000F4DC7"/>
    <w:rsid w:val="000F51EB"/>
    <w:rsid w:val="000F7E67"/>
    <w:rsid w:val="0010081B"/>
    <w:rsid w:val="0010162A"/>
    <w:rsid w:val="0010303C"/>
    <w:rsid w:val="00104C93"/>
    <w:rsid w:val="00104F75"/>
    <w:rsid w:val="001054B6"/>
    <w:rsid w:val="001066A1"/>
    <w:rsid w:val="00107B5B"/>
    <w:rsid w:val="001102E7"/>
    <w:rsid w:val="0011185E"/>
    <w:rsid w:val="00111DA3"/>
    <w:rsid w:val="00111FC7"/>
    <w:rsid w:val="00112AA5"/>
    <w:rsid w:val="00113519"/>
    <w:rsid w:val="00113E60"/>
    <w:rsid w:val="0011454D"/>
    <w:rsid w:val="00114A07"/>
    <w:rsid w:val="001166F1"/>
    <w:rsid w:val="0011723E"/>
    <w:rsid w:val="0011773E"/>
    <w:rsid w:val="001208DF"/>
    <w:rsid w:val="00120BC7"/>
    <w:rsid w:val="00120CF6"/>
    <w:rsid w:val="00120FB9"/>
    <w:rsid w:val="00121D75"/>
    <w:rsid w:val="00123DE4"/>
    <w:rsid w:val="00124F1C"/>
    <w:rsid w:val="001252AA"/>
    <w:rsid w:val="00126DF6"/>
    <w:rsid w:val="00130122"/>
    <w:rsid w:val="001306B2"/>
    <w:rsid w:val="001310C9"/>
    <w:rsid w:val="00131381"/>
    <w:rsid w:val="0013305F"/>
    <w:rsid w:val="00133DEE"/>
    <w:rsid w:val="001353D8"/>
    <w:rsid w:val="0013684F"/>
    <w:rsid w:val="001404D5"/>
    <w:rsid w:val="001426E7"/>
    <w:rsid w:val="00142F83"/>
    <w:rsid w:val="00143F1F"/>
    <w:rsid w:val="0014400C"/>
    <w:rsid w:val="001440C8"/>
    <w:rsid w:val="00144615"/>
    <w:rsid w:val="0014463A"/>
    <w:rsid w:val="00144C6E"/>
    <w:rsid w:val="00144CE8"/>
    <w:rsid w:val="00144DC3"/>
    <w:rsid w:val="001461A7"/>
    <w:rsid w:val="0014793D"/>
    <w:rsid w:val="00150473"/>
    <w:rsid w:val="001527AF"/>
    <w:rsid w:val="00152D81"/>
    <w:rsid w:val="0015354C"/>
    <w:rsid w:val="0015550D"/>
    <w:rsid w:val="001576AB"/>
    <w:rsid w:val="00157BE1"/>
    <w:rsid w:val="0016114D"/>
    <w:rsid w:val="00161396"/>
    <w:rsid w:val="0016335A"/>
    <w:rsid w:val="0016378B"/>
    <w:rsid w:val="00163A43"/>
    <w:rsid w:val="00163EEA"/>
    <w:rsid w:val="0016467D"/>
    <w:rsid w:val="00165A51"/>
    <w:rsid w:val="0016665B"/>
    <w:rsid w:val="0016764A"/>
    <w:rsid w:val="00167686"/>
    <w:rsid w:val="00170C26"/>
    <w:rsid w:val="001716A1"/>
    <w:rsid w:val="00171EEF"/>
    <w:rsid w:val="00172174"/>
    <w:rsid w:val="00172828"/>
    <w:rsid w:val="00174F81"/>
    <w:rsid w:val="00176FE5"/>
    <w:rsid w:val="00180AB1"/>
    <w:rsid w:val="00180B5B"/>
    <w:rsid w:val="00181DDD"/>
    <w:rsid w:val="001829FE"/>
    <w:rsid w:val="001844D9"/>
    <w:rsid w:val="00184965"/>
    <w:rsid w:val="00184E2C"/>
    <w:rsid w:val="001850CE"/>
    <w:rsid w:val="0018565D"/>
    <w:rsid w:val="00185A3B"/>
    <w:rsid w:val="00185ADE"/>
    <w:rsid w:val="00185B9A"/>
    <w:rsid w:val="00190634"/>
    <w:rsid w:val="0019391C"/>
    <w:rsid w:val="00193CD3"/>
    <w:rsid w:val="00193E04"/>
    <w:rsid w:val="0019592A"/>
    <w:rsid w:val="00197DFF"/>
    <w:rsid w:val="00197E94"/>
    <w:rsid w:val="001A1820"/>
    <w:rsid w:val="001A1943"/>
    <w:rsid w:val="001A1F6C"/>
    <w:rsid w:val="001A431C"/>
    <w:rsid w:val="001A53CC"/>
    <w:rsid w:val="001A7643"/>
    <w:rsid w:val="001B007D"/>
    <w:rsid w:val="001B2A53"/>
    <w:rsid w:val="001B3597"/>
    <w:rsid w:val="001B4BFE"/>
    <w:rsid w:val="001B6A7A"/>
    <w:rsid w:val="001C071A"/>
    <w:rsid w:val="001C2780"/>
    <w:rsid w:val="001C3195"/>
    <w:rsid w:val="001C41A6"/>
    <w:rsid w:val="001C47EE"/>
    <w:rsid w:val="001C61F4"/>
    <w:rsid w:val="001C6355"/>
    <w:rsid w:val="001C769E"/>
    <w:rsid w:val="001D02E8"/>
    <w:rsid w:val="001D152B"/>
    <w:rsid w:val="001D2003"/>
    <w:rsid w:val="001D3611"/>
    <w:rsid w:val="001D3E3D"/>
    <w:rsid w:val="001D5544"/>
    <w:rsid w:val="001D6167"/>
    <w:rsid w:val="001D69BB"/>
    <w:rsid w:val="001D6C3E"/>
    <w:rsid w:val="001E1CE0"/>
    <w:rsid w:val="001E1D81"/>
    <w:rsid w:val="001E24BE"/>
    <w:rsid w:val="001E2DDE"/>
    <w:rsid w:val="001E4B03"/>
    <w:rsid w:val="001E55F7"/>
    <w:rsid w:val="001E65C8"/>
    <w:rsid w:val="001E728E"/>
    <w:rsid w:val="001E72E2"/>
    <w:rsid w:val="001F0319"/>
    <w:rsid w:val="001F1345"/>
    <w:rsid w:val="001F2AD3"/>
    <w:rsid w:val="001F45D3"/>
    <w:rsid w:val="00200158"/>
    <w:rsid w:val="00200CB0"/>
    <w:rsid w:val="00200E11"/>
    <w:rsid w:val="0020170F"/>
    <w:rsid w:val="002017ED"/>
    <w:rsid w:val="002019B0"/>
    <w:rsid w:val="002028C0"/>
    <w:rsid w:val="00203BED"/>
    <w:rsid w:val="00203F7B"/>
    <w:rsid w:val="00205DD5"/>
    <w:rsid w:val="00205ECA"/>
    <w:rsid w:val="002064F8"/>
    <w:rsid w:val="00207575"/>
    <w:rsid w:val="00207A20"/>
    <w:rsid w:val="00210617"/>
    <w:rsid w:val="0021128E"/>
    <w:rsid w:val="00211B4C"/>
    <w:rsid w:val="002127B9"/>
    <w:rsid w:val="002132DC"/>
    <w:rsid w:val="00213317"/>
    <w:rsid w:val="00213CA1"/>
    <w:rsid w:val="00215C51"/>
    <w:rsid w:val="002163C6"/>
    <w:rsid w:val="00220F6E"/>
    <w:rsid w:val="00221415"/>
    <w:rsid w:val="00221D20"/>
    <w:rsid w:val="0022253A"/>
    <w:rsid w:val="002226B2"/>
    <w:rsid w:val="00222BF2"/>
    <w:rsid w:val="00222C08"/>
    <w:rsid w:val="0022365D"/>
    <w:rsid w:val="002248AD"/>
    <w:rsid w:val="00227173"/>
    <w:rsid w:val="00227746"/>
    <w:rsid w:val="002306C2"/>
    <w:rsid w:val="0023089B"/>
    <w:rsid w:val="00230F3D"/>
    <w:rsid w:val="00231B6D"/>
    <w:rsid w:val="00232316"/>
    <w:rsid w:val="00233418"/>
    <w:rsid w:val="00233661"/>
    <w:rsid w:val="00233F0F"/>
    <w:rsid w:val="0023420D"/>
    <w:rsid w:val="0023513E"/>
    <w:rsid w:val="002351D8"/>
    <w:rsid w:val="00235F53"/>
    <w:rsid w:val="002368B9"/>
    <w:rsid w:val="0023693C"/>
    <w:rsid w:val="002376ED"/>
    <w:rsid w:val="00240EC3"/>
    <w:rsid w:val="00240FCE"/>
    <w:rsid w:val="002414CF"/>
    <w:rsid w:val="00241D85"/>
    <w:rsid w:val="002420B8"/>
    <w:rsid w:val="00245BE4"/>
    <w:rsid w:val="00245FDB"/>
    <w:rsid w:val="00246477"/>
    <w:rsid w:val="00250612"/>
    <w:rsid w:val="00251232"/>
    <w:rsid w:val="00251C93"/>
    <w:rsid w:val="00251CFD"/>
    <w:rsid w:val="00251D3A"/>
    <w:rsid w:val="002520F0"/>
    <w:rsid w:val="002525ED"/>
    <w:rsid w:val="002525FB"/>
    <w:rsid w:val="002540F7"/>
    <w:rsid w:val="00254C7B"/>
    <w:rsid w:val="00255527"/>
    <w:rsid w:val="00256A6C"/>
    <w:rsid w:val="00257678"/>
    <w:rsid w:val="00261AA9"/>
    <w:rsid w:val="002679D2"/>
    <w:rsid w:val="00271668"/>
    <w:rsid w:val="00271AAD"/>
    <w:rsid w:val="0027275C"/>
    <w:rsid w:val="0027428A"/>
    <w:rsid w:val="002745ED"/>
    <w:rsid w:val="002748EA"/>
    <w:rsid w:val="002777CB"/>
    <w:rsid w:val="0027795D"/>
    <w:rsid w:val="002805D2"/>
    <w:rsid w:val="00280D35"/>
    <w:rsid w:val="00283A6B"/>
    <w:rsid w:val="00284208"/>
    <w:rsid w:val="00285053"/>
    <w:rsid w:val="00285E2D"/>
    <w:rsid w:val="00286C3B"/>
    <w:rsid w:val="00287C3C"/>
    <w:rsid w:val="002907E8"/>
    <w:rsid w:val="00290D3C"/>
    <w:rsid w:val="00290D8D"/>
    <w:rsid w:val="0029187E"/>
    <w:rsid w:val="00291A00"/>
    <w:rsid w:val="00291E0A"/>
    <w:rsid w:val="00292CA0"/>
    <w:rsid w:val="002942CD"/>
    <w:rsid w:val="0029438A"/>
    <w:rsid w:val="00295B14"/>
    <w:rsid w:val="00296750"/>
    <w:rsid w:val="002A2459"/>
    <w:rsid w:val="002A4130"/>
    <w:rsid w:val="002A45F7"/>
    <w:rsid w:val="002A521C"/>
    <w:rsid w:val="002A5A46"/>
    <w:rsid w:val="002A607E"/>
    <w:rsid w:val="002A60D8"/>
    <w:rsid w:val="002A615B"/>
    <w:rsid w:val="002A6C6D"/>
    <w:rsid w:val="002A6F8F"/>
    <w:rsid w:val="002A7345"/>
    <w:rsid w:val="002A7BED"/>
    <w:rsid w:val="002B020F"/>
    <w:rsid w:val="002B049F"/>
    <w:rsid w:val="002B2245"/>
    <w:rsid w:val="002B2EA7"/>
    <w:rsid w:val="002B7E53"/>
    <w:rsid w:val="002C058D"/>
    <w:rsid w:val="002C0610"/>
    <w:rsid w:val="002C07B2"/>
    <w:rsid w:val="002C2934"/>
    <w:rsid w:val="002C3577"/>
    <w:rsid w:val="002C3911"/>
    <w:rsid w:val="002C3D3F"/>
    <w:rsid w:val="002C5A1F"/>
    <w:rsid w:val="002C5A71"/>
    <w:rsid w:val="002C6DAF"/>
    <w:rsid w:val="002C6E0A"/>
    <w:rsid w:val="002C6F6D"/>
    <w:rsid w:val="002D145E"/>
    <w:rsid w:val="002D1565"/>
    <w:rsid w:val="002D1ED9"/>
    <w:rsid w:val="002D6821"/>
    <w:rsid w:val="002D6D15"/>
    <w:rsid w:val="002D6FDA"/>
    <w:rsid w:val="002D7A03"/>
    <w:rsid w:val="002E0E34"/>
    <w:rsid w:val="002E22E7"/>
    <w:rsid w:val="002E4350"/>
    <w:rsid w:val="002E51D0"/>
    <w:rsid w:val="002E51FA"/>
    <w:rsid w:val="002E5205"/>
    <w:rsid w:val="002E5488"/>
    <w:rsid w:val="002E66C9"/>
    <w:rsid w:val="002E7211"/>
    <w:rsid w:val="002E7409"/>
    <w:rsid w:val="002F27DB"/>
    <w:rsid w:val="002F2A4C"/>
    <w:rsid w:val="002F5831"/>
    <w:rsid w:val="002F6046"/>
    <w:rsid w:val="002F693F"/>
    <w:rsid w:val="002F6A32"/>
    <w:rsid w:val="00300495"/>
    <w:rsid w:val="00301312"/>
    <w:rsid w:val="003016E7"/>
    <w:rsid w:val="0030231B"/>
    <w:rsid w:val="00302E3D"/>
    <w:rsid w:val="00304C0E"/>
    <w:rsid w:val="00305E0B"/>
    <w:rsid w:val="0030754C"/>
    <w:rsid w:val="00307CBC"/>
    <w:rsid w:val="00312A2A"/>
    <w:rsid w:val="00312A2B"/>
    <w:rsid w:val="003143A5"/>
    <w:rsid w:val="00314B7D"/>
    <w:rsid w:val="003161DE"/>
    <w:rsid w:val="00316760"/>
    <w:rsid w:val="00316794"/>
    <w:rsid w:val="003178F6"/>
    <w:rsid w:val="00317CB7"/>
    <w:rsid w:val="00320116"/>
    <w:rsid w:val="00321038"/>
    <w:rsid w:val="003231AF"/>
    <w:rsid w:val="00324440"/>
    <w:rsid w:val="00324A83"/>
    <w:rsid w:val="00326FEC"/>
    <w:rsid w:val="0033048D"/>
    <w:rsid w:val="00330FEE"/>
    <w:rsid w:val="003316F3"/>
    <w:rsid w:val="00331A98"/>
    <w:rsid w:val="00332664"/>
    <w:rsid w:val="00333DBA"/>
    <w:rsid w:val="00333E58"/>
    <w:rsid w:val="00334E27"/>
    <w:rsid w:val="00337556"/>
    <w:rsid w:val="00337EBC"/>
    <w:rsid w:val="00342C47"/>
    <w:rsid w:val="0034316D"/>
    <w:rsid w:val="00344422"/>
    <w:rsid w:val="00344D75"/>
    <w:rsid w:val="00345AFF"/>
    <w:rsid w:val="00345CDD"/>
    <w:rsid w:val="00346026"/>
    <w:rsid w:val="00350550"/>
    <w:rsid w:val="00351135"/>
    <w:rsid w:val="00351D4F"/>
    <w:rsid w:val="00352CC1"/>
    <w:rsid w:val="00354E60"/>
    <w:rsid w:val="00355DED"/>
    <w:rsid w:val="003569F6"/>
    <w:rsid w:val="00357688"/>
    <w:rsid w:val="00360A10"/>
    <w:rsid w:val="00362223"/>
    <w:rsid w:val="00362511"/>
    <w:rsid w:val="003626C2"/>
    <w:rsid w:val="00362DF2"/>
    <w:rsid w:val="00363F3E"/>
    <w:rsid w:val="00365F8F"/>
    <w:rsid w:val="003675B7"/>
    <w:rsid w:val="0036781F"/>
    <w:rsid w:val="0036788E"/>
    <w:rsid w:val="0037026A"/>
    <w:rsid w:val="00370D97"/>
    <w:rsid w:val="00371DE9"/>
    <w:rsid w:val="003738BB"/>
    <w:rsid w:val="00373A4C"/>
    <w:rsid w:val="00373F87"/>
    <w:rsid w:val="00374B2C"/>
    <w:rsid w:val="003752F8"/>
    <w:rsid w:val="00380137"/>
    <w:rsid w:val="00380627"/>
    <w:rsid w:val="0038108F"/>
    <w:rsid w:val="00381B5E"/>
    <w:rsid w:val="00382FF8"/>
    <w:rsid w:val="0038410E"/>
    <w:rsid w:val="00384924"/>
    <w:rsid w:val="00385078"/>
    <w:rsid w:val="003860AC"/>
    <w:rsid w:val="00386833"/>
    <w:rsid w:val="00386D81"/>
    <w:rsid w:val="00387176"/>
    <w:rsid w:val="003872B2"/>
    <w:rsid w:val="00387390"/>
    <w:rsid w:val="00387956"/>
    <w:rsid w:val="003905DA"/>
    <w:rsid w:val="00390A8D"/>
    <w:rsid w:val="003915F3"/>
    <w:rsid w:val="00391896"/>
    <w:rsid w:val="00392F1A"/>
    <w:rsid w:val="00393294"/>
    <w:rsid w:val="003937A7"/>
    <w:rsid w:val="003944AA"/>
    <w:rsid w:val="00396019"/>
    <w:rsid w:val="00397128"/>
    <w:rsid w:val="0039760D"/>
    <w:rsid w:val="00397C7E"/>
    <w:rsid w:val="003A58A9"/>
    <w:rsid w:val="003A5C69"/>
    <w:rsid w:val="003A638F"/>
    <w:rsid w:val="003A6544"/>
    <w:rsid w:val="003B0469"/>
    <w:rsid w:val="003B1470"/>
    <w:rsid w:val="003B222E"/>
    <w:rsid w:val="003B296E"/>
    <w:rsid w:val="003B333D"/>
    <w:rsid w:val="003B33FD"/>
    <w:rsid w:val="003B41EB"/>
    <w:rsid w:val="003C06F6"/>
    <w:rsid w:val="003C1D2F"/>
    <w:rsid w:val="003C26A0"/>
    <w:rsid w:val="003C28E0"/>
    <w:rsid w:val="003C3616"/>
    <w:rsid w:val="003C3FD2"/>
    <w:rsid w:val="003C662B"/>
    <w:rsid w:val="003C77F6"/>
    <w:rsid w:val="003C797D"/>
    <w:rsid w:val="003C7AA1"/>
    <w:rsid w:val="003D0644"/>
    <w:rsid w:val="003D2A98"/>
    <w:rsid w:val="003D3CB6"/>
    <w:rsid w:val="003D4827"/>
    <w:rsid w:val="003D4A96"/>
    <w:rsid w:val="003D6E9D"/>
    <w:rsid w:val="003D7F9A"/>
    <w:rsid w:val="003E0C37"/>
    <w:rsid w:val="003E1505"/>
    <w:rsid w:val="003E1DB3"/>
    <w:rsid w:val="003E22E9"/>
    <w:rsid w:val="003E271B"/>
    <w:rsid w:val="003E2D94"/>
    <w:rsid w:val="003E41AC"/>
    <w:rsid w:val="003E4D87"/>
    <w:rsid w:val="003E6F88"/>
    <w:rsid w:val="003E7465"/>
    <w:rsid w:val="003F01DC"/>
    <w:rsid w:val="003F1084"/>
    <w:rsid w:val="003F1C69"/>
    <w:rsid w:val="003F30C0"/>
    <w:rsid w:val="003F33F5"/>
    <w:rsid w:val="003F3989"/>
    <w:rsid w:val="003F4A4A"/>
    <w:rsid w:val="003F55AA"/>
    <w:rsid w:val="003F651B"/>
    <w:rsid w:val="003F65DA"/>
    <w:rsid w:val="004007F9"/>
    <w:rsid w:val="00402144"/>
    <w:rsid w:val="0040360F"/>
    <w:rsid w:val="0040412C"/>
    <w:rsid w:val="00404AF0"/>
    <w:rsid w:val="004050DC"/>
    <w:rsid w:val="00405528"/>
    <w:rsid w:val="00405BB8"/>
    <w:rsid w:val="004066AB"/>
    <w:rsid w:val="00407DE5"/>
    <w:rsid w:val="0041295B"/>
    <w:rsid w:val="00412BDD"/>
    <w:rsid w:val="0041351F"/>
    <w:rsid w:val="0041589F"/>
    <w:rsid w:val="00416DA2"/>
    <w:rsid w:val="00416DE9"/>
    <w:rsid w:val="00416F6B"/>
    <w:rsid w:val="004201E5"/>
    <w:rsid w:val="00420824"/>
    <w:rsid w:val="00420AAB"/>
    <w:rsid w:val="004215E6"/>
    <w:rsid w:val="0042180F"/>
    <w:rsid w:val="004218A7"/>
    <w:rsid w:val="00421929"/>
    <w:rsid w:val="004235D3"/>
    <w:rsid w:val="00423B7D"/>
    <w:rsid w:val="00425201"/>
    <w:rsid w:val="00425B5B"/>
    <w:rsid w:val="00431C0D"/>
    <w:rsid w:val="00433BB1"/>
    <w:rsid w:val="00434A9C"/>
    <w:rsid w:val="00434B60"/>
    <w:rsid w:val="00434B6C"/>
    <w:rsid w:val="00435444"/>
    <w:rsid w:val="00435AF6"/>
    <w:rsid w:val="004367F1"/>
    <w:rsid w:val="00436ECD"/>
    <w:rsid w:val="00437144"/>
    <w:rsid w:val="00437809"/>
    <w:rsid w:val="004407F4"/>
    <w:rsid w:val="004417F9"/>
    <w:rsid w:val="00441BC1"/>
    <w:rsid w:val="00443310"/>
    <w:rsid w:val="004433E6"/>
    <w:rsid w:val="00444F16"/>
    <w:rsid w:val="0044512D"/>
    <w:rsid w:val="00445226"/>
    <w:rsid w:val="00445E0F"/>
    <w:rsid w:val="0045179C"/>
    <w:rsid w:val="004523D7"/>
    <w:rsid w:val="004541D8"/>
    <w:rsid w:val="0045472F"/>
    <w:rsid w:val="00454C53"/>
    <w:rsid w:val="004554AC"/>
    <w:rsid w:val="00455A14"/>
    <w:rsid w:val="00457458"/>
    <w:rsid w:val="0045773C"/>
    <w:rsid w:val="00457AD3"/>
    <w:rsid w:val="00461F33"/>
    <w:rsid w:val="00464262"/>
    <w:rsid w:val="00465D96"/>
    <w:rsid w:val="00466362"/>
    <w:rsid w:val="0046639A"/>
    <w:rsid w:val="00471AB9"/>
    <w:rsid w:val="0047261D"/>
    <w:rsid w:val="00472ED8"/>
    <w:rsid w:val="0047329E"/>
    <w:rsid w:val="00473628"/>
    <w:rsid w:val="00473995"/>
    <w:rsid w:val="004748B1"/>
    <w:rsid w:val="0047545E"/>
    <w:rsid w:val="00475583"/>
    <w:rsid w:val="004817DA"/>
    <w:rsid w:val="00484D42"/>
    <w:rsid w:val="00485837"/>
    <w:rsid w:val="004861AF"/>
    <w:rsid w:val="00486F05"/>
    <w:rsid w:val="00491EBD"/>
    <w:rsid w:val="0049228F"/>
    <w:rsid w:val="00492610"/>
    <w:rsid w:val="00492A15"/>
    <w:rsid w:val="00492CE0"/>
    <w:rsid w:val="00492EDE"/>
    <w:rsid w:val="00494176"/>
    <w:rsid w:val="00497315"/>
    <w:rsid w:val="004A0043"/>
    <w:rsid w:val="004A032A"/>
    <w:rsid w:val="004A0EB5"/>
    <w:rsid w:val="004A2A7D"/>
    <w:rsid w:val="004A4D2D"/>
    <w:rsid w:val="004A51B2"/>
    <w:rsid w:val="004A5413"/>
    <w:rsid w:val="004A5B1B"/>
    <w:rsid w:val="004A624F"/>
    <w:rsid w:val="004A77A8"/>
    <w:rsid w:val="004B0F97"/>
    <w:rsid w:val="004B106D"/>
    <w:rsid w:val="004B249C"/>
    <w:rsid w:val="004B3953"/>
    <w:rsid w:val="004B4584"/>
    <w:rsid w:val="004B50EB"/>
    <w:rsid w:val="004B5B1A"/>
    <w:rsid w:val="004B6768"/>
    <w:rsid w:val="004B7164"/>
    <w:rsid w:val="004B75BC"/>
    <w:rsid w:val="004B7D74"/>
    <w:rsid w:val="004B7EC4"/>
    <w:rsid w:val="004C0163"/>
    <w:rsid w:val="004C0F31"/>
    <w:rsid w:val="004C117E"/>
    <w:rsid w:val="004C19A5"/>
    <w:rsid w:val="004C1A26"/>
    <w:rsid w:val="004C1C85"/>
    <w:rsid w:val="004C2087"/>
    <w:rsid w:val="004C2193"/>
    <w:rsid w:val="004C2E95"/>
    <w:rsid w:val="004C5E1A"/>
    <w:rsid w:val="004C68CB"/>
    <w:rsid w:val="004C6D22"/>
    <w:rsid w:val="004C7D37"/>
    <w:rsid w:val="004D0A16"/>
    <w:rsid w:val="004D1700"/>
    <w:rsid w:val="004D2018"/>
    <w:rsid w:val="004D2A8A"/>
    <w:rsid w:val="004D3E92"/>
    <w:rsid w:val="004D5A3A"/>
    <w:rsid w:val="004D69BE"/>
    <w:rsid w:val="004D7F40"/>
    <w:rsid w:val="004E1412"/>
    <w:rsid w:val="004E1571"/>
    <w:rsid w:val="004E33A7"/>
    <w:rsid w:val="004E54B4"/>
    <w:rsid w:val="004E5EA3"/>
    <w:rsid w:val="004E6ABB"/>
    <w:rsid w:val="004F0875"/>
    <w:rsid w:val="004F1B6C"/>
    <w:rsid w:val="004F4A99"/>
    <w:rsid w:val="004F4C5F"/>
    <w:rsid w:val="004F5E8A"/>
    <w:rsid w:val="004F69BB"/>
    <w:rsid w:val="004F721F"/>
    <w:rsid w:val="004F73D4"/>
    <w:rsid w:val="004F7996"/>
    <w:rsid w:val="004F7CCE"/>
    <w:rsid w:val="00500CE0"/>
    <w:rsid w:val="005012A5"/>
    <w:rsid w:val="00501C1F"/>
    <w:rsid w:val="00503D61"/>
    <w:rsid w:val="00505302"/>
    <w:rsid w:val="0050581B"/>
    <w:rsid w:val="00505863"/>
    <w:rsid w:val="0050683F"/>
    <w:rsid w:val="00507782"/>
    <w:rsid w:val="005109E0"/>
    <w:rsid w:val="005111F6"/>
    <w:rsid w:val="005112CA"/>
    <w:rsid w:val="00513DA2"/>
    <w:rsid w:val="00514D34"/>
    <w:rsid w:val="00514ED4"/>
    <w:rsid w:val="00516A9A"/>
    <w:rsid w:val="00517E32"/>
    <w:rsid w:val="00521E52"/>
    <w:rsid w:val="00522928"/>
    <w:rsid w:val="00522A42"/>
    <w:rsid w:val="005264CB"/>
    <w:rsid w:val="00526C0F"/>
    <w:rsid w:val="00526F38"/>
    <w:rsid w:val="00527CBF"/>
    <w:rsid w:val="005304CA"/>
    <w:rsid w:val="005322CE"/>
    <w:rsid w:val="00532F7A"/>
    <w:rsid w:val="00533369"/>
    <w:rsid w:val="005334EA"/>
    <w:rsid w:val="00533B3B"/>
    <w:rsid w:val="005370A3"/>
    <w:rsid w:val="0053739B"/>
    <w:rsid w:val="00537687"/>
    <w:rsid w:val="00537C58"/>
    <w:rsid w:val="00540903"/>
    <w:rsid w:val="00540F99"/>
    <w:rsid w:val="005418E5"/>
    <w:rsid w:val="0054288D"/>
    <w:rsid w:val="00542A8F"/>
    <w:rsid w:val="00542D7F"/>
    <w:rsid w:val="00542E23"/>
    <w:rsid w:val="00547531"/>
    <w:rsid w:val="00547E56"/>
    <w:rsid w:val="00550717"/>
    <w:rsid w:val="005510F0"/>
    <w:rsid w:val="0055167D"/>
    <w:rsid w:val="005518A9"/>
    <w:rsid w:val="00552D3C"/>
    <w:rsid w:val="00552E82"/>
    <w:rsid w:val="00552FEB"/>
    <w:rsid w:val="005532E6"/>
    <w:rsid w:val="0055537E"/>
    <w:rsid w:val="005559B1"/>
    <w:rsid w:val="00555AFF"/>
    <w:rsid w:val="0055680E"/>
    <w:rsid w:val="005633ED"/>
    <w:rsid w:val="00563FBA"/>
    <w:rsid w:val="00566584"/>
    <w:rsid w:val="0056795C"/>
    <w:rsid w:val="005737CD"/>
    <w:rsid w:val="00574A3F"/>
    <w:rsid w:val="005750D1"/>
    <w:rsid w:val="005800B7"/>
    <w:rsid w:val="00580949"/>
    <w:rsid w:val="00581256"/>
    <w:rsid w:val="00585E54"/>
    <w:rsid w:val="00586697"/>
    <w:rsid w:val="00586ACE"/>
    <w:rsid w:val="005876BB"/>
    <w:rsid w:val="00590589"/>
    <w:rsid w:val="0059118F"/>
    <w:rsid w:val="00593140"/>
    <w:rsid w:val="005933F2"/>
    <w:rsid w:val="00594644"/>
    <w:rsid w:val="00597AFB"/>
    <w:rsid w:val="005A12F7"/>
    <w:rsid w:val="005A1A2E"/>
    <w:rsid w:val="005A1C67"/>
    <w:rsid w:val="005A2B69"/>
    <w:rsid w:val="005A4550"/>
    <w:rsid w:val="005A4E58"/>
    <w:rsid w:val="005A6843"/>
    <w:rsid w:val="005A7088"/>
    <w:rsid w:val="005A70A4"/>
    <w:rsid w:val="005A77EE"/>
    <w:rsid w:val="005A7AEE"/>
    <w:rsid w:val="005B11F1"/>
    <w:rsid w:val="005B1719"/>
    <w:rsid w:val="005B1770"/>
    <w:rsid w:val="005B35EB"/>
    <w:rsid w:val="005B37E5"/>
    <w:rsid w:val="005B5098"/>
    <w:rsid w:val="005B5A48"/>
    <w:rsid w:val="005B691F"/>
    <w:rsid w:val="005C0A25"/>
    <w:rsid w:val="005C0A94"/>
    <w:rsid w:val="005C0AE3"/>
    <w:rsid w:val="005C1FB0"/>
    <w:rsid w:val="005C231C"/>
    <w:rsid w:val="005C3513"/>
    <w:rsid w:val="005C3592"/>
    <w:rsid w:val="005C56A4"/>
    <w:rsid w:val="005D0B55"/>
    <w:rsid w:val="005D0B62"/>
    <w:rsid w:val="005D120F"/>
    <w:rsid w:val="005D31A3"/>
    <w:rsid w:val="005D5E8F"/>
    <w:rsid w:val="005D715D"/>
    <w:rsid w:val="005D7F49"/>
    <w:rsid w:val="005E187B"/>
    <w:rsid w:val="005E3064"/>
    <w:rsid w:val="005E3C29"/>
    <w:rsid w:val="005E51AE"/>
    <w:rsid w:val="005E5A66"/>
    <w:rsid w:val="005E5D3A"/>
    <w:rsid w:val="005E610B"/>
    <w:rsid w:val="005E7CDD"/>
    <w:rsid w:val="005F1555"/>
    <w:rsid w:val="005F182E"/>
    <w:rsid w:val="005F1B70"/>
    <w:rsid w:val="005F2355"/>
    <w:rsid w:val="005F3559"/>
    <w:rsid w:val="005F3ABE"/>
    <w:rsid w:val="005F3F4C"/>
    <w:rsid w:val="005F5096"/>
    <w:rsid w:val="005F5D72"/>
    <w:rsid w:val="005F7203"/>
    <w:rsid w:val="005F731F"/>
    <w:rsid w:val="00600AB0"/>
    <w:rsid w:val="00602A6E"/>
    <w:rsid w:val="00603B97"/>
    <w:rsid w:val="00603C95"/>
    <w:rsid w:val="00603E54"/>
    <w:rsid w:val="00605509"/>
    <w:rsid w:val="00605E4D"/>
    <w:rsid w:val="00606952"/>
    <w:rsid w:val="006069A1"/>
    <w:rsid w:val="00606C80"/>
    <w:rsid w:val="00607158"/>
    <w:rsid w:val="0060730F"/>
    <w:rsid w:val="00611DC5"/>
    <w:rsid w:val="006124D9"/>
    <w:rsid w:val="0061253D"/>
    <w:rsid w:val="006160AB"/>
    <w:rsid w:val="00616A4A"/>
    <w:rsid w:val="0062005F"/>
    <w:rsid w:val="00621147"/>
    <w:rsid w:val="006223DC"/>
    <w:rsid w:val="00622AE4"/>
    <w:rsid w:val="006232C6"/>
    <w:rsid w:val="0062330C"/>
    <w:rsid w:val="006246C8"/>
    <w:rsid w:val="006258D9"/>
    <w:rsid w:val="00625B4C"/>
    <w:rsid w:val="006262D4"/>
    <w:rsid w:val="006272A5"/>
    <w:rsid w:val="00627492"/>
    <w:rsid w:val="00631304"/>
    <w:rsid w:val="00633023"/>
    <w:rsid w:val="006331FB"/>
    <w:rsid w:val="00634F0A"/>
    <w:rsid w:val="00635816"/>
    <w:rsid w:val="00637B2B"/>
    <w:rsid w:val="00640037"/>
    <w:rsid w:val="00642000"/>
    <w:rsid w:val="00643248"/>
    <w:rsid w:val="0064586B"/>
    <w:rsid w:val="00646203"/>
    <w:rsid w:val="00646B2E"/>
    <w:rsid w:val="00650B5A"/>
    <w:rsid w:val="006518D3"/>
    <w:rsid w:val="00651C21"/>
    <w:rsid w:val="006536E7"/>
    <w:rsid w:val="00653EF8"/>
    <w:rsid w:val="006545F4"/>
    <w:rsid w:val="00654C5A"/>
    <w:rsid w:val="006561D3"/>
    <w:rsid w:val="00656D16"/>
    <w:rsid w:val="0065783A"/>
    <w:rsid w:val="00657BCD"/>
    <w:rsid w:val="006605E2"/>
    <w:rsid w:val="00660823"/>
    <w:rsid w:val="00661BA9"/>
    <w:rsid w:val="0066393A"/>
    <w:rsid w:val="00664963"/>
    <w:rsid w:val="00665250"/>
    <w:rsid w:val="00665CDC"/>
    <w:rsid w:val="006672EF"/>
    <w:rsid w:val="00670A0A"/>
    <w:rsid w:val="00671E15"/>
    <w:rsid w:val="006735C8"/>
    <w:rsid w:val="00673EB5"/>
    <w:rsid w:val="006758B3"/>
    <w:rsid w:val="00675F96"/>
    <w:rsid w:val="00677F8A"/>
    <w:rsid w:val="00680733"/>
    <w:rsid w:val="00680CC4"/>
    <w:rsid w:val="00681D1B"/>
    <w:rsid w:val="00682C9D"/>
    <w:rsid w:val="00683AB1"/>
    <w:rsid w:val="00683CBF"/>
    <w:rsid w:val="00684CD5"/>
    <w:rsid w:val="00685119"/>
    <w:rsid w:val="006854FC"/>
    <w:rsid w:val="0068610D"/>
    <w:rsid w:val="0068643B"/>
    <w:rsid w:val="00686860"/>
    <w:rsid w:val="00690918"/>
    <w:rsid w:val="006921B8"/>
    <w:rsid w:val="00692FA7"/>
    <w:rsid w:val="006934E7"/>
    <w:rsid w:val="006935B4"/>
    <w:rsid w:val="00693A96"/>
    <w:rsid w:val="006944A3"/>
    <w:rsid w:val="00694554"/>
    <w:rsid w:val="00694568"/>
    <w:rsid w:val="00695A79"/>
    <w:rsid w:val="0069620D"/>
    <w:rsid w:val="00696535"/>
    <w:rsid w:val="006A0F32"/>
    <w:rsid w:val="006A28AE"/>
    <w:rsid w:val="006A499F"/>
    <w:rsid w:val="006A5DB4"/>
    <w:rsid w:val="006A5EF9"/>
    <w:rsid w:val="006A6363"/>
    <w:rsid w:val="006A6839"/>
    <w:rsid w:val="006A74AD"/>
    <w:rsid w:val="006B013B"/>
    <w:rsid w:val="006B0F93"/>
    <w:rsid w:val="006B1C20"/>
    <w:rsid w:val="006B2ADE"/>
    <w:rsid w:val="006B2FB4"/>
    <w:rsid w:val="006B3172"/>
    <w:rsid w:val="006B490F"/>
    <w:rsid w:val="006B611A"/>
    <w:rsid w:val="006B689A"/>
    <w:rsid w:val="006C0232"/>
    <w:rsid w:val="006C09C3"/>
    <w:rsid w:val="006C1207"/>
    <w:rsid w:val="006C5265"/>
    <w:rsid w:val="006C670C"/>
    <w:rsid w:val="006D00E7"/>
    <w:rsid w:val="006D0225"/>
    <w:rsid w:val="006D1D91"/>
    <w:rsid w:val="006D24C8"/>
    <w:rsid w:val="006D48D1"/>
    <w:rsid w:val="006D4B9F"/>
    <w:rsid w:val="006D4DBD"/>
    <w:rsid w:val="006D4E4A"/>
    <w:rsid w:val="006D502F"/>
    <w:rsid w:val="006D5951"/>
    <w:rsid w:val="006D6A3E"/>
    <w:rsid w:val="006E0367"/>
    <w:rsid w:val="006E1767"/>
    <w:rsid w:val="006E193C"/>
    <w:rsid w:val="006E1FF5"/>
    <w:rsid w:val="006E5E56"/>
    <w:rsid w:val="006E6E0A"/>
    <w:rsid w:val="006F0FBD"/>
    <w:rsid w:val="006F4C4B"/>
    <w:rsid w:val="006F4CBE"/>
    <w:rsid w:val="0070113C"/>
    <w:rsid w:val="007021C3"/>
    <w:rsid w:val="007021F2"/>
    <w:rsid w:val="007033E6"/>
    <w:rsid w:val="00704D18"/>
    <w:rsid w:val="00705E39"/>
    <w:rsid w:val="00706BA9"/>
    <w:rsid w:val="00707524"/>
    <w:rsid w:val="00713074"/>
    <w:rsid w:val="007132C1"/>
    <w:rsid w:val="007153AA"/>
    <w:rsid w:val="007159D6"/>
    <w:rsid w:val="00715CD3"/>
    <w:rsid w:val="00716C27"/>
    <w:rsid w:val="00717359"/>
    <w:rsid w:val="0071759A"/>
    <w:rsid w:val="00717713"/>
    <w:rsid w:val="007211A7"/>
    <w:rsid w:val="007217B1"/>
    <w:rsid w:val="007218BF"/>
    <w:rsid w:val="00723DDD"/>
    <w:rsid w:val="007247AC"/>
    <w:rsid w:val="007256AB"/>
    <w:rsid w:val="00731D01"/>
    <w:rsid w:val="00732E70"/>
    <w:rsid w:val="00737313"/>
    <w:rsid w:val="00740CE4"/>
    <w:rsid w:val="00741362"/>
    <w:rsid w:val="00745285"/>
    <w:rsid w:val="0074537B"/>
    <w:rsid w:val="00745952"/>
    <w:rsid w:val="00750D39"/>
    <w:rsid w:val="007543B9"/>
    <w:rsid w:val="00754701"/>
    <w:rsid w:val="00760677"/>
    <w:rsid w:val="00760863"/>
    <w:rsid w:val="007610F3"/>
    <w:rsid w:val="007613B0"/>
    <w:rsid w:val="00761D57"/>
    <w:rsid w:val="00761F42"/>
    <w:rsid w:val="00762340"/>
    <w:rsid w:val="0076269D"/>
    <w:rsid w:val="0076344B"/>
    <w:rsid w:val="007650D8"/>
    <w:rsid w:val="00767935"/>
    <w:rsid w:val="00767D19"/>
    <w:rsid w:val="007701D8"/>
    <w:rsid w:val="00771F41"/>
    <w:rsid w:val="00772276"/>
    <w:rsid w:val="007758F3"/>
    <w:rsid w:val="00776293"/>
    <w:rsid w:val="00777194"/>
    <w:rsid w:val="007775E8"/>
    <w:rsid w:val="0077795D"/>
    <w:rsid w:val="00777976"/>
    <w:rsid w:val="007802CA"/>
    <w:rsid w:val="007802CC"/>
    <w:rsid w:val="007804C0"/>
    <w:rsid w:val="007809B2"/>
    <w:rsid w:val="00780DF4"/>
    <w:rsid w:val="00781E4C"/>
    <w:rsid w:val="00781EA2"/>
    <w:rsid w:val="0078243B"/>
    <w:rsid w:val="007839DA"/>
    <w:rsid w:val="0078565A"/>
    <w:rsid w:val="007862D7"/>
    <w:rsid w:val="00786EBC"/>
    <w:rsid w:val="0079072B"/>
    <w:rsid w:val="00791C83"/>
    <w:rsid w:val="0079356E"/>
    <w:rsid w:val="00795CD2"/>
    <w:rsid w:val="007969B8"/>
    <w:rsid w:val="00797D3B"/>
    <w:rsid w:val="007A08FB"/>
    <w:rsid w:val="007A1870"/>
    <w:rsid w:val="007A4DD2"/>
    <w:rsid w:val="007A6F8A"/>
    <w:rsid w:val="007A751E"/>
    <w:rsid w:val="007B26B0"/>
    <w:rsid w:val="007B2C8E"/>
    <w:rsid w:val="007B4C4C"/>
    <w:rsid w:val="007B4D95"/>
    <w:rsid w:val="007B5330"/>
    <w:rsid w:val="007B6C1A"/>
    <w:rsid w:val="007B6FD1"/>
    <w:rsid w:val="007C055D"/>
    <w:rsid w:val="007C0ABB"/>
    <w:rsid w:val="007C0D35"/>
    <w:rsid w:val="007C1303"/>
    <w:rsid w:val="007C17D5"/>
    <w:rsid w:val="007C217A"/>
    <w:rsid w:val="007C22D5"/>
    <w:rsid w:val="007C27C3"/>
    <w:rsid w:val="007C2C57"/>
    <w:rsid w:val="007C39FC"/>
    <w:rsid w:val="007C403D"/>
    <w:rsid w:val="007D1F56"/>
    <w:rsid w:val="007D48DC"/>
    <w:rsid w:val="007E00BC"/>
    <w:rsid w:val="007E00EE"/>
    <w:rsid w:val="007E1792"/>
    <w:rsid w:val="007E5028"/>
    <w:rsid w:val="007E5393"/>
    <w:rsid w:val="007E55C9"/>
    <w:rsid w:val="007E6F47"/>
    <w:rsid w:val="007E76CB"/>
    <w:rsid w:val="007E790A"/>
    <w:rsid w:val="007F6127"/>
    <w:rsid w:val="007F6307"/>
    <w:rsid w:val="007F6BA0"/>
    <w:rsid w:val="007F7CF2"/>
    <w:rsid w:val="00800827"/>
    <w:rsid w:val="008012D8"/>
    <w:rsid w:val="0080266C"/>
    <w:rsid w:val="0080302D"/>
    <w:rsid w:val="00806641"/>
    <w:rsid w:val="00806AF3"/>
    <w:rsid w:val="00807B32"/>
    <w:rsid w:val="00807DF0"/>
    <w:rsid w:val="00810197"/>
    <w:rsid w:val="00810967"/>
    <w:rsid w:val="0081104B"/>
    <w:rsid w:val="008137F6"/>
    <w:rsid w:val="008151BC"/>
    <w:rsid w:val="0081534B"/>
    <w:rsid w:val="00815393"/>
    <w:rsid w:val="00815A14"/>
    <w:rsid w:val="008164F6"/>
    <w:rsid w:val="00816D06"/>
    <w:rsid w:val="00817262"/>
    <w:rsid w:val="00820916"/>
    <w:rsid w:val="00822883"/>
    <w:rsid w:val="00824368"/>
    <w:rsid w:val="0082497E"/>
    <w:rsid w:val="008249FA"/>
    <w:rsid w:val="00824DF2"/>
    <w:rsid w:val="00825123"/>
    <w:rsid w:val="00825198"/>
    <w:rsid w:val="008261DE"/>
    <w:rsid w:val="00826709"/>
    <w:rsid w:val="008277C6"/>
    <w:rsid w:val="00827BEE"/>
    <w:rsid w:val="00830555"/>
    <w:rsid w:val="008311C8"/>
    <w:rsid w:val="00832104"/>
    <w:rsid w:val="008321D0"/>
    <w:rsid w:val="008327B8"/>
    <w:rsid w:val="00833942"/>
    <w:rsid w:val="008339A9"/>
    <w:rsid w:val="00833C67"/>
    <w:rsid w:val="00834C5B"/>
    <w:rsid w:val="0083717D"/>
    <w:rsid w:val="00840452"/>
    <w:rsid w:val="00840497"/>
    <w:rsid w:val="00842174"/>
    <w:rsid w:val="0084478B"/>
    <w:rsid w:val="008461E9"/>
    <w:rsid w:val="008468B4"/>
    <w:rsid w:val="00846F06"/>
    <w:rsid w:val="00847186"/>
    <w:rsid w:val="008515E9"/>
    <w:rsid w:val="008525DF"/>
    <w:rsid w:val="008541E2"/>
    <w:rsid w:val="008541E9"/>
    <w:rsid w:val="00854CD3"/>
    <w:rsid w:val="00854DB8"/>
    <w:rsid w:val="00854E60"/>
    <w:rsid w:val="00855350"/>
    <w:rsid w:val="00855544"/>
    <w:rsid w:val="00856BA5"/>
    <w:rsid w:val="00856C4F"/>
    <w:rsid w:val="00856DD9"/>
    <w:rsid w:val="00857613"/>
    <w:rsid w:val="0085763E"/>
    <w:rsid w:val="0086086B"/>
    <w:rsid w:val="00860A50"/>
    <w:rsid w:val="0086294E"/>
    <w:rsid w:val="0086557C"/>
    <w:rsid w:val="008662E1"/>
    <w:rsid w:val="008668D0"/>
    <w:rsid w:val="00866AF8"/>
    <w:rsid w:val="008672C2"/>
    <w:rsid w:val="00867CCB"/>
    <w:rsid w:val="008704C4"/>
    <w:rsid w:val="00872383"/>
    <w:rsid w:val="008744AB"/>
    <w:rsid w:val="00874D4E"/>
    <w:rsid w:val="00874F71"/>
    <w:rsid w:val="00875C79"/>
    <w:rsid w:val="00876E32"/>
    <w:rsid w:val="008776F9"/>
    <w:rsid w:val="008802B0"/>
    <w:rsid w:val="00880370"/>
    <w:rsid w:val="00880911"/>
    <w:rsid w:val="008817CB"/>
    <w:rsid w:val="00887AC9"/>
    <w:rsid w:val="00887DD9"/>
    <w:rsid w:val="00893564"/>
    <w:rsid w:val="008938CC"/>
    <w:rsid w:val="00893D75"/>
    <w:rsid w:val="00894EEE"/>
    <w:rsid w:val="008954C0"/>
    <w:rsid w:val="00895EC2"/>
    <w:rsid w:val="00895FE5"/>
    <w:rsid w:val="00896758"/>
    <w:rsid w:val="008969D4"/>
    <w:rsid w:val="0089791D"/>
    <w:rsid w:val="00897E86"/>
    <w:rsid w:val="008A0E6C"/>
    <w:rsid w:val="008A1E86"/>
    <w:rsid w:val="008A310B"/>
    <w:rsid w:val="008A3788"/>
    <w:rsid w:val="008A49C9"/>
    <w:rsid w:val="008A5623"/>
    <w:rsid w:val="008A683A"/>
    <w:rsid w:val="008A6A9B"/>
    <w:rsid w:val="008A725E"/>
    <w:rsid w:val="008A7905"/>
    <w:rsid w:val="008B05AD"/>
    <w:rsid w:val="008B0B2E"/>
    <w:rsid w:val="008B191A"/>
    <w:rsid w:val="008B1A19"/>
    <w:rsid w:val="008B2345"/>
    <w:rsid w:val="008B4268"/>
    <w:rsid w:val="008B5927"/>
    <w:rsid w:val="008B5AFA"/>
    <w:rsid w:val="008C003F"/>
    <w:rsid w:val="008C0A7C"/>
    <w:rsid w:val="008C0F4A"/>
    <w:rsid w:val="008C31F5"/>
    <w:rsid w:val="008D0914"/>
    <w:rsid w:val="008D15EA"/>
    <w:rsid w:val="008D31D0"/>
    <w:rsid w:val="008D43CA"/>
    <w:rsid w:val="008D5362"/>
    <w:rsid w:val="008D69B4"/>
    <w:rsid w:val="008D6FC4"/>
    <w:rsid w:val="008D7B65"/>
    <w:rsid w:val="008E0B97"/>
    <w:rsid w:val="008E19D0"/>
    <w:rsid w:val="008E1A7D"/>
    <w:rsid w:val="008E20AA"/>
    <w:rsid w:val="008E33E4"/>
    <w:rsid w:val="008E4202"/>
    <w:rsid w:val="008E6295"/>
    <w:rsid w:val="008E6973"/>
    <w:rsid w:val="008E6CA1"/>
    <w:rsid w:val="008E6ED6"/>
    <w:rsid w:val="008F0476"/>
    <w:rsid w:val="008F129E"/>
    <w:rsid w:val="008F1420"/>
    <w:rsid w:val="008F181B"/>
    <w:rsid w:val="008F2259"/>
    <w:rsid w:val="008F332C"/>
    <w:rsid w:val="008F4ACA"/>
    <w:rsid w:val="008F5A95"/>
    <w:rsid w:val="00900572"/>
    <w:rsid w:val="009007F4"/>
    <w:rsid w:val="00900CE1"/>
    <w:rsid w:val="00904A2C"/>
    <w:rsid w:val="00905B02"/>
    <w:rsid w:val="00910127"/>
    <w:rsid w:val="009101F7"/>
    <w:rsid w:val="00910F2F"/>
    <w:rsid w:val="00911085"/>
    <w:rsid w:val="00911CF1"/>
    <w:rsid w:val="00911EDE"/>
    <w:rsid w:val="0091319F"/>
    <w:rsid w:val="00915073"/>
    <w:rsid w:val="00917B93"/>
    <w:rsid w:val="00920622"/>
    <w:rsid w:val="00921391"/>
    <w:rsid w:val="00921CA3"/>
    <w:rsid w:val="0092297B"/>
    <w:rsid w:val="00922B6A"/>
    <w:rsid w:val="00922B93"/>
    <w:rsid w:val="00923EB6"/>
    <w:rsid w:val="00924833"/>
    <w:rsid w:val="00925A17"/>
    <w:rsid w:val="00925D76"/>
    <w:rsid w:val="00926A8C"/>
    <w:rsid w:val="00926DC9"/>
    <w:rsid w:val="009300D4"/>
    <w:rsid w:val="0093032C"/>
    <w:rsid w:val="00930AD0"/>
    <w:rsid w:val="0093196A"/>
    <w:rsid w:val="00932C84"/>
    <w:rsid w:val="00933567"/>
    <w:rsid w:val="00933FD0"/>
    <w:rsid w:val="00934063"/>
    <w:rsid w:val="00935B2C"/>
    <w:rsid w:val="00935D5C"/>
    <w:rsid w:val="009362B5"/>
    <w:rsid w:val="009411D2"/>
    <w:rsid w:val="00941C11"/>
    <w:rsid w:val="00942942"/>
    <w:rsid w:val="00945A2F"/>
    <w:rsid w:val="009463F8"/>
    <w:rsid w:val="00947572"/>
    <w:rsid w:val="00950CC2"/>
    <w:rsid w:val="00951C71"/>
    <w:rsid w:val="00951C84"/>
    <w:rsid w:val="00954A28"/>
    <w:rsid w:val="009550D4"/>
    <w:rsid w:val="0095533A"/>
    <w:rsid w:val="009557A4"/>
    <w:rsid w:val="00957688"/>
    <w:rsid w:val="0096048A"/>
    <w:rsid w:val="00960CA8"/>
    <w:rsid w:val="00960E19"/>
    <w:rsid w:val="009615AD"/>
    <w:rsid w:val="0096323C"/>
    <w:rsid w:val="00964197"/>
    <w:rsid w:val="00967F07"/>
    <w:rsid w:val="0097033E"/>
    <w:rsid w:val="00970667"/>
    <w:rsid w:val="00971C08"/>
    <w:rsid w:val="009723BC"/>
    <w:rsid w:val="009730C0"/>
    <w:rsid w:val="00974822"/>
    <w:rsid w:val="009775E8"/>
    <w:rsid w:val="00980169"/>
    <w:rsid w:val="00980372"/>
    <w:rsid w:val="00980F9B"/>
    <w:rsid w:val="00981B3F"/>
    <w:rsid w:val="00981B40"/>
    <w:rsid w:val="00981DB5"/>
    <w:rsid w:val="009828DA"/>
    <w:rsid w:val="0098294F"/>
    <w:rsid w:val="00982A9C"/>
    <w:rsid w:val="00984FAA"/>
    <w:rsid w:val="0098556A"/>
    <w:rsid w:val="00985EFD"/>
    <w:rsid w:val="0098631A"/>
    <w:rsid w:val="00990212"/>
    <w:rsid w:val="009907E4"/>
    <w:rsid w:val="009914DA"/>
    <w:rsid w:val="00992608"/>
    <w:rsid w:val="00992652"/>
    <w:rsid w:val="009927D3"/>
    <w:rsid w:val="00993EB3"/>
    <w:rsid w:val="00994E5D"/>
    <w:rsid w:val="00995914"/>
    <w:rsid w:val="00995A2A"/>
    <w:rsid w:val="0099624E"/>
    <w:rsid w:val="00996ACA"/>
    <w:rsid w:val="0099737A"/>
    <w:rsid w:val="009A502A"/>
    <w:rsid w:val="009A559D"/>
    <w:rsid w:val="009A71E4"/>
    <w:rsid w:val="009A72A2"/>
    <w:rsid w:val="009B0CEE"/>
    <w:rsid w:val="009B19BD"/>
    <w:rsid w:val="009B1AED"/>
    <w:rsid w:val="009B368B"/>
    <w:rsid w:val="009B3692"/>
    <w:rsid w:val="009B5439"/>
    <w:rsid w:val="009B5639"/>
    <w:rsid w:val="009B5D0F"/>
    <w:rsid w:val="009B77A6"/>
    <w:rsid w:val="009C2044"/>
    <w:rsid w:val="009C2288"/>
    <w:rsid w:val="009C2B02"/>
    <w:rsid w:val="009C2C41"/>
    <w:rsid w:val="009C33CC"/>
    <w:rsid w:val="009C4DCE"/>
    <w:rsid w:val="009C56B5"/>
    <w:rsid w:val="009C60D9"/>
    <w:rsid w:val="009D0B30"/>
    <w:rsid w:val="009D209C"/>
    <w:rsid w:val="009D2D34"/>
    <w:rsid w:val="009D30D9"/>
    <w:rsid w:val="009D34D4"/>
    <w:rsid w:val="009D3C6E"/>
    <w:rsid w:val="009D3E74"/>
    <w:rsid w:val="009E0340"/>
    <w:rsid w:val="009E068B"/>
    <w:rsid w:val="009E0E23"/>
    <w:rsid w:val="009E2340"/>
    <w:rsid w:val="009E2B98"/>
    <w:rsid w:val="009E3F96"/>
    <w:rsid w:val="009E43A1"/>
    <w:rsid w:val="009E5704"/>
    <w:rsid w:val="009E594A"/>
    <w:rsid w:val="009E650A"/>
    <w:rsid w:val="009E6B1E"/>
    <w:rsid w:val="009E71E6"/>
    <w:rsid w:val="009E7FD8"/>
    <w:rsid w:val="009F0383"/>
    <w:rsid w:val="009F0C89"/>
    <w:rsid w:val="009F3B2E"/>
    <w:rsid w:val="009F4A7B"/>
    <w:rsid w:val="009F6E66"/>
    <w:rsid w:val="00A02FB1"/>
    <w:rsid w:val="00A03C4D"/>
    <w:rsid w:val="00A040AA"/>
    <w:rsid w:val="00A058F5"/>
    <w:rsid w:val="00A10FA4"/>
    <w:rsid w:val="00A112F5"/>
    <w:rsid w:val="00A11353"/>
    <w:rsid w:val="00A15D2C"/>
    <w:rsid w:val="00A173A9"/>
    <w:rsid w:val="00A17742"/>
    <w:rsid w:val="00A17B7E"/>
    <w:rsid w:val="00A17D9D"/>
    <w:rsid w:val="00A21852"/>
    <w:rsid w:val="00A21FBA"/>
    <w:rsid w:val="00A22652"/>
    <w:rsid w:val="00A22DF2"/>
    <w:rsid w:val="00A22EA0"/>
    <w:rsid w:val="00A23288"/>
    <w:rsid w:val="00A24EAD"/>
    <w:rsid w:val="00A271A0"/>
    <w:rsid w:val="00A30BC2"/>
    <w:rsid w:val="00A328A7"/>
    <w:rsid w:val="00A32D4A"/>
    <w:rsid w:val="00A330F1"/>
    <w:rsid w:val="00A331B6"/>
    <w:rsid w:val="00A33922"/>
    <w:rsid w:val="00A3415D"/>
    <w:rsid w:val="00A4187D"/>
    <w:rsid w:val="00A41C80"/>
    <w:rsid w:val="00A41D71"/>
    <w:rsid w:val="00A42063"/>
    <w:rsid w:val="00A432DF"/>
    <w:rsid w:val="00A44696"/>
    <w:rsid w:val="00A4590A"/>
    <w:rsid w:val="00A462E6"/>
    <w:rsid w:val="00A4652E"/>
    <w:rsid w:val="00A4672D"/>
    <w:rsid w:val="00A47446"/>
    <w:rsid w:val="00A5058C"/>
    <w:rsid w:val="00A5550B"/>
    <w:rsid w:val="00A56265"/>
    <w:rsid w:val="00A57DC0"/>
    <w:rsid w:val="00A601EE"/>
    <w:rsid w:val="00A620FA"/>
    <w:rsid w:val="00A64B74"/>
    <w:rsid w:val="00A64E36"/>
    <w:rsid w:val="00A65918"/>
    <w:rsid w:val="00A709F1"/>
    <w:rsid w:val="00A70D2E"/>
    <w:rsid w:val="00A719B9"/>
    <w:rsid w:val="00A719FE"/>
    <w:rsid w:val="00A72639"/>
    <w:rsid w:val="00A73913"/>
    <w:rsid w:val="00A75977"/>
    <w:rsid w:val="00A770A9"/>
    <w:rsid w:val="00A77B5F"/>
    <w:rsid w:val="00A81962"/>
    <w:rsid w:val="00A819C3"/>
    <w:rsid w:val="00A81CE6"/>
    <w:rsid w:val="00A82090"/>
    <w:rsid w:val="00A8300B"/>
    <w:rsid w:val="00A833BE"/>
    <w:rsid w:val="00A84367"/>
    <w:rsid w:val="00A85881"/>
    <w:rsid w:val="00A8595F"/>
    <w:rsid w:val="00A90033"/>
    <w:rsid w:val="00A90BCF"/>
    <w:rsid w:val="00A94A1C"/>
    <w:rsid w:val="00A95E21"/>
    <w:rsid w:val="00A9626F"/>
    <w:rsid w:val="00A96376"/>
    <w:rsid w:val="00A96D42"/>
    <w:rsid w:val="00A977C8"/>
    <w:rsid w:val="00A97893"/>
    <w:rsid w:val="00AA031D"/>
    <w:rsid w:val="00AA0BFB"/>
    <w:rsid w:val="00AA112B"/>
    <w:rsid w:val="00AA240C"/>
    <w:rsid w:val="00AA3B17"/>
    <w:rsid w:val="00AA676C"/>
    <w:rsid w:val="00AA712B"/>
    <w:rsid w:val="00AB0EBF"/>
    <w:rsid w:val="00AB1AB1"/>
    <w:rsid w:val="00AB1BC7"/>
    <w:rsid w:val="00AB1DC3"/>
    <w:rsid w:val="00AB49C5"/>
    <w:rsid w:val="00AB4A02"/>
    <w:rsid w:val="00AB70E9"/>
    <w:rsid w:val="00AC069F"/>
    <w:rsid w:val="00AC0C22"/>
    <w:rsid w:val="00AC152B"/>
    <w:rsid w:val="00AC1880"/>
    <w:rsid w:val="00AC1ADB"/>
    <w:rsid w:val="00AC4016"/>
    <w:rsid w:val="00AC59E7"/>
    <w:rsid w:val="00AC5B87"/>
    <w:rsid w:val="00AC677B"/>
    <w:rsid w:val="00AC6F48"/>
    <w:rsid w:val="00AC71C8"/>
    <w:rsid w:val="00AC75D8"/>
    <w:rsid w:val="00AD0D10"/>
    <w:rsid w:val="00AD1791"/>
    <w:rsid w:val="00AD1D8B"/>
    <w:rsid w:val="00AD26CA"/>
    <w:rsid w:val="00AD2C8B"/>
    <w:rsid w:val="00AD338C"/>
    <w:rsid w:val="00AD4126"/>
    <w:rsid w:val="00AD574A"/>
    <w:rsid w:val="00AD71B5"/>
    <w:rsid w:val="00AE004F"/>
    <w:rsid w:val="00AE01B2"/>
    <w:rsid w:val="00AE0340"/>
    <w:rsid w:val="00AE11DA"/>
    <w:rsid w:val="00AE1F8E"/>
    <w:rsid w:val="00AE557D"/>
    <w:rsid w:val="00AE5E1D"/>
    <w:rsid w:val="00AE5F66"/>
    <w:rsid w:val="00AE654A"/>
    <w:rsid w:val="00AE6C68"/>
    <w:rsid w:val="00AF0290"/>
    <w:rsid w:val="00AF0B73"/>
    <w:rsid w:val="00AF0FBD"/>
    <w:rsid w:val="00AF2308"/>
    <w:rsid w:val="00AF4A50"/>
    <w:rsid w:val="00AF4D6F"/>
    <w:rsid w:val="00AF5351"/>
    <w:rsid w:val="00B02F4C"/>
    <w:rsid w:val="00B0453D"/>
    <w:rsid w:val="00B052A5"/>
    <w:rsid w:val="00B05487"/>
    <w:rsid w:val="00B05564"/>
    <w:rsid w:val="00B05727"/>
    <w:rsid w:val="00B05DF5"/>
    <w:rsid w:val="00B06B63"/>
    <w:rsid w:val="00B07951"/>
    <w:rsid w:val="00B10227"/>
    <w:rsid w:val="00B10A1E"/>
    <w:rsid w:val="00B10E5F"/>
    <w:rsid w:val="00B129CB"/>
    <w:rsid w:val="00B12C3C"/>
    <w:rsid w:val="00B13AD3"/>
    <w:rsid w:val="00B13EE4"/>
    <w:rsid w:val="00B14D32"/>
    <w:rsid w:val="00B15041"/>
    <w:rsid w:val="00B150AD"/>
    <w:rsid w:val="00B15A5D"/>
    <w:rsid w:val="00B15F8A"/>
    <w:rsid w:val="00B16C88"/>
    <w:rsid w:val="00B16F24"/>
    <w:rsid w:val="00B170AA"/>
    <w:rsid w:val="00B17763"/>
    <w:rsid w:val="00B20138"/>
    <w:rsid w:val="00B21678"/>
    <w:rsid w:val="00B21734"/>
    <w:rsid w:val="00B2198D"/>
    <w:rsid w:val="00B22054"/>
    <w:rsid w:val="00B22AA6"/>
    <w:rsid w:val="00B24610"/>
    <w:rsid w:val="00B255B2"/>
    <w:rsid w:val="00B30D6D"/>
    <w:rsid w:val="00B318F3"/>
    <w:rsid w:val="00B319FB"/>
    <w:rsid w:val="00B32842"/>
    <w:rsid w:val="00B3336B"/>
    <w:rsid w:val="00B3373A"/>
    <w:rsid w:val="00B33B77"/>
    <w:rsid w:val="00B348AE"/>
    <w:rsid w:val="00B34EC2"/>
    <w:rsid w:val="00B355B9"/>
    <w:rsid w:val="00B363B7"/>
    <w:rsid w:val="00B37354"/>
    <w:rsid w:val="00B41D1B"/>
    <w:rsid w:val="00B4227C"/>
    <w:rsid w:val="00B42819"/>
    <w:rsid w:val="00B44712"/>
    <w:rsid w:val="00B449A1"/>
    <w:rsid w:val="00B44BF9"/>
    <w:rsid w:val="00B44E22"/>
    <w:rsid w:val="00B4675E"/>
    <w:rsid w:val="00B46A63"/>
    <w:rsid w:val="00B479F8"/>
    <w:rsid w:val="00B532DD"/>
    <w:rsid w:val="00B5345E"/>
    <w:rsid w:val="00B53D5F"/>
    <w:rsid w:val="00B54388"/>
    <w:rsid w:val="00B547AC"/>
    <w:rsid w:val="00B55123"/>
    <w:rsid w:val="00B55D3C"/>
    <w:rsid w:val="00B56247"/>
    <w:rsid w:val="00B57C52"/>
    <w:rsid w:val="00B604C1"/>
    <w:rsid w:val="00B613B3"/>
    <w:rsid w:val="00B61C69"/>
    <w:rsid w:val="00B63C18"/>
    <w:rsid w:val="00B63F99"/>
    <w:rsid w:val="00B66AA7"/>
    <w:rsid w:val="00B71154"/>
    <w:rsid w:val="00B7207F"/>
    <w:rsid w:val="00B730C0"/>
    <w:rsid w:val="00B75AE1"/>
    <w:rsid w:val="00B81866"/>
    <w:rsid w:val="00B8345E"/>
    <w:rsid w:val="00B83F9D"/>
    <w:rsid w:val="00B84595"/>
    <w:rsid w:val="00B846F6"/>
    <w:rsid w:val="00B872F3"/>
    <w:rsid w:val="00B87393"/>
    <w:rsid w:val="00B91F4E"/>
    <w:rsid w:val="00B92B5C"/>
    <w:rsid w:val="00B92CF1"/>
    <w:rsid w:val="00B92CFD"/>
    <w:rsid w:val="00B93659"/>
    <w:rsid w:val="00B93884"/>
    <w:rsid w:val="00B94CBE"/>
    <w:rsid w:val="00B978E2"/>
    <w:rsid w:val="00B979A8"/>
    <w:rsid w:val="00BA0947"/>
    <w:rsid w:val="00BA0BFD"/>
    <w:rsid w:val="00BA14AC"/>
    <w:rsid w:val="00BA349B"/>
    <w:rsid w:val="00BA47D5"/>
    <w:rsid w:val="00BA656E"/>
    <w:rsid w:val="00BA65A4"/>
    <w:rsid w:val="00BA6C32"/>
    <w:rsid w:val="00BA7A17"/>
    <w:rsid w:val="00BB07BC"/>
    <w:rsid w:val="00BB17C2"/>
    <w:rsid w:val="00BB2A3E"/>
    <w:rsid w:val="00BB323F"/>
    <w:rsid w:val="00BB3CAA"/>
    <w:rsid w:val="00BB5015"/>
    <w:rsid w:val="00BB511E"/>
    <w:rsid w:val="00BB568C"/>
    <w:rsid w:val="00BB5D59"/>
    <w:rsid w:val="00BB7355"/>
    <w:rsid w:val="00BC04BB"/>
    <w:rsid w:val="00BC1DCD"/>
    <w:rsid w:val="00BC39A5"/>
    <w:rsid w:val="00BC4195"/>
    <w:rsid w:val="00BC5D31"/>
    <w:rsid w:val="00BD1314"/>
    <w:rsid w:val="00BD22F3"/>
    <w:rsid w:val="00BD799B"/>
    <w:rsid w:val="00BE060C"/>
    <w:rsid w:val="00BE0F22"/>
    <w:rsid w:val="00BE2209"/>
    <w:rsid w:val="00BE27A3"/>
    <w:rsid w:val="00BE4626"/>
    <w:rsid w:val="00BE5E41"/>
    <w:rsid w:val="00BF0019"/>
    <w:rsid w:val="00BF0BC4"/>
    <w:rsid w:val="00BF23AD"/>
    <w:rsid w:val="00BF32DB"/>
    <w:rsid w:val="00BF4DF5"/>
    <w:rsid w:val="00BF6D68"/>
    <w:rsid w:val="00BF7BDE"/>
    <w:rsid w:val="00C00B8C"/>
    <w:rsid w:val="00C0126D"/>
    <w:rsid w:val="00C019BB"/>
    <w:rsid w:val="00C0215A"/>
    <w:rsid w:val="00C02FB0"/>
    <w:rsid w:val="00C03319"/>
    <w:rsid w:val="00C04161"/>
    <w:rsid w:val="00C05B6E"/>
    <w:rsid w:val="00C05CF3"/>
    <w:rsid w:val="00C061AF"/>
    <w:rsid w:val="00C11FAA"/>
    <w:rsid w:val="00C128CF"/>
    <w:rsid w:val="00C15402"/>
    <w:rsid w:val="00C1691C"/>
    <w:rsid w:val="00C16C14"/>
    <w:rsid w:val="00C16FCF"/>
    <w:rsid w:val="00C17680"/>
    <w:rsid w:val="00C17E97"/>
    <w:rsid w:val="00C20502"/>
    <w:rsid w:val="00C20CE8"/>
    <w:rsid w:val="00C21425"/>
    <w:rsid w:val="00C21D09"/>
    <w:rsid w:val="00C249A5"/>
    <w:rsid w:val="00C250C3"/>
    <w:rsid w:val="00C250CA"/>
    <w:rsid w:val="00C25ED9"/>
    <w:rsid w:val="00C26648"/>
    <w:rsid w:val="00C270BA"/>
    <w:rsid w:val="00C270DA"/>
    <w:rsid w:val="00C3085C"/>
    <w:rsid w:val="00C31552"/>
    <w:rsid w:val="00C32271"/>
    <w:rsid w:val="00C32920"/>
    <w:rsid w:val="00C3329D"/>
    <w:rsid w:val="00C34D27"/>
    <w:rsid w:val="00C35B44"/>
    <w:rsid w:val="00C362C8"/>
    <w:rsid w:val="00C3635E"/>
    <w:rsid w:val="00C3653D"/>
    <w:rsid w:val="00C37085"/>
    <w:rsid w:val="00C41DAC"/>
    <w:rsid w:val="00C44995"/>
    <w:rsid w:val="00C44A06"/>
    <w:rsid w:val="00C44F12"/>
    <w:rsid w:val="00C45E65"/>
    <w:rsid w:val="00C469C8"/>
    <w:rsid w:val="00C46A75"/>
    <w:rsid w:val="00C46D30"/>
    <w:rsid w:val="00C477D9"/>
    <w:rsid w:val="00C52128"/>
    <w:rsid w:val="00C53059"/>
    <w:rsid w:val="00C5355C"/>
    <w:rsid w:val="00C53AC6"/>
    <w:rsid w:val="00C54B79"/>
    <w:rsid w:val="00C55C8A"/>
    <w:rsid w:val="00C5612E"/>
    <w:rsid w:val="00C56BD2"/>
    <w:rsid w:val="00C5723F"/>
    <w:rsid w:val="00C57F56"/>
    <w:rsid w:val="00C60AB0"/>
    <w:rsid w:val="00C60B46"/>
    <w:rsid w:val="00C610C0"/>
    <w:rsid w:val="00C62284"/>
    <w:rsid w:val="00C62DF4"/>
    <w:rsid w:val="00C633A5"/>
    <w:rsid w:val="00C65122"/>
    <w:rsid w:val="00C66384"/>
    <w:rsid w:val="00C66EDA"/>
    <w:rsid w:val="00C71B9E"/>
    <w:rsid w:val="00C726AF"/>
    <w:rsid w:val="00C72A1E"/>
    <w:rsid w:val="00C737ED"/>
    <w:rsid w:val="00C75ABE"/>
    <w:rsid w:val="00C76CA0"/>
    <w:rsid w:val="00C80C71"/>
    <w:rsid w:val="00C83023"/>
    <w:rsid w:val="00C837E8"/>
    <w:rsid w:val="00C8460A"/>
    <w:rsid w:val="00C84610"/>
    <w:rsid w:val="00C86464"/>
    <w:rsid w:val="00C8739B"/>
    <w:rsid w:val="00C873E0"/>
    <w:rsid w:val="00C87DD5"/>
    <w:rsid w:val="00C91A22"/>
    <w:rsid w:val="00C929D2"/>
    <w:rsid w:val="00C936D7"/>
    <w:rsid w:val="00C95272"/>
    <w:rsid w:val="00C96329"/>
    <w:rsid w:val="00C96D25"/>
    <w:rsid w:val="00C97FED"/>
    <w:rsid w:val="00CA08A1"/>
    <w:rsid w:val="00CA0BB3"/>
    <w:rsid w:val="00CA0EFE"/>
    <w:rsid w:val="00CA119A"/>
    <w:rsid w:val="00CA18FD"/>
    <w:rsid w:val="00CA4CBC"/>
    <w:rsid w:val="00CA5D11"/>
    <w:rsid w:val="00CB0D3A"/>
    <w:rsid w:val="00CB1FFA"/>
    <w:rsid w:val="00CB30B4"/>
    <w:rsid w:val="00CB3D0A"/>
    <w:rsid w:val="00CB3FDE"/>
    <w:rsid w:val="00CB42C5"/>
    <w:rsid w:val="00CB50D8"/>
    <w:rsid w:val="00CB5182"/>
    <w:rsid w:val="00CB52C1"/>
    <w:rsid w:val="00CB589F"/>
    <w:rsid w:val="00CB6E07"/>
    <w:rsid w:val="00CC0521"/>
    <w:rsid w:val="00CC34A5"/>
    <w:rsid w:val="00CC4340"/>
    <w:rsid w:val="00CC43E2"/>
    <w:rsid w:val="00CC5BF7"/>
    <w:rsid w:val="00CD1B61"/>
    <w:rsid w:val="00CD1D9B"/>
    <w:rsid w:val="00CD267B"/>
    <w:rsid w:val="00CD3C5F"/>
    <w:rsid w:val="00CD421F"/>
    <w:rsid w:val="00CD5658"/>
    <w:rsid w:val="00CD6C6B"/>
    <w:rsid w:val="00CD71C2"/>
    <w:rsid w:val="00CD77F5"/>
    <w:rsid w:val="00CD7C9C"/>
    <w:rsid w:val="00CE032F"/>
    <w:rsid w:val="00CE03C4"/>
    <w:rsid w:val="00CE189B"/>
    <w:rsid w:val="00CE24DD"/>
    <w:rsid w:val="00CE43D0"/>
    <w:rsid w:val="00CE5B5C"/>
    <w:rsid w:val="00CE6321"/>
    <w:rsid w:val="00CE6796"/>
    <w:rsid w:val="00CE7320"/>
    <w:rsid w:val="00CE7483"/>
    <w:rsid w:val="00CF04A5"/>
    <w:rsid w:val="00CF06EC"/>
    <w:rsid w:val="00CF081D"/>
    <w:rsid w:val="00CF0A5E"/>
    <w:rsid w:val="00CF27E0"/>
    <w:rsid w:val="00CF29F7"/>
    <w:rsid w:val="00CF356F"/>
    <w:rsid w:val="00CF4ED8"/>
    <w:rsid w:val="00CF58B2"/>
    <w:rsid w:val="00CF600A"/>
    <w:rsid w:val="00CF63F9"/>
    <w:rsid w:val="00D000C0"/>
    <w:rsid w:val="00D0016F"/>
    <w:rsid w:val="00D004C2"/>
    <w:rsid w:val="00D011E3"/>
    <w:rsid w:val="00D036EE"/>
    <w:rsid w:val="00D042D8"/>
    <w:rsid w:val="00D05F90"/>
    <w:rsid w:val="00D076E7"/>
    <w:rsid w:val="00D07AFB"/>
    <w:rsid w:val="00D13E99"/>
    <w:rsid w:val="00D15F5E"/>
    <w:rsid w:val="00D163FE"/>
    <w:rsid w:val="00D16E0C"/>
    <w:rsid w:val="00D17B3B"/>
    <w:rsid w:val="00D20A23"/>
    <w:rsid w:val="00D20C47"/>
    <w:rsid w:val="00D213EF"/>
    <w:rsid w:val="00D22CD9"/>
    <w:rsid w:val="00D233CF"/>
    <w:rsid w:val="00D24534"/>
    <w:rsid w:val="00D24913"/>
    <w:rsid w:val="00D24BEA"/>
    <w:rsid w:val="00D24FD9"/>
    <w:rsid w:val="00D25754"/>
    <w:rsid w:val="00D26B26"/>
    <w:rsid w:val="00D26C5C"/>
    <w:rsid w:val="00D271C0"/>
    <w:rsid w:val="00D27E20"/>
    <w:rsid w:val="00D31944"/>
    <w:rsid w:val="00D31B20"/>
    <w:rsid w:val="00D31CA9"/>
    <w:rsid w:val="00D3257E"/>
    <w:rsid w:val="00D33162"/>
    <w:rsid w:val="00D34598"/>
    <w:rsid w:val="00D345AE"/>
    <w:rsid w:val="00D347E8"/>
    <w:rsid w:val="00D35665"/>
    <w:rsid w:val="00D3597A"/>
    <w:rsid w:val="00D36E76"/>
    <w:rsid w:val="00D400E7"/>
    <w:rsid w:val="00D411CC"/>
    <w:rsid w:val="00D41353"/>
    <w:rsid w:val="00D414E2"/>
    <w:rsid w:val="00D463B7"/>
    <w:rsid w:val="00D479C3"/>
    <w:rsid w:val="00D5064C"/>
    <w:rsid w:val="00D50676"/>
    <w:rsid w:val="00D50832"/>
    <w:rsid w:val="00D50B10"/>
    <w:rsid w:val="00D5127F"/>
    <w:rsid w:val="00D519D0"/>
    <w:rsid w:val="00D52AA9"/>
    <w:rsid w:val="00D53A14"/>
    <w:rsid w:val="00D54244"/>
    <w:rsid w:val="00D54FF2"/>
    <w:rsid w:val="00D55EEC"/>
    <w:rsid w:val="00D568F8"/>
    <w:rsid w:val="00D577CE"/>
    <w:rsid w:val="00D57836"/>
    <w:rsid w:val="00D61374"/>
    <w:rsid w:val="00D61A3B"/>
    <w:rsid w:val="00D6283C"/>
    <w:rsid w:val="00D62B6B"/>
    <w:rsid w:val="00D62FEC"/>
    <w:rsid w:val="00D64027"/>
    <w:rsid w:val="00D644C7"/>
    <w:rsid w:val="00D66BE7"/>
    <w:rsid w:val="00D6704A"/>
    <w:rsid w:val="00D67927"/>
    <w:rsid w:val="00D7147F"/>
    <w:rsid w:val="00D72A77"/>
    <w:rsid w:val="00D763B2"/>
    <w:rsid w:val="00D765B1"/>
    <w:rsid w:val="00D76B61"/>
    <w:rsid w:val="00D76FF0"/>
    <w:rsid w:val="00D77E26"/>
    <w:rsid w:val="00D80292"/>
    <w:rsid w:val="00D807C0"/>
    <w:rsid w:val="00D81485"/>
    <w:rsid w:val="00D8163A"/>
    <w:rsid w:val="00D81A41"/>
    <w:rsid w:val="00D829DD"/>
    <w:rsid w:val="00D83349"/>
    <w:rsid w:val="00D839D6"/>
    <w:rsid w:val="00D840CA"/>
    <w:rsid w:val="00D846CD"/>
    <w:rsid w:val="00D8487D"/>
    <w:rsid w:val="00D854D2"/>
    <w:rsid w:val="00D855C9"/>
    <w:rsid w:val="00D863EA"/>
    <w:rsid w:val="00D86C30"/>
    <w:rsid w:val="00D86D92"/>
    <w:rsid w:val="00D90BEA"/>
    <w:rsid w:val="00D92866"/>
    <w:rsid w:val="00D92CE9"/>
    <w:rsid w:val="00D956F3"/>
    <w:rsid w:val="00D95905"/>
    <w:rsid w:val="00D9683D"/>
    <w:rsid w:val="00DA0B8B"/>
    <w:rsid w:val="00DA11A7"/>
    <w:rsid w:val="00DA3697"/>
    <w:rsid w:val="00DA3720"/>
    <w:rsid w:val="00DA412B"/>
    <w:rsid w:val="00DA43B9"/>
    <w:rsid w:val="00DA4800"/>
    <w:rsid w:val="00DA6F16"/>
    <w:rsid w:val="00DA71DD"/>
    <w:rsid w:val="00DA7AA0"/>
    <w:rsid w:val="00DB024F"/>
    <w:rsid w:val="00DB2864"/>
    <w:rsid w:val="00DB3560"/>
    <w:rsid w:val="00DB3C7B"/>
    <w:rsid w:val="00DB71C8"/>
    <w:rsid w:val="00DB7AC1"/>
    <w:rsid w:val="00DC0048"/>
    <w:rsid w:val="00DC1A98"/>
    <w:rsid w:val="00DC2557"/>
    <w:rsid w:val="00DC276D"/>
    <w:rsid w:val="00DC5018"/>
    <w:rsid w:val="00DC503C"/>
    <w:rsid w:val="00DC786C"/>
    <w:rsid w:val="00DD0D35"/>
    <w:rsid w:val="00DD3C3E"/>
    <w:rsid w:val="00DD4FEA"/>
    <w:rsid w:val="00DD5C9F"/>
    <w:rsid w:val="00DD6233"/>
    <w:rsid w:val="00DD6902"/>
    <w:rsid w:val="00DD6AC4"/>
    <w:rsid w:val="00DD6ED2"/>
    <w:rsid w:val="00DE0921"/>
    <w:rsid w:val="00DE0B2C"/>
    <w:rsid w:val="00DE2841"/>
    <w:rsid w:val="00DE2A4A"/>
    <w:rsid w:val="00DE2DEF"/>
    <w:rsid w:val="00DE2E10"/>
    <w:rsid w:val="00DE344E"/>
    <w:rsid w:val="00DE38B3"/>
    <w:rsid w:val="00DE3F3A"/>
    <w:rsid w:val="00DE40CC"/>
    <w:rsid w:val="00DE52AF"/>
    <w:rsid w:val="00DE535D"/>
    <w:rsid w:val="00DE6074"/>
    <w:rsid w:val="00DE6E60"/>
    <w:rsid w:val="00DE77F7"/>
    <w:rsid w:val="00DE781A"/>
    <w:rsid w:val="00DE799E"/>
    <w:rsid w:val="00DF0AC4"/>
    <w:rsid w:val="00DF0E4B"/>
    <w:rsid w:val="00DF1B57"/>
    <w:rsid w:val="00DF5068"/>
    <w:rsid w:val="00DF51B3"/>
    <w:rsid w:val="00DF6035"/>
    <w:rsid w:val="00DF6B09"/>
    <w:rsid w:val="00E01122"/>
    <w:rsid w:val="00E02BC7"/>
    <w:rsid w:val="00E03EC7"/>
    <w:rsid w:val="00E06101"/>
    <w:rsid w:val="00E06B66"/>
    <w:rsid w:val="00E06E22"/>
    <w:rsid w:val="00E0705C"/>
    <w:rsid w:val="00E077CB"/>
    <w:rsid w:val="00E077E3"/>
    <w:rsid w:val="00E116BA"/>
    <w:rsid w:val="00E12A1A"/>
    <w:rsid w:val="00E150EF"/>
    <w:rsid w:val="00E15A89"/>
    <w:rsid w:val="00E176D1"/>
    <w:rsid w:val="00E22672"/>
    <w:rsid w:val="00E24B4C"/>
    <w:rsid w:val="00E24BD5"/>
    <w:rsid w:val="00E2531E"/>
    <w:rsid w:val="00E2545C"/>
    <w:rsid w:val="00E257AC"/>
    <w:rsid w:val="00E27C5C"/>
    <w:rsid w:val="00E27DF5"/>
    <w:rsid w:val="00E317D5"/>
    <w:rsid w:val="00E35758"/>
    <w:rsid w:val="00E35BD8"/>
    <w:rsid w:val="00E36086"/>
    <w:rsid w:val="00E364B0"/>
    <w:rsid w:val="00E36B01"/>
    <w:rsid w:val="00E37716"/>
    <w:rsid w:val="00E37946"/>
    <w:rsid w:val="00E37C0D"/>
    <w:rsid w:val="00E41D67"/>
    <w:rsid w:val="00E41E75"/>
    <w:rsid w:val="00E423FE"/>
    <w:rsid w:val="00E4257E"/>
    <w:rsid w:val="00E43BB7"/>
    <w:rsid w:val="00E44DE9"/>
    <w:rsid w:val="00E45C02"/>
    <w:rsid w:val="00E46693"/>
    <w:rsid w:val="00E476DB"/>
    <w:rsid w:val="00E50294"/>
    <w:rsid w:val="00E50F07"/>
    <w:rsid w:val="00E51C8A"/>
    <w:rsid w:val="00E525E5"/>
    <w:rsid w:val="00E52B45"/>
    <w:rsid w:val="00E52E0A"/>
    <w:rsid w:val="00E53397"/>
    <w:rsid w:val="00E53F1F"/>
    <w:rsid w:val="00E5440B"/>
    <w:rsid w:val="00E56125"/>
    <w:rsid w:val="00E571E3"/>
    <w:rsid w:val="00E5794E"/>
    <w:rsid w:val="00E605BE"/>
    <w:rsid w:val="00E60E01"/>
    <w:rsid w:val="00E62022"/>
    <w:rsid w:val="00E63787"/>
    <w:rsid w:val="00E63E9F"/>
    <w:rsid w:val="00E6480D"/>
    <w:rsid w:val="00E64D44"/>
    <w:rsid w:val="00E65D3F"/>
    <w:rsid w:val="00E66B0D"/>
    <w:rsid w:val="00E71532"/>
    <w:rsid w:val="00E71E2D"/>
    <w:rsid w:val="00E71E8D"/>
    <w:rsid w:val="00E72D04"/>
    <w:rsid w:val="00E73085"/>
    <w:rsid w:val="00E74DF0"/>
    <w:rsid w:val="00E768A4"/>
    <w:rsid w:val="00E76DCF"/>
    <w:rsid w:val="00E800DC"/>
    <w:rsid w:val="00E805F0"/>
    <w:rsid w:val="00E8060C"/>
    <w:rsid w:val="00E81070"/>
    <w:rsid w:val="00E83F14"/>
    <w:rsid w:val="00E85956"/>
    <w:rsid w:val="00E85993"/>
    <w:rsid w:val="00E878AD"/>
    <w:rsid w:val="00E87BA2"/>
    <w:rsid w:val="00E90756"/>
    <w:rsid w:val="00E928E6"/>
    <w:rsid w:val="00E9612C"/>
    <w:rsid w:val="00E97113"/>
    <w:rsid w:val="00EA2D15"/>
    <w:rsid w:val="00EA3893"/>
    <w:rsid w:val="00EA3A3D"/>
    <w:rsid w:val="00EA3B49"/>
    <w:rsid w:val="00EA3F88"/>
    <w:rsid w:val="00EA605C"/>
    <w:rsid w:val="00EA6160"/>
    <w:rsid w:val="00EB3019"/>
    <w:rsid w:val="00EB3C7C"/>
    <w:rsid w:val="00EB54DB"/>
    <w:rsid w:val="00EB57AE"/>
    <w:rsid w:val="00EB6C22"/>
    <w:rsid w:val="00EB6EBF"/>
    <w:rsid w:val="00EC0974"/>
    <w:rsid w:val="00EC1011"/>
    <w:rsid w:val="00EC16AE"/>
    <w:rsid w:val="00EC1E04"/>
    <w:rsid w:val="00EC1FDE"/>
    <w:rsid w:val="00EC4C6A"/>
    <w:rsid w:val="00EC68F3"/>
    <w:rsid w:val="00ED0AB3"/>
    <w:rsid w:val="00ED17EC"/>
    <w:rsid w:val="00ED18DA"/>
    <w:rsid w:val="00ED2AB1"/>
    <w:rsid w:val="00ED51A3"/>
    <w:rsid w:val="00ED5B35"/>
    <w:rsid w:val="00EE06BD"/>
    <w:rsid w:val="00EE0D4C"/>
    <w:rsid w:val="00EE0EE8"/>
    <w:rsid w:val="00EE1739"/>
    <w:rsid w:val="00EE1E79"/>
    <w:rsid w:val="00EE236C"/>
    <w:rsid w:val="00EE782E"/>
    <w:rsid w:val="00EF0090"/>
    <w:rsid w:val="00EF1569"/>
    <w:rsid w:val="00EF1B1B"/>
    <w:rsid w:val="00EF2370"/>
    <w:rsid w:val="00EF351D"/>
    <w:rsid w:val="00EF474C"/>
    <w:rsid w:val="00EF4A87"/>
    <w:rsid w:val="00EF4FD8"/>
    <w:rsid w:val="00EF7513"/>
    <w:rsid w:val="00F00B69"/>
    <w:rsid w:val="00F0203B"/>
    <w:rsid w:val="00F032AF"/>
    <w:rsid w:val="00F03321"/>
    <w:rsid w:val="00F04990"/>
    <w:rsid w:val="00F04EF5"/>
    <w:rsid w:val="00F05001"/>
    <w:rsid w:val="00F05859"/>
    <w:rsid w:val="00F069C3"/>
    <w:rsid w:val="00F1086F"/>
    <w:rsid w:val="00F1179E"/>
    <w:rsid w:val="00F12583"/>
    <w:rsid w:val="00F13577"/>
    <w:rsid w:val="00F13D0D"/>
    <w:rsid w:val="00F13E91"/>
    <w:rsid w:val="00F156D1"/>
    <w:rsid w:val="00F175C3"/>
    <w:rsid w:val="00F2176A"/>
    <w:rsid w:val="00F2310B"/>
    <w:rsid w:val="00F24358"/>
    <w:rsid w:val="00F25929"/>
    <w:rsid w:val="00F25E0B"/>
    <w:rsid w:val="00F26F1F"/>
    <w:rsid w:val="00F2732B"/>
    <w:rsid w:val="00F3113A"/>
    <w:rsid w:val="00F32C39"/>
    <w:rsid w:val="00F32D9A"/>
    <w:rsid w:val="00F3363A"/>
    <w:rsid w:val="00F33646"/>
    <w:rsid w:val="00F347A0"/>
    <w:rsid w:val="00F37588"/>
    <w:rsid w:val="00F378F5"/>
    <w:rsid w:val="00F37974"/>
    <w:rsid w:val="00F40011"/>
    <w:rsid w:val="00F405D0"/>
    <w:rsid w:val="00F41877"/>
    <w:rsid w:val="00F41DF4"/>
    <w:rsid w:val="00F41EA4"/>
    <w:rsid w:val="00F426ED"/>
    <w:rsid w:val="00F4463E"/>
    <w:rsid w:val="00F44DEA"/>
    <w:rsid w:val="00F45334"/>
    <w:rsid w:val="00F45363"/>
    <w:rsid w:val="00F50314"/>
    <w:rsid w:val="00F51E2D"/>
    <w:rsid w:val="00F52385"/>
    <w:rsid w:val="00F52A38"/>
    <w:rsid w:val="00F53FFC"/>
    <w:rsid w:val="00F54028"/>
    <w:rsid w:val="00F54B65"/>
    <w:rsid w:val="00F55CCF"/>
    <w:rsid w:val="00F571FA"/>
    <w:rsid w:val="00F616D3"/>
    <w:rsid w:val="00F64D19"/>
    <w:rsid w:val="00F6531B"/>
    <w:rsid w:val="00F658D2"/>
    <w:rsid w:val="00F6747B"/>
    <w:rsid w:val="00F7084D"/>
    <w:rsid w:val="00F70951"/>
    <w:rsid w:val="00F70C11"/>
    <w:rsid w:val="00F7132F"/>
    <w:rsid w:val="00F73026"/>
    <w:rsid w:val="00F73B5E"/>
    <w:rsid w:val="00F73EAE"/>
    <w:rsid w:val="00F7460C"/>
    <w:rsid w:val="00F74B7E"/>
    <w:rsid w:val="00F7518E"/>
    <w:rsid w:val="00F80FA8"/>
    <w:rsid w:val="00F810E0"/>
    <w:rsid w:val="00F81B66"/>
    <w:rsid w:val="00F82C40"/>
    <w:rsid w:val="00F83D63"/>
    <w:rsid w:val="00F8418F"/>
    <w:rsid w:val="00F904F7"/>
    <w:rsid w:val="00F90A9B"/>
    <w:rsid w:val="00F912BF"/>
    <w:rsid w:val="00F9191B"/>
    <w:rsid w:val="00F9446E"/>
    <w:rsid w:val="00F94744"/>
    <w:rsid w:val="00F94D90"/>
    <w:rsid w:val="00F962D6"/>
    <w:rsid w:val="00F97780"/>
    <w:rsid w:val="00F97F22"/>
    <w:rsid w:val="00FA062A"/>
    <w:rsid w:val="00FA39ED"/>
    <w:rsid w:val="00FA3AC6"/>
    <w:rsid w:val="00FA53C3"/>
    <w:rsid w:val="00FA59D3"/>
    <w:rsid w:val="00FA5DF3"/>
    <w:rsid w:val="00FA7387"/>
    <w:rsid w:val="00FB0EC3"/>
    <w:rsid w:val="00FB0FD4"/>
    <w:rsid w:val="00FB1884"/>
    <w:rsid w:val="00FB24FB"/>
    <w:rsid w:val="00FB27F2"/>
    <w:rsid w:val="00FB27F7"/>
    <w:rsid w:val="00FB29D5"/>
    <w:rsid w:val="00FB4FDE"/>
    <w:rsid w:val="00FB51EB"/>
    <w:rsid w:val="00FB634F"/>
    <w:rsid w:val="00FB783A"/>
    <w:rsid w:val="00FC1022"/>
    <w:rsid w:val="00FC1C35"/>
    <w:rsid w:val="00FC1C37"/>
    <w:rsid w:val="00FC26D7"/>
    <w:rsid w:val="00FC372D"/>
    <w:rsid w:val="00FC41FF"/>
    <w:rsid w:val="00FC4B2E"/>
    <w:rsid w:val="00FC50DD"/>
    <w:rsid w:val="00FC5C05"/>
    <w:rsid w:val="00FC6B68"/>
    <w:rsid w:val="00FC7512"/>
    <w:rsid w:val="00FD26CC"/>
    <w:rsid w:val="00FD306F"/>
    <w:rsid w:val="00FD3099"/>
    <w:rsid w:val="00FD3460"/>
    <w:rsid w:val="00FD3C8E"/>
    <w:rsid w:val="00FD4CFD"/>
    <w:rsid w:val="00FD4E31"/>
    <w:rsid w:val="00FD4F60"/>
    <w:rsid w:val="00FD5DD9"/>
    <w:rsid w:val="00FD7E8D"/>
    <w:rsid w:val="00FE00D4"/>
    <w:rsid w:val="00FE16D3"/>
    <w:rsid w:val="00FE2B0E"/>
    <w:rsid w:val="00FE418E"/>
    <w:rsid w:val="00FE48BF"/>
    <w:rsid w:val="00FE58EC"/>
    <w:rsid w:val="00FE6E7C"/>
    <w:rsid w:val="00FF0A6F"/>
    <w:rsid w:val="00FF0F42"/>
    <w:rsid w:val="00FF1A37"/>
    <w:rsid w:val="00FF39BE"/>
    <w:rsid w:val="00FF4DD2"/>
    <w:rsid w:val="00FF66CB"/>
    <w:rsid w:val="00FF676E"/>
    <w:rsid w:val="00FF72E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568"/>
    <w:rPr>
      <w:rFonts w:ascii="Calibri" w:hAnsi="Calibri"/>
      <w:sz w:val="24"/>
    </w:rPr>
  </w:style>
  <w:style w:type="paragraph" w:styleId="Ttulo1">
    <w:name w:val="heading 1"/>
    <w:basedOn w:val="Normal"/>
    <w:next w:val="Normal"/>
    <w:link w:val="Ttulo1Car"/>
    <w:autoRedefine/>
    <w:uiPriority w:val="9"/>
    <w:qFormat/>
    <w:rsid w:val="0016665B"/>
    <w:pPr>
      <w:keepNext/>
      <w:keepLines/>
      <w:numPr>
        <w:numId w:val="1"/>
      </w:numPr>
      <w:pBdr>
        <w:bottom w:val="single" w:sz="24" w:space="1" w:color="1C314E" w:themeColor="accent4" w:themeShade="80"/>
      </w:pBdr>
      <w:spacing w:before="480" w:after="600"/>
      <w:ind w:left="567" w:hanging="567"/>
      <w:outlineLvl w:val="0"/>
    </w:pPr>
    <w:rPr>
      <w:rFonts w:asciiTheme="minorHAnsi" w:eastAsiaTheme="majorEastAsia" w:hAnsiTheme="minorHAnsi" w:cstheme="majorBidi"/>
      <w:b/>
      <w:bCs/>
      <w:color w:val="1C314E" w:themeColor="accent4" w:themeShade="80"/>
      <w:sz w:val="32"/>
      <w:szCs w:val="32"/>
    </w:rPr>
  </w:style>
  <w:style w:type="paragraph" w:styleId="Ttulo2">
    <w:name w:val="heading 2"/>
    <w:basedOn w:val="Normal"/>
    <w:next w:val="Normal"/>
    <w:link w:val="Ttulo2Car"/>
    <w:autoRedefine/>
    <w:uiPriority w:val="9"/>
    <w:unhideWhenUsed/>
    <w:qFormat/>
    <w:rsid w:val="002420B8"/>
    <w:pPr>
      <w:keepNext/>
      <w:keepLines/>
      <w:numPr>
        <w:ilvl w:val="1"/>
        <w:numId w:val="1"/>
      </w:numPr>
      <w:spacing w:before="360" w:after="300"/>
      <w:ind w:left="709" w:hanging="709"/>
      <w:jc w:val="both"/>
      <w:outlineLvl w:val="1"/>
    </w:pPr>
    <w:rPr>
      <w:rFonts w:asciiTheme="minorHAnsi" w:eastAsiaTheme="majorEastAsia" w:hAnsiTheme="minorHAnsi" w:cstheme="majorBidi"/>
      <w:b/>
      <w:bCs/>
      <w:color w:val="1C314E" w:themeColor="accent4" w:themeShade="80"/>
      <w:sz w:val="32"/>
      <w:szCs w:val="26"/>
    </w:rPr>
  </w:style>
  <w:style w:type="paragraph" w:styleId="Ttulo3">
    <w:name w:val="heading 3"/>
    <w:basedOn w:val="Normal"/>
    <w:next w:val="Normal"/>
    <w:link w:val="Ttulo3Car"/>
    <w:autoRedefine/>
    <w:uiPriority w:val="9"/>
    <w:unhideWhenUsed/>
    <w:qFormat/>
    <w:rsid w:val="002420B8"/>
    <w:pPr>
      <w:keepNext/>
      <w:keepLines/>
      <w:numPr>
        <w:ilvl w:val="2"/>
        <w:numId w:val="1"/>
      </w:numPr>
      <w:spacing w:before="200" w:after="300"/>
      <w:ind w:left="993" w:hanging="993"/>
      <w:outlineLvl w:val="2"/>
    </w:pPr>
    <w:rPr>
      <w:rFonts w:asciiTheme="minorHAnsi" w:eastAsiaTheme="minorEastAsia" w:hAnsiTheme="minorHAnsi"/>
      <w:b/>
      <w:color w:val="1C314E" w:themeColor="accent4" w:themeShade="80"/>
      <w:sz w:val="28"/>
      <w:lang w:eastAsia="es-ES"/>
    </w:rPr>
  </w:style>
  <w:style w:type="paragraph" w:styleId="Ttulo4">
    <w:name w:val="heading 4"/>
    <w:basedOn w:val="Prrafodelista"/>
    <w:next w:val="Normal"/>
    <w:link w:val="Ttulo4Car"/>
    <w:uiPriority w:val="9"/>
    <w:unhideWhenUsed/>
    <w:qFormat/>
    <w:rsid w:val="0016665B"/>
    <w:pPr>
      <w:numPr>
        <w:numId w:val="46"/>
      </w:numPr>
      <w:spacing w:before="360" w:after="300" w:line="276" w:lineRule="auto"/>
      <w:ind w:left="567" w:hanging="567"/>
      <w:outlineLvl w:val="3"/>
    </w:pPr>
    <w:rPr>
      <w:b/>
      <w:color w:val="1C314E" w:themeColor="accent4" w:themeShade="80"/>
      <w:sz w:val="32"/>
      <w:szCs w:val="28"/>
    </w:rPr>
  </w:style>
  <w:style w:type="paragraph" w:styleId="Ttulo5">
    <w:name w:val="heading 5"/>
    <w:basedOn w:val="Prrafodelista"/>
    <w:next w:val="Normal"/>
    <w:link w:val="Ttulo5Car"/>
    <w:autoRedefine/>
    <w:uiPriority w:val="9"/>
    <w:unhideWhenUsed/>
    <w:qFormat/>
    <w:rsid w:val="009F3B2E"/>
    <w:pPr>
      <w:numPr>
        <w:ilvl w:val="1"/>
        <w:numId w:val="46"/>
      </w:numPr>
      <w:spacing w:before="360" w:after="300" w:line="276" w:lineRule="auto"/>
      <w:ind w:left="567" w:hanging="567"/>
      <w:jc w:val="both"/>
      <w:outlineLvl w:val="4"/>
    </w:pPr>
    <w:rPr>
      <w:b/>
      <w:color w:val="1C314E" w:themeColor="accent4" w:themeShade="80"/>
      <w:sz w:val="28"/>
    </w:rPr>
  </w:style>
  <w:style w:type="paragraph" w:styleId="Ttulo6">
    <w:name w:val="heading 6"/>
    <w:basedOn w:val="Normal"/>
    <w:next w:val="Normal"/>
    <w:link w:val="Ttulo6Car"/>
    <w:uiPriority w:val="9"/>
    <w:unhideWhenUsed/>
    <w:qFormat/>
    <w:rsid w:val="00A058F5"/>
    <w:pPr>
      <w:keepNext/>
      <w:keepLines/>
      <w:numPr>
        <w:ilvl w:val="5"/>
        <w:numId w:val="1"/>
      </w:numPr>
      <w:spacing w:before="200" w:after="0"/>
      <w:outlineLvl w:val="5"/>
    </w:pPr>
    <w:rPr>
      <w:rFonts w:ascii="Times New Roman" w:eastAsiaTheme="majorEastAsia" w:hAnsi="Times New Roman" w:cstheme="majorBidi"/>
      <w:b/>
      <w:i/>
      <w:iCs/>
      <w:color w:val="008080"/>
      <w:u w:val="single"/>
    </w:rPr>
  </w:style>
  <w:style w:type="paragraph" w:styleId="Ttulo7">
    <w:name w:val="heading 7"/>
    <w:basedOn w:val="Normal"/>
    <w:next w:val="Normal"/>
    <w:link w:val="Ttulo7Car"/>
    <w:uiPriority w:val="9"/>
    <w:unhideWhenUsed/>
    <w:qFormat/>
    <w:rsid w:val="0047399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FC41F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C0D3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665B"/>
    <w:rPr>
      <w:rFonts w:eastAsiaTheme="majorEastAsia" w:cstheme="majorBidi"/>
      <w:b/>
      <w:bCs/>
      <w:color w:val="1C314E" w:themeColor="accent4" w:themeShade="80"/>
      <w:sz w:val="32"/>
      <w:szCs w:val="32"/>
    </w:rPr>
  </w:style>
  <w:style w:type="character" w:customStyle="1" w:styleId="Ttulo2Car">
    <w:name w:val="Título 2 Car"/>
    <w:basedOn w:val="Fuentedeprrafopredeter"/>
    <w:link w:val="Ttulo2"/>
    <w:uiPriority w:val="9"/>
    <w:rsid w:val="002420B8"/>
    <w:rPr>
      <w:rFonts w:eastAsiaTheme="majorEastAsia" w:cstheme="majorBidi"/>
      <w:b/>
      <w:bCs/>
      <w:color w:val="1C314E" w:themeColor="accent4" w:themeShade="80"/>
      <w:sz w:val="32"/>
      <w:szCs w:val="26"/>
    </w:rPr>
  </w:style>
  <w:style w:type="character" w:customStyle="1" w:styleId="Ttulo3Car">
    <w:name w:val="Título 3 Car"/>
    <w:basedOn w:val="Fuentedeprrafopredeter"/>
    <w:link w:val="Ttulo3"/>
    <w:uiPriority w:val="9"/>
    <w:rsid w:val="002420B8"/>
    <w:rPr>
      <w:rFonts w:eastAsiaTheme="minorEastAsia"/>
      <w:b/>
      <w:color w:val="1C314E" w:themeColor="accent4" w:themeShade="80"/>
      <w:sz w:val="28"/>
      <w:lang w:eastAsia="es-ES"/>
    </w:rPr>
  </w:style>
  <w:style w:type="character" w:customStyle="1" w:styleId="Ttulo4Car">
    <w:name w:val="Título 4 Car"/>
    <w:basedOn w:val="Fuentedeprrafopredeter"/>
    <w:link w:val="Ttulo4"/>
    <w:uiPriority w:val="9"/>
    <w:rsid w:val="0016665B"/>
    <w:rPr>
      <w:rFonts w:ascii="Calibri" w:hAnsi="Calibri"/>
      <w:b/>
      <w:color w:val="1C314E" w:themeColor="accent4" w:themeShade="80"/>
      <w:sz w:val="32"/>
      <w:szCs w:val="28"/>
    </w:rPr>
  </w:style>
  <w:style w:type="character" w:customStyle="1" w:styleId="Ttulo5Car">
    <w:name w:val="Título 5 Car"/>
    <w:basedOn w:val="Fuentedeprrafopredeter"/>
    <w:link w:val="Ttulo5"/>
    <w:uiPriority w:val="9"/>
    <w:rsid w:val="009F3B2E"/>
    <w:rPr>
      <w:rFonts w:ascii="Calibri" w:hAnsi="Calibri"/>
      <w:b/>
      <w:color w:val="1C314E" w:themeColor="accent4" w:themeShade="80"/>
      <w:sz w:val="28"/>
    </w:rPr>
  </w:style>
  <w:style w:type="character" w:customStyle="1" w:styleId="Ttulo6Car">
    <w:name w:val="Título 6 Car"/>
    <w:basedOn w:val="Fuentedeprrafopredeter"/>
    <w:link w:val="Ttulo6"/>
    <w:uiPriority w:val="9"/>
    <w:rsid w:val="00A058F5"/>
    <w:rPr>
      <w:rFonts w:ascii="Times New Roman" w:eastAsiaTheme="majorEastAsia" w:hAnsi="Times New Roman" w:cstheme="majorBidi"/>
      <w:b/>
      <w:i/>
      <w:iCs/>
      <w:color w:val="008080"/>
      <w:sz w:val="24"/>
      <w:u w:val="single"/>
    </w:rPr>
  </w:style>
  <w:style w:type="character" w:customStyle="1" w:styleId="Ttulo7Car">
    <w:name w:val="Título 7 Car"/>
    <w:basedOn w:val="Fuentedeprrafopredeter"/>
    <w:link w:val="Ttulo7"/>
    <w:uiPriority w:val="9"/>
    <w:rsid w:val="00473995"/>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rsid w:val="00FC41FF"/>
    <w:rPr>
      <w:rFonts w:asciiTheme="majorHAnsi" w:eastAsiaTheme="majorEastAsia" w:hAnsiTheme="majorHAnsi" w:cstheme="majorBidi"/>
      <w:color w:val="404040" w:themeColor="text1" w:themeTint="BF"/>
      <w:sz w:val="20"/>
      <w:szCs w:val="20"/>
    </w:rPr>
  </w:style>
  <w:style w:type="paragraph" w:styleId="Encabezado">
    <w:name w:val="header"/>
    <w:basedOn w:val="Normal"/>
    <w:link w:val="EncabezadoCar"/>
    <w:uiPriority w:val="99"/>
    <w:unhideWhenUsed/>
    <w:rsid w:val="000255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25568"/>
    <w:rPr>
      <w:rFonts w:ascii="Calibri" w:hAnsi="Calibri"/>
      <w:sz w:val="24"/>
    </w:rPr>
  </w:style>
  <w:style w:type="paragraph" w:styleId="Piedepgina">
    <w:name w:val="footer"/>
    <w:basedOn w:val="Normal"/>
    <w:link w:val="PiedepginaCar"/>
    <w:uiPriority w:val="99"/>
    <w:unhideWhenUsed/>
    <w:rsid w:val="000255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5568"/>
    <w:rPr>
      <w:rFonts w:ascii="Calibri" w:hAnsi="Calibri"/>
      <w:sz w:val="24"/>
    </w:rPr>
  </w:style>
  <w:style w:type="character" w:styleId="Hipervnculo">
    <w:name w:val="Hyperlink"/>
    <w:basedOn w:val="Fuentedeprrafopredeter"/>
    <w:uiPriority w:val="99"/>
    <w:rsid w:val="00025568"/>
    <w:rPr>
      <w:color w:val="0000FF"/>
      <w:u w:val="single"/>
    </w:rPr>
  </w:style>
  <w:style w:type="paragraph" w:styleId="Sinespaciado">
    <w:name w:val="No Spacing"/>
    <w:link w:val="SinespaciadoCar"/>
    <w:uiPriority w:val="1"/>
    <w:qFormat/>
    <w:rsid w:val="0002556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025568"/>
    <w:rPr>
      <w:rFonts w:eastAsiaTheme="minorEastAsia"/>
      <w:lang w:eastAsia="es-ES"/>
    </w:rPr>
  </w:style>
  <w:style w:type="paragraph" w:styleId="Mapadeldocumento">
    <w:name w:val="Document Map"/>
    <w:basedOn w:val="Normal"/>
    <w:link w:val="MapadeldocumentoCar"/>
    <w:uiPriority w:val="99"/>
    <w:semiHidden/>
    <w:unhideWhenUsed/>
    <w:rsid w:val="0002556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25568"/>
    <w:rPr>
      <w:rFonts w:ascii="Tahoma" w:hAnsi="Tahoma" w:cs="Tahoma"/>
      <w:sz w:val="16"/>
      <w:szCs w:val="16"/>
    </w:rPr>
  </w:style>
  <w:style w:type="paragraph" w:styleId="Textodeglobo">
    <w:name w:val="Balloon Text"/>
    <w:basedOn w:val="Normal"/>
    <w:link w:val="TextodegloboCar"/>
    <w:uiPriority w:val="99"/>
    <w:semiHidden/>
    <w:unhideWhenUsed/>
    <w:rsid w:val="000255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5568"/>
    <w:rPr>
      <w:rFonts w:ascii="Tahoma" w:hAnsi="Tahoma" w:cs="Tahoma"/>
      <w:sz w:val="16"/>
      <w:szCs w:val="16"/>
    </w:rPr>
  </w:style>
  <w:style w:type="character" w:styleId="Textoennegrita">
    <w:name w:val="Strong"/>
    <w:basedOn w:val="Fuentedeprrafopredeter"/>
    <w:uiPriority w:val="22"/>
    <w:qFormat/>
    <w:rsid w:val="00FB24FB"/>
    <w:rPr>
      <w:b/>
      <w:bCs/>
    </w:rPr>
  </w:style>
  <w:style w:type="paragraph" w:styleId="Textonotapie">
    <w:name w:val="footnote text"/>
    <w:basedOn w:val="Normal"/>
    <w:link w:val="TextonotapieCar"/>
    <w:semiHidden/>
    <w:rsid w:val="00271668"/>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271668"/>
    <w:rPr>
      <w:rFonts w:ascii="Times New Roman" w:eastAsia="Times New Roman" w:hAnsi="Times New Roman" w:cs="Times New Roman"/>
      <w:sz w:val="20"/>
      <w:szCs w:val="20"/>
      <w:lang w:val="es-ES_tradnl" w:eastAsia="es-ES"/>
    </w:rPr>
  </w:style>
  <w:style w:type="character" w:customStyle="1" w:styleId="webpageurl">
    <w:name w:val="webpageurl"/>
    <w:basedOn w:val="Fuentedeprrafopredeter"/>
    <w:rsid w:val="008D0914"/>
  </w:style>
  <w:style w:type="paragraph" w:styleId="Prrafodelista">
    <w:name w:val="List Paragraph"/>
    <w:basedOn w:val="Normal"/>
    <w:uiPriority w:val="34"/>
    <w:qFormat/>
    <w:rsid w:val="00FC7512"/>
    <w:pPr>
      <w:spacing w:after="0" w:line="240" w:lineRule="auto"/>
      <w:ind w:left="720"/>
      <w:contextualSpacing/>
    </w:pPr>
  </w:style>
  <w:style w:type="character" w:styleId="nfasis">
    <w:name w:val="Emphasis"/>
    <w:basedOn w:val="Fuentedeprrafopredeter"/>
    <w:uiPriority w:val="20"/>
    <w:qFormat/>
    <w:rsid w:val="00F41877"/>
    <w:rPr>
      <w:i/>
      <w:iCs/>
    </w:rPr>
  </w:style>
  <w:style w:type="paragraph" w:customStyle="1" w:styleId="Default">
    <w:name w:val="Default"/>
    <w:rsid w:val="00F41877"/>
    <w:pPr>
      <w:autoSpaceDE w:val="0"/>
      <w:autoSpaceDN w:val="0"/>
      <w:adjustRightInd w:val="0"/>
      <w:spacing w:after="0" w:line="240" w:lineRule="auto"/>
    </w:pPr>
    <w:rPr>
      <w:rFonts w:ascii="BdE Neue Helvetica" w:hAnsi="BdE Neue Helvetica" w:cs="BdE Neue Helvetica"/>
      <w:color w:val="000000"/>
      <w:sz w:val="24"/>
      <w:szCs w:val="24"/>
    </w:rPr>
  </w:style>
  <w:style w:type="character" w:customStyle="1" w:styleId="apple-converted-space">
    <w:name w:val="apple-converted-space"/>
    <w:basedOn w:val="Fuentedeprrafopredeter"/>
    <w:rsid w:val="00C16C14"/>
  </w:style>
  <w:style w:type="paragraph" w:customStyle="1" w:styleId="Pa12">
    <w:name w:val="Pa12"/>
    <w:basedOn w:val="Default"/>
    <w:next w:val="Default"/>
    <w:uiPriority w:val="99"/>
    <w:rsid w:val="000651AF"/>
    <w:pPr>
      <w:spacing w:line="201" w:lineRule="atLeast"/>
    </w:pPr>
    <w:rPr>
      <w:rFonts w:ascii="Arial" w:hAnsi="Arial" w:cs="Arial"/>
      <w:color w:val="auto"/>
    </w:rPr>
  </w:style>
  <w:style w:type="paragraph" w:customStyle="1" w:styleId="Pa9">
    <w:name w:val="Pa9"/>
    <w:basedOn w:val="Default"/>
    <w:next w:val="Default"/>
    <w:uiPriority w:val="99"/>
    <w:rsid w:val="000651AF"/>
    <w:pPr>
      <w:spacing w:line="201" w:lineRule="atLeast"/>
    </w:pPr>
    <w:rPr>
      <w:rFonts w:ascii="Arial" w:hAnsi="Arial" w:cs="Arial"/>
      <w:color w:val="auto"/>
    </w:rPr>
  </w:style>
  <w:style w:type="paragraph" w:customStyle="1" w:styleId="Pa8">
    <w:name w:val="Pa8"/>
    <w:basedOn w:val="Default"/>
    <w:next w:val="Default"/>
    <w:uiPriority w:val="99"/>
    <w:rsid w:val="000651AF"/>
    <w:pPr>
      <w:spacing w:line="201" w:lineRule="atLeast"/>
    </w:pPr>
    <w:rPr>
      <w:rFonts w:ascii="Arial" w:hAnsi="Arial" w:cs="Arial"/>
      <w:color w:val="auto"/>
    </w:rPr>
  </w:style>
  <w:style w:type="paragraph" w:customStyle="1" w:styleId="Pa13">
    <w:name w:val="Pa13"/>
    <w:basedOn w:val="Default"/>
    <w:next w:val="Default"/>
    <w:uiPriority w:val="99"/>
    <w:rsid w:val="000651AF"/>
    <w:pPr>
      <w:spacing w:line="201" w:lineRule="atLeast"/>
    </w:pPr>
    <w:rPr>
      <w:rFonts w:ascii="Arial" w:hAnsi="Arial" w:cs="Arial"/>
      <w:color w:val="auto"/>
    </w:rPr>
  </w:style>
  <w:style w:type="paragraph" w:customStyle="1" w:styleId="Pa17">
    <w:name w:val="Pa17"/>
    <w:basedOn w:val="Default"/>
    <w:next w:val="Default"/>
    <w:uiPriority w:val="99"/>
    <w:rsid w:val="005418E5"/>
    <w:pPr>
      <w:spacing w:line="201" w:lineRule="atLeast"/>
    </w:pPr>
    <w:rPr>
      <w:rFonts w:ascii="Arial" w:hAnsi="Arial" w:cs="Arial"/>
      <w:color w:val="auto"/>
    </w:rPr>
  </w:style>
  <w:style w:type="paragraph" w:customStyle="1" w:styleId="Pa14">
    <w:name w:val="Pa14"/>
    <w:basedOn w:val="Default"/>
    <w:next w:val="Default"/>
    <w:uiPriority w:val="99"/>
    <w:rsid w:val="005418E5"/>
    <w:pPr>
      <w:spacing w:line="201" w:lineRule="atLeast"/>
    </w:pPr>
    <w:rPr>
      <w:rFonts w:ascii="Arial" w:hAnsi="Arial" w:cs="Arial"/>
      <w:color w:val="auto"/>
    </w:rPr>
  </w:style>
  <w:style w:type="character" w:styleId="Hipervnculovisitado">
    <w:name w:val="FollowedHyperlink"/>
    <w:basedOn w:val="Fuentedeprrafopredeter"/>
    <w:uiPriority w:val="99"/>
    <w:semiHidden/>
    <w:unhideWhenUsed/>
    <w:rsid w:val="005D0B62"/>
    <w:rPr>
      <w:color w:val="44B9E8" w:themeColor="followedHyperlink"/>
      <w:u w:val="single"/>
    </w:rPr>
  </w:style>
  <w:style w:type="paragraph" w:styleId="Textocomentario">
    <w:name w:val="annotation text"/>
    <w:basedOn w:val="Normal"/>
    <w:link w:val="TextocomentarioCar"/>
    <w:uiPriority w:val="99"/>
    <w:semiHidden/>
    <w:unhideWhenUsed/>
    <w:rsid w:val="00EE236C"/>
    <w:pPr>
      <w:spacing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EE236C"/>
    <w:rPr>
      <w:sz w:val="20"/>
      <w:szCs w:val="20"/>
    </w:rPr>
  </w:style>
  <w:style w:type="paragraph" w:customStyle="1" w:styleId="Pa01">
    <w:name w:val="Pa0+1"/>
    <w:basedOn w:val="Default"/>
    <w:next w:val="Default"/>
    <w:uiPriority w:val="99"/>
    <w:rsid w:val="001C769E"/>
    <w:pPr>
      <w:spacing w:line="201" w:lineRule="atLeast"/>
    </w:pPr>
    <w:rPr>
      <w:rFonts w:ascii="Lato" w:hAnsi="Lato" w:cstheme="minorBidi"/>
      <w:color w:val="auto"/>
    </w:rPr>
  </w:style>
  <w:style w:type="character" w:customStyle="1" w:styleId="A16">
    <w:name w:val="A16"/>
    <w:uiPriority w:val="99"/>
    <w:rsid w:val="00CB5182"/>
    <w:rPr>
      <w:rFonts w:cs="Lato Heavy"/>
      <w:b/>
      <w:bCs/>
      <w:color w:val="221E1F"/>
      <w:sz w:val="52"/>
      <w:szCs w:val="52"/>
    </w:rPr>
  </w:style>
  <w:style w:type="paragraph" w:styleId="NormalWeb">
    <w:name w:val="Normal (Web)"/>
    <w:basedOn w:val="Normal"/>
    <w:uiPriority w:val="99"/>
    <w:unhideWhenUsed/>
    <w:rsid w:val="009101F7"/>
    <w:pPr>
      <w:spacing w:before="100" w:beforeAutospacing="1" w:after="100" w:afterAutospacing="1" w:line="240" w:lineRule="auto"/>
    </w:pPr>
    <w:rPr>
      <w:rFonts w:ascii="Times New Roman" w:eastAsia="Times New Roman" w:hAnsi="Times New Roman" w:cs="Times New Roman"/>
      <w:szCs w:val="24"/>
      <w:lang w:eastAsia="es-ES"/>
    </w:rPr>
  </w:style>
  <w:style w:type="table" w:styleId="Tablaconcuadrcula">
    <w:name w:val="Table Grid"/>
    <w:basedOn w:val="Tablanormal"/>
    <w:uiPriority w:val="59"/>
    <w:rsid w:val="00DD3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egrita">
    <w:name w:val="textonegrita"/>
    <w:basedOn w:val="Fuentedeprrafopredeter"/>
    <w:rsid w:val="00C62DF4"/>
  </w:style>
  <w:style w:type="paragraph" w:customStyle="1" w:styleId="textocursiva">
    <w:name w:val="textocursiva"/>
    <w:basedOn w:val="Normal"/>
    <w:rsid w:val="005D7F49"/>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textojustificado">
    <w:name w:val="textojustificado"/>
    <w:basedOn w:val="Normal"/>
    <w:rsid w:val="00540903"/>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fontsize19">
    <w:name w:val="fontsize19"/>
    <w:basedOn w:val="Normal"/>
    <w:rsid w:val="00FB0FD4"/>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letragrisacea">
    <w:name w:val="letra_grisacea"/>
    <w:basedOn w:val="Normal"/>
    <w:rsid w:val="00FB0FD4"/>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separadorlinea">
    <w:name w:val="separador_linea"/>
    <w:basedOn w:val="Normal"/>
    <w:rsid w:val="00D81485"/>
    <w:pPr>
      <w:spacing w:before="100" w:beforeAutospacing="1" w:after="100" w:afterAutospacing="1" w:line="240" w:lineRule="auto"/>
    </w:pPr>
    <w:rPr>
      <w:rFonts w:ascii="Times New Roman" w:eastAsia="Times New Roman" w:hAnsi="Times New Roman" w:cs="Times New Roman"/>
      <w:szCs w:val="24"/>
      <w:lang w:eastAsia="es-ES"/>
    </w:rPr>
  </w:style>
  <w:style w:type="character" w:customStyle="1" w:styleId="pre-title">
    <w:name w:val="pre-title"/>
    <w:basedOn w:val="Fuentedeprrafopredeter"/>
    <w:rsid w:val="00D81485"/>
  </w:style>
  <w:style w:type="character" w:customStyle="1" w:styleId="colorazul">
    <w:name w:val="colorazul"/>
    <w:basedOn w:val="Fuentedeprrafopredeter"/>
    <w:rsid w:val="00FE58EC"/>
  </w:style>
  <w:style w:type="paragraph" w:customStyle="1" w:styleId="txtmedia">
    <w:name w:val="txt_media"/>
    <w:basedOn w:val="Normal"/>
    <w:rsid w:val="00FE58EC"/>
    <w:pPr>
      <w:spacing w:before="100" w:beforeAutospacing="1" w:after="100" w:afterAutospacing="1" w:line="240" w:lineRule="auto"/>
    </w:pPr>
    <w:rPr>
      <w:rFonts w:ascii="Times New Roman" w:eastAsia="Times New Roman" w:hAnsi="Times New Roman" w:cs="Times New Roman"/>
      <w:szCs w:val="24"/>
      <w:lang w:eastAsia="es-ES"/>
    </w:rPr>
  </w:style>
  <w:style w:type="paragraph" w:styleId="z-Principiodelformulario">
    <w:name w:val="HTML Top of Form"/>
    <w:basedOn w:val="Normal"/>
    <w:next w:val="Normal"/>
    <w:link w:val="z-PrincipiodelformularioCar"/>
    <w:hidden/>
    <w:uiPriority w:val="99"/>
    <w:semiHidden/>
    <w:unhideWhenUsed/>
    <w:rsid w:val="00FE58EC"/>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FE58EC"/>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FE58EC"/>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FE58EC"/>
    <w:rPr>
      <w:rFonts w:ascii="Arial" w:eastAsia="Times New Roman" w:hAnsi="Arial" w:cs="Arial"/>
      <w:vanish/>
      <w:sz w:val="16"/>
      <w:szCs w:val="16"/>
      <w:lang w:eastAsia="es-ES"/>
    </w:rPr>
  </w:style>
  <w:style w:type="character" w:customStyle="1" w:styleId="textonegrita1">
    <w:name w:val="textonegrita1"/>
    <w:basedOn w:val="Fuentedeprrafopredeter"/>
    <w:rsid w:val="00FE58EC"/>
  </w:style>
  <w:style w:type="paragraph" w:customStyle="1" w:styleId="txt-big">
    <w:name w:val="txt-big"/>
    <w:basedOn w:val="Normal"/>
    <w:rsid w:val="00824DF2"/>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parrafo">
    <w:name w:val="parrafo"/>
    <w:basedOn w:val="Normal"/>
    <w:rsid w:val="00A4672D"/>
    <w:pPr>
      <w:spacing w:before="100" w:beforeAutospacing="1" w:after="100" w:afterAutospacing="1" w:line="240" w:lineRule="auto"/>
    </w:pPr>
    <w:rPr>
      <w:rFonts w:ascii="Times New Roman" w:eastAsia="Times New Roman" w:hAnsi="Times New Roman" w:cs="Times New Roman"/>
      <w:szCs w:val="24"/>
      <w:lang w:eastAsia="es-ES"/>
    </w:rPr>
  </w:style>
  <w:style w:type="character" w:customStyle="1" w:styleId="ms-rtestyle-h4ladillo3">
    <w:name w:val="ms-rtestyle-h4ladillo3"/>
    <w:basedOn w:val="Fuentedeprrafopredeter"/>
    <w:rsid w:val="007862D7"/>
  </w:style>
  <w:style w:type="character" w:customStyle="1" w:styleId="break">
    <w:name w:val="break"/>
    <w:basedOn w:val="Fuentedeprrafopredeter"/>
    <w:rsid w:val="007F6BA0"/>
  </w:style>
  <w:style w:type="character" w:customStyle="1" w:styleId="trash">
    <w:name w:val="trash"/>
    <w:basedOn w:val="Fuentedeprrafopredeter"/>
    <w:rsid w:val="00067AF8"/>
  </w:style>
  <w:style w:type="character" w:customStyle="1" w:styleId="ui-selectmenu-text">
    <w:name w:val="ui-selectmenu-text"/>
    <w:basedOn w:val="Fuentedeprrafopredeter"/>
    <w:rsid w:val="000517A5"/>
  </w:style>
  <w:style w:type="character" w:customStyle="1" w:styleId="formlabel">
    <w:name w:val="form__label"/>
    <w:basedOn w:val="Fuentedeprrafopredeter"/>
    <w:rsid w:val="000517A5"/>
  </w:style>
  <w:style w:type="character" w:customStyle="1" w:styleId="fmf-lbl-description">
    <w:name w:val="fmf-lbl-description"/>
    <w:basedOn w:val="Fuentedeprrafopredeter"/>
    <w:rsid w:val="000517A5"/>
  </w:style>
  <w:style w:type="paragraph" w:customStyle="1" w:styleId="ficha-pie-imagen-cursiva">
    <w:name w:val="ficha-pie-imagen-cursiva"/>
    <w:basedOn w:val="Normal"/>
    <w:rsid w:val="00822883"/>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Pa18">
    <w:name w:val="Pa18"/>
    <w:basedOn w:val="Default"/>
    <w:next w:val="Default"/>
    <w:uiPriority w:val="99"/>
    <w:rsid w:val="006A499F"/>
    <w:pPr>
      <w:spacing w:line="201" w:lineRule="atLeast"/>
    </w:pPr>
    <w:rPr>
      <w:rFonts w:ascii="Arial" w:hAnsi="Arial" w:cs="Arial"/>
      <w:color w:val="auto"/>
    </w:rPr>
  </w:style>
  <w:style w:type="table" w:customStyle="1" w:styleId="Sombreadomedio12">
    <w:name w:val="Sombreado medio 12"/>
    <w:basedOn w:val="Tablanormal"/>
    <w:uiPriority w:val="63"/>
    <w:rsid w:val="00251C9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tulodeTDC">
    <w:name w:val="TOC Heading"/>
    <w:basedOn w:val="Ttulo1"/>
    <w:next w:val="Normal"/>
    <w:uiPriority w:val="39"/>
    <w:unhideWhenUsed/>
    <w:qFormat/>
    <w:rsid w:val="00D36E76"/>
    <w:pPr>
      <w:pBdr>
        <w:bottom w:val="none" w:sz="0" w:space="0" w:color="auto"/>
      </w:pBdr>
      <w:outlineLvl w:val="9"/>
    </w:pPr>
    <w:rPr>
      <w:rFonts w:asciiTheme="majorHAnsi" w:hAnsiTheme="majorHAnsi"/>
      <w:color w:val="16515F" w:themeColor="accent1" w:themeShade="80"/>
      <w:sz w:val="28"/>
    </w:rPr>
  </w:style>
  <w:style w:type="paragraph" w:styleId="TDC1">
    <w:name w:val="toc 1"/>
    <w:basedOn w:val="Normal"/>
    <w:next w:val="Normal"/>
    <w:autoRedefine/>
    <w:uiPriority w:val="39"/>
    <w:unhideWhenUsed/>
    <w:rsid w:val="00345AFF"/>
    <w:pPr>
      <w:spacing w:after="100"/>
      <w:ind w:left="284" w:hanging="284"/>
    </w:pPr>
  </w:style>
  <w:style w:type="paragraph" w:styleId="TDC2">
    <w:name w:val="toc 2"/>
    <w:basedOn w:val="Normal"/>
    <w:next w:val="Normal"/>
    <w:autoRedefine/>
    <w:uiPriority w:val="39"/>
    <w:unhideWhenUsed/>
    <w:rsid w:val="00345AFF"/>
    <w:pPr>
      <w:spacing w:after="100"/>
      <w:ind w:left="851" w:hanging="567"/>
    </w:pPr>
  </w:style>
  <w:style w:type="paragraph" w:styleId="TDC3">
    <w:name w:val="toc 3"/>
    <w:basedOn w:val="Normal"/>
    <w:next w:val="Normal"/>
    <w:autoRedefine/>
    <w:uiPriority w:val="39"/>
    <w:unhideWhenUsed/>
    <w:rsid w:val="00345AFF"/>
    <w:pPr>
      <w:spacing w:after="100"/>
      <w:ind w:left="1418" w:hanging="851"/>
    </w:pPr>
  </w:style>
  <w:style w:type="paragraph" w:styleId="Revisin">
    <w:name w:val="Revision"/>
    <w:hidden/>
    <w:uiPriority w:val="99"/>
    <w:semiHidden/>
    <w:rsid w:val="005B5A48"/>
    <w:pPr>
      <w:spacing w:after="0" w:line="240" w:lineRule="auto"/>
    </w:pPr>
    <w:rPr>
      <w:rFonts w:ascii="Calibri" w:hAnsi="Calibri"/>
      <w:sz w:val="24"/>
    </w:rPr>
  </w:style>
  <w:style w:type="character" w:styleId="Refdecomentario">
    <w:name w:val="annotation reference"/>
    <w:basedOn w:val="Fuentedeprrafopredeter"/>
    <w:uiPriority w:val="99"/>
    <w:semiHidden/>
    <w:unhideWhenUsed/>
    <w:rsid w:val="00974822"/>
    <w:rPr>
      <w:sz w:val="16"/>
      <w:szCs w:val="16"/>
    </w:rPr>
  </w:style>
  <w:style w:type="paragraph" w:styleId="Asuntodelcomentario">
    <w:name w:val="annotation subject"/>
    <w:basedOn w:val="Textocomentario"/>
    <w:next w:val="Textocomentario"/>
    <w:link w:val="AsuntodelcomentarioCar"/>
    <w:uiPriority w:val="99"/>
    <w:semiHidden/>
    <w:unhideWhenUsed/>
    <w:rsid w:val="00974822"/>
    <w:rPr>
      <w:rFonts w:ascii="Calibri" w:hAnsi="Calibri"/>
      <w:b/>
      <w:bCs/>
    </w:rPr>
  </w:style>
  <w:style w:type="character" w:customStyle="1" w:styleId="AsuntodelcomentarioCar">
    <w:name w:val="Asunto del comentario Car"/>
    <w:basedOn w:val="TextocomentarioCar"/>
    <w:link w:val="Asuntodelcomentario"/>
    <w:uiPriority w:val="99"/>
    <w:semiHidden/>
    <w:rsid w:val="00974822"/>
    <w:rPr>
      <w:rFonts w:ascii="Calibri" w:hAnsi="Calibri"/>
      <w:b/>
      <w:bCs/>
      <w:sz w:val="20"/>
      <w:szCs w:val="20"/>
    </w:rPr>
  </w:style>
  <w:style w:type="character" w:customStyle="1" w:styleId="Ttulo9Car">
    <w:name w:val="Título 9 Car"/>
    <w:basedOn w:val="Fuentedeprrafopredeter"/>
    <w:link w:val="Ttulo9"/>
    <w:uiPriority w:val="9"/>
    <w:semiHidden/>
    <w:rsid w:val="007C0D35"/>
    <w:rPr>
      <w:rFonts w:asciiTheme="majorHAnsi" w:eastAsiaTheme="majorEastAsia" w:hAnsiTheme="majorHAnsi" w:cstheme="majorBidi"/>
      <w:i/>
      <w:iCs/>
      <w:color w:val="404040" w:themeColor="text1" w:themeTint="BF"/>
      <w:sz w:val="20"/>
      <w:szCs w:val="20"/>
    </w:rPr>
  </w:style>
  <w:style w:type="numbering" w:customStyle="1" w:styleId="Estilo1">
    <w:name w:val="Estilo1"/>
    <w:uiPriority w:val="99"/>
    <w:rsid w:val="0027275C"/>
    <w:pPr>
      <w:numPr>
        <w:numId w:val="2"/>
      </w:numPr>
    </w:pPr>
  </w:style>
  <w:style w:type="paragraph" w:styleId="Ttulo">
    <w:name w:val="Title"/>
    <w:basedOn w:val="Normal"/>
    <w:next w:val="Normal"/>
    <w:link w:val="TtuloCar"/>
    <w:autoRedefine/>
    <w:uiPriority w:val="10"/>
    <w:qFormat/>
    <w:rsid w:val="001B6A7A"/>
    <w:pPr>
      <w:pBdr>
        <w:bottom w:val="single" w:sz="24" w:space="1" w:color="auto"/>
      </w:pBdr>
      <w:spacing w:before="480" w:after="600"/>
      <w:jc w:val="both"/>
    </w:pPr>
    <w:rPr>
      <w:rFonts w:asciiTheme="minorHAnsi" w:eastAsiaTheme="majorEastAsia" w:hAnsiTheme="minorHAnsi" w:cstheme="majorBidi"/>
      <w:b/>
      <w:bCs/>
      <w:color w:val="1C314E" w:themeColor="accent4" w:themeShade="80"/>
      <w:sz w:val="32"/>
      <w:szCs w:val="32"/>
    </w:rPr>
  </w:style>
  <w:style w:type="paragraph" w:styleId="TDC4">
    <w:name w:val="toc 4"/>
    <w:basedOn w:val="Normal"/>
    <w:next w:val="Normal"/>
    <w:autoRedefine/>
    <w:uiPriority w:val="39"/>
    <w:semiHidden/>
    <w:unhideWhenUsed/>
    <w:rsid w:val="00FD4F60"/>
    <w:pPr>
      <w:spacing w:after="100"/>
    </w:pPr>
  </w:style>
  <w:style w:type="character" w:customStyle="1" w:styleId="TtuloCar">
    <w:name w:val="Título Car"/>
    <w:basedOn w:val="Fuentedeprrafopredeter"/>
    <w:link w:val="Ttulo"/>
    <w:uiPriority w:val="10"/>
    <w:rsid w:val="001B6A7A"/>
    <w:rPr>
      <w:rFonts w:eastAsiaTheme="majorEastAsia" w:cstheme="majorBidi"/>
      <w:b/>
      <w:bCs/>
      <w:color w:val="1C314E" w:themeColor="accent4" w:themeShade="8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568"/>
    <w:rPr>
      <w:rFonts w:ascii="Calibri" w:hAnsi="Calibri"/>
      <w:sz w:val="24"/>
    </w:rPr>
  </w:style>
  <w:style w:type="paragraph" w:styleId="Ttulo1">
    <w:name w:val="heading 1"/>
    <w:basedOn w:val="Normal"/>
    <w:next w:val="Normal"/>
    <w:link w:val="Ttulo1Car"/>
    <w:autoRedefine/>
    <w:uiPriority w:val="9"/>
    <w:qFormat/>
    <w:rsid w:val="0016665B"/>
    <w:pPr>
      <w:keepNext/>
      <w:keepLines/>
      <w:numPr>
        <w:numId w:val="1"/>
      </w:numPr>
      <w:pBdr>
        <w:bottom w:val="single" w:sz="24" w:space="1" w:color="1C314E" w:themeColor="accent4" w:themeShade="80"/>
      </w:pBdr>
      <w:spacing w:before="480" w:after="600"/>
      <w:ind w:left="567" w:hanging="567"/>
      <w:outlineLvl w:val="0"/>
    </w:pPr>
    <w:rPr>
      <w:rFonts w:asciiTheme="minorHAnsi" w:eastAsiaTheme="majorEastAsia" w:hAnsiTheme="minorHAnsi" w:cstheme="majorBidi"/>
      <w:b/>
      <w:bCs/>
      <w:color w:val="1C314E" w:themeColor="accent4" w:themeShade="80"/>
      <w:sz w:val="32"/>
      <w:szCs w:val="32"/>
    </w:rPr>
  </w:style>
  <w:style w:type="paragraph" w:styleId="Ttulo2">
    <w:name w:val="heading 2"/>
    <w:basedOn w:val="Normal"/>
    <w:next w:val="Normal"/>
    <w:link w:val="Ttulo2Car"/>
    <w:autoRedefine/>
    <w:uiPriority w:val="9"/>
    <w:unhideWhenUsed/>
    <w:qFormat/>
    <w:rsid w:val="002420B8"/>
    <w:pPr>
      <w:keepNext/>
      <w:keepLines/>
      <w:numPr>
        <w:ilvl w:val="1"/>
        <w:numId w:val="1"/>
      </w:numPr>
      <w:spacing w:before="360" w:after="300"/>
      <w:ind w:left="709" w:hanging="709"/>
      <w:jc w:val="both"/>
      <w:outlineLvl w:val="1"/>
    </w:pPr>
    <w:rPr>
      <w:rFonts w:asciiTheme="minorHAnsi" w:eastAsiaTheme="majorEastAsia" w:hAnsiTheme="minorHAnsi" w:cstheme="majorBidi"/>
      <w:b/>
      <w:bCs/>
      <w:color w:val="1C314E" w:themeColor="accent4" w:themeShade="80"/>
      <w:sz w:val="32"/>
      <w:szCs w:val="26"/>
    </w:rPr>
  </w:style>
  <w:style w:type="paragraph" w:styleId="Ttulo3">
    <w:name w:val="heading 3"/>
    <w:basedOn w:val="Normal"/>
    <w:next w:val="Normal"/>
    <w:link w:val="Ttulo3Car"/>
    <w:autoRedefine/>
    <w:uiPriority w:val="9"/>
    <w:unhideWhenUsed/>
    <w:qFormat/>
    <w:rsid w:val="002420B8"/>
    <w:pPr>
      <w:keepNext/>
      <w:keepLines/>
      <w:numPr>
        <w:ilvl w:val="2"/>
        <w:numId w:val="1"/>
      </w:numPr>
      <w:spacing w:before="200" w:after="300"/>
      <w:ind w:left="993" w:hanging="993"/>
      <w:outlineLvl w:val="2"/>
    </w:pPr>
    <w:rPr>
      <w:rFonts w:asciiTheme="minorHAnsi" w:eastAsiaTheme="minorEastAsia" w:hAnsiTheme="minorHAnsi"/>
      <w:b/>
      <w:color w:val="1C314E" w:themeColor="accent4" w:themeShade="80"/>
      <w:sz w:val="28"/>
      <w:lang w:eastAsia="es-ES"/>
    </w:rPr>
  </w:style>
  <w:style w:type="paragraph" w:styleId="Ttulo4">
    <w:name w:val="heading 4"/>
    <w:basedOn w:val="Prrafodelista"/>
    <w:next w:val="Normal"/>
    <w:link w:val="Ttulo4Car"/>
    <w:uiPriority w:val="9"/>
    <w:unhideWhenUsed/>
    <w:qFormat/>
    <w:rsid w:val="0016665B"/>
    <w:pPr>
      <w:numPr>
        <w:numId w:val="46"/>
      </w:numPr>
      <w:spacing w:before="360" w:after="300" w:line="276" w:lineRule="auto"/>
      <w:ind w:left="567" w:hanging="567"/>
      <w:outlineLvl w:val="3"/>
    </w:pPr>
    <w:rPr>
      <w:b/>
      <w:color w:val="1C314E" w:themeColor="accent4" w:themeShade="80"/>
      <w:sz w:val="32"/>
      <w:szCs w:val="28"/>
    </w:rPr>
  </w:style>
  <w:style w:type="paragraph" w:styleId="Ttulo5">
    <w:name w:val="heading 5"/>
    <w:basedOn w:val="Prrafodelista"/>
    <w:next w:val="Normal"/>
    <w:link w:val="Ttulo5Car"/>
    <w:autoRedefine/>
    <w:uiPriority w:val="9"/>
    <w:unhideWhenUsed/>
    <w:qFormat/>
    <w:rsid w:val="009F3B2E"/>
    <w:pPr>
      <w:numPr>
        <w:ilvl w:val="1"/>
        <w:numId w:val="46"/>
      </w:numPr>
      <w:spacing w:before="360" w:after="300" w:line="276" w:lineRule="auto"/>
      <w:ind w:left="567" w:hanging="567"/>
      <w:jc w:val="both"/>
      <w:outlineLvl w:val="4"/>
    </w:pPr>
    <w:rPr>
      <w:b/>
      <w:color w:val="1C314E" w:themeColor="accent4" w:themeShade="80"/>
      <w:sz w:val="28"/>
    </w:rPr>
  </w:style>
  <w:style w:type="paragraph" w:styleId="Ttulo6">
    <w:name w:val="heading 6"/>
    <w:basedOn w:val="Normal"/>
    <w:next w:val="Normal"/>
    <w:link w:val="Ttulo6Car"/>
    <w:uiPriority w:val="9"/>
    <w:unhideWhenUsed/>
    <w:qFormat/>
    <w:rsid w:val="00A058F5"/>
    <w:pPr>
      <w:keepNext/>
      <w:keepLines/>
      <w:numPr>
        <w:ilvl w:val="5"/>
        <w:numId w:val="1"/>
      </w:numPr>
      <w:spacing w:before="200" w:after="0"/>
      <w:outlineLvl w:val="5"/>
    </w:pPr>
    <w:rPr>
      <w:rFonts w:ascii="Times New Roman" w:eastAsiaTheme="majorEastAsia" w:hAnsi="Times New Roman" w:cstheme="majorBidi"/>
      <w:b/>
      <w:i/>
      <w:iCs/>
      <w:color w:val="008080"/>
      <w:u w:val="single"/>
    </w:rPr>
  </w:style>
  <w:style w:type="paragraph" w:styleId="Ttulo7">
    <w:name w:val="heading 7"/>
    <w:basedOn w:val="Normal"/>
    <w:next w:val="Normal"/>
    <w:link w:val="Ttulo7Car"/>
    <w:uiPriority w:val="9"/>
    <w:unhideWhenUsed/>
    <w:qFormat/>
    <w:rsid w:val="0047399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FC41F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C0D3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665B"/>
    <w:rPr>
      <w:rFonts w:eastAsiaTheme="majorEastAsia" w:cstheme="majorBidi"/>
      <w:b/>
      <w:bCs/>
      <w:color w:val="1C314E" w:themeColor="accent4" w:themeShade="80"/>
      <w:sz w:val="32"/>
      <w:szCs w:val="32"/>
    </w:rPr>
  </w:style>
  <w:style w:type="character" w:customStyle="1" w:styleId="Ttulo2Car">
    <w:name w:val="Título 2 Car"/>
    <w:basedOn w:val="Fuentedeprrafopredeter"/>
    <w:link w:val="Ttulo2"/>
    <w:uiPriority w:val="9"/>
    <w:rsid w:val="002420B8"/>
    <w:rPr>
      <w:rFonts w:eastAsiaTheme="majorEastAsia" w:cstheme="majorBidi"/>
      <w:b/>
      <w:bCs/>
      <w:color w:val="1C314E" w:themeColor="accent4" w:themeShade="80"/>
      <w:sz w:val="32"/>
      <w:szCs w:val="26"/>
    </w:rPr>
  </w:style>
  <w:style w:type="character" w:customStyle="1" w:styleId="Ttulo3Car">
    <w:name w:val="Título 3 Car"/>
    <w:basedOn w:val="Fuentedeprrafopredeter"/>
    <w:link w:val="Ttulo3"/>
    <w:uiPriority w:val="9"/>
    <w:rsid w:val="002420B8"/>
    <w:rPr>
      <w:rFonts w:eastAsiaTheme="minorEastAsia"/>
      <w:b/>
      <w:color w:val="1C314E" w:themeColor="accent4" w:themeShade="80"/>
      <w:sz w:val="28"/>
      <w:lang w:eastAsia="es-ES"/>
    </w:rPr>
  </w:style>
  <w:style w:type="character" w:customStyle="1" w:styleId="Ttulo4Car">
    <w:name w:val="Título 4 Car"/>
    <w:basedOn w:val="Fuentedeprrafopredeter"/>
    <w:link w:val="Ttulo4"/>
    <w:uiPriority w:val="9"/>
    <w:rsid w:val="0016665B"/>
    <w:rPr>
      <w:rFonts w:ascii="Calibri" w:hAnsi="Calibri"/>
      <w:b/>
      <w:color w:val="1C314E" w:themeColor="accent4" w:themeShade="80"/>
      <w:sz w:val="32"/>
      <w:szCs w:val="28"/>
    </w:rPr>
  </w:style>
  <w:style w:type="character" w:customStyle="1" w:styleId="Ttulo5Car">
    <w:name w:val="Título 5 Car"/>
    <w:basedOn w:val="Fuentedeprrafopredeter"/>
    <w:link w:val="Ttulo5"/>
    <w:uiPriority w:val="9"/>
    <w:rsid w:val="009F3B2E"/>
    <w:rPr>
      <w:rFonts w:ascii="Calibri" w:hAnsi="Calibri"/>
      <w:b/>
      <w:color w:val="1C314E" w:themeColor="accent4" w:themeShade="80"/>
      <w:sz w:val="28"/>
    </w:rPr>
  </w:style>
  <w:style w:type="character" w:customStyle="1" w:styleId="Ttulo6Car">
    <w:name w:val="Título 6 Car"/>
    <w:basedOn w:val="Fuentedeprrafopredeter"/>
    <w:link w:val="Ttulo6"/>
    <w:uiPriority w:val="9"/>
    <w:rsid w:val="00A058F5"/>
    <w:rPr>
      <w:rFonts w:ascii="Times New Roman" w:eastAsiaTheme="majorEastAsia" w:hAnsi="Times New Roman" w:cstheme="majorBidi"/>
      <w:b/>
      <w:i/>
      <w:iCs/>
      <w:color w:val="008080"/>
      <w:sz w:val="24"/>
      <w:u w:val="single"/>
    </w:rPr>
  </w:style>
  <w:style w:type="character" w:customStyle="1" w:styleId="Ttulo7Car">
    <w:name w:val="Título 7 Car"/>
    <w:basedOn w:val="Fuentedeprrafopredeter"/>
    <w:link w:val="Ttulo7"/>
    <w:uiPriority w:val="9"/>
    <w:rsid w:val="00473995"/>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rsid w:val="00FC41FF"/>
    <w:rPr>
      <w:rFonts w:asciiTheme="majorHAnsi" w:eastAsiaTheme="majorEastAsia" w:hAnsiTheme="majorHAnsi" w:cstheme="majorBidi"/>
      <w:color w:val="404040" w:themeColor="text1" w:themeTint="BF"/>
      <w:sz w:val="20"/>
      <w:szCs w:val="20"/>
    </w:rPr>
  </w:style>
  <w:style w:type="paragraph" w:styleId="Encabezado">
    <w:name w:val="header"/>
    <w:basedOn w:val="Normal"/>
    <w:link w:val="EncabezadoCar"/>
    <w:uiPriority w:val="99"/>
    <w:unhideWhenUsed/>
    <w:rsid w:val="000255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25568"/>
    <w:rPr>
      <w:rFonts w:ascii="Calibri" w:hAnsi="Calibri"/>
      <w:sz w:val="24"/>
    </w:rPr>
  </w:style>
  <w:style w:type="paragraph" w:styleId="Piedepgina">
    <w:name w:val="footer"/>
    <w:basedOn w:val="Normal"/>
    <w:link w:val="PiedepginaCar"/>
    <w:uiPriority w:val="99"/>
    <w:unhideWhenUsed/>
    <w:rsid w:val="000255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5568"/>
    <w:rPr>
      <w:rFonts w:ascii="Calibri" w:hAnsi="Calibri"/>
      <w:sz w:val="24"/>
    </w:rPr>
  </w:style>
  <w:style w:type="character" w:styleId="Hipervnculo">
    <w:name w:val="Hyperlink"/>
    <w:basedOn w:val="Fuentedeprrafopredeter"/>
    <w:uiPriority w:val="99"/>
    <w:rsid w:val="00025568"/>
    <w:rPr>
      <w:color w:val="0000FF"/>
      <w:u w:val="single"/>
    </w:rPr>
  </w:style>
  <w:style w:type="paragraph" w:styleId="Sinespaciado">
    <w:name w:val="No Spacing"/>
    <w:link w:val="SinespaciadoCar"/>
    <w:uiPriority w:val="1"/>
    <w:qFormat/>
    <w:rsid w:val="0002556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025568"/>
    <w:rPr>
      <w:rFonts w:eastAsiaTheme="minorEastAsia"/>
      <w:lang w:eastAsia="es-ES"/>
    </w:rPr>
  </w:style>
  <w:style w:type="paragraph" w:styleId="Mapadeldocumento">
    <w:name w:val="Document Map"/>
    <w:basedOn w:val="Normal"/>
    <w:link w:val="MapadeldocumentoCar"/>
    <w:uiPriority w:val="99"/>
    <w:semiHidden/>
    <w:unhideWhenUsed/>
    <w:rsid w:val="0002556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25568"/>
    <w:rPr>
      <w:rFonts w:ascii="Tahoma" w:hAnsi="Tahoma" w:cs="Tahoma"/>
      <w:sz w:val="16"/>
      <w:szCs w:val="16"/>
    </w:rPr>
  </w:style>
  <w:style w:type="paragraph" w:styleId="Textodeglobo">
    <w:name w:val="Balloon Text"/>
    <w:basedOn w:val="Normal"/>
    <w:link w:val="TextodegloboCar"/>
    <w:uiPriority w:val="99"/>
    <w:semiHidden/>
    <w:unhideWhenUsed/>
    <w:rsid w:val="000255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5568"/>
    <w:rPr>
      <w:rFonts w:ascii="Tahoma" w:hAnsi="Tahoma" w:cs="Tahoma"/>
      <w:sz w:val="16"/>
      <w:szCs w:val="16"/>
    </w:rPr>
  </w:style>
  <w:style w:type="character" w:styleId="Textoennegrita">
    <w:name w:val="Strong"/>
    <w:basedOn w:val="Fuentedeprrafopredeter"/>
    <w:uiPriority w:val="22"/>
    <w:qFormat/>
    <w:rsid w:val="00FB24FB"/>
    <w:rPr>
      <w:b/>
      <w:bCs/>
    </w:rPr>
  </w:style>
  <w:style w:type="paragraph" w:styleId="Textonotapie">
    <w:name w:val="footnote text"/>
    <w:basedOn w:val="Normal"/>
    <w:link w:val="TextonotapieCar"/>
    <w:semiHidden/>
    <w:rsid w:val="00271668"/>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271668"/>
    <w:rPr>
      <w:rFonts w:ascii="Times New Roman" w:eastAsia="Times New Roman" w:hAnsi="Times New Roman" w:cs="Times New Roman"/>
      <w:sz w:val="20"/>
      <w:szCs w:val="20"/>
      <w:lang w:val="es-ES_tradnl" w:eastAsia="es-ES"/>
    </w:rPr>
  </w:style>
  <w:style w:type="character" w:customStyle="1" w:styleId="webpageurl">
    <w:name w:val="webpageurl"/>
    <w:basedOn w:val="Fuentedeprrafopredeter"/>
    <w:rsid w:val="008D0914"/>
  </w:style>
  <w:style w:type="paragraph" w:styleId="Prrafodelista">
    <w:name w:val="List Paragraph"/>
    <w:basedOn w:val="Normal"/>
    <w:uiPriority w:val="34"/>
    <w:qFormat/>
    <w:rsid w:val="00FC7512"/>
    <w:pPr>
      <w:spacing w:after="0" w:line="240" w:lineRule="auto"/>
      <w:ind w:left="720"/>
      <w:contextualSpacing/>
    </w:pPr>
  </w:style>
  <w:style w:type="character" w:styleId="nfasis">
    <w:name w:val="Emphasis"/>
    <w:basedOn w:val="Fuentedeprrafopredeter"/>
    <w:uiPriority w:val="20"/>
    <w:qFormat/>
    <w:rsid w:val="00F41877"/>
    <w:rPr>
      <w:i/>
      <w:iCs/>
    </w:rPr>
  </w:style>
  <w:style w:type="paragraph" w:customStyle="1" w:styleId="Default">
    <w:name w:val="Default"/>
    <w:rsid w:val="00F41877"/>
    <w:pPr>
      <w:autoSpaceDE w:val="0"/>
      <w:autoSpaceDN w:val="0"/>
      <w:adjustRightInd w:val="0"/>
      <w:spacing w:after="0" w:line="240" w:lineRule="auto"/>
    </w:pPr>
    <w:rPr>
      <w:rFonts w:ascii="BdE Neue Helvetica" w:hAnsi="BdE Neue Helvetica" w:cs="BdE Neue Helvetica"/>
      <w:color w:val="000000"/>
      <w:sz w:val="24"/>
      <w:szCs w:val="24"/>
    </w:rPr>
  </w:style>
  <w:style w:type="character" w:customStyle="1" w:styleId="apple-converted-space">
    <w:name w:val="apple-converted-space"/>
    <w:basedOn w:val="Fuentedeprrafopredeter"/>
    <w:rsid w:val="00C16C14"/>
  </w:style>
  <w:style w:type="paragraph" w:customStyle="1" w:styleId="Pa12">
    <w:name w:val="Pa12"/>
    <w:basedOn w:val="Default"/>
    <w:next w:val="Default"/>
    <w:uiPriority w:val="99"/>
    <w:rsid w:val="000651AF"/>
    <w:pPr>
      <w:spacing w:line="201" w:lineRule="atLeast"/>
    </w:pPr>
    <w:rPr>
      <w:rFonts w:ascii="Arial" w:hAnsi="Arial" w:cs="Arial"/>
      <w:color w:val="auto"/>
    </w:rPr>
  </w:style>
  <w:style w:type="paragraph" w:customStyle="1" w:styleId="Pa9">
    <w:name w:val="Pa9"/>
    <w:basedOn w:val="Default"/>
    <w:next w:val="Default"/>
    <w:uiPriority w:val="99"/>
    <w:rsid w:val="000651AF"/>
    <w:pPr>
      <w:spacing w:line="201" w:lineRule="atLeast"/>
    </w:pPr>
    <w:rPr>
      <w:rFonts w:ascii="Arial" w:hAnsi="Arial" w:cs="Arial"/>
      <w:color w:val="auto"/>
    </w:rPr>
  </w:style>
  <w:style w:type="paragraph" w:customStyle="1" w:styleId="Pa8">
    <w:name w:val="Pa8"/>
    <w:basedOn w:val="Default"/>
    <w:next w:val="Default"/>
    <w:uiPriority w:val="99"/>
    <w:rsid w:val="000651AF"/>
    <w:pPr>
      <w:spacing w:line="201" w:lineRule="atLeast"/>
    </w:pPr>
    <w:rPr>
      <w:rFonts w:ascii="Arial" w:hAnsi="Arial" w:cs="Arial"/>
      <w:color w:val="auto"/>
    </w:rPr>
  </w:style>
  <w:style w:type="paragraph" w:customStyle="1" w:styleId="Pa13">
    <w:name w:val="Pa13"/>
    <w:basedOn w:val="Default"/>
    <w:next w:val="Default"/>
    <w:uiPriority w:val="99"/>
    <w:rsid w:val="000651AF"/>
    <w:pPr>
      <w:spacing w:line="201" w:lineRule="atLeast"/>
    </w:pPr>
    <w:rPr>
      <w:rFonts w:ascii="Arial" w:hAnsi="Arial" w:cs="Arial"/>
      <w:color w:val="auto"/>
    </w:rPr>
  </w:style>
  <w:style w:type="paragraph" w:customStyle="1" w:styleId="Pa17">
    <w:name w:val="Pa17"/>
    <w:basedOn w:val="Default"/>
    <w:next w:val="Default"/>
    <w:uiPriority w:val="99"/>
    <w:rsid w:val="005418E5"/>
    <w:pPr>
      <w:spacing w:line="201" w:lineRule="atLeast"/>
    </w:pPr>
    <w:rPr>
      <w:rFonts w:ascii="Arial" w:hAnsi="Arial" w:cs="Arial"/>
      <w:color w:val="auto"/>
    </w:rPr>
  </w:style>
  <w:style w:type="paragraph" w:customStyle="1" w:styleId="Pa14">
    <w:name w:val="Pa14"/>
    <w:basedOn w:val="Default"/>
    <w:next w:val="Default"/>
    <w:uiPriority w:val="99"/>
    <w:rsid w:val="005418E5"/>
    <w:pPr>
      <w:spacing w:line="201" w:lineRule="atLeast"/>
    </w:pPr>
    <w:rPr>
      <w:rFonts w:ascii="Arial" w:hAnsi="Arial" w:cs="Arial"/>
      <w:color w:val="auto"/>
    </w:rPr>
  </w:style>
  <w:style w:type="character" w:styleId="Hipervnculovisitado">
    <w:name w:val="FollowedHyperlink"/>
    <w:basedOn w:val="Fuentedeprrafopredeter"/>
    <w:uiPriority w:val="99"/>
    <w:semiHidden/>
    <w:unhideWhenUsed/>
    <w:rsid w:val="005D0B62"/>
    <w:rPr>
      <w:color w:val="44B9E8" w:themeColor="followedHyperlink"/>
      <w:u w:val="single"/>
    </w:rPr>
  </w:style>
  <w:style w:type="paragraph" w:styleId="Textocomentario">
    <w:name w:val="annotation text"/>
    <w:basedOn w:val="Normal"/>
    <w:link w:val="TextocomentarioCar"/>
    <w:uiPriority w:val="99"/>
    <w:semiHidden/>
    <w:unhideWhenUsed/>
    <w:rsid w:val="00EE236C"/>
    <w:pPr>
      <w:spacing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EE236C"/>
    <w:rPr>
      <w:sz w:val="20"/>
      <w:szCs w:val="20"/>
    </w:rPr>
  </w:style>
  <w:style w:type="paragraph" w:customStyle="1" w:styleId="Pa01">
    <w:name w:val="Pa0+1"/>
    <w:basedOn w:val="Default"/>
    <w:next w:val="Default"/>
    <w:uiPriority w:val="99"/>
    <w:rsid w:val="001C769E"/>
    <w:pPr>
      <w:spacing w:line="201" w:lineRule="atLeast"/>
    </w:pPr>
    <w:rPr>
      <w:rFonts w:ascii="Lato" w:hAnsi="Lato" w:cstheme="minorBidi"/>
      <w:color w:val="auto"/>
    </w:rPr>
  </w:style>
  <w:style w:type="character" w:customStyle="1" w:styleId="A16">
    <w:name w:val="A16"/>
    <w:uiPriority w:val="99"/>
    <w:rsid w:val="00CB5182"/>
    <w:rPr>
      <w:rFonts w:cs="Lato Heavy"/>
      <w:b/>
      <w:bCs/>
      <w:color w:val="221E1F"/>
      <w:sz w:val="52"/>
      <w:szCs w:val="52"/>
    </w:rPr>
  </w:style>
  <w:style w:type="paragraph" w:styleId="NormalWeb">
    <w:name w:val="Normal (Web)"/>
    <w:basedOn w:val="Normal"/>
    <w:uiPriority w:val="99"/>
    <w:unhideWhenUsed/>
    <w:rsid w:val="009101F7"/>
    <w:pPr>
      <w:spacing w:before="100" w:beforeAutospacing="1" w:after="100" w:afterAutospacing="1" w:line="240" w:lineRule="auto"/>
    </w:pPr>
    <w:rPr>
      <w:rFonts w:ascii="Times New Roman" w:eastAsia="Times New Roman" w:hAnsi="Times New Roman" w:cs="Times New Roman"/>
      <w:szCs w:val="24"/>
      <w:lang w:eastAsia="es-ES"/>
    </w:rPr>
  </w:style>
  <w:style w:type="table" w:styleId="Tablaconcuadrcula">
    <w:name w:val="Table Grid"/>
    <w:basedOn w:val="Tablanormal"/>
    <w:uiPriority w:val="59"/>
    <w:rsid w:val="00DD3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egrita">
    <w:name w:val="textonegrita"/>
    <w:basedOn w:val="Fuentedeprrafopredeter"/>
    <w:rsid w:val="00C62DF4"/>
  </w:style>
  <w:style w:type="paragraph" w:customStyle="1" w:styleId="textocursiva">
    <w:name w:val="textocursiva"/>
    <w:basedOn w:val="Normal"/>
    <w:rsid w:val="005D7F49"/>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textojustificado">
    <w:name w:val="textojustificado"/>
    <w:basedOn w:val="Normal"/>
    <w:rsid w:val="00540903"/>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fontsize19">
    <w:name w:val="fontsize19"/>
    <w:basedOn w:val="Normal"/>
    <w:rsid w:val="00FB0FD4"/>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letragrisacea">
    <w:name w:val="letra_grisacea"/>
    <w:basedOn w:val="Normal"/>
    <w:rsid w:val="00FB0FD4"/>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separadorlinea">
    <w:name w:val="separador_linea"/>
    <w:basedOn w:val="Normal"/>
    <w:rsid w:val="00D81485"/>
    <w:pPr>
      <w:spacing w:before="100" w:beforeAutospacing="1" w:after="100" w:afterAutospacing="1" w:line="240" w:lineRule="auto"/>
    </w:pPr>
    <w:rPr>
      <w:rFonts w:ascii="Times New Roman" w:eastAsia="Times New Roman" w:hAnsi="Times New Roman" w:cs="Times New Roman"/>
      <w:szCs w:val="24"/>
      <w:lang w:eastAsia="es-ES"/>
    </w:rPr>
  </w:style>
  <w:style w:type="character" w:customStyle="1" w:styleId="pre-title">
    <w:name w:val="pre-title"/>
    <w:basedOn w:val="Fuentedeprrafopredeter"/>
    <w:rsid w:val="00D81485"/>
  </w:style>
  <w:style w:type="character" w:customStyle="1" w:styleId="colorazul">
    <w:name w:val="colorazul"/>
    <w:basedOn w:val="Fuentedeprrafopredeter"/>
    <w:rsid w:val="00FE58EC"/>
  </w:style>
  <w:style w:type="paragraph" w:customStyle="1" w:styleId="txtmedia">
    <w:name w:val="txt_media"/>
    <w:basedOn w:val="Normal"/>
    <w:rsid w:val="00FE58EC"/>
    <w:pPr>
      <w:spacing w:before="100" w:beforeAutospacing="1" w:after="100" w:afterAutospacing="1" w:line="240" w:lineRule="auto"/>
    </w:pPr>
    <w:rPr>
      <w:rFonts w:ascii="Times New Roman" w:eastAsia="Times New Roman" w:hAnsi="Times New Roman" w:cs="Times New Roman"/>
      <w:szCs w:val="24"/>
      <w:lang w:eastAsia="es-ES"/>
    </w:rPr>
  </w:style>
  <w:style w:type="paragraph" w:styleId="z-Principiodelformulario">
    <w:name w:val="HTML Top of Form"/>
    <w:basedOn w:val="Normal"/>
    <w:next w:val="Normal"/>
    <w:link w:val="z-PrincipiodelformularioCar"/>
    <w:hidden/>
    <w:uiPriority w:val="99"/>
    <w:semiHidden/>
    <w:unhideWhenUsed/>
    <w:rsid w:val="00FE58EC"/>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FE58EC"/>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FE58EC"/>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FE58EC"/>
    <w:rPr>
      <w:rFonts w:ascii="Arial" w:eastAsia="Times New Roman" w:hAnsi="Arial" w:cs="Arial"/>
      <w:vanish/>
      <w:sz w:val="16"/>
      <w:szCs w:val="16"/>
      <w:lang w:eastAsia="es-ES"/>
    </w:rPr>
  </w:style>
  <w:style w:type="character" w:customStyle="1" w:styleId="textonegrita1">
    <w:name w:val="textonegrita1"/>
    <w:basedOn w:val="Fuentedeprrafopredeter"/>
    <w:rsid w:val="00FE58EC"/>
  </w:style>
  <w:style w:type="paragraph" w:customStyle="1" w:styleId="txt-big">
    <w:name w:val="txt-big"/>
    <w:basedOn w:val="Normal"/>
    <w:rsid w:val="00824DF2"/>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parrafo">
    <w:name w:val="parrafo"/>
    <w:basedOn w:val="Normal"/>
    <w:rsid w:val="00A4672D"/>
    <w:pPr>
      <w:spacing w:before="100" w:beforeAutospacing="1" w:after="100" w:afterAutospacing="1" w:line="240" w:lineRule="auto"/>
    </w:pPr>
    <w:rPr>
      <w:rFonts w:ascii="Times New Roman" w:eastAsia="Times New Roman" w:hAnsi="Times New Roman" w:cs="Times New Roman"/>
      <w:szCs w:val="24"/>
      <w:lang w:eastAsia="es-ES"/>
    </w:rPr>
  </w:style>
  <w:style w:type="character" w:customStyle="1" w:styleId="ms-rtestyle-h4ladillo3">
    <w:name w:val="ms-rtestyle-h4ladillo3"/>
    <w:basedOn w:val="Fuentedeprrafopredeter"/>
    <w:rsid w:val="007862D7"/>
  </w:style>
  <w:style w:type="character" w:customStyle="1" w:styleId="break">
    <w:name w:val="break"/>
    <w:basedOn w:val="Fuentedeprrafopredeter"/>
    <w:rsid w:val="007F6BA0"/>
  </w:style>
  <w:style w:type="character" w:customStyle="1" w:styleId="trash">
    <w:name w:val="trash"/>
    <w:basedOn w:val="Fuentedeprrafopredeter"/>
    <w:rsid w:val="00067AF8"/>
  </w:style>
  <w:style w:type="character" w:customStyle="1" w:styleId="ui-selectmenu-text">
    <w:name w:val="ui-selectmenu-text"/>
    <w:basedOn w:val="Fuentedeprrafopredeter"/>
    <w:rsid w:val="000517A5"/>
  </w:style>
  <w:style w:type="character" w:customStyle="1" w:styleId="formlabel">
    <w:name w:val="form__label"/>
    <w:basedOn w:val="Fuentedeprrafopredeter"/>
    <w:rsid w:val="000517A5"/>
  </w:style>
  <w:style w:type="character" w:customStyle="1" w:styleId="fmf-lbl-description">
    <w:name w:val="fmf-lbl-description"/>
    <w:basedOn w:val="Fuentedeprrafopredeter"/>
    <w:rsid w:val="000517A5"/>
  </w:style>
  <w:style w:type="paragraph" w:customStyle="1" w:styleId="ficha-pie-imagen-cursiva">
    <w:name w:val="ficha-pie-imagen-cursiva"/>
    <w:basedOn w:val="Normal"/>
    <w:rsid w:val="00822883"/>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Pa18">
    <w:name w:val="Pa18"/>
    <w:basedOn w:val="Default"/>
    <w:next w:val="Default"/>
    <w:uiPriority w:val="99"/>
    <w:rsid w:val="006A499F"/>
    <w:pPr>
      <w:spacing w:line="201" w:lineRule="atLeast"/>
    </w:pPr>
    <w:rPr>
      <w:rFonts w:ascii="Arial" w:hAnsi="Arial" w:cs="Arial"/>
      <w:color w:val="auto"/>
    </w:rPr>
  </w:style>
  <w:style w:type="table" w:customStyle="1" w:styleId="Sombreadomedio12">
    <w:name w:val="Sombreado medio 12"/>
    <w:basedOn w:val="Tablanormal"/>
    <w:uiPriority w:val="63"/>
    <w:rsid w:val="00251C9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tulodeTDC">
    <w:name w:val="TOC Heading"/>
    <w:basedOn w:val="Ttulo1"/>
    <w:next w:val="Normal"/>
    <w:uiPriority w:val="39"/>
    <w:unhideWhenUsed/>
    <w:qFormat/>
    <w:rsid w:val="00D36E76"/>
    <w:pPr>
      <w:pBdr>
        <w:bottom w:val="none" w:sz="0" w:space="0" w:color="auto"/>
      </w:pBdr>
      <w:outlineLvl w:val="9"/>
    </w:pPr>
    <w:rPr>
      <w:rFonts w:asciiTheme="majorHAnsi" w:hAnsiTheme="majorHAnsi"/>
      <w:color w:val="16515F" w:themeColor="accent1" w:themeShade="80"/>
      <w:sz w:val="28"/>
    </w:rPr>
  </w:style>
  <w:style w:type="paragraph" w:styleId="TDC1">
    <w:name w:val="toc 1"/>
    <w:basedOn w:val="Normal"/>
    <w:next w:val="Normal"/>
    <w:autoRedefine/>
    <w:uiPriority w:val="39"/>
    <w:unhideWhenUsed/>
    <w:rsid w:val="00345AFF"/>
    <w:pPr>
      <w:spacing w:after="100"/>
      <w:ind w:left="284" w:hanging="284"/>
    </w:pPr>
  </w:style>
  <w:style w:type="paragraph" w:styleId="TDC2">
    <w:name w:val="toc 2"/>
    <w:basedOn w:val="Normal"/>
    <w:next w:val="Normal"/>
    <w:autoRedefine/>
    <w:uiPriority w:val="39"/>
    <w:unhideWhenUsed/>
    <w:rsid w:val="00345AFF"/>
    <w:pPr>
      <w:spacing w:after="100"/>
      <w:ind w:left="851" w:hanging="567"/>
    </w:pPr>
  </w:style>
  <w:style w:type="paragraph" w:styleId="TDC3">
    <w:name w:val="toc 3"/>
    <w:basedOn w:val="Normal"/>
    <w:next w:val="Normal"/>
    <w:autoRedefine/>
    <w:uiPriority w:val="39"/>
    <w:unhideWhenUsed/>
    <w:rsid w:val="00345AFF"/>
    <w:pPr>
      <w:spacing w:after="100"/>
      <w:ind w:left="1418" w:hanging="851"/>
    </w:pPr>
  </w:style>
  <w:style w:type="paragraph" w:styleId="Revisin">
    <w:name w:val="Revision"/>
    <w:hidden/>
    <w:uiPriority w:val="99"/>
    <w:semiHidden/>
    <w:rsid w:val="005B5A48"/>
    <w:pPr>
      <w:spacing w:after="0" w:line="240" w:lineRule="auto"/>
    </w:pPr>
    <w:rPr>
      <w:rFonts w:ascii="Calibri" w:hAnsi="Calibri"/>
      <w:sz w:val="24"/>
    </w:rPr>
  </w:style>
  <w:style w:type="character" w:styleId="Refdecomentario">
    <w:name w:val="annotation reference"/>
    <w:basedOn w:val="Fuentedeprrafopredeter"/>
    <w:uiPriority w:val="99"/>
    <w:semiHidden/>
    <w:unhideWhenUsed/>
    <w:rsid w:val="00974822"/>
    <w:rPr>
      <w:sz w:val="16"/>
      <w:szCs w:val="16"/>
    </w:rPr>
  </w:style>
  <w:style w:type="paragraph" w:styleId="Asuntodelcomentario">
    <w:name w:val="annotation subject"/>
    <w:basedOn w:val="Textocomentario"/>
    <w:next w:val="Textocomentario"/>
    <w:link w:val="AsuntodelcomentarioCar"/>
    <w:uiPriority w:val="99"/>
    <w:semiHidden/>
    <w:unhideWhenUsed/>
    <w:rsid w:val="00974822"/>
    <w:rPr>
      <w:rFonts w:ascii="Calibri" w:hAnsi="Calibri"/>
      <w:b/>
      <w:bCs/>
    </w:rPr>
  </w:style>
  <w:style w:type="character" w:customStyle="1" w:styleId="AsuntodelcomentarioCar">
    <w:name w:val="Asunto del comentario Car"/>
    <w:basedOn w:val="TextocomentarioCar"/>
    <w:link w:val="Asuntodelcomentario"/>
    <w:uiPriority w:val="99"/>
    <w:semiHidden/>
    <w:rsid w:val="00974822"/>
    <w:rPr>
      <w:rFonts w:ascii="Calibri" w:hAnsi="Calibri"/>
      <w:b/>
      <w:bCs/>
      <w:sz w:val="20"/>
      <w:szCs w:val="20"/>
    </w:rPr>
  </w:style>
  <w:style w:type="character" w:customStyle="1" w:styleId="Ttulo9Car">
    <w:name w:val="Título 9 Car"/>
    <w:basedOn w:val="Fuentedeprrafopredeter"/>
    <w:link w:val="Ttulo9"/>
    <w:uiPriority w:val="9"/>
    <w:semiHidden/>
    <w:rsid w:val="007C0D35"/>
    <w:rPr>
      <w:rFonts w:asciiTheme="majorHAnsi" w:eastAsiaTheme="majorEastAsia" w:hAnsiTheme="majorHAnsi" w:cstheme="majorBidi"/>
      <w:i/>
      <w:iCs/>
      <w:color w:val="404040" w:themeColor="text1" w:themeTint="BF"/>
      <w:sz w:val="20"/>
      <w:szCs w:val="20"/>
    </w:rPr>
  </w:style>
  <w:style w:type="numbering" w:customStyle="1" w:styleId="Estilo1">
    <w:name w:val="Estilo1"/>
    <w:uiPriority w:val="99"/>
    <w:rsid w:val="0027275C"/>
    <w:pPr>
      <w:numPr>
        <w:numId w:val="2"/>
      </w:numPr>
    </w:pPr>
  </w:style>
  <w:style w:type="paragraph" w:styleId="Ttulo">
    <w:name w:val="Title"/>
    <w:basedOn w:val="Normal"/>
    <w:next w:val="Normal"/>
    <w:link w:val="TtuloCar"/>
    <w:autoRedefine/>
    <w:uiPriority w:val="10"/>
    <w:qFormat/>
    <w:rsid w:val="001B6A7A"/>
    <w:pPr>
      <w:pBdr>
        <w:bottom w:val="single" w:sz="24" w:space="1" w:color="auto"/>
      </w:pBdr>
      <w:spacing w:before="480" w:after="600"/>
      <w:jc w:val="both"/>
    </w:pPr>
    <w:rPr>
      <w:rFonts w:asciiTheme="minorHAnsi" w:eastAsiaTheme="majorEastAsia" w:hAnsiTheme="minorHAnsi" w:cstheme="majorBidi"/>
      <w:b/>
      <w:bCs/>
      <w:color w:val="1C314E" w:themeColor="accent4" w:themeShade="80"/>
      <w:sz w:val="32"/>
      <w:szCs w:val="32"/>
    </w:rPr>
  </w:style>
  <w:style w:type="paragraph" w:styleId="TDC4">
    <w:name w:val="toc 4"/>
    <w:basedOn w:val="Normal"/>
    <w:next w:val="Normal"/>
    <w:autoRedefine/>
    <w:uiPriority w:val="39"/>
    <w:semiHidden/>
    <w:unhideWhenUsed/>
    <w:rsid w:val="00FD4F60"/>
    <w:pPr>
      <w:spacing w:after="100"/>
    </w:pPr>
  </w:style>
  <w:style w:type="character" w:customStyle="1" w:styleId="TtuloCar">
    <w:name w:val="Título Car"/>
    <w:basedOn w:val="Fuentedeprrafopredeter"/>
    <w:link w:val="Ttulo"/>
    <w:uiPriority w:val="10"/>
    <w:rsid w:val="001B6A7A"/>
    <w:rPr>
      <w:rFonts w:eastAsiaTheme="majorEastAsia" w:cstheme="majorBidi"/>
      <w:b/>
      <w:bCs/>
      <w:color w:val="1C314E" w:themeColor="accent4" w:themeShade="80"/>
      <w:sz w:val="32"/>
      <w:szCs w:val="32"/>
    </w:rPr>
  </w:style>
</w:styles>
</file>

<file path=word/webSettings.xml><?xml version="1.0" encoding="utf-8"?>
<w:webSettings xmlns:r="http://schemas.openxmlformats.org/officeDocument/2006/relationships" xmlns:w="http://schemas.openxmlformats.org/wordprocessingml/2006/main">
  <w:divs>
    <w:div w:id="4014566">
      <w:bodyDiv w:val="1"/>
      <w:marLeft w:val="0"/>
      <w:marRight w:val="0"/>
      <w:marTop w:val="0"/>
      <w:marBottom w:val="0"/>
      <w:divBdr>
        <w:top w:val="none" w:sz="0" w:space="0" w:color="auto"/>
        <w:left w:val="none" w:sz="0" w:space="0" w:color="auto"/>
        <w:bottom w:val="none" w:sz="0" w:space="0" w:color="auto"/>
        <w:right w:val="none" w:sz="0" w:space="0" w:color="auto"/>
      </w:divBdr>
      <w:divsChild>
        <w:div w:id="548567238">
          <w:marLeft w:val="0"/>
          <w:marRight w:val="0"/>
          <w:marTop w:val="0"/>
          <w:marBottom w:val="0"/>
          <w:divBdr>
            <w:top w:val="none" w:sz="0" w:space="0" w:color="auto"/>
            <w:left w:val="none" w:sz="0" w:space="0" w:color="auto"/>
            <w:bottom w:val="none" w:sz="0" w:space="0" w:color="auto"/>
            <w:right w:val="none" w:sz="0" w:space="0" w:color="auto"/>
          </w:divBdr>
        </w:div>
      </w:divsChild>
    </w:div>
    <w:div w:id="10038671">
      <w:bodyDiv w:val="1"/>
      <w:marLeft w:val="0"/>
      <w:marRight w:val="0"/>
      <w:marTop w:val="0"/>
      <w:marBottom w:val="0"/>
      <w:divBdr>
        <w:top w:val="none" w:sz="0" w:space="0" w:color="auto"/>
        <w:left w:val="none" w:sz="0" w:space="0" w:color="auto"/>
        <w:bottom w:val="none" w:sz="0" w:space="0" w:color="auto"/>
        <w:right w:val="none" w:sz="0" w:space="0" w:color="auto"/>
      </w:divBdr>
    </w:div>
    <w:div w:id="12922737">
      <w:bodyDiv w:val="1"/>
      <w:marLeft w:val="0"/>
      <w:marRight w:val="0"/>
      <w:marTop w:val="0"/>
      <w:marBottom w:val="0"/>
      <w:divBdr>
        <w:top w:val="none" w:sz="0" w:space="0" w:color="auto"/>
        <w:left w:val="none" w:sz="0" w:space="0" w:color="auto"/>
        <w:bottom w:val="none" w:sz="0" w:space="0" w:color="auto"/>
        <w:right w:val="none" w:sz="0" w:space="0" w:color="auto"/>
      </w:divBdr>
    </w:div>
    <w:div w:id="29301921">
      <w:bodyDiv w:val="1"/>
      <w:marLeft w:val="0"/>
      <w:marRight w:val="0"/>
      <w:marTop w:val="0"/>
      <w:marBottom w:val="0"/>
      <w:divBdr>
        <w:top w:val="none" w:sz="0" w:space="0" w:color="auto"/>
        <w:left w:val="none" w:sz="0" w:space="0" w:color="auto"/>
        <w:bottom w:val="none" w:sz="0" w:space="0" w:color="auto"/>
        <w:right w:val="none" w:sz="0" w:space="0" w:color="auto"/>
      </w:divBdr>
      <w:divsChild>
        <w:div w:id="1356350599">
          <w:marLeft w:val="0"/>
          <w:marRight w:val="0"/>
          <w:marTop w:val="0"/>
          <w:marBottom w:val="0"/>
          <w:divBdr>
            <w:top w:val="none" w:sz="0" w:space="0" w:color="auto"/>
            <w:left w:val="none" w:sz="0" w:space="0" w:color="auto"/>
            <w:bottom w:val="none" w:sz="0" w:space="0" w:color="auto"/>
            <w:right w:val="none" w:sz="0" w:space="0" w:color="auto"/>
          </w:divBdr>
        </w:div>
        <w:div w:id="474421074">
          <w:marLeft w:val="0"/>
          <w:marRight w:val="0"/>
          <w:marTop w:val="0"/>
          <w:marBottom w:val="0"/>
          <w:divBdr>
            <w:top w:val="none" w:sz="0" w:space="0" w:color="auto"/>
            <w:left w:val="none" w:sz="0" w:space="0" w:color="auto"/>
            <w:bottom w:val="none" w:sz="0" w:space="0" w:color="auto"/>
            <w:right w:val="none" w:sz="0" w:space="0" w:color="auto"/>
          </w:divBdr>
        </w:div>
        <w:div w:id="1057247177">
          <w:marLeft w:val="0"/>
          <w:marRight w:val="0"/>
          <w:marTop w:val="0"/>
          <w:marBottom w:val="0"/>
          <w:divBdr>
            <w:top w:val="none" w:sz="0" w:space="0" w:color="auto"/>
            <w:left w:val="none" w:sz="0" w:space="0" w:color="auto"/>
            <w:bottom w:val="none" w:sz="0" w:space="0" w:color="auto"/>
            <w:right w:val="none" w:sz="0" w:space="0" w:color="auto"/>
          </w:divBdr>
        </w:div>
        <w:div w:id="1759521421">
          <w:marLeft w:val="0"/>
          <w:marRight w:val="0"/>
          <w:marTop w:val="0"/>
          <w:marBottom w:val="0"/>
          <w:divBdr>
            <w:top w:val="none" w:sz="0" w:space="0" w:color="auto"/>
            <w:left w:val="none" w:sz="0" w:space="0" w:color="auto"/>
            <w:bottom w:val="none" w:sz="0" w:space="0" w:color="auto"/>
            <w:right w:val="none" w:sz="0" w:space="0" w:color="auto"/>
          </w:divBdr>
        </w:div>
        <w:div w:id="145897834">
          <w:marLeft w:val="0"/>
          <w:marRight w:val="0"/>
          <w:marTop w:val="0"/>
          <w:marBottom w:val="0"/>
          <w:divBdr>
            <w:top w:val="none" w:sz="0" w:space="0" w:color="auto"/>
            <w:left w:val="none" w:sz="0" w:space="0" w:color="auto"/>
            <w:bottom w:val="none" w:sz="0" w:space="0" w:color="auto"/>
            <w:right w:val="none" w:sz="0" w:space="0" w:color="auto"/>
          </w:divBdr>
        </w:div>
        <w:div w:id="1070881492">
          <w:marLeft w:val="0"/>
          <w:marRight w:val="0"/>
          <w:marTop w:val="0"/>
          <w:marBottom w:val="0"/>
          <w:divBdr>
            <w:top w:val="none" w:sz="0" w:space="0" w:color="auto"/>
            <w:left w:val="none" w:sz="0" w:space="0" w:color="auto"/>
            <w:bottom w:val="none" w:sz="0" w:space="0" w:color="auto"/>
            <w:right w:val="none" w:sz="0" w:space="0" w:color="auto"/>
          </w:divBdr>
        </w:div>
        <w:div w:id="439959231">
          <w:marLeft w:val="0"/>
          <w:marRight w:val="0"/>
          <w:marTop w:val="0"/>
          <w:marBottom w:val="0"/>
          <w:divBdr>
            <w:top w:val="none" w:sz="0" w:space="0" w:color="auto"/>
            <w:left w:val="none" w:sz="0" w:space="0" w:color="auto"/>
            <w:bottom w:val="none" w:sz="0" w:space="0" w:color="auto"/>
            <w:right w:val="none" w:sz="0" w:space="0" w:color="auto"/>
          </w:divBdr>
        </w:div>
        <w:div w:id="827210320">
          <w:marLeft w:val="0"/>
          <w:marRight w:val="0"/>
          <w:marTop w:val="0"/>
          <w:marBottom w:val="0"/>
          <w:divBdr>
            <w:top w:val="none" w:sz="0" w:space="0" w:color="auto"/>
            <w:left w:val="none" w:sz="0" w:space="0" w:color="auto"/>
            <w:bottom w:val="none" w:sz="0" w:space="0" w:color="auto"/>
            <w:right w:val="none" w:sz="0" w:space="0" w:color="auto"/>
          </w:divBdr>
        </w:div>
        <w:div w:id="685522302">
          <w:marLeft w:val="0"/>
          <w:marRight w:val="0"/>
          <w:marTop w:val="0"/>
          <w:marBottom w:val="0"/>
          <w:divBdr>
            <w:top w:val="none" w:sz="0" w:space="0" w:color="auto"/>
            <w:left w:val="none" w:sz="0" w:space="0" w:color="auto"/>
            <w:bottom w:val="none" w:sz="0" w:space="0" w:color="auto"/>
            <w:right w:val="none" w:sz="0" w:space="0" w:color="auto"/>
          </w:divBdr>
        </w:div>
        <w:div w:id="782114541">
          <w:marLeft w:val="0"/>
          <w:marRight w:val="0"/>
          <w:marTop w:val="0"/>
          <w:marBottom w:val="0"/>
          <w:divBdr>
            <w:top w:val="none" w:sz="0" w:space="0" w:color="auto"/>
            <w:left w:val="none" w:sz="0" w:space="0" w:color="auto"/>
            <w:bottom w:val="none" w:sz="0" w:space="0" w:color="auto"/>
            <w:right w:val="none" w:sz="0" w:space="0" w:color="auto"/>
          </w:divBdr>
        </w:div>
        <w:div w:id="2112384822">
          <w:marLeft w:val="0"/>
          <w:marRight w:val="0"/>
          <w:marTop w:val="0"/>
          <w:marBottom w:val="0"/>
          <w:divBdr>
            <w:top w:val="none" w:sz="0" w:space="0" w:color="auto"/>
            <w:left w:val="none" w:sz="0" w:space="0" w:color="auto"/>
            <w:bottom w:val="none" w:sz="0" w:space="0" w:color="auto"/>
            <w:right w:val="none" w:sz="0" w:space="0" w:color="auto"/>
          </w:divBdr>
        </w:div>
        <w:div w:id="406537525">
          <w:marLeft w:val="0"/>
          <w:marRight w:val="0"/>
          <w:marTop w:val="0"/>
          <w:marBottom w:val="0"/>
          <w:divBdr>
            <w:top w:val="none" w:sz="0" w:space="0" w:color="auto"/>
            <w:left w:val="none" w:sz="0" w:space="0" w:color="auto"/>
            <w:bottom w:val="none" w:sz="0" w:space="0" w:color="auto"/>
            <w:right w:val="none" w:sz="0" w:space="0" w:color="auto"/>
          </w:divBdr>
        </w:div>
        <w:div w:id="318652559">
          <w:marLeft w:val="0"/>
          <w:marRight w:val="0"/>
          <w:marTop w:val="0"/>
          <w:marBottom w:val="0"/>
          <w:divBdr>
            <w:top w:val="none" w:sz="0" w:space="0" w:color="auto"/>
            <w:left w:val="none" w:sz="0" w:space="0" w:color="auto"/>
            <w:bottom w:val="none" w:sz="0" w:space="0" w:color="auto"/>
            <w:right w:val="none" w:sz="0" w:space="0" w:color="auto"/>
          </w:divBdr>
        </w:div>
        <w:div w:id="1295523133">
          <w:marLeft w:val="0"/>
          <w:marRight w:val="0"/>
          <w:marTop w:val="0"/>
          <w:marBottom w:val="0"/>
          <w:divBdr>
            <w:top w:val="none" w:sz="0" w:space="0" w:color="auto"/>
            <w:left w:val="none" w:sz="0" w:space="0" w:color="auto"/>
            <w:bottom w:val="none" w:sz="0" w:space="0" w:color="auto"/>
            <w:right w:val="none" w:sz="0" w:space="0" w:color="auto"/>
          </w:divBdr>
        </w:div>
        <w:div w:id="1214853058">
          <w:marLeft w:val="0"/>
          <w:marRight w:val="0"/>
          <w:marTop w:val="0"/>
          <w:marBottom w:val="0"/>
          <w:divBdr>
            <w:top w:val="none" w:sz="0" w:space="0" w:color="auto"/>
            <w:left w:val="none" w:sz="0" w:space="0" w:color="auto"/>
            <w:bottom w:val="none" w:sz="0" w:space="0" w:color="auto"/>
            <w:right w:val="none" w:sz="0" w:space="0" w:color="auto"/>
          </w:divBdr>
        </w:div>
        <w:div w:id="1260917876">
          <w:marLeft w:val="0"/>
          <w:marRight w:val="0"/>
          <w:marTop w:val="0"/>
          <w:marBottom w:val="0"/>
          <w:divBdr>
            <w:top w:val="none" w:sz="0" w:space="0" w:color="auto"/>
            <w:left w:val="none" w:sz="0" w:space="0" w:color="auto"/>
            <w:bottom w:val="none" w:sz="0" w:space="0" w:color="auto"/>
            <w:right w:val="none" w:sz="0" w:space="0" w:color="auto"/>
          </w:divBdr>
        </w:div>
        <w:div w:id="1165124028">
          <w:marLeft w:val="0"/>
          <w:marRight w:val="0"/>
          <w:marTop w:val="0"/>
          <w:marBottom w:val="0"/>
          <w:divBdr>
            <w:top w:val="none" w:sz="0" w:space="0" w:color="auto"/>
            <w:left w:val="none" w:sz="0" w:space="0" w:color="auto"/>
            <w:bottom w:val="none" w:sz="0" w:space="0" w:color="auto"/>
            <w:right w:val="none" w:sz="0" w:space="0" w:color="auto"/>
          </w:divBdr>
        </w:div>
        <w:div w:id="26032033">
          <w:marLeft w:val="0"/>
          <w:marRight w:val="0"/>
          <w:marTop w:val="0"/>
          <w:marBottom w:val="0"/>
          <w:divBdr>
            <w:top w:val="none" w:sz="0" w:space="0" w:color="auto"/>
            <w:left w:val="none" w:sz="0" w:space="0" w:color="auto"/>
            <w:bottom w:val="none" w:sz="0" w:space="0" w:color="auto"/>
            <w:right w:val="none" w:sz="0" w:space="0" w:color="auto"/>
          </w:divBdr>
        </w:div>
        <w:div w:id="1033920047">
          <w:marLeft w:val="0"/>
          <w:marRight w:val="0"/>
          <w:marTop w:val="0"/>
          <w:marBottom w:val="0"/>
          <w:divBdr>
            <w:top w:val="none" w:sz="0" w:space="0" w:color="auto"/>
            <w:left w:val="none" w:sz="0" w:space="0" w:color="auto"/>
            <w:bottom w:val="none" w:sz="0" w:space="0" w:color="auto"/>
            <w:right w:val="none" w:sz="0" w:space="0" w:color="auto"/>
          </w:divBdr>
        </w:div>
        <w:div w:id="1365330112">
          <w:marLeft w:val="0"/>
          <w:marRight w:val="0"/>
          <w:marTop w:val="0"/>
          <w:marBottom w:val="0"/>
          <w:divBdr>
            <w:top w:val="none" w:sz="0" w:space="0" w:color="auto"/>
            <w:left w:val="none" w:sz="0" w:space="0" w:color="auto"/>
            <w:bottom w:val="none" w:sz="0" w:space="0" w:color="auto"/>
            <w:right w:val="none" w:sz="0" w:space="0" w:color="auto"/>
          </w:divBdr>
        </w:div>
        <w:div w:id="2072382204">
          <w:marLeft w:val="0"/>
          <w:marRight w:val="0"/>
          <w:marTop w:val="0"/>
          <w:marBottom w:val="0"/>
          <w:divBdr>
            <w:top w:val="none" w:sz="0" w:space="0" w:color="auto"/>
            <w:left w:val="none" w:sz="0" w:space="0" w:color="auto"/>
            <w:bottom w:val="none" w:sz="0" w:space="0" w:color="auto"/>
            <w:right w:val="none" w:sz="0" w:space="0" w:color="auto"/>
          </w:divBdr>
        </w:div>
      </w:divsChild>
    </w:div>
    <w:div w:id="35663837">
      <w:bodyDiv w:val="1"/>
      <w:marLeft w:val="0"/>
      <w:marRight w:val="0"/>
      <w:marTop w:val="0"/>
      <w:marBottom w:val="0"/>
      <w:divBdr>
        <w:top w:val="none" w:sz="0" w:space="0" w:color="auto"/>
        <w:left w:val="none" w:sz="0" w:space="0" w:color="auto"/>
        <w:bottom w:val="none" w:sz="0" w:space="0" w:color="auto"/>
        <w:right w:val="none" w:sz="0" w:space="0" w:color="auto"/>
      </w:divBdr>
    </w:div>
    <w:div w:id="46800327">
      <w:bodyDiv w:val="1"/>
      <w:marLeft w:val="0"/>
      <w:marRight w:val="0"/>
      <w:marTop w:val="0"/>
      <w:marBottom w:val="0"/>
      <w:divBdr>
        <w:top w:val="none" w:sz="0" w:space="0" w:color="auto"/>
        <w:left w:val="none" w:sz="0" w:space="0" w:color="auto"/>
        <w:bottom w:val="none" w:sz="0" w:space="0" w:color="auto"/>
        <w:right w:val="none" w:sz="0" w:space="0" w:color="auto"/>
      </w:divBdr>
    </w:div>
    <w:div w:id="52394122">
      <w:bodyDiv w:val="1"/>
      <w:marLeft w:val="0"/>
      <w:marRight w:val="0"/>
      <w:marTop w:val="0"/>
      <w:marBottom w:val="0"/>
      <w:divBdr>
        <w:top w:val="none" w:sz="0" w:space="0" w:color="auto"/>
        <w:left w:val="none" w:sz="0" w:space="0" w:color="auto"/>
        <w:bottom w:val="none" w:sz="0" w:space="0" w:color="auto"/>
        <w:right w:val="none" w:sz="0" w:space="0" w:color="auto"/>
      </w:divBdr>
      <w:divsChild>
        <w:div w:id="422183978">
          <w:marLeft w:val="0"/>
          <w:marRight w:val="0"/>
          <w:marTop w:val="0"/>
          <w:marBottom w:val="0"/>
          <w:divBdr>
            <w:top w:val="none" w:sz="0" w:space="0" w:color="auto"/>
            <w:left w:val="none" w:sz="0" w:space="0" w:color="auto"/>
            <w:bottom w:val="none" w:sz="0" w:space="0" w:color="auto"/>
            <w:right w:val="none" w:sz="0" w:space="0" w:color="auto"/>
          </w:divBdr>
          <w:divsChild>
            <w:div w:id="1141463861">
              <w:marLeft w:val="0"/>
              <w:marRight w:val="0"/>
              <w:marTop w:val="0"/>
              <w:marBottom w:val="0"/>
              <w:divBdr>
                <w:top w:val="none" w:sz="0" w:space="0" w:color="auto"/>
                <w:left w:val="none" w:sz="0" w:space="0" w:color="auto"/>
                <w:bottom w:val="none" w:sz="0" w:space="0" w:color="auto"/>
                <w:right w:val="none" w:sz="0" w:space="0" w:color="auto"/>
              </w:divBdr>
              <w:divsChild>
                <w:div w:id="25107299">
                  <w:marLeft w:val="0"/>
                  <w:marRight w:val="0"/>
                  <w:marTop w:val="0"/>
                  <w:marBottom w:val="0"/>
                  <w:divBdr>
                    <w:top w:val="none" w:sz="0" w:space="0" w:color="auto"/>
                    <w:left w:val="none" w:sz="0" w:space="0" w:color="auto"/>
                    <w:bottom w:val="none" w:sz="0" w:space="0" w:color="auto"/>
                    <w:right w:val="none" w:sz="0" w:space="0" w:color="auto"/>
                  </w:divBdr>
                  <w:divsChild>
                    <w:div w:id="1631592626">
                      <w:marLeft w:val="0"/>
                      <w:marRight w:val="0"/>
                      <w:marTop w:val="0"/>
                      <w:marBottom w:val="0"/>
                      <w:divBdr>
                        <w:top w:val="none" w:sz="0" w:space="0" w:color="auto"/>
                        <w:left w:val="none" w:sz="0" w:space="0" w:color="auto"/>
                        <w:bottom w:val="none" w:sz="0" w:space="0" w:color="auto"/>
                        <w:right w:val="none" w:sz="0" w:space="0" w:color="auto"/>
                      </w:divBdr>
                      <w:divsChild>
                        <w:div w:id="670790303">
                          <w:marLeft w:val="0"/>
                          <w:marRight w:val="0"/>
                          <w:marTop w:val="0"/>
                          <w:marBottom w:val="0"/>
                          <w:divBdr>
                            <w:top w:val="none" w:sz="0" w:space="0" w:color="auto"/>
                            <w:left w:val="none" w:sz="0" w:space="0" w:color="auto"/>
                            <w:bottom w:val="none" w:sz="0" w:space="0" w:color="auto"/>
                            <w:right w:val="none" w:sz="0" w:space="0" w:color="auto"/>
                          </w:divBdr>
                        </w:div>
                      </w:divsChild>
                    </w:div>
                    <w:div w:id="14926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62460">
          <w:marLeft w:val="0"/>
          <w:marRight w:val="0"/>
          <w:marTop w:val="0"/>
          <w:marBottom w:val="0"/>
          <w:divBdr>
            <w:top w:val="none" w:sz="0" w:space="0" w:color="auto"/>
            <w:left w:val="none" w:sz="0" w:space="0" w:color="auto"/>
            <w:bottom w:val="none" w:sz="0" w:space="0" w:color="auto"/>
            <w:right w:val="none" w:sz="0" w:space="0" w:color="auto"/>
          </w:divBdr>
          <w:divsChild>
            <w:div w:id="1473207690">
              <w:marLeft w:val="0"/>
              <w:marRight w:val="0"/>
              <w:marTop w:val="0"/>
              <w:marBottom w:val="0"/>
              <w:divBdr>
                <w:top w:val="none" w:sz="0" w:space="0" w:color="auto"/>
                <w:left w:val="none" w:sz="0" w:space="0" w:color="auto"/>
                <w:bottom w:val="none" w:sz="0" w:space="0" w:color="auto"/>
                <w:right w:val="none" w:sz="0" w:space="0" w:color="auto"/>
              </w:divBdr>
            </w:div>
            <w:div w:id="518784321">
              <w:marLeft w:val="0"/>
              <w:marRight w:val="0"/>
              <w:marTop w:val="0"/>
              <w:marBottom w:val="0"/>
              <w:divBdr>
                <w:top w:val="none" w:sz="0" w:space="0" w:color="auto"/>
                <w:left w:val="none" w:sz="0" w:space="0" w:color="auto"/>
                <w:bottom w:val="none" w:sz="0" w:space="0" w:color="auto"/>
                <w:right w:val="none" w:sz="0" w:space="0" w:color="auto"/>
              </w:divBdr>
            </w:div>
            <w:div w:id="561526115">
              <w:marLeft w:val="0"/>
              <w:marRight w:val="0"/>
              <w:marTop w:val="0"/>
              <w:marBottom w:val="0"/>
              <w:divBdr>
                <w:top w:val="none" w:sz="0" w:space="0" w:color="auto"/>
                <w:left w:val="none" w:sz="0" w:space="0" w:color="auto"/>
                <w:bottom w:val="none" w:sz="0" w:space="0" w:color="auto"/>
                <w:right w:val="none" w:sz="0" w:space="0" w:color="auto"/>
              </w:divBdr>
            </w:div>
            <w:div w:id="10694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0260">
      <w:bodyDiv w:val="1"/>
      <w:marLeft w:val="0"/>
      <w:marRight w:val="0"/>
      <w:marTop w:val="0"/>
      <w:marBottom w:val="0"/>
      <w:divBdr>
        <w:top w:val="none" w:sz="0" w:space="0" w:color="auto"/>
        <w:left w:val="none" w:sz="0" w:space="0" w:color="auto"/>
        <w:bottom w:val="none" w:sz="0" w:space="0" w:color="auto"/>
        <w:right w:val="none" w:sz="0" w:space="0" w:color="auto"/>
      </w:divBdr>
    </w:div>
    <w:div w:id="65303163">
      <w:bodyDiv w:val="1"/>
      <w:marLeft w:val="0"/>
      <w:marRight w:val="0"/>
      <w:marTop w:val="0"/>
      <w:marBottom w:val="0"/>
      <w:divBdr>
        <w:top w:val="none" w:sz="0" w:space="0" w:color="auto"/>
        <w:left w:val="none" w:sz="0" w:space="0" w:color="auto"/>
        <w:bottom w:val="none" w:sz="0" w:space="0" w:color="auto"/>
        <w:right w:val="none" w:sz="0" w:space="0" w:color="auto"/>
      </w:divBdr>
      <w:divsChild>
        <w:div w:id="664286525">
          <w:marLeft w:val="0"/>
          <w:marRight w:val="0"/>
          <w:marTop w:val="311"/>
          <w:marBottom w:val="0"/>
          <w:divBdr>
            <w:top w:val="none" w:sz="0" w:space="0" w:color="auto"/>
            <w:left w:val="none" w:sz="0" w:space="0" w:color="auto"/>
            <w:bottom w:val="none" w:sz="0" w:space="0" w:color="auto"/>
            <w:right w:val="none" w:sz="0" w:space="0" w:color="auto"/>
          </w:divBdr>
        </w:div>
      </w:divsChild>
    </w:div>
    <w:div w:id="72820007">
      <w:bodyDiv w:val="1"/>
      <w:marLeft w:val="0"/>
      <w:marRight w:val="0"/>
      <w:marTop w:val="0"/>
      <w:marBottom w:val="0"/>
      <w:divBdr>
        <w:top w:val="none" w:sz="0" w:space="0" w:color="auto"/>
        <w:left w:val="none" w:sz="0" w:space="0" w:color="auto"/>
        <w:bottom w:val="none" w:sz="0" w:space="0" w:color="auto"/>
        <w:right w:val="none" w:sz="0" w:space="0" w:color="auto"/>
      </w:divBdr>
    </w:div>
    <w:div w:id="76557976">
      <w:bodyDiv w:val="1"/>
      <w:marLeft w:val="0"/>
      <w:marRight w:val="0"/>
      <w:marTop w:val="0"/>
      <w:marBottom w:val="0"/>
      <w:divBdr>
        <w:top w:val="none" w:sz="0" w:space="0" w:color="auto"/>
        <w:left w:val="none" w:sz="0" w:space="0" w:color="auto"/>
        <w:bottom w:val="none" w:sz="0" w:space="0" w:color="auto"/>
        <w:right w:val="none" w:sz="0" w:space="0" w:color="auto"/>
      </w:divBdr>
    </w:div>
    <w:div w:id="77411348">
      <w:bodyDiv w:val="1"/>
      <w:marLeft w:val="0"/>
      <w:marRight w:val="0"/>
      <w:marTop w:val="0"/>
      <w:marBottom w:val="0"/>
      <w:divBdr>
        <w:top w:val="none" w:sz="0" w:space="0" w:color="auto"/>
        <w:left w:val="none" w:sz="0" w:space="0" w:color="auto"/>
        <w:bottom w:val="none" w:sz="0" w:space="0" w:color="auto"/>
        <w:right w:val="none" w:sz="0" w:space="0" w:color="auto"/>
      </w:divBdr>
      <w:divsChild>
        <w:div w:id="145627489">
          <w:marLeft w:val="0"/>
          <w:marRight w:val="0"/>
          <w:marTop w:val="0"/>
          <w:marBottom w:val="0"/>
          <w:divBdr>
            <w:top w:val="none" w:sz="0" w:space="0" w:color="auto"/>
            <w:left w:val="none" w:sz="0" w:space="0" w:color="auto"/>
            <w:bottom w:val="none" w:sz="0" w:space="0" w:color="auto"/>
            <w:right w:val="none" w:sz="0" w:space="0" w:color="auto"/>
          </w:divBdr>
        </w:div>
        <w:div w:id="1027364997">
          <w:marLeft w:val="0"/>
          <w:marRight w:val="0"/>
          <w:marTop w:val="0"/>
          <w:marBottom w:val="0"/>
          <w:divBdr>
            <w:top w:val="none" w:sz="0" w:space="0" w:color="auto"/>
            <w:left w:val="none" w:sz="0" w:space="0" w:color="auto"/>
            <w:bottom w:val="none" w:sz="0" w:space="0" w:color="auto"/>
            <w:right w:val="none" w:sz="0" w:space="0" w:color="auto"/>
          </w:divBdr>
        </w:div>
        <w:div w:id="320619289">
          <w:marLeft w:val="0"/>
          <w:marRight w:val="0"/>
          <w:marTop w:val="0"/>
          <w:marBottom w:val="0"/>
          <w:divBdr>
            <w:top w:val="none" w:sz="0" w:space="0" w:color="auto"/>
            <w:left w:val="none" w:sz="0" w:space="0" w:color="auto"/>
            <w:bottom w:val="none" w:sz="0" w:space="0" w:color="auto"/>
            <w:right w:val="none" w:sz="0" w:space="0" w:color="auto"/>
          </w:divBdr>
        </w:div>
        <w:div w:id="1048148370">
          <w:marLeft w:val="0"/>
          <w:marRight w:val="0"/>
          <w:marTop w:val="0"/>
          <w:marBottom w:val="0"/>
          <w:divBdr>
            <w:top w:val="none" w:sz="0" w:space="0" w:color="auto"/>
            <w:left w:val="none" w:sz="0" w:space="0" w:color="auto"/>
            <w:bottom w:val="none" w:sz="0" w:space="0" w:color="auto"/>
            <w:right w:val="none" w:sz="0" w:space="0" w:color="auto"/>
          </w:divBdr>
        </w:div>
      </w:divsChild>
    </w:div>
    <w:div w:id="99301236">
      <w:bodyDiv w:val="1"/>
      <w:marLeft w:val="0"/>
      <w:marRight w:val="0"/>
      <w:marTop w:val="0"/>
      <w:marBottom w:val="0"/>
      <w:divBdr>
        <w:top w:val="none" w:sz="0" w:space="0" w:color="auto"/>
        <w:left w:val="none" w:sz="0" w:space="0" w:color="auto"/>
        <w:bottom w:val="none" w:sz="0" w:space="0" w:color="auto"/>
        <w:right w:val="none" w:sz="0" w:space="0" w:color="auto"/>
      </w:divBdr>
    </w:div>
    <w:div w:id="104813362">
      <w:bodyDiv w:val="1"/>
      <w:marLeft w:val="0"/>
      <w:marRight w:val="0"/>
      <w:marTop w:val="0"/>
      <w:marBottom w:val="0"/>
      <w:divBdr>
        <w:top w:val="none" w:sz="0" w:space="0" w:color="auto"/>
        <w:left w:val="none" w:sz="0" w:space="0" w:color="auto"/>
        <w:bottom w:val="none" w:sz="0" w:space="0" w:color="auto"/>
        <w:right w:val="none" w:sz="0" w:space="0" w:color="auto"/>
      </w:divBdr>
    </w:div>
    <w:div w:id="105348525">
      <w:bodyDiv w:val="1"/>
      <w:marLeft w:val="0"/>
      <w:marRight w:val="0"/>
      <w:marTop w:val="0"/>
      <w:marBottom w:val="0"/>
      <w:divBdr>
        <w:top w:val="none" w:sz="0" w:space="0" w:color="auto"/>
        <w:left w:val="none" w:sz="0" w:space="0" w:color="auto"/>
        <w:bottom w:val="none" w:sz="0" w:space="0" w:color="auto"/>
        <w:right w:val="none" w:sz="0" w:space="0" w:color="auto"/>
      </w:divBdr>
      <w:divsChild>
        <w:div w:id="600643780">
          <w:marLeft w:val="0"/>
          <w:marRight w:val="0"/>
          <w:marTop w:val="0"/>
          <w:marBottom w:val="0"/>
          <w:divBdr>
            <w:top w:val="none" w:sz="0" w:space="0" w:color="auto"/>
            <w:left w:val="none" w:sz="0" w:space="0" w:color="auto"/>
            <w:bottom w:val="none" w:sz="0" w:space="0" w:color="auto"/>
            <w:right w:val="none" w:sz="0" w:space="0" w:color="auto"/>
          </w:divBdr>
        </w:div>
        <w:div w:id="348531461">
          <w:marLeft w:val="0"/>
          <w:marRight w:val="0"/>
          <w:marTop w:val="0"/>
          <w:marBottom w:val="0"/>
          <w:divBdr>
            <w:top w:val="none" w:sz="0" w:space="0" w:color="auto"/>
            <w:left w:val="none" w:sz="0" w:space="0" w:color="auto"/>
            <w:bottom w:val="none" w:sz="0" w:space="0" w:color="auto"/>
            <w:right w:val="none" w:sz="0" w:space="0" w:color="auto"/>
          </w:divBdr>
        </w:div>
        <w:div w:id="63182879">
          <w:marLeft w:val="0"/>
          <w:marRight w:val="0"/>
          <w:marTop w:val="0"/>
          <w:marBottom w:val="0"/>
          <w:divBdr>
            <w:top w:val="none" w:sz="0" w:space="0" w:color="auto"/>
            <w:left w:val="none" w:sz="0" w:space="0" w:color="auto"/>
            <w:bottom w:val="none" w:sz="0" w:space="0" w:color="auto"/>
            <w:right w:val="none" w:sz="0" w:space="0" w:color="auto"/>
          </w:divBdr>
        </w:div>
        <w:div w:id="1620641177">
          <w:marLeft w:val="0"/>
          <w:marRight w:val="0"/>
          <w:marTop w:val="0"/>
          <w:marBottom w:val="0"/>
          <w:divBdr>
            <w:top w:val="none" w:sz="0" w:space="0" w:color="auto"/>
            <w:left w:val="none" w:sz="0" w:space="0" w:color="auto"/>
            <w:bottom w:val="none" w:sz="0" w:space="0" w:color="auto"/>
            <w:right w:val="none" w:sz="0" w:space="0" w:color="auto"/>
          </w:divBdr>
        </w:div>
        <w:div w:id="1070881728">
          <w:marLeft w:val="0"/>
          <w:marRight w:val="0"/>
          <w:marTop w:val="0"/>
          <w:marBottom w:val="0"/>
          <w:divBdr>
            <w:top w:val="none" w:sz="0" w:space="0" w:color="auto"/>
            <w:left w:val="none" w:sz="0" w:space="0" w:color="auto"/>
            <w:bottom w:val="none" w:sz="0" w:space="0" w:color="auto"/>
            <w:right w:val="none" w:sz="0" w:space="0" w:color="auto"/>
          </w:divBdr>
        </w:div>
        <w:div w:id="164132262">
          <w:marLeft w:val="0"/>
          <w:marRight w:val="0"/>
          <w:marTop w:val="0"/>
          <w:marBottom w:val="0"/>
          <w:divBdr>
            <w:top w:val="none" w:sz="0" w:space="0" w:color="auto"/>
            <w:left w:val="none" w:sz="0" w:space="0" w:color="auto"/>
            <w:bottom w:val="none" w:sz="0" w:space="0" w:color="auto"/>
            <w:right w:val="none" w:sz="0" w:space="0" w:color="auto"/>
          </w:divBdr>
        </w:div>
        <w:div w:id="399526894">
          <w:marLeft w:val="0"/>
          <w:marRight w:val="0"/>
          <w:marTop w:val="0"/>
          <w:marBottom w:val="0"/>
          <w:divBdr>
            <w:top w:val="none" w:sz="0" w:space="0" w:color="auto"/>
            <w:left w:val="none" w:sz="0" w:space="0" w:color="auto"/>
            <w:bottom w:val="none" w:sz="0" w:space="0" w:color="auto"/>
            <w:right w:val="none" w:sz="0" w:space="0" w:color="auto"/>
          </w:divBdr>
        </w:div>
        <w:div w:id="357700905">
          <w:marLeft w:val="0"/>
          <w:marRight w:val="0"/>
          <w:marTop w:val="0"/>
          <w:marBottom w:val="0"/>
          <w:divBdr>
            <w:top w:val="none" w:sz="0" w:space="0" w:color="auto"/>
            <w:left w:val="none" w:sz="0" w:space="0" w:color="auto"/>
            <w:bottom w:val="none" w:sz="0" w:space="0" w:color="auto"/>
            <w:right w:val="none" w:sz="0" w:space="0" w:color="auto"/>
          </w:divBdr>
        </w:div>
        <w:div w:id="1523938119">
          <w:marLeft w:val="0"/>
          <w:marRight w:val="0"/>
          <w:marTop w:val="0"/>
          <w:marBottom w:val="0"/>
          <w:divBdr>
            <w:top w:val="none" w:sz="0" w:space="0" w:color="auto"/>
            <w:left w:val="none" w:sz="0" w:space="0" w:color="auto"/>
            <w:bottom w:val="none" w:sz="0" w:space="0" w:color="auto"/>
            <w:right w:val="none" w:sz="0" w:space="0" w:color="auto"/>
          </w:divBdr>
        </w:div>
        <w:div w:id="595406939">
          <w:marLeft w:val="0"/>
          <w:marRight w:val="0"/>
          <w:marTop w:val="0"/>
          <w:marBottom w:val="0"/>
          <w:divBdr>
            <w:top w:val="none" w:sz="0" w:space="0" w:color="auto"/>
            <w:left w:val="none" w:sz="0" w:space="0" w:color="auto"/>
            <w:bottom w:val="none" w:sz="0" w:space="0" w:color="auto"/>
            <w:right w:val="none" w:sz="0" w:space="0" w:color="auto"/>
          </w:divBdr>
        </w:div>
        <w:div w:id="670259589">
          <w:marLeft w:val="0"/>
          <w:marRight w:val="0"/>
          <w:marTop w:val="0"/>
          <w:marBottom w:val="0"/>
          <w:divBdr>
            <w:top w:val="none" w:sz="0" w:space="0" w:color="auto"/>
            <w:left w:val="none" w:sz="0" w:space="0" w:color="auto"/>
            <w:bottom w:val="none" w:sz="0" w:space="0" w:color="auto"/>
            <w:right w:val="none" w:sz="0" w:space="0" w:color="auto"/>
          </w:divBdr>
        </w:div>
        <w:div w:id="1441074052">
          <w:marLeft w:val="0"/>
          <w:marRight w:val="0"/>
          <w:marTop w:val="0"/>
          <w:marBottom w:val="0"/>
          <w:divBdr>
            <w:top w:val="none" w:sz="0" w:space="0" w:color="auto"/>
            <w:left w:val="none" w:sz="0" w:space="0" w:color="auto"/>
            <w:bottom w:val="none" w:sz="0" w:space="0" w:color="auto"/>
            <w:right w:val="none" w:sz="0" w:space="0" w:color="auto"/>
          </w:divBdr>
        </w:div>
        <w:div w:id="1238782888">
          <w:marLeft w:val="0"/>
          <w:marRight w:val="0"/>
          <w:marTop w:val="0"/>
          <w:marBottom w:val="0"/>
          <w:divBdr>
            <w:top w:val="none" w:sz="0" w:space="0" w:color="auto"/>
            <w:left w:val="none" w:sz="0" w:space="0" w:color="auto"/>
            <w:bottom w:val="none" w:sz="0" w:space="0" w:color="auto"/>
            <w:right w:val="none" w:sz="0" w:space="0" w:color="auto"/>
          </w:divBdr>
        </w:div>
        <w:div w:id="4023085">
          <w:marLeft w:val="0"/>
          <w:marRight w:val="0"/>
          <w:marTop w:val="0"/>
          <w:marBottom w:val="0"/>
          <w:divBdr>
            <w:top w:val="none" w:sz="0" w:space="0" w:color="auto"/>
            <w:left w:val="none" w:sz="0" w:space="0" w:color="auto"/>
            <w:bottom w:val="none" w:sz="0" w:space="0" w:color="auto"/>
            <w:right w:val="none" w:sz="0" w:space="0" w:color="auto"/>
          </w:divBdr>
        </w:div>
        <w:div w:id="1219052883">
          <w:marLeft w:val="0"/>
          <w:marRight w:val="0"/>
          <w:marTop w:val="0"/>
          <w:marBottom w:val="0"/>
          <w:divBdr>
            <w:top w:val="none" w:sz="0" w:space="0" w:color="auto"/>
            <w:left w:val="none" w:sz="0" w:space="0" w:color="auto"/>
            <w:bottom w:val="none" w:sz="0" w:space="0" w:color="auto"/>
            <w:right w:val="none" w:sz="0" w:space="0" w:color="auto"/>
          </w:divBdr>
        </w:div>
        <w:div w:id="397049612">
          <w:marLeft w:val="0"/>
          <w:marRight w:val="0"/>
          <w:marTop w:val="0"/>
          <w:marBottom w:val="0"/>
          <w:divBdr>
            <w:top w:val="none" w:sz="0" w:space="0" w:color="auto"/>
            <w:left w:val="none" w:sz="0" w:space="0" w:color="auto"/>
            <w:bottom w:val="none" w:sz="0" w:space="0" w:color="auto"/>
            <w:right w:val="none" w:sz="0" w:space="0" w:color="auto"/>
          </w:divBdr>
        </w:div>
        <w:div w:id="437722645">
          <w:marLeft w:val="0"/>
          <w:marRight w:val="0"/>
          <w:marTop w:val="0"/>
          <w:marBottom w:val="0"/>
          <w:divBdr>
            <w:top w:val="none" w:sz="0" w:space="0" w:color="auto"/>
            <w:left w:val="none" w:sz="0" w:space="0" w:color="auto"/>
            <w:bottom w:val="none" w:sz="0" w:space="0" w:color="auto"/>
            <w:right w:val="none" w:sz="0" w:space="0" w:color="auto"/>
          </w:divBdr>
        </w:div>
        <w:div w:id="464348407">
          <w:marLeft w:val="0"/>
          <w:marRight w:val="0"/>
          <w:marTop w:val="0"/>
          <w:marBottom w:val="0"/>
          <w:divBdr>
            <w:top w:val="none" w:sz="0" w:space="0" w:color="auto"/>
            <w:left w:val="none" w:sz="0" w:space="0" w:color="auto"/>
            <w:bottom w:val="none" w:sz="0" w:space="0" w:color="auto"/>
            <w:right w:val="none" w:sz="0" w:space="0" w:color="auto"/>
          </w:divBdr>
        </w:div>
        <w:div w:id="2076120465">
          <w:marLeft w:val="0"/>
          <w:marRight w:val="0"/>
          <w:marTop w:val="0"/>
          <w:marBottom w:val="0"/>
          <w:divBdr>
            <w:top w:val="none" w:sz="0" w:space="0" w:color="auto"/>
            <w:left w:val="none" w:sz="0" w:space="0" w:color="auto"/>
            <w:bottom w:val="none" w:sz="0" w:space="0" w:color="auto"/>
            <w:right w:val="none" w:sz="0" w:space="0" w:color="auto"/>
          </w:divBdr>
        </w:div>
        <w:div w:id="1569223328">
          <w:marLeft w:val="0"/>
          <w:marRight w:val="0"/>
          <w:marTop w:val="0"/>
          <w:marBottom w:val="0"/>
          <w:divBdr>
            <w:top w:val="none" w:sz="0" w:space="0" w:color="auto"/>
            <w:left w:val="none" w:sz="0" w:space="0" w:color="auto"/>
            <w:bottom w:val="none" w:sz="0" w:space="0" w:color="auto"/>
            <w:right w:val="none" w:sz="0" w:space="0" w:color="auto"/>
          </w:divBdr>
        </w:div>
        <w:div w:id="469132423">
          <w:marLeft w:val="0"/>
          <w:marRight w:val="0"/>
          <w:marTop w:val="0"/>
          <w:marBottom w:val="0"/>
          <w:divBdr>
            <w:top w:val="none" w:sz="0" w:space="0" w:color="auto"/>
            <w:left w:val="none" w:sz="0" w:space="0" w:color="auto"/>
            <w:bottom w:val="none" w:sz="0" w:space="0" w:color="auto"/>
            <w:right w:val="none" w:sz="0" w:space="0" w:color="auto"/>
          </w:divBdr>
        </w:div>
        <w:div w:id="1152793952">
          <w:marLeft w:val="0"/>
          <w:marRight w:val="0"/>
          <w:marTop w:val="0"/>
          <w:marBottom w:val="0"/>
          <w:divBdr>
            <w:top w:val="none" w:sz="0" w:space="0" w:color="auto"/>
            <w:left w:val="none" w:sz="0" w:space="0" w:color="auto"/>
            <w:bottom w:val="none" w:sz="0" w:space="0" w:color="auto"/>
            <w:right w:val="none" w:sz="0" w:space="0" w:color="auto"/>
          </w:divBdr>
        </w:div>
        <w:div w:id="811871846">
          <w:marLeft w:val="0"/>
          <w:marRight w:val="0"/>
          <w:marTop w:val="0"/>
          <w:marBottom w:val="0"/>
          <w:divBdr>
            <w:top w:val="none" w:sz="0" w:space="0" w:color="auto"/>
            <w:left w:val="none" w:sz="0" w:space="0" w:color="auto"/>
            <w:bottom w:val="none" w:sz="0" w:space="0" w:color="auto"/>
            <w:right w:val="none" w:sz="0" w:space="0" w:color="auto"/>
          </w:divBdr>
        </w:div>
        <w:div w:id="370812867">
          <w:marLeft w:val="0"/>
          <w:marRight w:val="0"/>
          <w:marTop w:val="0"/>
          <w:marBottom w:val="0"/>
          <w:divBdr>
            <w:top w:val="none" w:sz="0" w:space="0" w:color="auto"/>
            <w:left w:val="none" w:sz="0" w:space="0" w:color="auto"/>
            <w:bottom w:val="none" w:sz="0" w:space="0" w:color="auto"/>
            <w:right w:val="none" w:sz="0" w:space="0" w:color="auto"/>
          </w:divBdr>
        </w:div>
        <w:div w:id="1984967394">
          <w:marLeft w:val="0"/>
          <w:marRight w:val="0"/>
          <w:marTop w:val="0"/>
          <w:marBottom w:val="0"/>
          <w:divBdr>
            <w:top w:val="none" w:sz="0" w:space="0" w:color="auto"/>
            <w:left w:val="none" w:sz="0" w:space="0" w:color="auto"/>
            <w:bottom w:val="none" w:sz="0" w:space="0" w:color="auto"/>
            <w:right w:val="none" w:sz="0" w:space="0" w:color="auto"/>
          </w:divBdr>
        </w:div>
        <w:div w:id="454326610">
          <w:marLeft w:val="0"/>
          <w:marRight w:val="0"/>
          <w:marTop w:val="0"/>
          <w:marBottom w:val="0"/>
          <w:divBdr>
            <w:top w:val="none" w:sz="0" w:space="0" w:color="auto"/>
            <w:left w:val="none" w:sz="0" w:space="0" w:color="auto"/>
            <w:bottom w:val="none" w:sz="0" w:space="0" w:color="auto"/>
            <w:right w:val="none" w:sz="0" w:space="0" w:color="auto"/>
          </w:divBdr>
        </w:div>
        <w:div w:id="2006012867">
          <w:marLeft w:val="0"/>
          <w:marRight w:val="0"/>
          <w:marTop w:val="0"/>
          <w:marBottom w:val="0"/>
          <w:divBdr>
            <w:top w:val="none" w:sz="0" w:space="0" w:color="auto"/>
            <w:left w:val="none" w:sz="0" w:space="0" w:color="auto"/>
            <w:bottom w:val="none" w:sz="0" w:space="0" w:color="auto"/>
            <w:right w:val="none" w:sz="0" w:space="0" w:color="auto"/>
          </w:divBdr>
        </w:div>
        <w:div w:id="1915510332">
          <w:marLeft w:val="0"/>
          <w:marRight w:val="0"/>
          <w:marTop w:val="0"/>
          <w:marBottom w:val="0"/>
          <w:divBdr>
            <w:top w:val="none" w:sz="0" w:space="0" w:color="auto"/>
            <w:left w:val="none" w:sz="0" w:space="0" w:color="auto"/>
            <w:bottom w:val="none" w:sz="0" w:space="0" w:color="auto"/>
            <w:right w:val="none" w:sz="0" w:space="0" w:color="auto"/>
          </w:divBdr>
        </w:div>
        <w:div w:id="1119379591">
          <w:marLeft w:val="0"/>
          <w:marRight w:val="0"/>
          <w:marTop w:val="0"/>
          <w:marBottom w:val="0"/>
          <w:divBdr>
            <w:top w:val="none" w:sz="0" w:space="0" w:color="auto"/>
            <w:left w:val="none" w:sz="0" w:space="0" w:color="auto"/>
            <w:bottom w:val="none" w:sz="0" w:space="0" w:color="auto"/>
            <w:right w:val="none" w:sz="0" w:space="0" w:color="auto"/>
          </w:divBdr>
        </w:div>
        <w:div w:id="974142530">
          <w:marLeft w:val="0"/>
          <w:marRight w:val="0"/>
          <w:marTop w:val="0"/>
          <w:marBottom w:val="0"/>
          <w:divBdr>
            <w:top w:val="none" w:sz="0" w:space="0" w:color="auto"/>
            <w:left w:val="none" w:sz="0" w:space="0" w:color="auto"/>
            <w:bottom w:val="none" w:sz="0" w:space="0" w:color="auto"/>
            <w:right w:val="none" w:sz="0" w:space="0" w:color="auto"/>
          </w:divBdr>
        </w:div>
        <w:div w:id="1509177364">
          <w:marLeft w:val="0"/>
          <w:marRight w:val="0"/>
          <w:marTop w:val="0"/>
          <w:marBottom w:val="0"/>
          <w:divBdr>
            <w:top w:val="none" w:sz="0" w:space="0" w:color="auto"/>
            <w:left w:val="none" w:sz="0" w:space="0" w:color="auto"/>
            <w:bottom w:val="none" w:sz="0" w:space="0" w:color="auto"/>
            <w:right w:val="none" w:sz="0" w:space="0" w:color="auto"/>
          </w:divBdr>
        </w:div>
        <w:div w:id="1977637652">
          <w:marLeft w:val="0"/>
          <w:marRight w:val="0"/>
          <w:marTop w:val="0"/>
          <w:marBottom w:val="0"/>
          <w:divBdr>
            <w:top w:val="none" w:sz="0" w:space="0" w:color="auto"/>
            <w:left w:val="none" w:sz="0" w:space="0" w:color="auto"/>
            <w:bottom w:val="none" w:sz="0" w:space="0" w:color="auto"/>
            <w:right w:val="none" w:sz="0" w:space="0" w:color="auto"/>
          </w:divBdr>
        </w:div>
        <w:div w:id="646319441">
          <w:marLeft w:val="0"/>
          <w:marRight w:val="0"/>
          <w:marTop w:val="0"/>
          <w:marBottom w:val="0"/>
          <w:divBdr>
            <w:top w:val="none" w:sz="0" w:space="0" w:color="auto"/>
            <w:left w:val="none" w:sz="0" w:space="0" w:color="auto"/>
            <w:bottom w:val="none" w:sz="0" w:space="0" w:color="auto"/>
            <w:right w:val="none" w:sz="0" w:space="0" w:color="auto"/>
          </w:divBdr>
        </w:div>
        <w:div w:id="1681614933">
          <w:marLeft w:val="0"/>
          <w:marRight w:val="0"/>
          <w:marTop w:val="0"/>
          <w:marBottom w:val="0"/>
          <w:divBdr>
            <w:top w:val="none" w:sz="0" w:space="0" w:color="auto"/>
            <w:left w:val="none" w:sz="0" w:space="0" w:color="auto"/>
            <w:bottom w:val="none" w:sz="0" w:space="0" w:color="auto"/>
            <w:right w:val="none" w:sz="0" w:space="0" w:color="auto"/>
          </w:divBdr>
        </w:div>
        <w:div w:id="740911493">
          <w:marLeft w:val="0"/>
          <w:marRight w:val="0"/>
          <w:marTop w:val="0"/>
          <w:marBottom w:val="0"/>
          <w:divBdr>
            <w:top w:val="none" w:sz="0" w:space="0" w:color="auto"/>
            <w:left w:val="none" w:sz="0" w:space="0" w:color="auto"/>
            <w:bottom w:val="none" w:sz="0" w:space="0" w:color="auto"/>
            <w:right w:val="none" w:sz="0" w:space="0" w:color="auto"/>
          </w:divBdr>
        </w:div>
        <w:div w:id="1081027802">
          <w:marLeft w:val="0"/>
          <w:marRight w:val="0"/>
          <w:marTop w:val="0"/>
          <w:marBottom w:val="0"/>
          <w:divBdr>
            <w:top w:val="none" w:sz="0" w:space="0" w:color="auto"/>
            <w:left w:val="none" w:sz="0" w:space="0" w:color="auto"/>
            <w:bottom w:val="none" w:sz="0" w:space="0" w:color="auto"/>
            <w:right w:val="none" w:sz="0" w:space="0" w:color="auto"/>
          </w:divBdr>
        </w:div>
        <w:div w:id="788669751">
          <w:marLeft w:val="0"/>
          <w:marRight w:val="0"/>
          <w:marTop w:val="0"/>
          <w:marBottom w:val="0"/>
          <w:divBdr>
            <w:top w:val="none" w:sz="0" w:space="0" w:color="auto"/>
            <w:left w:val="none" w:sz="0" w:space="0" w:color="auto"/>
            <w:bottom w:val="none" w:sz="0" w:space="0" w:color="auto"/>
            <w:right w:val="none" w:sz="0" w:space="0" w:color="auto"/>
          </w:divBdr>
        </w:div>
        <w:div w:id="1068575315">
          <w:marLeft w:val="0"/>
          <w:marRight w:val="0"/>
          <w:marTop w:val="0"/>
          <w:marBottom w:val="0"/>
          <w:divBdr>
            <w:top w:val="none" w:sz="0" w:space="0" w:color="auto"/>
            <w:left w:val="none" w:sz="0" w:space="0" w:color="auto"/>
            <w:bottom w:val="none" w:sz="0" w:space="0" w:color="auto"/>
            <w:right w:val="none" w:sz="0" w:space="0" w:color="auto"/>
          </w:divBdr>
        </w:div>
        <w:div w:id="1207721040">
          <w:marLeft w:val="0"/>
          <w:marRight w:val="0"/>
          <w:marTop w:val="0"/>
          <w:marBottom w:val="0"/>
          <w:divBdr>
            <w:top w:val="none" w:sz="0" w:space="0" w:color="auto"/>
            <w:left w:val="none" w:sz="0" w:space="0" w:color="auto"/>
            <w:bottom w:val="none" w:sz="0" w:space="0" w:color="auto"/>
            <w:right w:val="none" w:sz="0" w:space="0" w:color="auto"/>
          </w:divBdr>
        </w:div>
        <w:div w:id="236936606">
          <w:marLeft w:val="0"/>
          <w:marRight w:val="0"/>
          <w:marTop w:val="0"/>
          <w:marBottom w:val="0"/>
          <w:divBdr>
            <w:top w:val="none" w:sz="0" w:space="0" w:color="auto"/>
            <w:left w:val="none" w:sz="0" w:space="0" w:color="auto"/>
            <w:bottom w:val="none" w:sz="0" w:space="0" w:color="auto"/>
            <w:right w:val="none" w:sz="0" w:space="0" w:color="auto"/>
          </w:divBdr>
        </w:div>
        <w:div w:id="314796562">
          <w:marLeft w:val="0"/>
          <w:marRight w:val="0"/>
          <w:marTop w:val="0"/>
          <w:marBottom w:val="0"/>
          <w:divBdr>
            <w:top w:val="none" w:sz="0" w:space="0" w:color="auto"/>
            <w:left w:val="none" w:sz="0" w:space="0" w:color="auto"/>
            <w:bottom w:val="none" w:sz="0" w:space="0" w:color="auto"/>
            <w:right w:val="none" w:sz="0" w:space="0" w:color="auto"/>
          </w:divBdr>
        </w:div>
        <w:div w:id="1740976600">
          <w:marLeft w:val="0"/>
          <w:marRight w:val="0"/>
          <w:marTop w:val="0"/>
          <w:marBottom w:val="0"/>
          <w:divBdr>
            <w:top w:val="none" w:sz="0" w:space="0" w:color="auto"/>
            <w:left w:val="none" w:sz="0" w:space="0" w:color="auto"/>
            <w:bottom w:val="none" w:sz="0" w:space="0" w:color="auto"/>
            <w:right w:val="none" w:sz="0" w:space="0" w:color="auto"/>
          </w:divBdr>
        </w:div>
        <w:div w:id="1332374016">
          <w:marLeft w:val="0"/>
          <w:marRight w:val="0"/>
          <w:marTop w:val="0"/>
          <w:marBottom w:val="0"/>
          <w:divBdr>
            <w:top w:val="none" w:sz="0" w:space="0" w:color="auto"/>
            <w:left w:val="none" w:sz="0" w:space="0" w:color="auto"/>
            <w:bottom w:val="none" w:sz="0" w:space="0" w:color="auto"/>
            <w:right w:val="none" w:sz="0" w:space="0" w:color="auto"/>
          </w:divBdr>
        </w:div>
        <w:div w:id="446969619">
          <w:marLeft w:val="0"/>
          <w:marRight w:val="0"/>
          <w:marTop w:val="0"/>
          <w:marBottom w:val="0"/>
          <w:divBdr>
            <w:top w:val="none" w:sz="0" w:space="0" w:color="auto"/>
            <w:left w:val="none" w:sz="0" w:space="0" w:color="auto"/>
            <w:bottom w:val="none" w:sz="0" w:space="0" w:color="auto"/>
            <w:right w:val="none" w:sz="0" w:space="0" w:color="auto"/>
          </w:divBdr>
        </w:div>
        <w:div w:id="2049380012">
          <w:marLeft w:val="0"/>
          <w:marRight w:val="0"/>
          <w:marTop w:val="0"/>
          <w:marBottom w:val="0"/>
          <w:divBdr>
            <w:top w:val="none" w:sz="0" w:space="0" w:color="auto"/>
            <w:left w:val="none" w:sz="0" w:space="0" w:color="auto"/>
            <w:bottom w:val="none" w:sz="0" w:space="0" w:color="auto"/>
            <w:right w:val="none" w:sz="0" w:space="0" w:color="auto"/>
          </w:divBdr>
        </w:div>
        <w:div w:id="1606187039">
          <w:marLeft w:val="0"/>
          <w:marRight w:val="0"/>
          <w:marTop w:val="0"/>
          <w:marBottom w:val="0"/>
          <w:divBdr>
            <w:top w:val="none" w:sz="0" w:space="0" w:color="auto"/>
            <w:left w:val="none" w:sz="0" w:space="0" w:color="auto"/>
            <w:bottom w:val="none" w:sz="0" w:space="0" w:color="auto"/>
            <w:right w:val="none" w:sz="0" w:space="0" w:color="auto"/>
          </w:divBdr>
        </w:div>
        <w:div w:id="1509247878">
          <w:marLeft w:val="0"/>
          <w:marRight w:val="0"/>
          <w:marTop w:val="0"/>
          <w:marBottom w:val="0"/>
          <w:divBdr>
            <w:top w:val="none" w:sz="0" w:space="0" w:color="auto"/>
            <w:left w:val="none" w:sz="0" w:space="0" w:color="auto"/>
            <w:bottom w:val="none" w:sz="0" w:space="0" w:color="auto"/>
            <w:right w:val="none" w:sz="0" w:space="0" w:color="auto"/>
          </w:divBdr>
        </w:div>
        <w:div w:id="1908110436">
          <w:marLeft w:val="0"/>
          <w:marRight w:val="0"/>
          <w:marTop w:val="0"/>
          <w:marBottom w:val="0"/>
          <w:divBdr>
            <w:top w:val="none" w:sz="0" w:space="0" w:color="auto"/>
            <w:left w:val="none" w:sz="0" w:space="0" w:color="auto"/>
            <w:bottom w:val="none" w:sz="0" w:space="0" w:color="auto"/>
            <w:right w:val="none" w:sz="0" w:space="0" w:color="auto"/>
          </w:divBdr>
        </w:div>
        <w:div w:id="1482575458">
          <w:marLeft w:val="0"/>
          <w:marRight w:val="0"/>
          <w:marTop w:val="0"/>
          <w:marBottom w:val="0"/>
          <w:divBdr>
            <w:top w:val="none" w:sz="0" w:space="0" w:color="auto"/>
            <w:left w:val="none" w:sz="0" w:space="0" w:color="auto"/>
            <w:bottom w:val="none" w:sz="0" w:space="0" w:color="auto"/>
            <w:right w:val="none" w:sz="0" w:space="0" w:color="auto"/>
          </w:divBdr>
        </w:div>
        <w:div w:id="437726170">
          <w:marLeft w:val="0"/>
          <w:marRight w:val="0"/>
          <w:marTop w:val="0"/>
          <w:marBottom w:val="0"/>
          <w:divBdr>
            <w:top w:val="none" w:sz="0" w:space="0" w:color="auto"/>
            <w:left w:val="none" w:sz="0" w:space="0" w:color="auto"/>
            <w:bottom w:val="none" w:sz="0" w:space="0" w:color="auto"/>
            <w:right w:val="none" w:sz="0" w:space="0" w:color="auto"/>
          </w:divBdr>
        </w:div>
        <w:div w:id="1640915642">
          <w:marLeft w:val="0"/>
          <w:marRight w:val="0"/>
          <w:marTop w:val="0"/>
          <w:marBottom w:val="0"/>
          <w:divBdr>
            <w:top w:val="none" w:sz="0" w:space="0" w:color="auto"/>
            <w:left w:val="none" w:sz="0" w:space="0" w:color="auto"/>
            <w:bottom w:val="none" w:sz="0" w:space="0" w:color="auto"/>
            <w:right w:val="none" w:sz="0" w:space="0" w:color="auto"/>
          </w:divBdr>
        </w:div>
        <w:div w:id="743188679">
          <w:marLeft w:val="0"/>
          <w:marRight w:val="0"/>
          <w:marTop w:val="0"/>
          <w:marBottom w:val="0"/>
          <w:divBdr>
            <w:top w:val="none" w:sz="0" w:space="0" w:color="auto"/>
            <w:left w:val="none" w:sz="0" w:space="0" w:color="auto"/>
            <w:bottom w:val="none" w:sz="0" w:space="0" w:color="auto"/>
            <w:right w:val="none" w:sz="0" w:space="0" w:color="auto"/>
          </w:divBdr>
        </w:div>
        <w:div w:id="1586063119">
          <w:marLeft w:val="0"/>
          <w:marRight w:val="0"/>
          <w:marTop w:val="0"/>
          <w:marBottom w:val="0"/>
          <w:divBdr>
            <w:top w:val="none" w:sz="0" w:space="0" w:color="auto"/>
            <w:left w:val="none" w:sz="0" w:space="0" w:color="auto"/>
            <w:bottom w:val="none" w:sz="0" w:space="0" w:color="auto"/>
            <w:right w:val="none" w:sz="0" w:space="0" w:color="auto"/>
          </w:divBdr>
        </w:div>
        <w:div w:id="1303733811">
          <w:marLeft w:val="0"/>
          <w:marRight w:val="0"/>
          <w:marTop w:val="0"/>
          <w:marBottom w:val="0"/>
          <w:divBdr>
            <w:top w:val="none" w:sz="0" w:space="0" w:color="auto"/>
            <w:left w:val="none" w:sz="0" w:space="0" w:color="auto"/>
            <w:bottom w:val="none" w:sz="0" w:space="0" w:color="auto"/>
            <w:right w:val="none" w:sz="0" w:space="0" w:color="auto"/>
          </w:divBdr>
        </w:div>
        <w:div w:id="1722630836">
          <w:marLeft w:val="0"/>
          <w:marRight w:val="0"/>
          <w:marTop w:val="0"/>
          <w:marBottom w:val="0"/>
          <w:divBdr>
            <w:top w:val="none" w:sz="0" w:space="0" w:color="auto"/>
            <w:left w:val="none" w:sz="0" w:space="0" w:color="auto"/>
            <w:bottom w:val="none" w:sz="0" w:space="0" w:color="auto"/>
            <w:right w:val="none" w:sz="0" w:space="0" w:color="auto"/>
          </w:divBdr>
        </w:div>
        <w:div w:id="533201780">
          <w:marLeft w:val="0"/>
          <w:marRight w:val="0"/>
          <w:marTop w:val="0"/>
          <w:marBottom w:val="0"/>
          <w:divBdr>
            <w:top w:val="none" w:sz="0" w:space="0" w:color="auto"/>
            <w:left w:val="none" w:sz="0" w:space="0" w:color="auto"/>
            <w:bottom w:val="none" w:sz="0" w:space="0" w:color="auto"/>
            <w:right w:val="none" w:sz="0" w:space="0" w:color="auto"/>
          </w:divBdr>
        </w:div>
        <w:div w:id="1862934001">
          <w:marLeft w:val="0"/>
          <w:marRight w:val="0"/>
          <w:marTop w:val="0"/>
          <w:marBottom w:val="0"/>
          <w:divBdr>
            <w:top w:val="none" w:sz="0" w:space="0" w:color="auto"/>
            <w:left w:val="none" w:sz="0" w:space="0" w:color="auto"/>
            <w:bottom w:val="none" w:sz="0" w:space="0" w:color="auto"/>
            <w:right w:val="none" w:sz="0" w:space="0" w:color="auto"/>
          </w:divBdr>
        </w:div>
        <w:div w:id="623197140">
          <w:marLeft w:val="0"/>
          <w:marRight w:val="0"/>
          <w:marTop w:val="0"/>
          <w:marBottom w:val="0"/>
          <w:divBdr>
            <w:top w:val="none" w:sz="0" w:space="0" w:color="auto"/>
            <w:left w:val="none" w:sz="0" w:space="0" w:color="auto"/>
            <w:bottom w:val="none" w:sz="0" w:space="0" w:color="auto"/>
            <w:right w:val="none" w:sz="0" w:space="0" w:color="auto"/>
          </w:divBdr>
        </w:div>
        <w:div w:id="1554267614">
          <w:marLeft w:val="0"/>
          <w:marRight w:val="0"/>
          <w:marTop w:val="0"/>
          <w:marBottom w:val="0"/>
          <w:divBdr>
            <w:top w:val="none" w:sz="0" w:space="0" w:color="auto"/>
            <w:left w:val="none" w:sz="0" w:space="0" w:color="auto"/>
            <w:bottom w:val="none" w:sz="0" w:space="0" w:color="auto"/>
            <w:right w:val="none" w:sz="0" w:space="0" w:color="auto"/>
          </w:divBdr>
        </w:div>
        <w:div w:id="431511239">
          <w:marLeft w:val="0"/>
          <w:marRight w:val="0"/>
          <w:marTop w:val="0"/>
          <w:marBottom w:val="0"/>
          <w:divBdr>
            <w:top w:val="none" w:sz="0" w:space="0" w:color="auto"/>
            <w:left w:val="none" w:sz="0" w:space="0" w:color="auto"/>
            <w:bottom w:val="none" w:sz="0" w:space="0" w:color="auto"/>
            <w:right w:val="none" w:sz="0" w:space="0" w:color="auto"/>
          </w:divBdr>
        </w:div>
        <w:div w:id="1085418645">
          <w:marLeft w:val="0"/>
          <w:marRight w:val="0"/>
          <w:marTop w:val="0"/>
          <w:marBottom w:val="0"/>
          <w:divBdr>
            <w:top w:val="none" w:sz="0" w:space="0" w:color="auto"/>
            <w:left w:val="none" w:sz="0" w:space="0" w:color="auto"/>
            <w:bottom w:val="none" w:sz="0" w:space="0" w:color="auto"/>
            <w:right w:val="none" w:sz="0" w:space="0" w:color="auto"/>
          </w:divBdr>
        </w:div>
        <w:div w:id="1420905946">
          <w:marLeft w:val="0"/>
          <w:marRight w:val="0"/>
          <w:marTop w:val="0"/>
          <w:marBottom w:val="0"/>
          <w:divBdr>
            <w:top w:val="none" w:sz="0" w:space="0" w:color="auto"/>
            <w:left w:val="none" w:sz="0" w:space="0" w:color="auto"/>
            <w:bottom w:val="none" w:sz="0" w:space="0" w:color="auto"/>
            <w:right w:val="none" w:sz="0" w:space="0" w:color="auto"/>
          </w:divBdr>
        </w:div>
        <w:div w:id="972255128">
          <w:marLeft w:val="0"/>
          <w:marRight w:val="0"/>
          <w:marTop w:val="0"/>
          <w:marBottom w:val="0"/>
          <w:divBdr>
            <w:top w:val="none" w:sz="0" w:space="0" w:color="auto"/>
            <w:left w:val="none" w:sz="0" w:space="0" w:color="auto"/>
            <w:bottom w:val="none" w:sz="0" w:space="0" w:color="auto"/>
            <w:right w:val="none" w:sz="0" w:space="0" w:color="auto"/>
          </w:divBdr>
          <w:divsChild>
            <w:div w:id="961808513">
              <w:marLeft w:val="0"/>
              <w:marRight w:val="0"/>
              <w:marTop w:val="0"/>
              <w:marBottom w:val="0"/>
              <w:divBdr>
                <w:top w:val="none" w:sz="0" w:space="0" w:color="auto"/>
                <w:left w:val="none" w:sz="0" w:space="0" w:color="auto"/>
                <w:bottom w:val="none" w:sz="0" w:space="0" w:color="auto"/>
                <w:right w:val="none" w:sz="0" w:space="0" w:color="auto"/>
              </w:divBdr>
            </w:div>
          </w:divsChild>
        </w:div>
        <w:div w:id="1103766499">
          <w:marLeft w:val="0"/>
          <w:marRight w:val="0"/>
          <w:marTop w:val="0"/>
          <w:marBottom w:val="0"/>
          <w:divBdr>
            <w:top w:val="none" w:sz="0" w:space="0" w:color="auto"/>
            <w:left w:val="none" w:sz="0" w:space="0" w:color="auto"/>
            <w:bottom w:val="none" w:sz="0" w:space="0" w:color="auto"/>
            <w:right w:val="none" w:sz="0" w:space="0" w:color="auto"/>
          </w:divBdr>
        </w:div>
        <w:div w:id="1334382222">
          <w:marLeft w:val="0"/>
          <w:marRight w:val="0"/>
          <w:marTop w:val="0"/>
          <w:marBottom w:val="0"/>
          <w:divBdr>
            <w:top w:val="none" w:sz="0" w:space="0" w:color="auto"/>
            <w:left w:val="none" w:sz="0" w:space="0" w:color="auto"/>
            <w:bottom w:val="none" w:sz="0" w:space="0" w:color="auto"/>
            <w:right w:val="none" w:sz="0" w:space="0" w:color="auto"/>
          </w:divBdr>
        </w:div>
        <w:div w:id="1566336614">
          <w:marLeft w:val="0"/>
          <w:marRight w:val="0"/>
          <w:marTop w:val="0"/>
          <w:marBottom w:val="0"/>
          <w:divBdr>
            <w:top w:val="none" w:sz="0" w:space="0" w:color="auto"/>
            <w:left w:val="none" w:sz="0" w:space="0" w:color="auto"/>
            <w:bottom w:val="none" w:sz="0" w:space="0" w:color="auto"/>
            <w:right w:val="none" w:sz="0" w:space="0" w:color="auto"/>
          </w:divBdr>
        </w:div>
        <w:div w:id="2108622585">
          <w:marLeft w:val="0"/>
          <w:marRight w:val="0"/>
          <w:marTop w:val="0"/>
          <w:marBottom w:val="0"/>
          <w:divBdr>
            <w:top w:val="none" w:sz="0" w:space="0" w:color="auto"/>
            <w:left w:val="none" w:sz="0" w:space="0" w:color="auto"/>
            <w:bottom w:val="none" w:sz="0" w:space="0" w:color="auto"/>
            <w:right w:val="none" w:sz="0" w:space="0" w:color="auto"/>
          </w:divBdr>
        </w:div>
        <w:div w:id="323551517">
          <w:marLeft w:val="0"/>
          <w:marRight w:val="0"/>
          <w:marTop w:val="0"/>
          <w:marBottom w:val="0"/>
          <w:divBdr>
            <w:top w:val="none" w:sz="0" w:space="0" w:color="auto"/>
            <w:left w:val="none" w:sz="0" w:space="0" w:color="auto"/>
            <w:bottom w:val="none" w:sz="0" w:space="0" w:color="auto"/>
            <w:right w:val="none" w:sz="0" w:space="0" w:color="auto"/>
          </w:divBdr>
        </w:div>
        <w:div w:id="1010334783">
          <w:marLeft w:val="0"/>
          <w:marRight w:val="0"/>
          <w:marTop w:val="0"/>
          <w:marBottom w:val="0"/>
          <w:divBdr>
            <w:top w:val="none" w:sz="0" w:space="0" w:color="auto"/>
            <w:left w:val="none" w:sz="0" w:space="0" w:color="auto"/>
            <w:bottom w:val="none" w:sz="0" w:space="0" w:color="auto"/>
            <w:right w:val="none" w:sz="0" w:space="0" w:color="auto"/>
          </w:divBdr>
        </w:div>
        <w:div w:id="726299161">
          <w:marLeft w:val="0"/>
          <w:marRight w:val="0"/>
          <w:marTop w:val="0"/>
          <w:marBottom w:val="0"/>
          <w:divBdr>
            <w:top w:val="none" w:sz="0" w:space="0" w:color="auto"/>
            <w:left w:val="none" w:sz="0" w:space="0" w:color="auto"/>
            <w:bottom w:val="none" w:sz="0" w:space="0" w:color="auto"/>
            <w:right w:val="none" w:sz="0" w:space="0" w:color="auto"/>
          </w:divBdr>
        </w:div>
        <w:div w:id="1088379781">
          <w:marLeft w:val="0"/>
          <w:marRight w:val="0"/>
          <w:marTop w:val="0"/>
          <w:marBottom w:val="0"/>
          <w:divBdr>
            <w:top w:val="none" w:sz="0" w:space="0" w:color="auto"/>
            <w:left w:val="none" w:sz="0" w:space="0" w:color="auto"/>
            <w:bottom w:val="none" w:sz="0" w:space="0" w:color="auto"/>
            <w:right w:val="none" w:sz="0" w:space="0" w:color="auto"/>
          </w:divBdr>
        </w:div>
        <w:div w:id="395398592">
          <w:marLeft w:val="0"/>
          <w:marRight w:val="0"/>
          <w:marTop w:val="0"/>
          <w:marBottom w:val="0"/>
          <w:divBdr>
            <w:top w:val="none" w:sz="0" w:space="0" w:color="auto"/>
            <w:left w:val="none" w:sz="0" w:space="0" w:color="auto"/>
            <w:bottom w:val="none" w:sz="0" w:space="0" w:color="auto"/>
            <w:right w:val="none" w:sz="0" w:space="0" w:color="auto"/>
          </w:divBdr>
        </w:div>
        <w:div w:id="1352806510">
          <w:marLeft w:val="0"/>
          <w:marRight w:val="0"/>
          <w:marTop w:val="0"/>
          <w:marBottom w:val="0"/>
          <w:divBdr>
            <w:top w:val="none" w:sz="0" w:space="0" w:color="auto"/>
            <w:left w:val="none" w:sz="0" w:space="0" w:color="auto"/>
            <w:bottom w:val="none" w:sz="0" w:space="0" w:color="auto"/>
            <w:right w:val="none" w:sz="0" w:space="0" w:color="auto"/>
          </w:divBdr>
        </w:div>
        <w:div w:id="172770664">
          <w:marLeft w:val="0"/>
          <w:marRight w:val="0"/>
          <w:marTop w:val="0"/>
          <w:marBottom w:val="0"/>
          <w:divBdr>
            <w:top w:val="none" w:sz="0" w:space="0" w:color="auto"/>
            <w:left w:val="none" w:sz="0" w:space="0" w:color="auto"/>
            <w:bottom w:val="none" w:sz="0" w:space="0" w:color="auto"/>
            <w:right w:val="none" w:sz="0" w:space="0" w:color="auto"/>
          </w:divBdr>
        </w:div>
        <w:div w:id="1440686463">
          <w:marLeft w:val="0"/>
          <w:marRight w:val="0"/>
          <w:marTop w:val="0"/>
          <w:marBottom w:val="0"/>
          <w:divBdr>
            <w:top w:val="none" w:sz="0" w:space="0" w:color="auto"/>
            <w:left w:val="none" w:sz="0" w:space="0" w:color="auto"/>
            <w:bottom w:val="none" w:sz="0" w:space="0" w:color="auto"/>
            <w:right w:val="none" w:sz="0" w:space="0" w:color="auto"/>
          </w:divBdr>
        </w:div>
        <w:div w:id="220136725">
          <w:marLeft w:val="0"/>
          <w:marRight w:val="0"/>
          <w:marTop w:val="0"/>
          <w:marBottom w:val="0"/>
          <w:divBdr>
            <w:top w:val="none" w:sz="0" w:space="0" w:color="auto"/>
            <w:left w:val="none" w:sz="0" w:space="0" w:color="auto"/>
            <w:bottom w:val="none" w:sz="0" w:space="0" w:color="auto"/>
            <w:right w:val="none" w:sz="0" w:space="0" w:color="auto"/>
          </w:divBdr>
        </w:div>
        <w:div w:id="153835545">
          <w:marLeft w:val="0"/>
          <w:marRight w:val="0"/>
          <w:marTop w:val="0"/>
          <w:marBottom w:val="0"/>
          <w:divBdr>
            <w:top w:val="none" w:sz="0" w:space="0" w:color="auto"/>
            <w:left w:val="none" w:sz="0" w:space="0" w:color="auto"/>
            <w:bottom w:val="none" w:sz="0" w:space="0" w:color="auto"/>
            <w:right w:val="none" w:sz="0" w:space="0" w:color="auto"/>
          </w:divBdr>
          <w:divsChild>
            <w:div w:id="1988121629">
              <w:marLeft w:val="0"/>
              <w:marRight w:val="0"/>
              <w:marTop w:val="0"/>
              <w:marBottom w:val="0"/>
              <w:divBdr>
                <w:top w:val="none" w:sz="0" w:space="0" w:color="auto"/>
                <w:left w:val="none" w:sz="0" w:space="0" w:color="auto"/>
                <w:bottom w:val="none" w:sz="0" w:space="0" w:color="auto"/>
                <w:right w:val="none" w:sz="0" w:space="0" w:color="auto"/>
              </w:divBdr>
            </w:div>
          </w:divsChild>
        </w:div>
        <w:div w:id="1776166789">
          <w:marLeft w:val="0"/>
          <w:marRight w:val="0"/>
          <w:marTop w:val="0"/>
          <w:marBottom w:val="0"/>
          <w:divBdr>
            <w:top w:val="none" w:sz="0" w:space="0" w:color="auto"/>
            <w:left w:val="none" w:sz="0" w:space="0" w:color="auto"/>
            <w:bottom w:val="none" w:sz="0" w:space="0" w:color="auto"/>
            <w:right w:val="none" w:sz="0" w:space="0" w:color="auto"/>
          </w:divBdr>
        </w:div>
        <w:div w:id="652492031">
          <w:marLeft w:val="0"/>
          <w:marRight w:val="0"/>
          <w:marTop w:val="0"/>
          <w:marBottom w:val="0"/>
          <w:divBdr>
            <w:top w:val="none" w:sz="0" w:space="0" w:color="auto"/>
            <w:left w:val="none" w:sz="0" w:space="0" w:color="auto"/>
            <w:bottom w:val="none" w:sz="0" w:space="0" w:color="auto"/>
            <w:right w:val="none" w:sz="0" w:space="0" w:color="auto"/>
          </w:divBdr>
        </w:div>
        <w:div w:id="463817336">
          <w:marLeft w:val="0"/>
          <w:marRight w:val="0"/>
          <w:marTop w:val="0"/>
          <w:marBottom w:val="0"/>
          <w:divBdr>
            <w:top w:val="none" w:sz="0" w:space="0" w:color="auto"/>
            <w:left w:val="none" w:sz="0" w:space="0" w:color="auto"/>
            <w:bottom w:val="none" w:sz="0" w:space="0" w:color="auto"/>
            <w:right w:val="none" w:sz="0" w:space="0" w:color="auto"/>
          </w:divBdr>
        </w:div>
        <w:div w:id="1912889586">
          <w:marLeft w:val="0"/>
          <w:marRight w:val="0"/>
          <w:marTop w:val="0"/>
          <w:marBottom w:val="0"/>
          <w:divBdr>
            <w:top w:val="none" w:sz="0" w:space="0" w:color="auto"/>
            <w:left w:val="none" w:sz="0" w:space="0" w:color="auto"/>
            <w:bottom w:val="none" w:sz="0" w:space="0" w:color="auto"/>
            <w:right w:val="none" w:sz="0" w:space="0" w:color="auto"/>
          </w:divBdr>
        </w:div>
        <w:div w:id="1910964920">
          <w:marLeft w:val="0"/>
          <w:marRight w:val="0"/>
          <w:marTop w:val="0"/>
          <w:marBottom w:val="0"/>
          <w:divBdr>
            <w:top w:val="none" w:sz="0" w:space="0" w:color="auto"/>
            <w:left w:val="none" w:sz="0" w:space="0" w:color="auto"/>
            <w:bottom w:val="none" w:sz="0" w:space="0" w:color="auto"/>
            <w:right w:val="none" w:sz="0" w:space="0" w:color="auto"/>
          </w:divBdr>
          <w:divsChild>
            <w:div w:id="1466728323">
              <w:marLeft w:val="0"/>
              <w:marRight w:val="0"/>
              <w:marTop w:val="0"/>
              <w:marBottom w:val="0"/>
              <w:divBdr>
                <w:top w:val="none" w:sz="0" w:space="0" w:color="auto"/>
                <w:left w:val="none" w:sz="0" w:space="0" w:color="auto"/>
                <w:bottom w:val="none" w:sz="0" w:space="0" w:color="auto"/>
                <w:right w:val="none" w:sz="0" w:space="0" w:color="auto"/>
              </w:divBdr>
            </w:div>
          </w:divsChild>
        </w:div>
        <w:div w:id="1165052528">
          <w:marLeft w:val="0"/>
          <w:marRight w:val="0"/>
          <w:marTop w:val="0"/>
          <w:marBottom w:val="0"/>
          <w:divBdr>
            <w:top w:val="none" w:sz="0" w:space="0" w:color="auto"/>
            <w:left w:val="none" w:sz="0" w:space="0" w:color="auto"/>
            <w:bottom w:val="none" w:sz="0" w:space="0" w:color="auto"/>
            <w:right w:val="none" w:sz="0" w:space="0" w:color="auto"/>
          </w:divBdr>
        </w:div>
        <w:div w:id="1177617701">
          <w:marLeft w:val="0"/>
          <w:marRight w:val="0"/>
          <w:marTop w:val="0"/>
          <w:marBottom w:val="0"/>
          <w:divBdr>
            <w:top w:val="none" w:sz="0" w:space="0" w:color="auto"/>
            <w:left w:val="none" w:sz="0" w:space="0" w:color="auto"/>
            <w:bottom w:val="none" w:sz="0" w:space="0" w:color="auto"/>
            <w:right w:val="none" w:sz="0" w:space="0" w:color="auto"/>
          </w:divBdr>
        </w:div>
        <w:div w:id="1611858369">
          <w:marLeft w:val="0"/>
          <w:marRight w:val="0"/>
          <w:marTop w:val="0"/>
          <w:marBottom w:val="0"/>
          <w:divBdr>
            <w:top w:val="none" w:sz="0" w:space="0" w:color="auto"/>
            <w:left w:val="none" w:sz="0" w:space="0" w:color="auto"/>
            <w:bottom w:val="none" w:sz="0" w:space="0" w:color="auto"/>
            <w:right w:val="none" w:sz="0" w:space="0" w:color="auto"/>
          </w:divBdr>
        </w:div>
        <w:div w:id="1210146414">
          <w:marLeft w:val="0"/>
          <w:marRight w:val="0"/>
          <w:marTop w:val="0"/>
          <w:marBottom w:val="0"/>
          <w:divBdr>
            <w:top w:val="none" w:sz="0" w:space="0" w:color="auto"/>
            <w:left w:val="none" w:sz="0" w:space="0" w:color="auto"/>
            <w:bottom w:val="none" w:sz="0" w:space="0" w:color="auto"/>
            <w:right w:val="none" w:sz="0" w:space="0" w:color="auto"/>
          </w:divBdr>
        </w:div>
        <w:div w:id="1587110883">
          <w:marLeft w:val="0"/>
          <w:marRight w:val="0"/>
          <w:marTop w:val="0"/>
          <w:marBottom w:val="0"/>
          <w:divBdr>
            <w:top w:val="none" w:sz="0" w:space="0" w:color="auto"/>
            <w:left w:val="none" w:sz="0" w:space="0" w:color="auto"/>
            <w:bottom w:val="none" w:sz="0" w:space="0" w:color="auto"/>
            <w:right w:val="none" w:sz="0" w:space="0" w:color="auto"/>
          </w:divBdr>
          <w:divsChild>
            <w:div w:id="1244989861">
              <w:marLeft w:val="0"/>
              <w:marRight w:val="0"/>
              <w:marTop w:val="0"/>
              <w:marBottom w:val="0"/>
              <w:divBdr>
                <w:top w:val="none" w:sz="0" w:space="0" w:color="auto"/>
                <w:left w:val="none" w:sz="0" w:space="0" w:color="auto"/>
                <w:bottom w:val="none" w:sz="0" w:space="0" w:color="auto"/>
                <w:right w:val="none" w:sz="0" w:space="0" w:color="auto"/>
              </w:divBdr>
            </w:div>
            <w:div w:id="95443897">
              <w:marLeft w:val="0"/>
              <w:marRight w:val="0"/>
              <w:marTop w:val="0"/>
              <w:marBottom w:val="0"/>
              <w:divBdr>
                <w:top w:val="none" w:sz="0" w:space="0" w:color="auto"/>
                <w:left w:val="none" w:sz="0" w:space="0" w:color="auto"/>
                <w:bottom w:val="none" w:sz="0" w:space="0" w:color="auto"/>
                <w:right w:val="none" w:sz="0" w:space="0" w:color="auto"/>
              </w:divBdr>
            </w:div>
          </w:divsChild>
        </w:div>
        <w:div w:id="589630102">
          <w:marLeft w:val="0"/>
          <w:marRight w:val="0"/>
          <w:marTop w:val="0"/>
          <w:marBottom w:val="0"/>
          <w:divBdr>
            <w:top w:val="none" w:sz="0" w:space="0" w:color="auto"/>
            <w:left w:val="none" w:sz="0" w:space="0" w:color="auto"/>
            <w:bottom w:val="none" w:sz="0" w:space="0" w:color="auto"/>
            <w:right w:val="none" w:sz="0" w:space="0" w:color="auto"/>
          </w:divBdr>
        </w:div>
        <w:div w:id="411391054">
          <w:marLeft w:val="0"/>
          <w:marRight w:val="0"/>
          <w:marTop w:val="0"/>
          <w:marBottom w:val="0"/>
          <w:divBdr>
            <w:top w:val="none" w:sz="0" w:space="0" w:color="auto"/>
            <w:left w:val="none" w:sz="0" w:space="0" w:color="auto"/>
            <w:bottom w:val="none" w:sz="0" w:space="0" w:color="auto"/>
            <w:right w:val="none" w:sz="0" w:space="0" w:color="auto"/>
          </w:divBdr>
        </w:div>
        <w:div w:id="1406295389">
          <w:marLeft w:val="0"/>
          <w:marRight w:val="0"/>
          <w:marTop w:val="0"/>
          <w:marBottom w:val="0"/>
          <w:divBdr>
            <w:top w:val="none" w:sz="0" w:space="0" w:color="auto"/>
            <w:left w:val="none" w:sz="0" w:space="0" w:color="auto"/>
            <w:bottom w:val="none" w:sz="0" w:space="0" w:color="auto"/>
            <w:right w:val="none" w:sz="0" w:space="0" w:color="auto"/>
          </w:divBdr>
        </w:div>
        <w:div w:id="1152022672">
          <w:marLeft w:val="0"/>
          <w:marRight w:val="0"/>
          <w:marTop w:val="0"/>
          <w:marBottom w:val="0"/>
          <w:divBdr>
            <w:top w:val="none" w:sz="0" w:space="0" w:color="auto"/>
            <w:left w:val="none" w:sz="0" w:space="0" w:color="auto"/>
            <w:bottom w:val="none" w:sz="0" w:space="0" w:color="auto"/>
            <w:right w:val="none" w:sz="0" w:space="0" w:color="auto"/>
          </w:divBdr>
          <w:divsChild>
            <w:div w:id="1588231434">
              <w:marLeft w:val="0"/>
              <w:marRight w:val="0"/>
              <w:marTop w:val="0"/>
              <w:marBottom w:val="0"/>
              <w:divBdr>
                <w:top w:val="none" w:sz="0" w:space="0" w:color="auto"/>
                <w:left w:val="none" w:sz="0" w:space="0" w:color="auto"/>
                <w:bottom w:val="none" w:sz="0" w:space="0" w:color="auto"/>
                <w:right w:val="none" w:sz="0" w:space="0" w:color="auto"/>
              </w:divBdr>
            </w:div>
            <w:div w:id="173809875">
              <w:marLeft w:val="0"/>
              <w:marRight w:val="0"/>
              <w:marTop w:val="0"/>
              <w:marBottom w:val="0"/>
              <w:divBdr>
                <w:top w:val="none" w:sz="0" w:space="0" w:color="auto"/>
                <w:left w:val="none" w:sz="0" w:space="0" w:color="auto"/>
                <w:bottom w:val="none" w:sz="0" w:space="0" w:color="auto"/>
                <w:right w:val="none" w:sz="0" w:space="0" w:color="auto"/>
              </w:divBdr>
            </w:div>
          </w:divsChild>
        </w:div>
        <w:div w:id="1551264384">
          <w:marLeft w:val="0"/>
          <w:marRight w:val="0"/>
          <w:marTop w:val="0"/>
          <w:marBottom w:val="0"/>
          <w:divBdr>
            <w:top w:val="none" w:sz="0" w:space="0" w:color="auto"/>
            <w:left w:val="none" w:sz="0" w:space="0" w:color="auto"/>
            <w:bottom w:val="none" w:sz="0" w:space="0" w:color="auto"/>
            <w:right w:val="none" w:sz="0" w:space="0" w:color="auto"/>
          </w:divBdr>
        </w:div>
        <w:div w:id="1764299099">
          <w:marLeft w:val="0"/>
          <w:marRight w:val="0"/>
          <w:marTop w:val="0"/>
          <w:marBottom w:val="0"/>
          <w:divBdr>
            <w:top w:val="none" w:sz="0" w:space="0" w:color="auto"/>
            <w:left w:val="none" w:sz="0" w:space="0" w:color="auto"/>
            <w:bottom w:val="none" w:sz="0" w:space="0" w:color="auto"/>
            <w:right w:val="none" w:sz="0" w:space="0" w:color="auto"/>
          </w:divBdr>
        </w:div>
        <w:div w:id="1520854905">
          <w:marLeft w:val="0"/>
          <w:marRight w:val="0"/>
          <w:marTop w:val="0"/>
          <w:marBottom w:val="0"/>
          <w:divBdr>
            <w:top w:val="none" w:sz="0" w:space="0" w:color="auto"/>
            <w:left w:val="none" w:sz="0" w:space="0" w:color="auto"/>
            <w:bottom w:val="none" w:sz="0" w:space="0" w:color="auto"/>
            <w:right w:val="none" w:sz="0" w:space="0" w:color="auto"/>
          </w:divBdr>
          <w:divsChild>
            <w:div w:id="1600873037">
              <w:marLeft w:val="0"/>
              <w:marRight w:val="0"/>
              <w:marTop w:val="0"/>
              <w:marBottom w:val="0"/>
              <w:divBdr>
                <w:top w:val="none" w:sz="0" w:space="0" w:color="auto"/>
                <w:left w:val="none" w:sz="0" w:space="0" w:color="auto"/>
                <w:bottom w:val="none" w:sz="0" w:space="0" w:color="auto"/>
                <w:right w:val="none" w:sz="0" w:space="0" w:color="auto"/>
              </w:divBdr>
            </w:div>
          </w:divsChild>
        </w:div>
        <w:div w:id="918447497">
          <w:marLeft w:val="0"/>
          <w:marRight w:val="0"/>
          <w:marTop w:val="0"/>
          <w:marBottom w:val="0"/>
          <w:divBdr>
            <w:top w:val="none" w:sz="0" w:space="0" w:color="auto"/>
            <w:left w:val="none" w:sz="0" w:space="0" w:color="auto"/>
            <w:bottom w:val="none" w:sz="0" w:space="0" w:color="auto"/>
            <w:right w:val="none" w:sz="0" w:space="0" w:color="auto"/>
          </w:divBdr>
        </w:div>
        <w:div w:id="1546678536">
          <w:marLeft w:val="0"/>
          <w:marRight w:val="0"/>
          <w:marTop w:val="0"/>
          <w:marBottom w:val="0"/>
          <w:divBdr>
            <w:top w:val="none" w:sz="0" w:space="0" w:color="auto"/>
            <w:left w:val="none" w:sz="0" w:space="0" w:color="auto"/>
            <w:bottom w:val="none" w:sz="0" w:space="0" w:color="auto"/>
            <w:right w:val="none" w:sz="0" w:space="0" w:color="auto"/>
          </w:divBdr>
        </w:div>
        <w:div w:id="1598052184">
          <w:marLeft w:val="0"/>
          <w:marRight w:val="0"/>
          <w:marTop w:val="0"/>
          <w:marBottom w:val="0"/>
          <w:divBdr>
            <w:top w:val="none" w:sz="0" w:space="0" w:color="auto"/>
            <w:left w:val="none" w:sz="0" w:space="0" w:color="auto"/>
            <w:bottom w:val="none" w:sz="0" w:space="0" w:color="auto"/>
            <w:right w:val="none" w:sz="0" w:space="0" w:color="auto"/>
          </w:divBdr>
        </w:div>
        <w:div w:id="1767771239">
          <w:marLeft w:val="0"/>
          <w:marRight w:val="0"/>
          <w:marTop w:val="0"/>
          <w:marBottom w:val="0"/>
          <w:divBdr>
            <w:top w:val="none" w:sz="0" w:space="0" w:color="auto"/>
            <w:left w:val="none" w:sz="0" w:space="0" w:color="auto"/>
            <w:bottom w:val="none" w:sz="0" w:space="0" w:color="auto"/>
            <w:right w:val="none" w:sz="0" w:space="0" w:color="auto"/>
          </w:divBdr>
        </w:div>
        <w:div w:id="1475368870">
          <w:marLeft w:val="0"/>
          <w:marRight w:val="0"/>
          <w:marTop w:val="0"/>
          <w:marBottom w:val="0"/>
          <w:divBdr>
            <w:top w:val="none" w:sz="0" w:space="0" w:color="auto"/>
            <w:left w:val="none" w:sz="0" w:space="0" w:color="auto"/>
            <w:bottom w:val="none" w:sz="0" w:space="0" w:color="auto"/>
            <w:right w:val="none" w:sz="0" w:space="0" w:color="auto"/>
          </w:divBdr>
        </w:div>
        <w:div w:id="235015036">
          <w:marLeft w:val="0"/>
          <w:marRight w:val="0"/>
          <w:marTop w:val="0"/>
          <w:marBottom w:val="0"/>
          <w:divBdr>
            <w:top w:val="none" w:sz="0" w:space="0" w:color="auto"/>
            <w:left w:val="none" w:sz="0" w:space="0" w:color="auto"/>
            <w:bottom w:val="none" w:sz="0" w:space="0" w:color="auto"/>
            <w:right w:val="none" w:sz="0" w:space="0" w:color="auto"/>
          </w:divBdr>
        </w:div>
        <w:div w:id="515466179">
          <w:marLeft w:val="0"/>
          <w:marRight w:val="0"/>
          <w:marTop w:val="0"/>
          <w:marBottom w:val="0"/>
          <w:divBdr>
            <w:top w:val="none" w:sz="0" w:space="0" w:color="auto"/>
            <w:left w:val="none" w:sz="0" w:space="0" w:color="auto"/>
            <w:bottom w:val="none" w:sz="0" w:space="0" w:color="auto"/>
            <w:right w:val="none" w:sz="0" w:space="0" w:color="auto"/>
          </w:divBdr>
        </w:div>
        <w:div w:id="1251888621">
          <w:marLeft w:val="0"/>
          <w:marRight w:val="0"/>
          <w:marTop w:val="0"/>
          <w:marBottom w:val="0"/>
          <w:divBdr>
            <w:top w:val="none" w:sz="0" w:space="0" w:color="auto"/>
            <w:left w:val="none" w:sz="0" w:space="0" w:color="auto"/>
            <w:bottom w:val="none" w:sz="0" w:space="0" w:color="auto"/>
            <w:right w:val="none" w:sz="0" w:space="0" w:color="auto"/>
          </w:divBdr>
        </w:div>
        <w:div w:id="702023640">
          <w:marLeft w:val="0"/>
          <w:marRight w:val="0"/>
          <w:marTop w:val="0"/>
          <w:marBottom w:val="0"/>
          <w:divBdr>
            <w:top w:val="none" w:sz="0" w:space="0" w:color="auto"/>
            <w:left w:val="none" w:sz="0" w:space="0" w:color="auto"/>
            <w:bottom w:val="none" w:sz="0" w:space="0" w:color="auto"/>
            <w:right w:val="none" w:sz="0" w:space="0" w:color="auto"/>
          </w:divBdr>
        </w:div>
        <w:div w:id="1817792448">
          <w:marLeft w:val="0"/>
          <w:marRight w:val="0"/>
          <w:marTop w:val="0"/>
          <w:marBottom w:val="0"/>
          <w:divBdr>
            <w:top w:val="none" w:sz="0" w:space="0" w:color="auto"/>
            <w:left w:val="none" w:sz="0" w:space="0" w:color="auto"/>
            <w:bottom w:val="none" w:sz="0" w:space="0" w:color="auto"/>
            <w:right w:val="none" w:sz="0" w:space="0" w:color="auto"/>
          </w:divBdr>
        </w:div>
        <w:div w:id="107429523">
          <w:marLeft w:val="0"/>
          <w:marRight w:val="0"/>
          <w:marTop w:val="0"/>
          <w:marBottom w:val="0"/>
          <w:divBdr>
            <w:top w:val="none" w:sz="0" w:space="0" w:color="auto"/>
            <w:left w:val="none" w:sz="0" w:space="0" w:color="auto"/>
            <w:bottom w:val="none" w:sz="0" w:space="0" w:color="auto"/>
            <w:right w:val="none" w:sz="0" w:space="0" w:color="auto"/>
          </w:divBdr>
        </w:div>
        <w:div w:id="840894938">
          <w:marLeft w:val="0"/>
          <w:marRight w:val="0"/>
          <w:marTop w:val="0"/>
          <w:marBottom w:val="0"/>
          <w:divBdr>
            <w:top w:val="none" w:sz="0" w:space="0" w:color="auto"/>
            <w:left w:val="none" w:sz="0" w:space="0" w:color="auto"/>
            <w:bottom w:val="none" w:sz="0" w:space="0" w:color="auto"/>
            <w:right w:val="none" w:sz="0" w:space="0" w:color="auto"/>
          </w:divBdr>
        </w:div>
        <w:div w:id="95711485">
          <w:marLeft w:val="0"/>
          <w:marRight w:val="0"/>
          <w:marTop w:val="0"/>
          <w:marBottom w:val="0"/>
          <w:divBdr>
            <w:top w:val="none" w:sz="0" w:space="0" w:color="auto"/>
            <w:left w:val="none" w:sz="0" w:space="0" w:color="auto"/>
            <w:bottom w:val="none" w:sz="0" w:space="0" w:color="auto"/>
            <w:right w:val="none" w:sz="0" w:space="0" w:color="auto"/>
          </w:divBdr>
        </w:div>
        <w:div w:id="1230002125">
          <w:marLeft w:val="0"/>
          <w:marRight w:val="0"/>
          <w:marTop w:val="0"/>
          <w:marBottom w:val="0"/>
          <w:divBdr>
            <w:top w:val="none" w:sz="0" w:space="0" w:color="auto"/>
            <w:left w:val="none" w:sz="0" w:space="0" w:color="auto"/>
            <w:bottom w:val="none" w:sz="0" w:space="0" w:color="auto"/>
            <w:right w:val="none" w:sz="0" w:space="0" w:color="auto"/>
          </w:divBdr>
        </w:div>
        <w:div w:id="52436379">
          <w:marLeft w:val="0"/>
          <w:marRight w:val="0"/>
          <w:marTop w:val="0"/>
          <w:marBottom w:val="0"/>
          <w:divBdr>
            <w:top w:val="none" w:sz="0" w:space="0" w:color="auto"/>
            <w:left w:val="none" w:sz="0" w:space="0" w:color="auto"/>
            <w:bottom w:val="none" w:sz="0" w:space="0" w:color="auto"/>
            <w:right w:val="none" w:sz="0" w:space="0" w:color="auto"/>
          </w:divBdr>
        </w:div>
        <w:div w:id="1198271655">
          <w:marLeft w:val="0"/>
          <w:marRight w:val="0"/>
          <w:marTop w:val="0"/>
          <w:marBottom w:val="0"/>
          <w:divBdr>
            <w:top w:val="none" w:sz="0" w:space="0" w:color="auto"/>
            <w:left w:val="none" w:sz="0" w:space="0" w:color="auto"/>
            <w:bottom w:val="none" w:sz="0" w:space="0" w:color="auto"/>
            <w:right w:val="none" w:sz="0" w:space="0" w:color="auto"/>
          </w:divBdr>
        </w:div>
        <w:div w:id="222454078">
          <w:marLeft w:val="0"/>
          <w:marRight w:val="0"/>
          <w:marTop w:val="0"/>
          <w:marBottom w:val="0"/>
          <w:divBdr>
            <w:top w:val="none" w:sz="0" w:space="0" w:color="auto"/>
            <w:left w:val="none" w:sz="0" w:space="0" w:color="auto"/>
            <w:bottom w:val="none" w:sz="0" w:space="0" w:color="auto"/>
            <w:right w:val="none" w:sz="0" w:space="0" w:color="auto"/>
          </w:divBdr>
        </w:div>
        <w:div w:id="485391279">
          <w:marLeft w:val="0"/>
          <w:marRight w:val="0"/>
          <w:marTop w:val="0"/>
          <w:marBottom w:val="0"/>
          <w:divBdr>
            <w:top w:val="none" w:sz="0" w:space="0" w:color="auto"/>
            <w:left w:val="none" w:sz="0" w:space="0" w:color="auto"/>
            <w:bottom w:val="none" w:sz="0" w:space="0" w:color="auto"/>
            <w:right w:val="none" w:sz="0" w:space="0" w:color="auto"/>
          </w:divBdr>
        </w:div>
        <w:div w:id="523135325">
          <w:marLeft w:val="0"/>
          <w:marRight w:val="0"/>
          <w:marTop w:val="0"/>
          <w:marBottom w:val="0"/>
          <w:divBdr>
            <w:top w:val="none" w:sz="0" w:space="0" w:color="auto"/>
            <w:left w:val="none" w:sz="0" w:space="0" w:color="auto"/>
            <w:bottom w:val="none" w:sz="0" w:space="0" w:color="auto"/>
            <w:right w:val="none" w:sz="0" w:space="0" w:color="auto"/>
          </w:divBdr>
        </w:div>
        <w:div w:id="773867762">
          <w:marLeft w:val="0"/>
          <w:marRight w:val="0"/>
          <w:marTop w:val="0"/>
          <w:marBottom w:val="0"/>
          <w:divBdr>
            <w:top w:val="none" w:sz="0" w:space="0" w:color="auto"/>
            <w:left w:val="none" w:sz="0" w:space="0" w:color="auto"/>
            <w:bottom w:val="none" w:sz="0" w:space="0" w:color="auto"/>
            <w:right w:val="none" w:sz="0" w:space="0" w:color="auto"/>
          </w:divBdr>
        </w:div>
      </w:divsChild>
    </w:div>
    <w:div w:id="114374965">
      <w:bodyDiv w:val="1"/>
      <w:marLeft w:val="0"/>
      <w:marRight w:val="0"/>
      <w:marTop w:val="0"/>
      <w:marBottom w:val="0"/>
      <w:divBdr>
        <w:top w:val="none" w:sz="0" w:space="0" w:color="auto"/>
        <w:left w:val="none" w:sz="0" w:space="0" w:color="auto"/>
        <w:bottom w:val="none" w:sz="0" w:space="0" w:color="auto"/>
        <w:right w:val="none" w:sz="0" w:space="0" w:color="auto"/>
      </w:divBdr>
    </w:div>
    <w:div w:id="119419191">
      <w:bodyDiv w:val="1"/>
      <w:marLeft w:val="0"/>
      <w:marRight w:val="0"/>
      <w:marTop w:val="0"/>
      <w:marBottom w:val="0"/>
      <w:divBdr>
        <w:top w:val="none" w:sz="0" w:space="0" w:color="auto"/>
        <w:left w:val="none" w:sz="0" w:space="0" w:color="auto"/>
        <w:bottom w:val="none" w:sz="0" w:space="0" w:color="auto"/>
        <w:right w:val="none" w:sz="0" w:space="0" w:color="auto"/>
      </w:divBdr>
    </w:div>
    <w:div w:id="121270020">
      <w:bodyDiv w:val="1"/>
      <w:marLeft w:val="0"/>
      <w:marRight w:val="0"/>
      <w:marTop w:val="0"/>
      <w:marBottom w:val="0"/>
      <w:divBdr>
        <w:top w:val="none" w:sz="0" w:space="0" w:color="auto"/>
        <w:left w:val="none" w:sz="0" w:space="0" w:color="auto"/>
        <w:bottom w:val="none" w:sz="0" w:space="0" w:color="auto"/>
        <w:right w:val="none" w:sz="0" w:space="0" w:color="auto"/>
      </w:divBdr>
    </w:div>
    <w:div w:id="134639233">
      <w:bodyDiv w:val="1"/>
      <w:marLeft w:val="0"/>
      <w:marRight w:val="0"/>
      <w:marTop w:val="0"/>
      <w:marBottom w:val="0"/>
      <w:divBdr>
        <w:top w:val="none" w:sz="0" w:space="0" w:color="auto"/>
        <w:left w:val="none" w:sz="0" w:space="0" w:color="auto"/>
        <w:bottom w:val="none" w:sz="0" w:space="0" w:color="auto"/>
        <w:right w:val="none" w:sz="0" w:space="0" w:color="auto"/>
      </w:divBdr>
    </w:div>
    <w:div w:id="137461364">
      <w:bodyDiv w:val="1"/>
      <w:marLeft w:val="0"/>
      <w:marRight w:val="0"/>
      <w:marTop w:val="0"/>
      <w:marBottom w:val="0"/>
      <w:divBdr>
        <w:top w:val="none" w:sz="0" w:space="0" w:color="auto"/>
        <w:left w:val="none" w:sz="0" w:space="0" w:color="auto"/>
        <w:bottom w:val="none" w:sz="0" w:space="0" w:color="auto"/>
        <w:right w:val="none" w:sz="0" w:space="0" w:color="auto"/>
      </w:divBdr>
    </w:div>
    <w:div w:id="181090119">
      <w:bodyDiv w:val="1"/>
      <w:marLeft w:val="0"/>
      <w:marRight w:val="0"/>
      <w:marTop w:val="0"/>
      <w:marBottom w:val="0"/>
      <w:divBdr>
        <w:top w:val="none" w:sz="0" w:space="0" w:color="auto"/>
        <w:left w:val="none" w:sz="0" w:space="0" w:color="auto"/>
        <w:bottom w:val="none" w:sz="0" w:space="0" w:color="auto"/>
        <w:right w:val="none" w:sz="0" w:space="0" w:color="auto"/>
      </w:divBdr>
    </w:div>
    <w:div w:id="208760524">
      <w:bodyDiv w:val="1"/>
      <w:marLeft w:val="0"/>
      <w:marRight w:val="0"/>
      <w:marTop w:val="0"/>
      <w:marBottom w:val="0"/>
      <w:divBdr>
        <w:top w:val="none" w:sz="0" w:space="0" w:color="auto"/>
        <w:left w:val="none" w:sz="0" w:space="0" w:color="auto"/>
        <w:bottom w:val="none" w:sz="0" w:space="0" w:color="auto"/>
        <w:right w:val="none" w:sz="0" w:space="0" w:color="auto"/>
      </w:divBdr>
    </w:div>
    <w:div w:id="209339264">
      <w:bodyDiv w:val="1"/>
      <w:marLeft w:val="0"/>
      <w:marRight w:val="0"/>
      <w:marTop w:val="0"/>
      <w:marBottom w:val="0"/>
      <w:divBdr>
        <w:top w:val="none" w:sz="0" w:space="0" w:color="auto"/>
        <w:left w:val="none" w:sz="0" w:space="0" w:color="auto"/>
        <w:bottom w:val="none" w:sz="0" w:space="0" w:color="auto"/>
        <w:right w:val="none" w:sz="0" w:space="0" w:color="auto"/>
      </w:divBdr>
    </w:div>
    <w:div w:id="224339929">
      <w:bodyDiv w:val="1"/>
      <w:marLeft w:val="0"/>
      <w:marRight w:val="0"/>
      <w:marTop w:val="0"/>
      <w:marBottom w:val="0"/>
      <w:divBdr>
        <w:top w:val="none" w:sz="0" w:space="0" w:color="auto"/>
        <w:left w:val="none" w:sz="0" w:space="0" w:color="auto"/>
        <w:bottom w:val="none" w:sz="0" w:space="0" w:color="auto"/>
        <w:right w:val="none" w:sz="0" w:space="0" w:color="auto"/>
      </w:divBdr>
    </w:div>
    <w:div w:id="233467083">
      <w:bodyDiv w:val="1"/>
      <w:marLeft w:val="0"/>
      <w:marRight w:val="0"/>
      <w:marTop w:val="0"/>
      <w:marBottom w:val="0"/>
      <w:divBdr>
        <w:top w:val="none" w:sz="0" w:space="0" w:color="auto"/>
        <w:left w:val="none" w:sz="0" w:space="0" w:color="auto"/>
        <w:bottom w:val="none" w:sz="0" w:space="0" w:color="auto"/>
        <w:right w:val="none" w:sz="0" w:space="0" w:color="auto"/>
      </w:divBdr>
    </w:div>
    <w:div w:id="233899319">
      <w:bodyDiv w:val="1"/>
      <w:marLeft w:val="0"/>
      <w:marRight w:val="0"/>
      <w:marTop w:val="0"/>
      <w:marBottom w:val="0"/>
      <w:divBdr>
        <w:top w:val="none" w:sz="0" w:space="0" w:color="auto"/>
        <w:left w:val="none" w:sz="0" w:space="0" w:color="auto"/>
        <w:bottom w:val="none" w:sz="0" w:space="0" w:color="auto"/>
        <w:right w:val="none" w:sz="0" w:space="0" w:color="auto"/>
      </w:divBdr>
    </w:div>
    <w:div w:id="235285370">
      <w:bodyDiv w:val="1"/>
      <w:marLeft w:val="0"/>
      <w:marRight w:val="0"/>
      <w:marTop w:val="0"/>
      <w:marBottom w:val="0"/>
      <w:divBdr>
        <w:top w:val="none" w:sz="0" w:space="0" w:color="auto"/>
        <w:left w:val="none" w:sz="0" w:space="0" w:color="auto"/>
        <w:bottom w:val="none" w:sz="0" w:space="0" w:color="auto"/>
        <w:right w:val="none" w:sz="0" w:space="0" w:color="auto"/>
      </w:divBdr>
    </w:div>
    <w:div w:id="236286149">
      <w:bodyDiv w:val="1"/>
      <w:marLeft w:val="0"/>
      <w:marRight w:val="0"/>
      <w:marTop w:val="0"/>
      <w:marBottom w:val="0"/>
      <w:divBdr>
        <w:top w:val="none" w:sz="0" w:space="0" w:color="auto"/>
        <w:left w:val="none" w:sz="0" w:space="0" w:color="auto"/>
        <w:bottom w:val="none" w:sz="0" w:space="0" w:color="auto"/>
        <w:right w:val="none" w:sz="0" w:space="0" w:color="auto"/>
      </w:divBdr>
    </w:div>
    <w:div w:id="252789900">
      <w:bodyDiv w:val="1"/>
      <w:marLeft w:val="0"/>
      <w:marRight w:val="0"/>
      <w:marTop w:val="0"/>
      <w:marBottom w:val="0"/>
      <w:divBdr>
        <w:top w:val="none" w:sz="0" w:space="0" w:color="auto"/>
        <w:left w:val="none" w:sz="0" w:space="0" w:color="auto"/>
        <w:bottom w:val="none" w:sz="0" w:space="0" w:color="auto"/>
        <w:right w:val="none" w:sz="0" w:space="0" w:color="auto"/>
      </w:divBdr>
    </w:div>
    <w:div w:id="262808955">
      <w:bodyDiv w:val="1"/>
      <w:marLeft w:val="0"/>
      <w:marRight w:val="0"/>
      <w:marTop w:val="0"/>
      <w:marBottom w:val="0"/>
      <w:divBdr>
        <w:top w:val="none" w:sz="0" w:space="0" w:color="auto"/>
        <w:left w:val="none" w:sz="0" w:space="0" w:color="auto"/>
        <w:bottom w:val="none" w:sz="0" w:space="0" w:color="auto"/>
        <w:right w:val="none" w:sz="0" w:space="0" w:color="auto"/>
      </w:divBdr>
      <w:divsChild>
        <w:div w:id="332730206">
          <w:marLeft w:val="0"/>
          <w:marRight w:val="0"/>
          <w:marTop w:val="0"/>
          <w:marBottom w:val="0"/>
          <w:divBdr>
            <w:top w:val="none" w:sz="0" w:space="0" w:color="auto"/>
            <w:left w:val="none" w:sz="0" w:space="0" w:color="auto"/>
            <w:bottom w:val="none" w:sz="0" w:space="0" w:color="auto"/>
            <w:right w:val="none" w:sz="0" w:space="0" w:color="auto"/>
          </w:divBdr>
          <w:divsChild>
            <w:div w:id="949316236">
              <w:marLeft w:val="0"/>
              <w:marRight w:val="0"/>
              <w:marTop w:val="0"/>
              <w:marBottom w:val="0"/>
              <w:divBdr>
                <w:top w:val="none" w:sz="0" w:space="0" w:color="auto"/>
                <w:left w:val="none" w:sz="0" w:space="0" w:color="auto"/>
                <w:bottom w:val="none" w:sz="0" w:space="0" w:color="auto"/>
                <w:right w:val="none" w:sz="0" w:space="0" w:color="auto"/>
              </w:divBdr>
              <w:divsChild>
                <w:div w:id="976102936">
                  <w:marLeft w:val="0"/>
                  <w:marRight w:val="0"/>
                  <w:marTop w:val="0"/>
                  <w:marBottom w:val="0"/>
                  <w:divBdr>
                    <w:top w:val="none" w:sz="0" w:space="0" w:color="auto"/>
                    <w:left w:val="none" w:sz="0" w:space="0" w:color="auto"/>
                    <w:bottom w:val="none" w:sz="0" w:space="0" w:color="auto"/>
                    <w:right w:val="none" w:sz="0" w:space="0" w:color="auto"/>
                  </w:divBdr>
                </w:div>
                <w:div w:id="270169668">
                  <w:marLeft w:val="0"/>
                  <w:marRight w:val="0"/>
                  <w:marTop w:val="0"/>
                  <w:marBottom w:val="0"/>
                  <w:divBdr>
                    <w:top w:val="none" w:sz="0" w:space="0" w:color="auto"/>
                    <w:left w:val="none" w:sz="0" w:space="0" w:color="auto"/>
                    <w:bottom w:val="none" w:sz="0" w:space="0" w:color="auto"/>
                    <w:right w:val="none" w:sz="0" w:space="0" w:color="auto"/>
                  </w:divBdr>
                  <w:divsChild>
                    <w:div w:id="20694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200672">
      <w:bodyDiv w:val="1"/>
      <w:marLeft w:val="0"/>
      <w:marRight w:val="0"/>
      <w:marTop w:val="0"/>
      <w:marBottom w:val="0"/>
      <w:divBdr>
        <w:top w:val="none" w:sz="0" w:space="0" w:color="auto"/>
        <w:left w:val="none" w:sz="0" w:space="0" w:color="auto"/>
        <w:bottom w:val="none" w:sz="0" w:space="0" w:color="auto"/>
        <w:right w:val="none" w:sz="0" w:space="0" w:color="auto"/>
      </w:divBdr>
    </w:div>
    <w:div w:id="273052427">
      <w:bodyDiv w:val="1"/>
      <w:marLeft w:val="0"/>
      <w:marRight w:val="0"/>
      <w:marTop w:val="0"/>
      <w:marBottom w:val="0"/>
      <w:divBdr>
        <w:top w:val="none" w:sz="0" w:space="0" w:color="auto"/>
        <w:left w:val="none" w:sz="0" w:space="0" w:color="auto"/>
        <w:bottom w:val="none" w:sz="0" w:space="0" w:color="auto"/>
        <w:right w:val="none" w:sz="0" w:space="0" w:color="auto"/>
      </w:divBdr>
    </w:div>
    <w:div w:id="277101497">
      <w:bodyDiv w:val="1"/>
      <w:marLeft w:val="0"/>
      <w:marRight w:val="0"/>
      <w:marTop w:val="0"/>
      <w:marBottom w:val="0"/>
      <w:divBdr>
        <w:top w:val="none" w:sz="0" w:space="0" w:color="auto"/>
        <w:left w:val="none" w:sz="0" w:space="0" w:color="auto"/>
        <w:bottom w:val="none" w:sz="0" w:space="0" w:color="auto"/>
        <w:right w:val="none" w:sz="0" w:space="0" w:color="auto"/>
      </w:divBdr>
    </w:div>
    <w:div w:id="290094538">
      <w:bodyDiv w:val="1"/>
      <w:marLeft w:val="0"/>
      <w:marRight w:val="0"/>
      <w:marTop w:val="0"/>
      <w:marBottom w:val="0"/>
      <w:divBdr>
        <w:top w:val="none" w:sz="0" w:space="0" w:color="auto"/>
        <w:left w:val="none" w:sz="0" w:space="0" w:color="auto"/>
        <w:bottom w:val="none" w:sz="0" w:space="0" w:color="auto"/>
        <w:right w:val="none" w:sz="0" w:space="0" w:color="auto"/>
      </w:divBdr>
    </w:div>
    <w:div w:id="307785651">
      <w:bodyDiv w:val="1"/>
      <w:marLeft w:val="0"/>
      <w:marRight w:val="0"/>
      <w:marTop w:val="0"/>
      <w:marBottom w:val="0"/>
      <w:divBdr>
        <w:top w:val="none" w:sz="0" w:space="0" w:color="auto"/>
        <w:left w:val="none" w:sz="0" w:space="0" w:color="auto"/>
        <w:bottom w:val="none" w:sz="0" w:space="0" w:color="auto"/>
        <w:right w:val="none" w:sz="0" w:space="0" w:color="auto"/>
      </w:divBdr>
    </w:div>
    <w:div w:id="309290282">
      <w:bodyDiv w:val="1"/>
      <w:marLeft w:val="0"/>
      <w:marRight w:val="0"/>
      <w:marTop w:val="0"/>
      <w:marBottom w:val="0"/>
      <w:divBdr>
        <w:top w:val="none" w:sz="0" w:space="0" w:color="auto"/>
        <w:left w:val="none" w:sz="0" w:space="0" w:color="auto"/>
        <w:bottom w:val="none" w:sz="0" w:space="0" w:color="auto"/>
        <w:right w:val="none" w:sz="0" w:space="0" w:color="auto"/>
      </w:divBdr>
    </w:div>
    <w:div w:id="348604575">
      <w:bodyDiv w:val="1"/>
      <w:marLeft w:val="0"/>
      <w:marRight w:val="0"/>
      <w:marTop w:val="0"/>
      <w:marBottom w:val="0"/>
      <w:divBdr>
        <w:top w:val="none" w:sz="0" w:space="0" w:color="auto"/>
        <w:left w:val="none" w:sz="0" w:space="0" w:color="auto"/>
        <w:bottom w:val="none" w:sz="0" w:space="0" w:color="auto"/>
        <w:right w:val="none" w:sz="0" w:space="0" w:color="auto"/>
      </w:divBdr>
    </w:div>
    <w:div w:id="351304986">
      <w:bodyDiv w:val="1"/>
      <w:marLeft w:val="0"/>
      <w:marRight w:val="0"/>
      <w:marTop w:val="0"/>
      <w:marBottom w:val="0"/>
      <w:divBdr>
        <w:top w:val="none" w:sz="0" w:space="0" w:color="auto"/>
        <w:left w:val="none" w:sz="0" w:space="0" w:color="auto"/>
        <w:bottom w:val="none" w:sz="0" w:space="0" w:color="auto"/>
        <w:right w:val="none" w:sz="0" w:space="0" w:color="auto"/>
      </w:divBdr>
    </w:div>
    <w:div w:id="361170974">
      <w:bodyDiv w:val="1"/>
      <w:marLeft w:val="0"/>
      <w:marRight w:val="0"/>
      <w:marTop w:val="0"/>
      <w:marBottom w:val="0"/>
      <w:divBdr>
        <w:top w:val="none" w:sz="0" w:space="0" w:color="auto"/>
        <w:left w:val="none" w:sz="0" w:space="0" w:color="auto"/>
        <w:bottom w:val="none" w:sz="0" w:space="0" w:color="auto"/>
        <w:right w:val="none" w:sz="0" w:space="0" w:color="auto"/>
      </w:divBdr>
    </w:div>
    <w:div w:id="372315261">
      <w:bodyDiv w:val="1"/>
      <w:marLeft w:val="0"/>
      <w:marRight w:val="0"/>
      <w:marTop w:val="0"/>
      <w:marBottom w:val="0"/>
      <w:divBdr>
        <w:top w:val="none" w:sz="0" w:space="0" w:color="auto"/>
        <w:left w:val="none" w:sz="0" w:space="0" w:color="auto"/>
        <w:bottom w:val="none" w:sz="0" w:space="0" w:color="auto"/>
        <w:right w:val="none" w:sz="0" w:space="0" w:color="auto"/>
      </w:divBdr>
    </w:div>
    <w:div w:id="382144657">
      <w:bodyDiv w:val="1"/>
      <w:marLeft w:val="0"/>
      <w:marRight w:val="0"/>
      <w:marTop w:val="0"/>
      <w:marBottom w:val="0"/>
      <w:divBdr>
        <w:top w:val="none" w:sz="0" w:space="0" w:color="auto"/>
        <w:left w:val="none" w:sz="0" w:space="0" w:color="auto"/>
        <w:bottom w:val="none" w:sz="0" w:space="0" w:color="auto"/>
        <w:right w:val="none" w:sz="0" w:space="0" w:color="auto"/>
      </w:divBdr>
      <w:divsChild>
        <w:div w:id="1823808283">
          <w:marLeft w:val="0"/>
          <w:marRight w:val="0"/>
          <w:marTop w:val="0"/>
          <w:marBottom w:val="255"/>
          <w:divBdr>
            <w:top w:val="none" w:sz="0" w:space="0" w:color="auto"/>
            <w:left w:val="none" w:sz="0" w:space="0" w:color="auto"/>
            <w:bottom w:val="none" w:sz="0" w:space="0" w:color="auto"/>
            <w:right w:val="none" w:sz="0" w:space="0" w:color="auto"/>
          </w:divBdr>
        </w:div>
        <w:div w:id="1420712790">
          <w:marLeft w:val="0"/>
          <w:marRight w:val="0"/>
          <w:marTop w:val="0"/>
          <w:marBottom w:val="0"/>
          <w:divBdr>
            <w:top w:val="none" w:sz="0" w:space="0" w:color="auto"/>
            <w:left w:val="none" w:sz="0" w:space="0" w:color="auto"/>
            <w:bottom w:val="none" w:sz="0" w:space="0" w:color="auto"/>
            <w:right w:val="none" w:sz="0" w:space="0" w:color="auto"/>
          </w:divBdr>
          <w:divsChild>
            <w:div w:id="2069959366">
              <w:marLeft w:val="0"/>
              <w:marRight w:val="0"/>
              <w:marTop w:val="0"/>
              <w:marBottom w:val="0"/>
              <w:divBdr>
                <w:top w:val="none" w:sz="0" w:space="0" w:color="auto"/>
                <w:left w:val="none" w:sz="0" w:space="0" w:color="auto"/>
                <w:bottom w:val="none" w:sz="0" w:space="0" w:color="auto"/>
                <w:right w:val="none" w:sz="0" w:space="0" w:color="auto"/>
              </w:divBdr>
              <w:divsChild>
                <w:div w:id="921186048">
                  <w:marLeft w:val="0"/>
                  <w:marRight w:val="0"/>
                  <w:marTop w:val="144"/>
                  <w:marBottom w:val="0"/>
                  <w:divBdr>
                    <w:top w:val="none" w:sz="0" w:space="0" w:color="auto"/>
                    <w:left w:val="none" w:sz="0" w:space="0" w:color="auto"/>
                    <w:bottom w:val="none" w:sz="0" w:space="0" w:color="auto"/>
                    <w:right w:val="none" w:sz="0" w:space="0" w:color="auto"/>
                  </w:divBdr>
                </w:div>
                <w:div w:id="1647279950">
                  <w:marLeft w:val="0"/>
                  <w:marRight w:val="0"/>
                  <w:marTop w:val="0"/>
                  <w:marBottom w:val="0"/>
                  <w:divBdr>
                    <w:top w:val="none" w:sz="0" w:space="0" w:color="auto"/>
                    <w:left w:val="none" w:sz="0" w:space="0" w:color="auto"/>
                    <w:bottom w:val="none" w:sz="0" w:space="0" w:color="auto"/>
                    <w:right w:val="none" w:sz="0" w:space="0" w:color="auto"/>
                  </w:divBdr>
                  <w:divsChild>
                    <w:div w:id="5718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97773">
      <w:bodyDiv w:val="1"/>
      <w:marLeft w:val="0"/>
      <w:marRight w:val="0"/>
      <w:marTop w:val="0"/>
      <w:marBottom w:val="0"/>
      <w:divBdr>
        <w:top w:val="none" w:sz="0" w:space="0" w:color="auto"/>
        <w:left w:val="none" w:sz="0" w:space="0" w:color="auto"/>
        <w:bottom w:val="none" w:sz="0" w:space="0" w:color="auto"/>
        <w:right w:val="none" w:sz="0" w:space="0" w:color="auto"/>
      </w:divBdr>
    </w:div>
    <w:div w:id="409927815">
      <w:bodyDiv w:val="1"/>
      <w:marLeft w:val="0"/>
      <w:marRight w:val="0"/>
      <w:marTop w:val="0"/>
      <w:marBottom w:val="0"/>
      <w:divBdr>
        <w:top w:val="none" w:sz="0" w:space="0" w:color="auto"/>
        <w:left w:val="none" w:sz="0" w:space="0" w:color="auto"/>
        <w:bottom w:val="none" w:sz="0" w:space="0" w:color="auto"/>
        <w:right w:val="none" w:sz="0" w:space="0" w:color="auto"/>
      </w:divBdr>
    </w:div>
    <w:div w:id="422383541">
      <w:bodyDiv w:val="1"/>
      <w:marLeft w:val="0"/>
      <w:marRight w:val="0"/>
      <w:marTop w:val="0"/>
      <w:marBottom w:val="0"/>
      <w:divBdr>
        <w:top w:val="none" w:sz="0" w:space="0" w:color="auto"/>
        <w:left w:val="none" w:sz="0" w:space="0" w:color="auto"/>
        <w:bottom w:val="none" w:sz="0" w:space="0" w:color="auto"/>
        <w:right w:val="none" w:sz="0" w:space="0" w:color="auto"/>
      </w:divBdr>
    </w:div>
    <w:div w:id="424348488">
      <w:bodyDiv w:val="1"/>
      <w:marLeft w:val="0"/>
      <w:marRight w:val="0"/>
      <w:marTop w:val="0"/>
      <w:marBottom w:val="0"/>
      <w:divBdr>
        <w:top w:val="none" w:sz="0" w:space="0" w:color="auto"/>
        <w:left w:val="none" w:sz="0" w:space="0" w:color="auto"/>
        <w:bottom w:val="none" w:sz="0" w:space="0" w:color="auto"/>
        <w:right w:val="none" w:sz="0" w:space="0" w:color="auto"/>
      </w:divBdr>
    </w:div>
    <w:div w:id="426733049">
      <w:bodyDiv w:val="1"/>
      <w:marLeft w:val="0"/>
      <w:marRight w:val="0"/>
      <w:marTop w:val="0"/>
      <w:marBottom w:val="0"/>
      <w:divBdr>
        <w:top w:val="none" w:sz="0" w:space="0" w:color="auto"/>
        <w:left w:val="none" w:sz="0" w:space="0" w:color="auto"/>
        <w:bottom w:val="none" w:sz="0" w:space="0" w:color="auto"/>
        <w:right w:val="none" w:sz="0" w:space="0" w:color="auto"/>
      </w:divBdr>
    </w:div>
    <w:div w:id="436217325">
      <w:bodyDiv w:val="1"/>
      <w:marLeft w:val="0"/>
      <w:marRight w:val="0"/>
      <w:marTop w:val="0"/>
      <w:marBottom w:val="0"/>
      <w:divBdr>
        <w:top w:val="none" w:sz="0" w:space="0" w:color="auto"/>
        <w:left w:val="none" w:sz="0" w:space="0" w:color="auto"/>
        <w:bottom w:val="none" w:sz="0" w:space="0" w:color="auto"/>
        <w:right w:val="none" w:sz="0" w:space="0" w:color="auto"/>
      </w:divBdr>
    </w:div>
    <w:div w:id="442384616">
      <w:bodyDiv w:val="1"/>
      <w:marLeft w:val="0"/>
      <w:marRight w:val="0"/>
      <w:marTop w:val="0"/>
      <w:marBottom w:val="0"/>
      <w:divBdr>
        <w:top w:val="none" w:sz="0" w:space="0" w:color="auto"/>
        <w:left w:val="none" w:sz="0" w:space="0" w:color="auto"/>
        <w:bottom w:val="none" w:sz="0" w:space="0" w:color="auto"/>
        <w:right w:val="none" w:sz="0" w:space="0" w:color="auto"/>
      </w:divBdr>
    </w:div>
    <w:div w:id="446123893">
      <w:bodyDiv w:val="1"/>
      <w:marLeft w:val="0"/>
      <w:marRight w:val="0"/>
      <w:marTop w:val="0"/>
      <w:marBottom w:val="0"/>
      <w:divBdr>
        <w:top w:val="none" w:sz="0" w:space="0" w:color="auto"/>
        <w:left w:val="none" w:sz="0" w:space="0" w:color="auto"/>
        <w:bottom w:val="none" w:sz="0" w:space="0" w:color="auto"/>
        <w:right w:val="none" w:sz="0" w:space="0" w:color="auto"/>
      </w:divBdr>
    </w:div>
    <w:div w:id="451442344">
      <w:bodyDiv w:val="1"/>
      <w:marLeft w:val="0"/>
      <w:marRight w:val="0"/>
      <w:marTop w:val="0"/>
      <w:marBottom w:val="0"/>
      <w:divBdr>
        <w:top w:val="none" w:sz="0" w:space="0" w:color="auto"/>
        <w:left w:val="none" w:sz="0" w:space="0" w:color="auto"/>
        <w:bottom w:val="none" w:sz="0" w:space="0" w:color="auto"/>
        <w:right w:val="none" w:sz="0" w:space="0" w:color="auto"/>
      </w:divBdr>
    </w:div>
    <w:div w:id="459423361">
      <w:bodyDiv w:val="1"/>
      <w:marLeft w:val="0"/>
      <w:marRight w:val="0"/>
      <w:marTop w:val="0"/>
      <w:marBottom w:val="0"/>
      <w:divBdr>
        <w:top w:val="none" w:sz="0" w:space="0" w:color="auto"/>
        <w:left w:val="none" w:sz="0" w:space="0" w:color="auto"/>
        <w:bottom w:val="none" w:sz="0" w:space="0" w:color="auto"/>
        <w:right w:val="none" w:sz="0" w:space="0" w:color="auto"/>
      </w:divBdr>
    </w:div>
    <w:div w:id="497624283">
      <w:bodyDiv w:val="1"/>
      <w:marLeft w:val="0"/>
      <w:marRight w:val="0"/>
      <w:marTop w:val="0"/>
      <w:marBottom w:val="0"/>
      <w:divBdr>
        <w:top w:val="none" w:sz="0" w:space="0" w:color="auto"/>
        <w:left w:val="none" w:sz="0" w:space="0" w:color="auto"/>
        <w:bottom w:val="none" w:sz="0" w:space="0" w:color="auto"/>
        <w:right w:val="none" w:sz="0" w:space="0" w:color="auto"/>
      </w:divBdr>
    </w:div>
    <w:div w:id="498546797">
      <w:bodyDiv w:val="1"/>
      <w:marLeft w:val="0"/>
      <w:marRight w:val="0"/>
      <w:marTop w:val="0"/>
      <w:marBottom w:val="0"/>
      <w:divBdr>
        <w:top w:val="none" w:sz="0" w:space="0" w:color="auto"/>
        <w:left w:val="none" w:sz="0" w:space="0" w:color="auto"/>
        <w:bottom w:val="none" w:sz="0" w:space="0" w:color="auto"/>
        <w:right w:val="none" w:sz="0" w:space="0" w:color="auto"/>
      </w:divBdr>
    </w:div>
    <w:div w:id="530921497">
      <w:bodyDiv w:val="1"/>
      <w:marLeft w:val="0"/>
      <w:marRight w:val="0"/>
      <w:marTop w:val="0"/>
      <w:marBottom w:val="0"/>
      <w:divBdr>
        <w:top w:val="none" w:sz="0" w:space="0" w:color="auto"/>
        <w:left w:val="none" w:sz="0" w:space="0" w:color="auto"/>
        <w:bottom w:val="none" w:sz="0" w:space="0" w:color="auto"/>
        <w:right w:val="none" w:sz="0" w:space="0" w:color="auto"/>
      </w:divBdr>
    </w:div>
    <w:div w:id="562443997">
      <w:bodyDiv w:val="1"/>
      <w:marLeft w:val="0"/>
      <w:marRight w:val="0"/>
      <w:marTop w:val="0"/>
      <w:marBottom w:val="0"/>
      <w:divBdr>
        <w:top w:val="none" w:sz="0" w:space="0" w:color="auto"/>
        <w:left w:val="none" w:sz="0" w:space="0" w:color="auto"/>
        <w:bottom w:val="none" w:sz="0" w:space="0" w:color="auto"/>
        <w:right w:val="none" w:sz="0" w:space="0" w:color="auto"/>
      </w:divBdr>
    </w:div>
    <w:div w:id="563836072">
      <w:bodyDiv w:val="1"/>
      <w:marLeft w:val="0"/>
      <w:marRight w:val="0"/>
      <w:marTop w:val="0"/>
      <w:marBottom w:val="0"/>
      <w:divBdr>
        <w:top w:val="none" w:sz="0" w:space="0" w:color="auto"/>
        <w:left w:val="none" w:sz="0" w:space="0" w:color="auto"/>
        <w:bottom w:val="none" w:sz="0" w:space="0" w:color="auto"/>
        <w:right w:val="none" w:sz="0" w:space="0" w:color="auto"/>
      </w:divBdr>
    </w:div>
    <w:div w:id="568032995">
      <w:bodyDiv w:val="1"/>
      <w:marLeft w:val="0"/>
      <w:marRight w:val="0"/>
      <w:marTop w:val="0"/>
      <w:marBottom w:val="0"/>
      <w:divBdr>
        <w:top w:val="none" w:sz="0" w:space="0" w:color="auto"/>
        <w:left w:val="none" w:sz="0" w:space="0" w:color="auto"/>
        <w:bottom w:val="none" w:sz="0" w:space="0" w:color="auto"/>
        <w:right w:val="none" w:sz="0" w:space="0" w:color="auto"/>
      </w:divBdr>
    </w:div>
    <w:div w:id="593173037">
      <w:bodyDiv w:val="1"/>
      <w:marLeft w:val="0"/>
      <w:marRight w:val="0"/>
      <w:marTop w:val="0"/>
      <w:marBottom w:val="0"/>
      <w:divBdr>
        <w:top w:val="none" w:sz="0" w:space="0" w:color="auto"/>
        <w:left w:val="none" w:sz="0" w:space="0" w:color="auto"/>
        <w:bottom w:val="none" w:sz="0" w:space="0" w:color="auto"/>
        <w:right w:val="none" w:sz="0" w:space="0" w:color="auto"/>
      </w:divBdr>
    </w:div>
    <w:div w:id="639264401">
      <w:bodyDiv w:val="1"/>
      <w:marLeft w:val="0"/>
      <w:marRight w:val="0"/>
      <w:marTop w:val="0"/>
      <w:marBottom w:val="0"/>
      <w:divBdr>
        <w:top w:val="none" w:sz="0" w:space="0" w:color="auto"/>
        <w:left w:val="none" w:sz="0" w:space="0" w:color="auto"/>
        <w:bottom w:val="none" w:sz="0" w:space="0" w:color="auto"/>
        <w:right w:val="none" w:sz="0" w:space="0" w:color="auto"/>
      </w:divBdr>
    </w:div>
    <w:div w:id="649289150">
      <w:bodyDiv w:val="1"/>
      <w:marLeft w:val="0"/>
      <w:marRight w:val="0"/>
      <w:marTop w:val="0"/>
      <w:marBottom w:val="0"/>
      <w:divBdr>
        <w:top w:val="none" w:sz="0" w:space="0" w:color="auto"/>
        <w:left w:val="none" w:sz="0" w:space="0" w:color="auto"/>
        <w:bottom w:val="none" w:sz="0" w:space="0" w:color="auto"/>
        <w:right w:val="none" w:sz="0" w:space="0" w:color="auto"/>
      </w:divBdr>
    </w:div>
    <w:div w:id="678043198">
      <w:bodyDiv w:val="1"/>
      <w:marLeft w:val="0"/>
      <w:marRight w:val="0"/>
      <w:marTop w:val="0"/>
      <w:marBottom w:val="0"/>
      <w:divBdr>
        <w:top w:val="none" w:sz="0" w:space="0" w:color="auto"/>
        <w:left w:val="none" w:sz="0" w:space="0" w:color="auto"/>
        <w:bottom w:val="none" w:sz="0" w:space="0" w:color="auto"/>
        <w:right w:val="none" w:sz="0" w:space="0" w:color="auto"/>
      </w:divBdr>
    </w:div>
    <w:div w:id="680082771">
      <w:bodyDiv w:val="1"/>
      <w:marLeft w:val="0"/>
      <w:marRight w:val="0"/>
      <w:marTop w:val="0"/>
      <w:marBottom w:val="0"/>
      <w:divBdr>
        <w:top w:val="none" w:sz="0" w:space="0" w:color="auto"/>
        <w:left w:val="none" w:sz="0" w:space="0" w:color="auto"/>
        <w:bottom w:val="none" w:sz="0" w:space="0" w:color="auto"/>
        <w:right w:val="none" w:sz="0" w:space="0" w:color="auto"/>
      </w:divBdr>
      <w:divsChild>
        <w:div w:id="476849360">
          <w:marLeft w:val="0"/>
          <w:marRight w:val="0"/>
          <w:marTop w:val="0"/>
          <w:marBottom w:val="0"/>
          <w:divBdr>
            <w:top w:val="none" w:sz="0" w:space="0" w:color="auto"/>
            <w:left w:val="none" w:sz="0" w:space="0" w:color="auto"/>
            <w:bottom w:val="none" w:sz="0" w:space="0" w:color="auto"/>
            <w:right w:val="none" w:sz="0" w:space="0" w:color="auto"/>
          </w:divBdr>
          <w:divsChild>
            <w:div w:id="1456369833">
              <w:marLeft w:val="0"/>
              <w:marRight w:val="0"/>
              <w:marTop w:val="0"/>
              <w:marBottom w:val="0"/>
              <w:divBdr>
                <w:top w:val="none" w:sz="0" w:space="0" w:color="auto"/>
                <w:left w:val="none" w:sz="0" w:space="0" w:color="auto"/>
                <w:bottom w:val="none" w:sz="0" w:space="0" w:color="auto"/>
                <w:right w:val="none" w:sz="0" w:space="0" w:color="auto"/>
              </w:divBdr>
              <w:divsChild>
                <w:div w:id="106894563">
                  <w:marLeft w:val="0"/>
                  <w:marRight w:val="0"/>
                  <w:marTop w:val="0"/>
                  <w:marBottom w:val="0"/>
                  <w:divBdr>
                    <w:top w:val="none" w:sz="0" w:space="0" w:color="auto"/>
                    <w:left w:val="none" w:sz="0" w:space="0" w:color="auto"/>
                    <w:bottom w:val="none" w:sz="0" w:space="0" w:color="auto"/>
                    <w:right w:val="none" w:sz="0" w:space="0" w:color="auto"/>
                  </w:divBdr>
                  <w:divsChild>
                    <w:div w:id="119033051">
                      <w:marLeft w:val="0"/>
                      <w:marRight w:val="0"/>
                      <w:marTop w:val="0"/>
                      <w:marBottom w:val="0"/>
                      <w:divBdr>
                        <w:top w:val="none" w:sz="0" w:space="0" w:color="auto"/>
                        <w:left w:val="none" w:sz="0" w:space="0" w:color="auto"/>
                        <w:bottom w:val="none" w:sz="0" w:space="0" w:color="auto"/>
                        <w:right w:val="none" w:sz="0" w:space="0" w:color="auto"/>
                      </w:divBdr>
                      <w:divsChild>
                        <w:div w:id="1981032744">
                          <w:marLeft w:val="0"/>
                          <w:marRight w:val="0"/>
                          <w:marTop w:val="0"/>
                          <w:marBottom w:val="0"/>
                          <w:divBdr>
                            <w:top w:val="none" w:sz="0" w:space="0" w:color="auto"/>
                            <w:left w:val="none" w:sz="0" w:space="0" w:color="auto"/>
                            <w:bottom w:val="none" w:sz="0" w:space="0" w:color="auto"/>
                            <w:right w:val="none" w:sz="0" w:space="0" w:color="auto"/>
                          </w:divBdr>
                        </w:div>
                        <w:div w:id="17910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32652">
          <w:marLeft w:val="0"/>
          <w:marRight w:val="0"/>
          <w:marTop w:val="0"/>
          <w:marBottom w:val="0"/>
          <w:divBdr>
            <w:top w:val="none" w:sz="0" w:space="0" w:color="auto"/>
            <w:left w:val="none" w:sz="0" w:space="0" w:color="auto"/>
            <w:bottom w:val="none" w:sz="0" w:space="0" w:color="auto"/>
            <w:right w:val="none" w:sz="0" w:space="0" w:color="auto"/>
          </w:divBdr>
        </w:div>
      </w:divsChild>
    </w:div>
    <w:div w:id="684132001">
      <w:bodyDiv w:val="1"/>
      <w:marLeft w:val="0"/>
      <w:marRight w:val="0"/>
      <w:marTop w:val="0"/>
      <w:marBottom w:val="0"/>
      <w:divBdr>
        <w:top w:val="none" w:sz="0" w:space="0" w:color="auto"/>
        <w:left w:val="none" w:sz="0" w:space="0" w:color="auto"/>
        <w:bottom w:val="none" w:sz="0" w:space="0" w:color="auto"/>
        <w:right w:val="none" w:sz="0" w:space="0" w:color="auto"/>
      </w:divBdr>
    </w:div>
    <w:div w:id="691762781">
      <w:bodyDiv w:val="1"/>
      <w:marLeft w:val="0"/>
      <w:marRight w:val="0"/>
      <w:marTop w:val="0"/>
      <w:marBottom w:val="0"/>
      <w:divBdr>
        <w:top w:val="none" w:sz="0" w:space="0" w:color="auto"/>
        <w:left w:val="none" w:sz="0" w:space="0" w:color="auto"/>
        <w:bottom w:val="none" w:sz="0" w:space="0" w:color="auto"/>
        <w:right w:val="none" w:sz="0" w:space="0" w:color="auto"/>
      </w:divBdr>
      <w:divsChild>
        <w:div w:id="248782394">
          <w:marLeft w:val="0"/>
          <w:marRight w:val="0"/>
          <w:marTop w:val="0"/>
          <w:marBottom w:val="0"/>
          <w:divBdr>
            <w:top w:val="none" w:sz="0" w:space="0" w:color="auto"/>
            <w:left w:val="none" w:sz="0" w:space="0" w:color="auto"/>
            <w:bottom w:val="none" w:sz="0" w:space="0" w:color="auto"/>
            <w:right w:val="none" w:sz="0" w:space="0" w:color="auto"/>
          </w:divBdr>
        </w:div>
      </w:divsChild>
    </w:div>
    <w:div w:id="701633157">
      <w:bodyDiv w:val="1"/>
      <w:marLeft w:val="0"/>
      <w:marRight w:val="0"/>
      <w:marTop w:val="0"/>
      <w:marBottom w:val="0"/>
      <w:divBdr>
        <w:top w:val="none" w:sz="0" w:space="0" w:color="auto"/>
        <w:left w:val="none" w:sz="0" w:space="0" w:color="auto"/>
        <w:bottom w:val="none" w:sz="0" w:space="0" w:color="auto"/>
        <w:right w:val="none" w:sz="0" w:space="0" w:color="auto"/>
      </w:divBdr>
    </w:div>
    <w:div w:id="701979066">
      <w:bodyDiv w:val="1"/>
      <w:marLeft w:val="0"/>
      <w:marRight w:val="0"/>
      <w:marTop w:val="0"/>
      <w:marBottom w:val="0"/>
      <w:divBdr>
        <w:top w:val="none" w:sz="0" w:space="0" w:color="auto"/>
        <w:left w:val="none" w:sz="0" w:space="0" w:color="auto"/>
        <w:bottom w:val="none" w:sz="0" w:space="0" w:color="auto"/>
        <w:right w:val="none" w:sz="0" w:space="0" w:color="auto"/>
      </w:divBdr>
    </w:div>
    <w:div w:id="707724327">
      <w:bodyDiv w:val="1"/>
      <w:marLeft w:val="0"/>
      <w:marRight w:val="0"/>
      <w:marTop w:val="0"/>
      <w:marBottom w:val="0"/>
      <w:divBdr>
        <w:top w:val="none" w:sz="0" w:space="0" w:color="auto"/>
        <w:left w:val="none" w:sz="0" w:space="0" w:color="auto"/>
        <w:bottom w:val="none" w:sz="0" w:space="0" w:color="auto"/>
        <w:right w:val="none" w:sz="0" w:space="0" w:color="auto"/>
      </w:divBdr>
      <w:divsChild>
        <w:div w:id="1037697699">
          <w:marLeft w:val="0"/>
          <w:marRight w:val="0"/>
          <w:marTop w:val="0"/>
          <w:marBottom w:val="0"/>
          <w:divBdr>
            <w:top w:val="none" w:sz="0" w:space="0" w:color="auto"/>
            <w:left w:val="none" w:sz="0" w:space="0" w:color="auto"/>
            <w:bottom w:val="none" w:sz="0" w:space="0" w:color="auto"/>
            <w:right w:val="none" w:sz="0" w:space="0" w:color="auto"/>
          </w:divBdr>
          <w:divsChild>
            <w:div w:id="11199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5502">
      <w:bodyDiv w:val="1"/>
      <w:marLeft w:val="0"/>
      <w:marRight w:val="0"/>
      <w:marTop w:val="0"/>
      <w:marBottom w:val="0"/>
      <w:divBdr>
        <w:top w:val="none" w:sz="0" w:space="0" w:color="auto"/>
        <w:left w:val="none" w:sz="0" w:space="0" w:color="auto"/>
        <w:bottom w:val="none" w:sz="0" w:space="0" w:color="auto"/>
        <w:right w:val="none" w:sz="0" w:space="0" w:color="auto"/>
      </w:divBdr>
    </w:div>
    <w:div w:id="729351657">
      <w:bodyDiv w:val="1"/>
      <w:marLeft w:val="0"/>
      <w:marRight w:val="0"/>
      <w:marTop w:val="0"/>
      <w:marBottom w:val="0"/>
      <w:divBdr>
        <w:top w:val="none" w:sz="0" w:space="0" w:color="auto"/>
        <w:left w:val="none" w:sz="0" w:space="0" w:color="auto"/>
        <w:bottom w:val="none" w:sz="0" w:space="0" w:color="auto"/>
        <w:right w:val="none" w:sz="0" w:space="0" w:color="auto"/>
      </w:divBdr>
    </w:div>
    <w:div w:id="749159997">
      <w:bodyDiv w:val="1"/>
      <w:marLeft w:val="0"/>
      <w:marRight w:val="0"/>
      <w:marTop w:val="0"/>
      <w:marBottom w:val="0"/>
      <w:divBdr>
        <w:top w:val="none" w:sz="0" w:space="0" w:color="auto"/>
        <w:left w:val="none" w:sz="0" w:space="0" w:color="auto"/>
        <w:bottom w:val="none" w:sz="0" w:space="0" w:color="auto"/>
        <w:right w:val="none" w:sz="0" w:space="0" w:color="auto"/>
      </w:divBdr>
    </w:div>
    <w:div w:id="753284938">
      <w:bodyDiv w:val="1"/>
      <w:marLeft w:val="0"/>
      <w:marRight w:val="0"/>
      <w:marTop w:val="0"/>
      <w:marBottom w:val="0"/>
      <w:divBdr>
        <w:top w:val="none" w:sz="0" w:space="0" w:color="auto"/>
        <w:left w:val="none" w:sz="0" w:space="0" w:color="auto"/>
        <w:bottom w:val="none" w:sz="0" w:space="0" w:color="auto"/>
        <w:right w:val="none" w:sz="0" w:space="0" w:color="auto"/>
      </w:divBdr>
    </w:div>
    <w:div w:id="757748775">
      <w:bodyDiv w:val="1"/>
      <w:marLeft w:val="0"/>
      <w:marRight w:val="0"/>
      <w:marTop w:val="0"/>
      <w:marBottom w:val="0"/>
      <w:divBdr>
        <w:top w:val="none" w:sz="0" w:space="0" w:color="auto"/>
        <w:left w:val="none" w:sz="0" w:space="0" w:color="auto"/>
        <w:bottom w:val="none" w:sz="0" w:space="0" w:color="auto"/>
        <w:right w:val="none" w:sz="0" w:space="0" w:color="auto"/>
      </w:divBdr>
      <w:divsChild>
        <w:div w:id="2113161539">
          <w:marLeft w:val="0"/>
          <w:marRight w:val="0"/>
          <w:marTop w:val="0"/>
          <w:marBottom w:val="0"/>
          <w:divBdr>
            <w:top w:val="none" w:sz="0" w:space="0" w:color="auto"/>
            <w:left w:val="none" w:sz="0" w:space="0" w:color="auto"/>
            <w:bottom w:val="none" w:sz="0" w:space="0" w:color="auto"/>
            <w:right w:val="none" w:sz="0" w:space="0" w:color="auto"/>
          </w:divBdr>
        </w:div>
      </w:divsChild>
    </w:div>
    <w:div w:id="766779148">
      <w:bodyDiv w:val="1"/>
      <w:marLeft w:val="0"/>
      <w:marRight w:val="0"/>
      <w:marTop w:val="0"/>
      <w:marBottom w:val="0"/>
      <w:divBdr>
        <w:top w:val="none" w:sz="0" w:space="0" w:color="auto"/>
        <w:left w:val="none" w:sz="0" w:space="0" w:color="auto"/>
        <w:bottom w:val="none" w:sz="0" w:space="0" w:color="auto"/>
        <w:right w:val="none" w:sz="0" w:space="0" w:color="auto"/>
      </w:divBdr>
    </w:div>
    <w:div w:id="780758938">
      <w:bodyDiv w:val="1"/>
      <w:marLeft w:val="0"/>
      <w:marRight w:val="0"/>
      <w:marTop w:val="0"/>
      <w:marBottom w:val="0"/>
      <w:divBdr>
        <w:top w:val="none" w:sz="0" w:space="0" w:color="auto"/>
        <w:left w:val="none" w:sz="0" w:space="0" w:color="auto"/>
        <w:bottom w:val="none" w:sz="0" w:space="0" w:color="auto"/>
        <w:right w:val="none" w:sz="0" w:space="0" w:color="auto"/>
      </w:divBdr>
    </w:div>
    <w:div w:id="787771468">
      <w:bodyDiv w:val="1"/>
      <w:marLeft w:val="0"/>
      <w:marRight w:val="0"/>
      <w:marTop w:val="0"/>
      <w:marBottom w:val="0"/>
      <w:divBdr>
        <w:top w:val="none" w:sz="0" w:space="0" w:color="auto"/>
        <w:left w:val="none" w:sz="0" w:space="0" w:color="auto"/>
        <w:bottom w:val="none" w:sz="0" w:space="0" w:color="auto"/>
        <w:right w:val="none" w:sz="0" w:space="0" w:color="auto"/>
      </w:divBdr>
    </w:div>
    <w:div w:id="801652479">
      <w:bodyDiv w:val="1"/>
      <w:marLeft w:val="0"/>
      <w:marRight w:val="0"/>
      <w:marTop w:val="0"/>
      <w:marBottom w:val="0"/>
      <w:divBdr>
        <w:top w:val="none" w:sz="0" w:space="0" w:color="auto"/>
        <w:left w:val="none" w:sz="0" w:space="0" w:color="auto"/>
        <w:bottom w:val="none" w:sz="0" w:space="0" w:color="auto"/>
        <w:right w:val="none" w:sz="0" w:space="0" w:color="auto"/>
      </w:divBdr>
    </w:div>
    <w:div w:id="819811553">
      <w:bodyDiv w:val="1"/>
      <w:marLeft w:val="0"/>
      <w:marRight w:val="0"/>
      <w:marTop w:val="0"/>
      <w:marBottom w:val="0"/>
      <w:divBdr>
        <w:top w:val="none" w:sz="0" w:space="0" w:color="auto"/>
        <w:left w:val="none" w:sz="0" w:space="0" w:color="auto"/>
        <w:bottom w:val="none" w:sz="0" w:space="0" w:color="auto"/>
        <w:right w:val="none" w:sz="0" w:space="0" w:color="auto"/>
      </w:divBdr>
      <w:divsChild>
        <w:div w:id="946892162">
          <w:marLeft w:val="0"/>
          <w:marRight w:val="0"/>
          <w:marTop w:val="0"/>
          <w:marBottom w:val="0"/>
          <w:divBdr>
            <w:top w:val="none" w:sz="0" w:space="0" w:color="auto"/>
            <w:left w:val="none" w:sz="0" w:space="0" w:color="auto"/>
            <w:bottom w:val="none" w:sz="0" w:space="0" w:color="auto"/>
            <w:right w:val="none" w:sz="0" w:space="0" w:color="auto"/>
          </w:divBdr>
        </w:div>
      </w:divsChild>
    </w:div>
    <w:div w:id="826556255">
      <w:bodyDiv w:val="1"/>
      <w:marLeft w:val="0"/>
      <w:marRight w:val="0"/>
      <w:marTop w:val="0"/>
      <w:marBottom w:val="0"/>
      <w:divBdr>
        <w:top w:val="none" w:sz="0" w:space="0" w:color="auto"/>
        <w:left w:val="none" w:sz="0" w:space="0" w:color="auto"/>
        <w:bottom w:val="none" w:sz="0" w:space="0" w:color="auto"/>
        <w:right w:val="none" w:sz="0" w:space="0" w:color="auto"/>
      </w:divBdr>
    </w:div>
    <w:div w:id="837844377">
      <w:bodyDiv w:val="1"/>
      <w:marLeft w:val="0"/>
      <w:marRight w:val="0"/>
      <w:marTop w:val="0"/>
      <w:marBottom w:val="0"/>
      <w:divBdr>
        <w:top w:val="none" w:sz="0" w:space="0" w:color="auto"/>
        <w:left w:val="none" w:sz="0" w:space="0" w:color="auto"/>
        <w:bottom w:val="none" w:sz="0" w:space="0" w:color="auto"/>
        <w:right w:val="none" w:sz="0" w:space="0" w:color="auto"/>
      </w:divBdr>
    </w:div>
    <w:div w:id="853811564">
      <w:bodyDiv w:val="1"/>
      <w:marLeft w:val="0"/>
      <w:marRight w:val="0"/>
      <w:marTop w:val="0"/>
      <w:marBottom w:val="0"/>
      <w:divBdr>
        <w:top w:val="none" w:sz="0" w:space="0" w:color="auto"/>
        <w:left w:val="none" w:sz="0" w:space="0" w:color="auto"/>
        <w:bottom w:val="none" w:sz="0" w:space="0" w:color="auto"/>
        <w:right w:val="none" w:sz="0" w:space="0" w:color="auto"/>
      </w:divBdr>
    </w:div>
    <w:div w:id="861865745">
      <w:bodyDiv w:val="1"/>
      <w:marLeft w:val="0"/>
      <w:marRight w:val="0"/>
      <w:marTop w:val="0"/>
      <w:marBottom w:val="0"/>
      <w:divBdr>
        <w:top w:val="none" w:sz="0" w:space="0" w:color="auto"/>
        <w:left w:val="none" w:sz="0" w:space="0" w:color="auto"/>
        <w:bottom w:val="none" w:sz="0" w:space="0" w:color="auto"/>
        <w:right w:val="none" w:sz="0" w:space="0" w:color="auto"/>
      </w:divBdr>
      <w:divsChild>
        <w:div w:id="1604220546">
          <w:marLeft w:val="0"/>
          <w:marRight w:val="0"/>
          <w:marTop w:val="0"/>
          <w:marBottom w:val="0"/>
          <w:divBdr>
            <w:top w:val="none" w:sz="0" w:space="0" w:color="auto"/>
            <w:left w:val="none" w:sz="0" w:space="0" w:color="auto"/>
            <w:bottom w:val="none" w:sz="0" w:space="0" w:color="auto"/>
            <w:right w:val="none" w:sz="0" w:space="0" w:color="auto"/>
          </w:divBdr>
          <w:divsChild>
            <w:div w:id="1963152370">
              <w:marLeft w:val="0"/>
              <w:marRight w:val="0"/>
              <w:marTop w:val="0"/>
              <w:marBottom w:val="0"/>
              <w:divBdr>
                <w:top w:val="none" w:sz="0" w:space="0" w:color="auto"/>
                <w:left w:val="none" w:sz="0" w:space="0" w:color="auto"/>
                <w:bottom w:val="none" w:sz="0" w:space="0" w:color="auto"/>
                <w:right w:val="none" w:sz="0" w:space="0" w:color="auto"/>
              </w:divBdr>
              <w:divsChild>
                <w:div w:id="1892885569">
                  <w:marLeft w:val="0"/>
                  <w:marRight w:val="0"/>
                  <w:marTop w:val="0"/>
                  <w:marBottom w:val="0"/>
                  <w:divBdr>
                    <w:top w:val="none" w:sz="0" w:space="0" w:color="auto"/>
                    <w:left w:val="none" w:sz="0" w:space="0" w:color="auto"/>
                    <w:bottom w:val="none" w:sz="0" w:space="0" w:color="auto"/>
                    <w:right w:val="none" w:sz="0" w:space="0" w:color="auto"/>
                  </w:divBdr>
                </w:div>
              </w:divsChild>
            </w:div>
            <w:div w:id="1834370874">
              <w:marLeft w:val="0"/>
              <w:marRight w:val="0"/>
              <w:marTop w:val="0"/>
              <w:marBottom w:val="0"/>
              <w:divBdr>
                <w:top w:val="none" w:sz="0" w:space="0" w:color="auto"/>
                <w:left w:val="none" w:sz="0" w:space="0" w:color="auto"/>
                <w:bottom w:val="none" w:sz="0" w:space="0" w:color="auto"/>
                <w:right w:val="none" w:sz="0" w:space="0" w:color="auto"/>
              </w:divBdr>
              <w:divsChild>
                <w:div w:id="142086064">
                  <w:marLeft w:val="0"/>
                  <w:marRight w:val="0"/>
                  <w:marTop w:val="0"/>
                  <w:marBottom w:val="0"/>
                  <w:divBdr>
                    <w:top w:val="none" w:sz="0" w:space="0" w:color="auto"/>
                    <w:left w:val="none" w:sz="0" w:space="0" w:color="auto"/>
                    <w:bottom w:val="none" w:sz="0" w:space="0" w:color="auto"/>
                    <w:right w:val="none" w:sz="0" w:space="0" w:color="auto"/>
                  </w:divBdr>
                </w:div>
              </w:divsChild>
            </w:div>
            <w:div w:id="288169058">
              <w:marLeft w:val="0"/>
              <w:marRight w:val="0"/>
              <w:marTop w:val="0"/>
              <w:marBottom w:val="0"/>
              <w:divBdr>
                <w:top w:val="none" w:sz="0" w:space="0" w:color="auto"/>
                <w:left w:val="none" w:sz="0" w:space="0" w:color="auto"/>
                <w:bottom w:val="none" w:sz="0" w:space="0" w:color="auto"/>
                <w:right w:val="none" w:sz="0" w:space="0" w:color="auto"/>
              </w:divBdr>
              <w:divsChild>
                <w:div w:id="35411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2542">
          <w:marLeft w:val="0"/>
          <w:marRight w:val="0"/>
          <w:marTop w:val="0"/>
          <w:marBottom w:val="0"/>
          <w:divBdr>
            <w:top w:val="none" w:sz="0" w:space="0" w:color="auto"/>
            <w:left w:val="none" w:sz="0" w:space="0" w:color="auto"/>
            <w:bottom w:val="none" w:sz="0" w:space="0" w:color="auto"/>
            <w:right w:val="none" w:sz="0" w:space="0" w:color="auto"/>
          </w:divBdr>
          <w:divsChild>
            <w:div w:id="161043820">
              <w:marLeft w:val="0"/>
              <w:marRight w:val="0"/>
              <w:marTop w:val="0"/>
              <w:marBottom w:val="0"/>
              <w:divBdr>
                <w:top w:val="none" w:sz="0" w:space="0" w:color="auto"/>
                <w:left w:val="none" w:sz="0" w:space="0" w:color="auto"/>
                <w:bottom w:val="none" w:sz="0" w:space="0" w:color="auto"/>
                <w:right w:val="none" w:sz="0" w:space="0" w:color="auto"/>
              </w:divBdr>
              <w:divsChild>
                <w:div w:id="41443845">
                  <w:marLeft w:val="0"/>
                  <w:marRight w:val="0"/>
                  <w:marTop w:val="0"/>
                  <w:marBottom w:val="0"/>
                  <w:divBdr>
                    <w:top w:val="none" w:sz="0" w:space="0" w:color="auto"/>
                    <w:left w:val="none" w:sz="0" w:space="0" w:color="auto"/>
                    <w:bottom w:val="none" w:sz="0" w:space="0" w:color="auto"/>
                    <w:right w:val="none" w:sz="0" w:space="0" w:color="auto"/>
                  </w:divBdr>
                </w:div>
              </w:divsChild>
            </w:div>
            <w:div w:id="660625524">
              <w:marLeft w:val="0"/>
              <w:marRight w:val="0"/>
              <w:marTop w:val="0"/>
              <w:marBottom w:val="0"/>
              <w:divBdr>
                <w:top w:val="none" w:sz="0" w:space="0" w:color="auto"/>
                <w:left w:val="none" w:sz="0" w:space="0" w:color="auto"/>
                <w:bottom w:val="none" w:sz="0" w:space="0" w:color="auto"/>
                <w:right w:val="none" w:sz="0" w:space="0" w:color="auto"/>
              </w:divBdr>
              <w:divsChild>
                <w:div w:id="642655729">
                  <w:marLeft w:val="0"/>
                  <w:marRight w:val="0"/>
                  <w:marTop w:val="0"/>
                  <w:marBottom w:val="0"/>
                  <w:divBdr>
                    <w:top w:val="none" w:sz="0" w:space="0" w:color="auto"/>
                    <w:left w:val="none" w:sz="0" w:space="0" w:color="auto"/>
                    <w:bottom w:val="none" w:sz="0" w:space="0" w:color="auto"/>
                    <w:right w:val="none" w:sz="0" w:space="0" w:color="auto"/>
                  </w:divBdr>
                </w:div>
              </w:divsChild>
            </w:div>
            <w:div w:id="1671831567">
              <w:marLeft w:val="0"/>
              <w:marRight w:val="0"/>
              <w:marTop w:val="0"/>
              <w:marBottom w:val="0"/>
              <w:divBdr>
                <w:top w:val="none" w:sz="0" w:space="0" w:color="auto"/>
                <w:left w:val="none" w:sz="0" w:space="0" w:color="auto"/>
                <w:bottom w:val="none" w:sz="0" w:space="0" w:color="auto"/>
                <w:right w:val="none" w:sz="0" w:space="0" w:color="auto"/>
              </w:divBdr>
              <w:divsChild>
                <w:div w:id="64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974">
          <w:marLeft w:val="0"/>
          <w:marRight w:val="0"/>
          <w:marTop w:val="0"/>
          <w:marBottom w:val="0"/>
          <w:divBdr>
            <w:top w:val="none" w:sz="0" w:space="0" w:color="auto"/>
            <w:left w:val="none" w:sz="0" w:space="0" w:color="auto"/>
            <w:bottom w:val="none" w:sz="0" w:space="0" w:color="auto"/>
            <w:right w:val="none" w:sz="0" w:space="0" w:color="auto"/>
          </w:divBdr>
          <w:divsChild>
            <w:div w:id="1081871476">
              <w:marLeft w:val="0"/>
              <w:marRight w:val="0"/>
              <w:marTop w:val="0"/>
              <w:marBottom w:val="0"/>
              <w:divBdr>
                <w:top w:val="none" w:sz="0" w:space="0" w:color="auto"/>
                <w:left w:val="none" w:sz="0" w:space="0" w:color="auto"/>
                <w:bottom w:val="none" w:sz="0" w:space="0" w:color="auto"/>
                <w:right w:val="none" w:sz="0" w:space="0" w:color="auto"/>
              </w:divBdr>
              <w:divsChild>
                <w:div w:id="1278105414">
                  <w:marLeft w:val="0"/>
                  <w:marRight w:val="0"/>
                  <w:marTop w:val="0"/>
                  <w:marBottom w:val="0"/>
                  <w:divBdr>
                    <w:top w:val="none" w:sz="0" w:space="0" w:color="auto"/>
                    <w:left w:val="none" w:sz="0" w:space="0" w:color="auto"/>
                    <w:bottom w:val="none" w:sz="0" w:space="0" w:color="auto"/>
                    <w:right w:val="none" w:sz="0" w:space="0" w:color="auto"/>
                  </w:divBdr>
                </w:div>
              </w:divsChild>
            </w:div>
            <w:div w:id="366150247">
              <w:marLeft w:val="0"/>
              <w:marRight w:val="0"/>
              <w:marTop w:val="0"/>
              <w:marBottom w:val="0"/>
              <w:divBdr>
                <w:top w:val="none" w:sz="0" w:space="0" w:color="auto"/>
                <w:left w:val="none" w:sz="0" w:space="0" w:color="auto"/>
                <w:bottom w:val="none" w:sz="0" w:space="0" w:color="auto"/>
                <w:right w:val="none" w:sz="0" w:space="0" w:color="auto"/>
              </w:divBdr>
              <w:divsChild>
                <w:div w:id="1093354568">
                  <w:marLeft w:val="0"/>
                  <w:marRight w:val="0"/>
                  <w:marTop w:val="0"/>
                  <w:marBottom w:val="0"/>
                  <w:divBdr>
                    <w:top w:val="none" w:sz="0" w:space="0" w:color="auto"/>
                    <w:left w:val="none" w:sz="0" w:space="0" w:color="auto"/>
                    <w:bottom w:val="none" w:sz="0" w:space="0" w:color="auto"/>
                    <w:right w:val="none" w:sz="0" w:space="0" w:color="auto"/>
                  </w:divBdr>
                </w:div>
              </w:divsChild>
            </w:div>
            <w:div w:id="596906418">
              <w:marLeft w:val="0"/>
              <w:marRight w:val="0"/>
              <w:marTop w:val="0"/>
              <w:marBottom w:val="0"/>
              <w:divBdr>
                <w:top w:val="none" w:sz="0" w:space="0" w:color="auto"/>
                <w:left w:val="none" w:sz="0" w:space="0" w:color="auto"/>
                <w:bottom w:val="none" w:sz="0" w:space="0" w:color="auto"/>
                <w:right w:val="none" w:sz="0" w:space="0" w:color="auto"/>
              </w:divBdr>
              <w:divsChild>
                <w:div w:id="10931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8661">
          <w:marLeft w:val="0"/>
          <w:marRight w:val="0"/>
          <w:marTop w:val="0"/>
          <w:marBottom w:val="0"/>
          <w:divBdr>
            <w:top w:val="none" w:sz="0" w:space="0" w:color="auto"/>
            <w:left w:val="none" w:sz="0" w:space="0" w:color="auto"/>
            <w:bottom w:val="none" w:sz="0" w:space="0" w:color="auto"/>
            <w:right w:val="none" w:sz="0" w:space="0" w:color="auto"/>
          </w:divBdr>
          <w:divsChild>
            <w:div w:id="686710437">
              <w:marLeft w:val="0"/>
              <w:marRight w:val="0"/>
              <w:marTop w:val="0"/>
              <w:marBottom w:val="0"/>
              <w:divBdr>
                <w:top w:val="none" w:sz="0" w:space="0" w:color="auto"/>
                <w:left w:val="none" w:sz="0" w:space="0" w:color="auto"/>
                <w:bottom w:val="none" w:sz="0" w:space="0" w:color="auto"/>
                <w:right w:val="none" w:sz="0" w:space="0" w:color="auto"/>
              </w:divBdr>
              <w:divsChild>
                <w:div w:id="9173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8469">
      <w:bodyDiv w:val="1"/>
      <w:marLeft w:val="0"/>
      <w:marRight w:val="0"/>
      <w:marTop w:val="0"/>
      <w:marBottom w:val="0"/>
      <w:divBdr>
        <w:top w:val="none" w:sz="0" w:space="0" w:color="auto"/>
        <w:left w:val="none" w:sz="0" w:space="0" w:color="auto"/>
        <w:bottom w:val="none" w:sz="0" w:space="0" w:color="auto"/>
        <w:right w:val="none" w:sz="0" w:space="0" w:color="auto"/>
      </w:divBdr>
      <w:divsChild>
        <w:div w:id="1886092958">
          <w:marLeft w:val="0"/>
          <w:marRight w:val="0"/>
          <w:marTop w:val="0"/>
          <w:marBottom w:val="0"/>
          <w:divBdr>
            <w:top w:val="none" w:sz="0" w:space="0" w:color="auto"/>
            <w:left w:val="none" w:sz="0" w:space="0" w:color="auto"/>
            <w:bottom w:val="none" w:sz="0" w:space="0" w:color="auto"/>
            <w:right w:val="none" w:sz="0" w:space="0" w:color="auto"/>
          </w:divBdr>
          <w:divsChild>
            <w:div w:id="1349794429">
              <w:marLeft w:val="0"/>
              <w:marRight w:val="0"/>
              <w:marTop w:val="0"/>
              <w:marBottom w:val="0"/>
              <w:divBdr>
                <w:top w:val="none" w:sz="0" w:space="0" w:color="auto"/>
                <w:left w:val="none" w:sz="0" w:space="0" w:color="auto"/>
                <w:bottom w:val="none" w:sz="0" w:space="0" w:color="auto"/>
                <w:right w:val="none" w:sz="0" w:space="0" w:color="auto"/>
              </w:divBdr>
              <w:divsChild>
                <w:div w:id="742026320">
                  <w:marLeft w:val="0"/>
                  <w:marRight w:val="0"/>
                  <w:marTop w:val="0"/>
                  <w:marBottom w:val="0"/>
                  <w:divBdr>
                    <w:top w:val="none" w:sz="0" w:space="0" w:color="auto"/>
                    <w:left w:val="none" w:sz="0" w:space="0" w:color="auto"/>
                    <w:bottom w:val="none" w:sz="0" w:space="0" w:color="auto"/>
                    <w:right w:val="none" w:sz="0" w:space="0" w:color="auto"/>
                  </w:divBdr>
                  <w:divsChild>
                    <w:div w:id="1403601804">
                      <w:marLeft w:val="0"/>
                      <w:marRight w:val="0"/>
                      <w:marTop w:val="0"/>
                      <w:marBottom w:val="0"/>
                      <w:divBdr>
                        <w:top w:val="none" w:sz="0" w:space="0" w:color="auto"/>
                        <w:left w:val="none" w:sz="0" w:space="0" w:color="auto"/>
                        <w:bottom w:val="none" w:sz="0" w:space="0" w:color="auto"/>
                        <w:right w:val="none" w:sz="0" w:space="0" w:color="auto"/>
                      </w:divBdr>
                      <w:divsChild>
                        <w:div w:id="1571424375">
                          <w:marLeft w:val="0"/>
                          <w:marRight w:val="0"/>
                          <w:marTop w:val="0"/>
                          <w:marBottom w:val="0"/>
                          <w:divBdr>
                            <w:top w:val="none" w:sz="0" w:space="0" w:color="auto"/>
                            <w:left w:val="none" w:sz="0" w:space="0" w:color="auto"/>
                            <w:bottom w:val="none" w:sz="0" w:space="0" w:color="auto"/>
                            <w:right w:val="none" w:sz="0" w:space="0" w:color="auto"/>
                          </w:divBdr>
                        </w:div>
                      </w:divsChild>
                    </w:div>
                    <w:div w:id="199848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345104">
      <w:bodyDiv w:val="1"/>
      <w:marLeft w:val="0"/>
      <w:marRight w:val="0"/>
      <w:marTop w:val="0"/>
      <w:marBottom w:val="0"/>
      <w:divBdr>
        <w:top w:val="none" w:sz="0" w:space="0" w:color="auto"/>
        <w:left w:val="none" w:sz="0" w:space="0" w:color="auto"/>
        <w:bottom w:val="none" w:sz="0" w:space="0" w:color="auto"/>
        <w:right w:val="none" w:sz="0" w:space="0" w:color="auto"/>
      </w:divBdr>
    </w:div>
    <w:div w:id="884173796">
      <w:bodyDiv w:val="1"/>
      <w:marLeft w:val="0"/>
      <w:marRight w:val="0"/>
      <w:marTop w:val="0"/>
      <w:marBottom w:val="0"/>
      <w:divBdr>
        <w:top w:val="none" w:sz="0" w:space="0" w:color="auto"/>
        <w:left w:val="none" w:sz="0" w:space="0" w:color="auto"/>
        <w:bottom w:val="none" w:sz="0" w:space="0" w:color="auto"/>
        <w:right w:val="none" w:sz="0" w:space="0" w:color="auto"/>
      </w:divBdr>
    </w:div>
    <w:div w:id="893078056">
      <w:bodyDiv w:val="1"/>
      <w:marLeft w:val="0"/>
      <w:marRight w:val="0"/>
      <w:marTop w:val="0"/>
      <w:marBottom w:val="0"/>
      <w:divBdr>
        <w:top w:val="none" w:sz="0" w:space="0" w:color="auto"/>
        <w:left w:val="none" w:sz="0" w:space="0" w:color="auto"/>
        <w:bottom w:val="none" w:sz="0" w:space="0" w:color="auto"/>
        <w:right w:val="none" w:sz="0" w:space="0" w:color="auto"/>
      </w:divBdr>
    </w:div>
    <w:div w:id="893156225">
      <w:bodyDiv w:val="1"/>
      <w:marLeft w:val="0"/>
      <w:marRight w:val="0"/>
      <w:marTop w:val="0"/>
      <w:marBottom w:val="0"/>
      <w:divBdr>
        <w:top w:val="none" w:sz="0" w:space="0" w:color="auto"/>
        <w:left w:val="none" w:sz="0" w:space="0" w:color="auto"/>
        <w:bottom w:val="none" w:sz="0" w:space="0" w:color="auto"/>
        <w:right w:val="none" w:sz="0" w:space="0" w:color="auto"/>
      </w:divBdr>
      <w:divsChild>
        <w:div w:id="1676616908">
          <w:marLeft w:val="0"/>
          <w:marRight w:val="0"/>
          <w:marTop w:val="311"/>
          <w:marBottom w:val="0"/>
          <w:divBdr>
            <w:top w:val="none" w:sz="0" w:space="0" w:color="auto"/>
            <w:left w:val="none" w:sz="0" w:space="0" w:color="auto"/>
            <w:bottom w:val="none" w:sz="0" w:space="0" w:color="auto"/>
            <w:right w:val="none" w:sz="0" w:space="0" w:color="auto"/>
          </w:divBdr>
        </w:div>
      </w:divsChild>
    </w:div>
    <w:div w:id="903569219">
      <w:bodyDiv w:val="1"/>
      <w:marLeft w:val="0"/>
      <w:marRight w:val="0"/>
      <w:marTop w:val="0"/>
      <w:marBottom w:val="0"/>
      <w:divBdr>
        <w:top w:val="none" w:sz="0" w:space="0" w:color="auto"/>
        <w:left w:val="none" w:sz="0" w:space="0" w:color="auto"/>
        <w:bottom w:val="none" w:sz="0" w:space="0" w:color="auto"/>
        <w:right w:val="none" w:sz="0" w:space="0" w:color="auto"/>
      </w:divBdr>
    </w:div>
    <w:div w:id="905142645">
      <w:bodyDiv w:val="1"/>
      <w:marLeft w:val="0"/>
      <w:marRight w:val="0"/>
      <w:marTop w:val="0"/>
      <w:marBottom w:val="0"/>
      <w:divBdr>
        <w:top w:val="none" w:sz="0" w:space="0" w:color="auto"/>
        <w:left w:val="none" w:sz="0" w:space="0" w:color="auto"/>
        <w:bottom w:val="none" w:sz="0" w:space="0" w:color="auto"/>
        <w:right w:val="none" w:sz="0" w:space="0" w:color="auto"/>
      </w:divBdr>
    </w:div>
    <w:div w:id="907761730">
      <w:bodyDiv w:val="1"/>
      <w:marLeft w:val="0"/>
      <w:marRight w:val="0"/>
      <w:marTop w:val="0"/>
      <w:marBottom w:val="0"/>
      <w:divBdr>
        <w:top w:val="none" w:sz="0" w:space="0" w:color="auto"/>
        <w:left w:val="none" w:sz="0" w:space="0" w:color="auto"/>
        <w:bottom w:val="none" w:sz="0" w:space="0" w:color="auto"/>
        <w:right w:val="none" w:sz="0" w:space="0" w:color="auto"/>
      </w:divBdr>
    </w:div>
    <w:div w:id="937106541">
      <w:bodyDiv w:val="1"/>
      <w:marLeft w:val="0"/>
      <w:marRight w:val="0"/>
      <w:marTop w:val="0"/>
      <w:marBottom w:val="0"/>
      <w:divBdr>
        <w:top w:val="none" w:sz="0" w:space="0" w:color="auto"/>
        <w:left w:val="none" w:sz="0" w:space="0" w:color="auto"/>
        <w:bottom w:val="none" w:sz="0" w:space="0" w:color="auto"/>
        <w:right w:val="none" w:sz="0" w:space="0" w:color="auto"/>
      </w:divBdr>
    </w:div>
    <w:div w:id="938948484">
      <w:bodyDiv w:val="1"/>
      <w:marLeft w:val="0"/>
      <w:marRight w:val="0"/>
      <w:marTop w:val="0"/>
      <w:marBottom w:val="0"/>
      <w:divBdr>
        <w:top w:val="none" w:sz="0" w:space="0" w:color="auto"/>
        <w:left w:val="none" w:sz="0" w:space="0" w:color="auto"/>
        <w:bottom w:val="none" w:sz="0" w:space="0" w:color="auto"/>
        <w:right w:val="none" w:sz="0" w:space="0" w:color="auto"/>
      </w:divBdr>
    </w:div>
    <w:div w:id="968583239">
      <w:bodyDiv w:val="1"/>
      <w:marLeft w:val="0"/>
      <w:marRight w:val="0"/>
      <w:marTop w:val="0"/>
      <w:marBottom w:val="0"/>
      <w:divBdr>
        <w:top w:val="none" w:sz="0" w:space="0" w:color="auto"/>
        <w:left w:val="none" w:sz="0" w:space="0" w:color="auto"/>
        <w:bottom w:val="none" w:sz="0" w:space="0" w:color="auto"/>
        <w:right w:val="none" w:sz="0" w:space="0" w:color="auto"/>
      </w:divBdr>
      <w:divsChild>
        <w:div w:id="506679843">
          <w:marLeft w:val="0"/>
          <w:marRight w:val="0"/>
          <w:marTop w:val="0"/>
          <w:marBottom w:val="0"/>
          <w:divBdr>
            <w:top w:val="none" w:sz="0" w:space="0" w:color="auto"/>
            <w:left w:val="none" w:sz="0" w:space="0" w:color="auto"/>
            <w:bottom w:val="none" w:sz="0" w:space="0" w:color="auto"/>
            <w:right w:val="none" w:sz="0" w:space="0" w:color="auto"/>
          </w:divBdr>
          <w:divsChild>
            <w:div w:id="83770913">
              <w:marLeft w:val="0"/>
              <w:marRight w:val="0"/>
              <w:marTop w:val="0"/>
              <w:marBottom w:val="0"/>
              <w:divBdr>
                <w:top w:val="none" w:sz="0" w:space="0" w:color="auto"/>
                <w:left w:val="none" w:sz="0" w:space="0" w:color="auto"/>
                <w:bottom w:val="none" w:sz="0" w:space="0" w:color="auto"/>
                <w:right w:val="none" w:sz="0" w:space="0" w:color="auto"/>
              </w:divBdr>
              <w:divsChild>
                <w:div w:id="5371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5155">
          <w:marLeft w:val="0"/>
          <w:marRight w:val="0"/>
          <w:marTop w:val="0"/>
          <w:marBottom w:val="0"/>
          <w:divBdr>
            <w:top w:val="none" w:sz="0" w:space="0" w:color="auto"/>
            <w:left w:val="none" w:sz="0" w:space="0" w:color="auto"/>
            <w:bottom w:val="none" w:sz="0" w:space="0" w:color="auto"/>
            <w:right w:val="none" w:sz="0" w:space="0" w:color="auto"/>
          </w:divBdr>
          <w:divsChild>
            <w:div w:id="281225624">
              <w:marLeft w:val="0"/>
              <w:marRight w:val="0"/>
              <w:marTop w:val="0"/>
              <w:marBottom w:val="0"/>
              <w:divBdr>
                <w:top w:val="none" w:sz="0" w:space="0" w:color="auto"/>
                <w:left w:val="none" w:sz="0" w:space="0" w:color="auto"/>
                <w:bottom w:val="none" w:sz="0" w:space="0" w:color="auto"/>
                <w:right w:val="none" w:sz="0" w:space="0" w:color="auto"/>
              </w:divBdr>
              <w:divsChild>
                <w:div w:id="8024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3148">
          <w:marLeft w:val="0"/>
          <w:marRight w:val="0"/>
          <w:marTop w:val="0"/>
          <w:marBottom w:val="0"/>
          <w:divBdr>
            <w:top w:val="none" w:sz="0" w:space="0" w:color="auto"/>
            <w:left w:val="none" w:sz="0" w:space="0" w:color="auto"/>
            <w:bottom w:val="none" w:sz="0" w:space="0" w:color="auto"/>
            <w:right w:val="none" w:sz="0" w:space="0" w:color="auto"/>
          </w:divBdr>
          <w:divsChild>
            <w:div w:id="599140123">
              <w:marLeft w:val="0"/>
              <w:marRight w:val="0"/>
              <w:marTop w:val="0"/>
              <w:marBottom w:val="0"/>
              <w:divBdr>
                <w:top w:val="none" w:sz="0" w:space="0" w:color="auto"/>
                <w:left w:val="none" w:sz="0" w:space="0" w:color="auto"/>
                <w:bottom w:val="none" w:sz="0" w:space="0" w:color="auto"/>
                <w:right w:val="none" w:sz="0" w:space="0" w:color="auto"/>
              </w:divBdr>
              <w:divsChild>
                <w:div w:id="11549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3068">
          <w:marLeft w:val="0"/>
          <w:marRight w:val="0"/>
          <w:marTop w:val="0"/>
          <w:marBottom w:val="0"/>
          <w:divBdr>
            <w:top w:val="none" w:sz="0" w:space="0" w:color="auto"/>
            <w:left w:val="none" w:sz="0" w:space="0" w:color="auto"/>
            <w:bottom w:val="none" w:sz="0" w:space="0" w:color="auto"/>
            <w:right w:val="none" w:sz="0" w:space="0" w:color="auto"/>
          </w:divBdr>
          <w:divsChild>
            <w:div w:id="304817835">
              <w:marLeft w:val="0"/>
              <w:marRight w:val="0"/>
              <w:marTop w:val="0"/>
              <w:marBottom w:val="0"/>
              <w:divBdr>
                <w:top w:val="none" w:sz="0" w:space="0" w:color="auto"/>
                <w:left w:val="none" w:sz="0" w:space="0" w:color="auto"/>
                <w:bottom w:val="none" w:sz="0" w:space="0" w:color="auto"/>
                <w:right w:val="none" w:sz="0" w:space="0" w:color="auto"/>
              </w:divBdr>
              <w:divsChild>
                <w:div w:id="3723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296">
      <w:bodyDiv w:val="1"/>
      <w:marLeft w:val="0"/>
      <w:marRight w:val="0"/>
      <w:marTop w:val="0"/>
      <w:marBottom w:val="0"/>
      <w:divBdr>
        <w:top w:val="none" w:sz="0" w:space="0" w:color="auto"/>
        <w:left w:val="none" w:sz="0" w:space="0" w:color="auto"/>
        <w:bottom w:val="none" w:sz="0" w:space="0" w:color="auto"/>
        <w:right w:val="none" w:sz="0" w:space="0" w:color="auto"/>
      </w:divBdr>
    </w:div>
    <w:div w:id="1007446928">
      <w:bodyDiv w:val="1"/>
      <w:marLeft w:val="0"/>
      <w:marRight w:val="0"/>
      <w:marTop w:val="0"/>
      <w:marBottom w:val="0"/>
      <w:divBdr>
        <w:top w:val="none" w:sz="0" w:space="0" w:color="auto"/>
        <w:left w:val="none" w:sz="0" w:space="0" w:color="auto"/>
        <w:bottom w:val="none" w:sz="0" w:space="0" w:color="auto"/>
        <w:right w:val="none" w:sz="0" w:space="0" w:color="auto"/>
      </w:divBdr>
    </w:div>
    <w:div w:id="1018507661">
      <w:bodyDiv w:val="1"/>
      <w:marLeft w:val="0"/>
      <w:marRight w:val="0"/>
      <w:marTop w:val="0"/>
      <w:marBottom w:val="0"/>
      <w:divBdr>
        <w:top w:val="none" w:sz="0" w:space="0" w:color="auto"/>
        <w:left w:val="none" w:sz="0" w:space="0" w:color="auto"/>
        <w:bottom w:val="none" w:sz="0" w:space="0" w:color="auto"/>
        <w:right w:val="none" w:sz="0" w:space="0" w:color="auto"/>
      </w:divBdr>
    </w:div>
    <w:div w:id="1030228106">
      <w:bodyDiv w:val="1"/>
      <w:marLeft w:val="0"/>
      <w:marRight w:val="0"/>
      <w:marTop w:val="0"/>
      <w:marBottom w:val="0"/>
      <w:divBdr>
        <w:top w:val="none" w:sz="0" w:space="0" w:color="auto"/>
        <w:left w:val="none" w:sz="0" w:space="0" w:color="auto"/>
        <w:bottom w:val="none" w:sz="0" w:space="0" w:color="auto"/>
        <w:right w:val="none" w:sz="0" w:space="0" w:color="auto"/>
      </w:divBdr>
    </w:div>
    <w:div w:id="1031614700">
      <w:bodyDiv w:val="1"/>
      <w:marLeft w:val="0"/>
      <w:marRight w:val="0"/>
      <w:marTop w:val="0"/>
      <w:marBottom w:val="0"/>
      <w:divBdr>
        <w:top w:val="none" w:sz="0" w:space="0" w:color="auto"/>
        <w:left w:val="none" w:sz="0" w:space="0" w:color="auto"/>
        <w:bottom w:val="none" w:sz="0" w:space="0" w:color="auto"/>
        <w:right w:val="none" w:sz="0" w:space="0" w:color="auto"/>
      </w:divBdr>
    </w:div>
    <w:div w:id="1040321480">
      <w:bodyDiv w:val="1"/>
      <w:marLeft w:val="0"/>
      <w:marRight w:val="0"/>
      <w:marTop w:val="0"/>
      <w:marBottom w:val="0"/>
      <w:divBdr>
        <w:top w:val="none" w:sz="0" w:space="0" w:color="auto"/>
        <w:left w:val="none" w:sz="0" w:space="0" w:color="auto"/>
        <w:bottom w:val="none" w:sz="0" w:space="0" w:color="auto"/>
        <w:right w:val="none" w:sz="0" w:space="0" w:color="auto"/>
      </w:divBdr>
    </w:div>
    <w:div w:id="1041443201">
      <w:bodyDiv w:val="1"/>
      <w:marLeft w:val="0"/>
      <w:marRight w:val="0"/>
      <w:marTop w:val="0"/>
      <w:marBottom w:val="0"/>
      <w:divBdr>
        <w:top w:val="none" w:sz="0" w:space="0" w:color="auto"/>
        <w:left w:val="none" w:sz="0" w:space="0" w:color="auto"/>
        <w:bottom w:val="none" w:sz="0" w:space="0" w:color="auto"/>
        <w:right w:val="none" w:sz="0" w:space="0" w:color="auto"/>
      </w:divBdr>
    </w:div>
    <w:div w:id="1052075101">
      <w:bodyDiv w:val="1"/>
      <w:marLeft w:val="0"/>
      <w:marRight w:val="0"/>
      <w:marTop w:val="0"/>
      <w:marBottom w:val="0"/>
      <w:divBdr>
        <w:top w:val="none" w:sz="0" w:space="0" w:color="auto"/>
        <w:left w:val="none" w:sz="0" w:space="0" w:color="auto"/>
        <w:bottom w:val="none" w:sz="0" w:space="0" w:color="auto"/>
        <w:right w:val="none" w:sz="0" w:space="0" w:color="auto"/>
      </w:divBdr>
      <w:divsChild>
        <w:div w:id="1699624061">
          <w:marLeft w:val="0"/>
          <w:marRight w:val="0"/>
          <w:marTop w:val="0"/>
          <w:marBottom w:val="0"/>
          <w:divBdr>
            <w:top w:val="none" w:sz="0" w:space="0" w:color="auto"/>
            <w:left w:val="none" w:sz="0" w:space="0" w:color="auto"/>
            <w:bottom w:val="none" w:sz="0" w:space="0" w:color="auto"/>
            <w:right w:val="none" w:sz="0" w:space="0" w:color="auto"/>
          </w:divBdr>
        </w:div>
      </w:divsChild>
    </w:div>
    <w:div w:id="1052195359">
      <w:bodyDiv w:val="1"/>
      <w:marLeft w:val="0"/>
      <w:marRight w:val="0"/>
      <w:marTop w:val="0"/>
      <w:marBottom w:val="0"/>
      <w:divBdr>
        <w:top w:val="none" w:sz="0" w:space="0" w:color="auto"/>
        <w:left w:val="none" w:sz="0" w:space="0" w:color="auto"/>
        <w:bottom w:val="none" w:sz="0" w:space="0" w:color="auto"/>
        <w:right w:val="none" w:sz="0" w:space="0" w:color="auto"/>
      </w:divBdr>
    </w:div>
    <w:div w:id="1059354487">
      <w:bodyDiv w:val="1"/>
      <w:marLeft w:val="0"/>
      <w:marRight w:val="0"/>
      <w:marTop w:val="0"/>
      <w:marBottom w:val="0"/>
      <w:divBdr>
        <w:top w:val="none" w:sz="0" w:space="0" w:color="auto"/>
        <w:left w:val="none" w:sz="0" w:space="0" w:color="auto"/>
        <w:bottom w:val="none" w:sz="0" w:space="0" w:color="auto"/>
        <w:right w:val="none" w:sz="0" w:space="0" w:color="auto"/>
      </w:divBdr>
    </w:div>
    <w:div w:id="1063139137">
      <w:bodyDiv w:val="1"/>
      <w:marLeft w:val="0"/>
      <w:marRight w:val="0"/>
      <w:marTop w:val="0"/>
      <w:marBottom w:val="0"/>
      <w:divBdr>
        <w:top w:val="none" w:sz="0" w:space="0" w:color="auto"/>
        <w:left w:val="none" w:sz="0" w:space="0" w:color="auto"/>
        <w:bottom w:val="none" w:sz="0" w:space="0" w:color="auto"/>
        <w:right w:val="none" w:sz="0" w:space="0" w:color="auto"/>
      </w:divBdr>
    </w:div>
    <w:div w:id="1069814852">
      <w:bodyDiv w:val="1"/>
      <w:marLeft w:val="0"/>
      <w:marRight w:val="0"/>
      <w:marTop w:val="0"/>
      <w:marBottom w:val="0"/>
      <w:divBdr>
        <w:top w:val="none" w:sz="0" w:space="0" w:color="auto"/>
        <w:left w:val="none" w:sz="0" w:space="0" w:color="auto"/>
        <w:bottom w:val="none" w:sz="0" w:space="0" w:color="auto"/>
        <w:right w:val="none" w:sz="0" w:space="0" w:color="auto"/>
      </w:divBdr>
    </w:div>
    <w:div w:id="1080829947">
      <w:bodyDiv w:val="1"/>
      <w:marLeft w:val="0"/>
      <w:marRight w:val="0"/>
      <w:marTop w:val="0"/>
      <w:marBottom w:val="0"/>
      <w:divBdr>
        <w:top w:val="none" w:sz="0" w:space="0" w:color="auto"/>
        <w:left w:val="none" w:sz="0" w:space="0" w:color="auto"/>
        <w:bottom w:val="none" w:sz="0" w:space="0" w:color="auto"/>
        <w:right w:val="none" w:sz="0" w:space="0" w:color="auto"/>
      </w:divBdr>
    </w:div>
    <w:div w:id="1096830674">
      <w:bodyDiv w:val="1"/>
      <w:marLeft w:val="0"/>
      <w:marRight w:val="0"/>
      <w:marTop w:val="0"/>
      <w:marBottom w:val="0"/>
      <w:divBdr>
        <w:top w:val="none" w:sz="0" w:space="0" w:color="auto"/>
        <w:left w:val="none" w:sz="0" w:space="0" w:color="auto"/>
        <w:bottom w:val="none" w:sz="0" w:space="0" w:color="auto"/>
        <w:right w:val="none" w:sz="0" w:space="0" w:color="auto"/>
      </w:divBdr>
    </w:div>
    <w:div w:id="1100100391">
      <w:bodyDiv w:val="1"/>
      <w:marLeft w:val="0"/>
      <w:marRight w:val="0"/>
      <w:marTop w:val="0"/>
      <w:marBottom w:val="0"/>
      <w:divBdr>
        <w:top w:val="none" w:sz="0" w:space="0" w:color="auto"/>
        <w:left w:val="none" w:sz="0" w:space="0" w:color="auto"/>
        <w:bottom w:val="none" w:sz="0" w:space="0" w:color="auto"/>
        <w:right w:val="none" w:sz="0" w:space="0" w:color="auto"/>
      </w:divBdr>
    </w:div>
    <w:div w:id="1127700104">
      <w:bodyDiv w:val="1"/>
      <w:marLeft w:val="0"/>
      <w:marRight w:val="0"/>
      <w:marTop w:val="0"/>
      <w:marBottom w:val="0"/>
      <w:divBdr>
        <w:top w:val="none" w:sz="0" w:space="0" w:color="auto"/>
        <w:left w:val="none" w:sz="0" w:space="0" w:color="auto"/>
        <w:bottom w:val="none" w:sz="0" w:space="0" w:color="auto"/>
        <w:right w:val="none" w:sz="0" w:space="0" w:color="auto"/>
      </w:divBdr>
    </w:div>
    <w:div w:id="1159689417">
      <w:bodyDiv w:val="1"/>
      <w:marLeft w:val="0"/>
      <w:marRight w:val="0"/>
      <w:marTop w:val="0"/>
      <w:marBottom w:val="0"/>
      <w:divBdr>
        <w:top w:val="none" w:sz="0" w:space="0" w:color="auto"/>
        <w:left w:val="none" w:sz="0" w:space="0" w:color="auto"/>
        <w:bottom w:val="none" w:sz="0" w:space="0" w:color="auto"/>
        <w:right w:val="none" w:sz="0" w:space="0" w:color="auto"/>
      </w:divBdr>
    </w:div>
    <w:div w:id="1161778754">
      <w:bodyDiv w:val="1"/>
      <w:marLeft w:val="0"/>
      <w:marRight w:val="0"/>
      <w:marTop w:val="0"/>
      <w:marBottom w:val="0"/>
      <w:divBdr>
        <w:top w:val="none" w:sz="0" w:space="0" w:color="auto"/>
        <w:left w:val="none" w:sz="0" w:space="0" w:color="auto"/>
        <w:bottom w:val="none" w:sz="0" w:space="0" w:color="auto"/>
        <w:right w:val="none" w:sz="0" w:space="0" w:color="auto"/>
      </w:divBdr>
    </w:div>
    <w:div w:id="1161964075">
      <w:bodyDiv w:val="1"/>
      <w:marLeft w:val="0"/>
      <w:marRight w:val="0"/>
      <w:marTop w:val="0"/>
      <w:marBottom w:val="0"/>
      <w:divBdr>
        <w:top w:val="none" w:sz="0" w:space="0" w:color="auto"/>
        <w:left w:val="none" w:sz="0" w:space="0" w:color="auto"/>
        <w:bottom w:val="none" w:sz="0" w:space="0" w:color="auto"/>
        <w:right w:val="none" w:sz="0" w:space="0" w:color="auto"/>
      </w:divBdr>
    </w:div>
    <w:div w:id="1190338072">
      <w:bodyDiv w:val="1"/>
      <w:marLeft w:val="0"/>
      <w:marRight w:val="0"/>
      <w:marTop w:val="0"/>
      <w:marBottom w:val="0"/>
      <w:divBdr>
        <w:top w:val="none" w:sz="0" w:space="0" w:color="auto"/>
        <w:left w:val="none" w:sz="0" w:space="0" w:color="auto"/>
        <w:bottom w:val="none" w:sz="0" w:space="0" w:color="auto"/>
        <w:right w:val="none" w:sz="0" w:space="0" w:color="auto"/>
      </w:divBdr>
      <w:divsChild>
        <w:div w:id="193273173">
          <w:marLeft w:val="0"/>
          <w:marRight w:val="0"/>
          <w:marTop w:val="0"/>
          <w:marBottom w:val="0"/>
          <w:divBdr>
            <w:top w:val="none" w:sz="0" w:space="0" w:color="auto"/>
            <w:left w:val="none" w:sz="0" w:space="0" w:color="auto"/>
            <w:bottom w:val="none" w:sz="0" w:space="0" w:color="auto"/>
            <w:right w:val="none" w:sz="0" w:space="0" w:color="auto"/>
          </w:divBdr>
        </w:div>
      </w:divsChild>
    </w:div>
    <w:div w:id="1191840769">
      <w:bodyDiv w:val="1"/>
      <w:marLeft w:val="0"/>
      <w:marRight w:val="0"/>
      <w:marTop w:val="0"/>
      <w:marBottom w:val="0"/>
      <w:divBdr>
        <w:top w:val="none" w:sz="0" w:space="0" w:color="auto"/>
        <w:left w:val="none" w:sz="0" w:space="0" w:color="auto"/>
        <w:bottom w:val="none" w:sz="0" w:space="0" w:color="auto"/>
        <w:right w:val="none" w:sz="0" w:space="0" w:color="auto"/>
      </w:divBdr>
      <w:divsChild>
        <w:div w:id="87629027">
          <w:marLeft w:val="0"/>
          <w:marRight w:val="0"/>
          <w:marTop w:val="311"/>
          <w:marBottom w:val="0"/>
          <w:divBdr>
            <w:top w:val="none" w:sz="0" w:space="0" w:color="auto"/>
            <w:left w:val="none" w:sz="0" w:space="0" w:color="auto"/>
            <w:bottom w:val="none" w:sz="0" w:space="0" w:color="auto"/>
            <w:right w:val="none" w:sz="0" w:space="0" w:color="auto"/>
          </w:divBdr>
        </w:div>
      </w:divsChild>
    </w:div>
    <w:div w:id="1232738826">
      <w:bodyDiv w:val="1"/>
      <w:marLeft w:val="0"/>
      <w:marRight w:val="0"/>
      <w:marTop w:val="0"/>
      <w:marBottom w:val="0"/>
      <w:divBdr>
        <w:top w:val="none" w:sz="0" w:space="0" w:color="auto"/>
        <w:left w:val="none" w:sz="0" w:space="0" w:color="auto"/>
        <w:bottom w:val="none" w:sz="0" w:space="0" w:color="auto"/>
        <w:right w:val="none" w:sz="0" w:space="0" w:color="auto"/>
      </w:divBdr>
    </w:div>
    <w:div w:id="1239897412">
      <w:bodyDiv w:val="1"/>
      <w:marLeft w:val="0"/>
      <w:marRight w:val="0"/>
      <w:marTop w:val="0"/>
      <w:marBottom w:val="0"/>
      <w:divBdr>
        <w:top w:val="none" w:sz="0" w:space="0" w:color="auto"/>
        <w:left w:val="none" w:sz="0" w:space="0" w:color="auto"/>
        <w:bottom w:val="none" w:sz="0" w:space="0" w:color="auto"/>
        <w:right w:val="none" w:sz="0" w:space="0" w:color="auto"/>
      </w:divBdr>
    </w:div>
    <w:div w:id="1250112785">
      <w:bodyDiv w:val="1"/>
      <w:marLeft w:val="0"/>
      <w:marRight w:val="0"/>
      <w:marTop w:val="0"/>
      <w:marBottom w:val="0"/>
      <w:divBdr>
        <w:top w:val="none" w:sz="0" w:space="0" w:color="auto"/>
        <w:left w:val="none" w:sz="0" w:space="0" w:color="auto"/>
        <w:bottom w:val="none" w:sz="0" w:space="0" w:color="auto"/>
        <w:right w:val="none" w:sz="0" w:space="0" w:color="auto"/>
      </w:divBdr>
      <w:divsChild>
        <w:div w:id="1297370059">
          <w:marLeft w:val="0"/>
          <w:marRight w:val="0"/>
          <w:marTop w:val="0"/>
          <w:marBottom w:val="0"/>
          <w:divBdr>
            <w:top w:val="none" w:sz="0" w:space="0" w:color="auto"/>
            <w:left w:val="none" w:sz="0" w:space="0" w:color="auto"/>
            <w:bottom w:val="none" w:sz="0" w:space="0" w:color="auto"/>
            <w:right w:val="none" w:sz="0" w:space="0" w:color="auto"/>
          </w:divBdr>
          <w:divsChild>
            <w:div w:id="2683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1318">
      <w:bodyDiv w:val="1"/>
      <w:marLeft w:val="0"/>
      <w:marRight w:val="0"/>
      <w:marTop w:val="0"/>
      <w:marBottom w:val="0"/>
      <w:divBdr>
        <w:top w:val="none" w:sz="0" w:space="0" w:color="auto"/>
        <w:left w:val="none" w:sz="0" w:space="0" w:color="auto"/>
        <w:bottom w:val="none" w:sz="0" w:space="0" w:color="auto"/>
        <w:right w:val="none" w:sz="0" w:space="0" w:color="auto"/>
      </w:divBdr>
    </w:div>
    <w:div w:id="1279415488">
      <w:bodyDiv w:val="1"/>
      <w:marLeft w:val="0"/>
      <w:marRight w:val="0"/>
      <w:marTop w:val="0"/>
      <w:marBottom w:val="0"/>
      <w:divBdr>
        <w:top w:val="none" w:sz="0" w:space="0" w:color="auto"/>
        <w:left w:val="none" w:sz="0" w:space="0" w:color="auto"/>
        <w:bottom w:val="none" w:sz="0" w:space="0" w:color="auto"/>
        <w:right w:val="none" w:sz="0" w:space="0" w:color="auto"/>
      </w:divBdr>
    </w:div>
    <w:div w:id="1281496950">
      <w:bodyDiv w:val="1"/>
      <w:marLeft w:val="0"/>
      <w:marRight w:val="0"/>
      <w:marTop w:val="0"/>
      <w:marBottom w:val="0"/>
      <w:divBdr>
        <w:top w:val="none" w:sz="0" w:space="0" w:color="auto"/>
        <w:left w:val="none" w:sz="0" w:space="0" w:color="auto"/>
        <w:bottom w:val="none" w:sz="0" w:space="0" w:color="auto"/>
        <w:right w:val="none" w:sz="0" w:space="0" w:color="auto"/>
      </w:divBdr>
    </w:div>
    <w:div w:id="1293709924">
      <w:bodyDiv w:val="1"/>
      <w:marLeft w:val="0"/>
      <w:marRight w:val="0"/>
      <w:marTop w:val="0"/>
      <w:marBottom w:val="0"/>
      <w:divBdr>
        <w:top w:val="none" w:sz="0" w:space="0" w:color="auto"/>
        <w:left w:val="none" w:sz="0" w:space="0" w:color="auto"/>
        <w:bottom w:val="none" w:sz="0" w:space="0" w:color="auto"/>
        <w:right w:val="none" w:sz="0" w:space="0" w:color="auto"/>
      </w:divBdr>
    </w:div>
    <w:div w:id="1308166809">
      <w:bodyDiv w:val="1"/>
      <w:marLeft w:val="0"/>
      <w:marRight w:val="0"/>
      <w:marTop w:val="0"/>
      <w:marBottom w:val="0"/>
      <w:divBdr>
        <w:top w:val="none" w:sz="0" w:space="0" w:color="auto"/>
        <w:left w:val="none" w:sz="0" w:space="0" w:color="auto"/>
        <w:bottom w:val="none" w:sz="0" w:space="0" w:color="auto"/>
        <w:right w:val="none" w:sz="0" w:space="0" w:color="auto"/>
      </w:divBdr>
    </w:div>
    <w:div w:id="1311443905">
      <w:bodyDiv w:val="1"/>
      <w:marLeft w:val="0"/>
      <w:marRight w:val="0"/>
      <w:marTop w:val="0"/>
      <w:marBottom w:val="0"/>
      <w:divBdr>
        <w:top w:val="none" w:sz="0" w:space="0" w:color="auto"/>
        <w:left w:val="none" w:sz="0" w:space="0" w:color="auto"/>
        <w:bottom w:val="none" w:sz="0" w:space="0" w:color="auto"/>
        <w:right w:val="none" w:sz="0" w:space="0" w:color="auto"/>
      </w:divBdr>
      <w:divsChild>
        <w:div w:id="2026469199">
          <w:marLeft w:val="0"/>
          <w:marRight w:val="0"/>
          <w:marTop w:val="0"/>
          <w:marBottom w:val="0"/>
          <w:divBdr>
            <w:top w:val="none" w:sz="0" w:space="0" w:color="auto"/>
            <w:left w:val="none" w:sz="0" w:space="0" w:color="auto"/>
            <w:bottom w:val="none" w:sz="0" w:space="0" w:color="auto"/>
            <w:right w:val="none" w:sz="0" w:space="0" w:color="auto"/>
          </w:divBdr>
        </w:div>
      </w:divsChild>
    </w:div>
    <w:div w:id="1312561676">
      <w:bodyDiv w:val="1"/>
      <w:marLeft w:val="0"/>
      <w:marRight w:val="0"/>
      <w:marTop w:val="0"/>
      <w:marBottom w:val="0"/>
      <w:divBdr>
        <w:top w:val="none" w:sz="0" w:space="0" w:color="auto"/>
        <w:left w:val="none" w:sz="0" w:space="0" w:color="auto"/>
        <w:bottom w:val="none" w:sz="0" w:space="0" w:color="auto"/>
        <w:right w:val="none" w:sz="0" w:space="0" w:color="auto"/>
      </w:divBdr>
    </w:div>
    <w:div w:id="1321082291">
      <w:bodyDiv w:val="1"/>
      <w:marLeft w:val="0"/>
      <w:marRight w:val="0"/>
      <w:marTop w:val="0"/>
      <w:marBottom w:val="0"/>
      <w:divBdr>
        <w:top w:val="none" w:sz="0" w:space="0" w:color="auto"/>
        <w:left w:val="none" w:sz="0" w:space="0" w:color="auto"/>
        <w:bottom w:val="none" w:sz="0" w:space="0" w:color="auto"/>
        <w:right w:val="none" w:sz="0" w:space="0" w:color="auto"/>
      </w:divBdr>
    </w:div>
    <w:div w:id="1340231013">
      <w:bodyDiv w:val="1"/>
      <w:marLeft w:val="0"/>
      <w:marRight w:val="0"/>
      <w:marTop w:val="0"/>
      <w:marBottom w:val="0"/>
      <w:divBdr>
        <w:top w:val="none" w:sz="0" w:space="0" w:color="auto"/>
        <w:left w:val="none" w:sz="0" w:space="0" w:color="auto"/>
        <w:bottom w:val="none" w:sz="0" w:space="0" w:color="auto"/>
        <w:right w:val="none" w:sz="0" w:space="0" w:color="auto"/>
      </w:divBdr>
    </w:div>
    <w:div w:id="1340498278">
      <w:bodyDiv w:val="1"/>
      <w:marLeft w:val="0"/>
      <w:marRight w:val="0"/>
      <w:marTop w:val="0"/>
      <w:marBottom w:val="0"/>
      <w:divBdr>
        <w:top w:val="none" w:sz="0" w:space="0" w:color="auto"/>
        <w:left w:val="none" w:sz="0" w:space="0" w:color="auto"/>
        <w:bottom w:val="none" w:sz="0" w:space="0" w:color="auto"/>
        <w:right w:val="none" w:sz="0" w:space="0" w:color="auto"/>
      </w:divBdr>
    </w:div>
    <w:div w:id="1346515942">
      <w:bodyDiv w:val="1"/>
      <w:marLeft w:val="0"/>
      <w:marRight w:val="0"/>
      <w:marTop w:val="0"/>
      <w:marBottom w:val="0"/>
      <w:divBdr>
        <w:top w:val="none" w:sz="0" w:space="0" w:color="auto"/>
        <w:left w:val="none" w:sz="0" w:space="0" w:color="auto"/>
        <w:bottom w:val="none" w:sz="0" w:space="0" w:color="auto"/>
        <w:right w:val="none" w:sz="0" w:space="0" w:color="auto"/>
      </w:divBdr>
    </w:div>
    <w:div w:id="1346979897">
      <w:bodyDiv w:val="1"/>
      <w:marLeft w:val="0"/>
      <w:marRight w:val="0"/>
      <w:marTop w:val="0"/>
      <w:marBottom w:val="0"/>
      <w:divBdr>
        <w:top w:val="none" w:sz="0" w:space="0" w:color="auto"/>
        <w:left w:val="none" w:sz="0" w:space="0" w:color="auto"/>
        <w:bottom w:val="none" w:sz="0" w:space="0" w:color="auto"/>
        <w:right w:val="none" w:sz="0" w:space="0" w:color="auto"/>
      </w:divBdr>
    </w:div>
    <w:div w:id="1365594452">
      <w:bodyDiv w:val="1"/>
      <w:marLeft w:val="0"/>
      <w:marRight w:val="0"/>
      <w:marTop w:val="0"/>
      <w:marBottom w:val="0"/>
      <w:divBdr>
        <w:top w:val="none" w:sz="0" w:space="0" w:color="auto"/>
        <w:left w:val="none" w:sz="0" w:space="0" w:color="auto"/>
        <w:bottom w:val="none" w:sz="0" w:space="0" w:color="auto"/>
        <w:right w:val="none" w:sz="0" w:space="0" w:color="auto"/>
      </w:divBdr>
    </w:div>
    <w:div w:id="1388412183">
      <w:bodyDiv w:val="1"/>
      <w:marLeft w:val="0"/>
      <w:marRight w:val="0"/>
      <w:marTop w:val="0"/>
      <w:marBottom w:val="0"/>
      <w:divBdr>
        <w:top w:val="none" w:sz="0" w:space="0" w:color="auto"/>
        <w:left w:val="none" w:sz="0" w:space="0" w:color="auto"/>
        <w:bottom w:val="none" w:sz="0" w:space="0" w:color="auto"/>
        <w:right w:val="none" w:sz="0" w:space="0" w:color="auto"/>
      </w:divBdr>
    </w:div>
    <w:div w:id="1422332727">
      <w:bodyDiv w:val="1"/>
      <w:marLeft w:val="0"/>
      <w:marRight w:val="0"/>
      <w:marTop w:val="0"/>
      <w:marBottom w:val="0"/>
      <w:divBdr>
        <w:top w:val="none" w:sz="0" w:space="0" w:color="auto"/>
        <w:left w:val="none" w:sz="0" w:space="0" w:color="auto"/>
        <w:bottom w:val="none" w:sz="0" w:space="0" w:color="auto"/>
        <w:right w:val="none" w:sz="0" w:space="0" w:color="auto"/>
      </w:divBdr>
    </w:div>
    <w:div w:id="1425111254">
      <w:bodyDiv w:val="1"/>
      <w:marLeft w:val="0"/>
      <w:marRight w:val="0"/>
      <w:marTop w:val="0"/>
      <w:marBottom w:val="0"/>
      <w:divBdr>
        <w:top w:val="none" w:sz="0" w:space="0" w:color="auto"/>
        <w:left w:val="none" w:sz="0" w:space="0" w:color="auto"/>
        <w:bottom w:val="none" w:sz="0" w:space="0" w:color="auto"/>
        <w:right w:val="none" w:sz="0" w:space="0" w:color="auto"/>
      </w:divBdr>
    </w:div>
    <w:div w:id="1452628663">
      <w:bodyDiv w:val="1"/>
      <w:marLeft w:val="0"/>
      <w:marRight w:val="0"/>
      <w:marTop w:val="0"/>
      <w:marBottom w:val="0"/>
      <w:divBdr>
        <w:top w:val="none" w:sz="0" w:space="0" w:color="auto"/>
        <w:left w:val="none" w:sz="0" w:space="0" w:color="auto"/>
        <w:bottom w:val="none" w:sz="0" w:space="0" w:color="auto"/>
        <w:right w:val="none" w:sz="0" w:space="0" w:color="auto"/>
      </w:divBdr>
    </w:div>
    <w:div w:id="1461653276">
      <w:bodyDiv w:val="1"/>
      <w:marLeft w:val="0"/>
      <w:marRight w:val="0"/>
      <w:marTop w:val="0"/>
      <w:marBottom w:val="0"/>
      <w:divBdr>
        <w:top w:val="none" w:sz="0" w:space="0" w:color="auto"/>
        <w:left w:val="none" w:sz="0" w:space="0" w:color="auto"/>
        <w:bottom w:val="none" w:sz="0" w:space="0" w:color="auto"/>
        <w:right w:val="none" w:sz="0" w:space="0" w:color="auto"/>
      </w:divBdr>
    </w:div>
    <w:div w:id="1474717039">
      <w:bodyDiv w:val="1"/>
      <w:marLeft w:val="0"/>
      <w:marRight w:val="0"/>
      <w:marTop w:val="0"/>
      <w:marBottom w:val="0"/>
      <w:divBdr>
        <w:top w:val="none" w:sz="0" w:space="0" w:color="auto"/>
        <w:left w:val="none" w:sz="0" w:space="0" w:color="auto"/>
        <w:bottom w:val="none" w:sz="0" w:space="0" w:color="auto"/>
        <w:right w:val="none" w:sz="0" w:space="0" w:color="auto"/>
      </w:divBdr>
      <w:divsChild>
        <w:div w:id="1506743086">
          <w:marLeft w:val="0"/>
          <w:marRight w:val="0"/>
          <w:marTop w:val="0"/>
          <w:marBottom w:val="0"/>
          <w:divBdr>
            <w:top w:val="none" w:sz="0" w:space="0" w:color="auto"/>
            <w:left w:val="none" w:sz="0" w:space="0" w:color="auto"/>
            <w:bottom w:val="none" w:sz="0" w:space="0" w:color="auto"/>
            <w:right w:val="none" w:sz="0" w:space="0" w:color="auto"/>
          </w:divBdr>
        </w:div>
      </w:divsChild>
    </w:div>
    <w:div w:id="1476222041">
      <w:bodyDiv w:val="1"/>
      <w:marLeft w:val="0"/>
      <w:marRight w:val="0"/>
      <w:marTop w:val="0"/>
      <w:marBottom w:val="0"/>
      <w:divBdr>
        <w:top w:val="none" w:sz="0" w:space="0" w:color="auto"/>
        <w:left w:val="none" w:sz="0" w:space="0" w:color="auto"/>
        <w:bottom w:val="none" w:sz="0" w:space="0" w:color="auto"/>
        <w:right w:val="none" w:sz="0" w:space="0" w:color="auto"/>
      </w:divBdr>
    </w:div>
    <w:div w:id="1482114688">
      <w:bodyDiv w:val="1"/>
      <w:marLeft w:val="0"/>
      <w:marRight w:val="0"/>
      <w:marTop w:val="0"/>
      <w:marBottom w:val="0"/>
      <w:divBdr>
        <w:top w:val="none" w:sz="0" w:space="0" w:color="auto"/>
        <w:left w:val="none" w:sz="0" w:space="0" w:color="auto"/>
        <w:bottom w:val="none" w:sz="0" w:space="0" w:color="auto"/>
        <w:right w:val="none" w:sz="0" w:space="0" w:color="auto"/>
      </w:divBdr>
    </w:div>
    <w:div w:id="1482384717">
      <w:bodyDiv w:val="1"/>
      <w:marLeft w:val="0"/>
      <w:marRight w:val="0"/>
      <w:marTop w:val="0"/>
      <w:marBottom w:val="0"/>
      <w:divBdr>
        <w:top w:val="none" w:sz="0" w:space="0" w:color="auto"/>
        <w:left w:val="none" w:sz="0" w:space="0" w:color="auto"/>
        <w:bottom w:val="none" w:sz="0" w:space="0" w:color="auto"/>
        <w:right w:val="none" w:sz="0" w:space="0" w:color="auto"/>
      </w:divBdr>
    </w:div>
    <w:div w:id="1510826696">
      <w:bodyDiv w:val="1"/>
      <w:marLeft w:val="0"/>
      <w:marRight w:val="0"/>
      <w:marTop w:val="0"/>
      <w:marBottom w:val="0"/>
      <w:divBdr>
        <w:top w:val="none" w:sz="0" w:space="0" w:color="auto"/>
        <w:left w:val="none" w:sz="0" w:space="0" w:color="auto"/>
        <w:bottom w:val="none" w:sz="0" w:space="0" w:color="auto"/>
        <w:right w:val="none" w:sz="0" w:space="0" w:color="auto"/>
      </w:divBdr>
    </w:div>
    <w:div w:id="1511065063">
      <w:bodyDiv w:val="1"/>
      <w:marLeft w:val="0"/>
      <w:marRight w:val="0"/>
      <w:marTop w:val="0"/>
      <w:marBottom w:val="0"/>
      <w:divBdr>
        <w:top w:val="none" w:sz="0" w:space="0" w:color="auto"/>
        <w:left w:val="none" w:sz="0" w:space="0" w:color="auto"/>
        <w:bottom w:val="none" w:sz="0" w:space="0" w:color="auto"/>
        <w:right w:val="none" w:sz="0" w:space="0" w:color="auto"/>
      </w:divBdr>
    </w:div>
    <w:div w:id="1515420863">
      <w:bodyDiv w:val="1"/>
      <w:marLeft w:val="0"/>
      <w:marRight w:val="0"/>
      <w:marTop w:val="0"/>
      <w:marBottom w:val="0"/>
      <w:divBdr>
        <w:top w:val="none" w:sz="0" w:space="0" w:color="auto"/>
        <w:left w:val="none" w:sz="0" w:space="0" w:color="auto"/>
        <w:bottom w:val="none" w:sz="0" w:space="0" w:color="auto"/>
        <w:right w:val="none" w:sz="0" w:space="0" w:color="auto"/>
      </w:divBdr>
    </w:div>
    <w:div w:id="1523518984">
      <w:bodyDiv w:val="1"/>
      <w:marLeft w:val="0"/>
      <w:marRight w:val="0"/>
      <w:marTop w:val="0"/>
      <w:marBottom w:val="0"/>
      <w:divBdr>
        <w:top w:val="none" w:sz="0" w:space="0" w:color="auto"/>
        <w:left w:val="none" w:sz="0" w:space="0" w:color="auto"/>
        <w:bottom w:val="none" w:sz="0" w:space="0" w:color="auto"/>
        <w:right w:val="none" w:sz="0" w:space="0" w:color="auto"/>
      </w:divBdr>
    </w:div>
    <w:div w:id="1526286023">
      <w:bodyDiv w:val="1"/>
      <w:marLeft w:val="0"/>
      <w:marRight w:val="0"/>
      <w:marTop w:val="0"/>
      <w:marBottom w:val="0"/>
      <w:divBdr>
        <w:top w:val="none" w:sz="0" w:space="0" w:color="auto"/>
        <w:left w:val="none" w:sz="0" w:space="0" w:color="auto"/>
        <w:bottom w:val="none" w:sz="0" w:space="0" w:color="auto"/>
        <w:right w:val="none" w:sz="0" w:space="0" w:color="auto"/>
      </w:divBdr>
    </w:div>
    <w:div w:id="1552423243">
      <w:bodyDiv w:val="1"/>
      <w:marLeft w:val="0"/>
      <w:marRight w:val="0"/>
      <w:marTop w:val="0"/>
      <w:marBottom w:val="0"/>
      <w:divBdr>
        <w:top w:val="none" w:sz="0" w:space="0" w:color="auto"/>
        <w:left w:val="none" w:sz="0" w:space="0" w:color="auto"/>
        <w:bottom w:val="none" w:sz="0" w:space="0" w:color="auto"/>
        <w:right w:val="none" w:sz="0" w:space="0" w:color="auto"/>
      </w:divBdr>
    </w:div>
    <w:div w:id="1568152782">
      <w:bodyDiv w:val="1"/>
      <w:marLeft w:val="0"/>
      <w:marRight w:val="0"/>
      <w:marTop w:val="0"/>
      <w:marBottom w:val="0"/>
      <w:divBdr>
        <w:top w:val="none" w:sz="0" w:space="0" w:color="auto"/>
        <w:left w:val="none" w:sz="0" w:space="0" w:color="auto"/>
        <w:bottom w:val="none" w:sz="0" w:space="0" w:color="auto"/>
        <w:right w:val="none" w:sz="0" w:space="0" w:color="auto"/>
      </w:divBdr>
    </w:div>
    <w:div w:id="1571773649">
      <w:bodyDiv w:val="1"/>
      <w:marLeft w:val="0"/>
      <w:marRight w:val="0"/>
      <w:marTop w:val="0"/>
      <w:marBottom w:val="0"/>
      <w:divBdr>
        <w:top w:val="none" w:sz="0" w:space="0" w:color="auto"/>
        <w:left w:val="none" w:sz="0" w:space="0" w:color="auto"/>
        <w:bottom w:val="none" w:sz="0" w:space="0" w:color="auto"/>
        <w:right w:val="none" w:sz="0" w:space="0" w:color="auto"/>
      </w:divBdr>
    </w:div>
    <w:div w:id="1580367621">
      <w:bodyDiv w:val="1"/>
      <w:marLeft w:val="0"/>
      <w:marRight w:val="0"/>
      <w:marTop w:val="0"/>
      <w:marBottom w:val="0"/>
      <w:divBdr>
        <w:top w:val="none" w:sz="0" w:space="0" w:color="auto"/>
        <w:left w:val="none" w:sz="0" w:space="0" w:color="auto"/>
        <w:bottom w:val="none" w:sz="0" w:space="0" w:color="auto"/>
        <w:right w:val="none" w:sz="0" w:space="0" w:color="auto"/>
      </w:divBdr>
    </w:div>
    <w:div w:id="1587110607">
      <w:bodyDiv w:val="1"/>
      <w:marLeft w:val="0"/>
      <w:marRight w:val="0"/>
      <w:marTop w:val="0"/>
      <w:marBottom w:val="0"/>
      <w:divBdr>
        <w:top w:val="none" w:sz="0" w:space="0" w:color="auto"/>
        <w:left w:val="none" w:sz="0" w:space="0" w:color="auto"/>
        <w:bottom w:val="none" w:sz="0" w:space="0" w:color="auto"/>
        <w:right w:val="none" w:sz="0" w:space="0" w:color="auto"/>
      </w:divBdr>
    </w:div>
    <w:div w:id="1594967962">
      <w:bodyDiv w:val="1"/>
      <w:marLeft w:val="0"/>
      <w:marRight w:val="0"/>
      <w:marTop w:val="0"/>
      <w:marBottom w:val="0"/>
      <w:divBdr>
        <w:top w:val="none" w:sz="0" w:space="0" w:color="auto"/>
        <w:left w:val="none" w:sz="0" w:space="0" w:color="auto"/>
        <w:bottom w:val="none" w:sz="0" w:space="0" w:color="auto"/>
        <w:right w:val="none" w:sz="0" w:space="0" w:color="auto"/>
      </w:divBdr>
    </w:div>
    <w:div w:id="1598713820">
      <w:bodyDiv w:val="1"/>
      <w:marLeft w:val="0"/>
      <w:marRight w:val="0"/>
      <w:marTop w:val="0"/>
      <w:marBottom w:val="0"/>
      <w:divBdr>
        <w:top w:val="none" w:sz="0" w:space="0" w:color="auto"/>
        <w:left w:val="none" w:sz="0" w:space="0" w:color="auto"/>
        <w:bottom w:val="none" w:sz="0" w:space="0" w:color="auto"/>
        <w:right w:val="none" w:sz="0" w:space="0" w:color="auto"/>
      </w:divBdr>
    </w:div>
    <w:div w:id="1601911344">
      <w:bodyDiv w:val="1"/>
      <w:marLeft w:val="0"/>
      <w:marRight w:val="0"/>
      <w:marTop w:val="0"/>
      <w:marBottom w:val="0"/>
      <w:divBdr>
        <w:top w:val="none" w:sz="0" w:space="0" w:color="auto"/>
        <w:left w:val="none" w:sz="0" w:space="0" w:color="auto"/>
        <w:bottom w:val="none" w:sz="0" w:space="0" w:color="auto"/>
        <w:right w:val="none" w:sz="0" w:space="0" w:color="auto"/>
      </w:divBdr>
    </w:div>
    <w:div w:id="1611623393">
      <w:bodyDiv w:val="1"/>
      <w:marLeft w:val="0"/>
      <w:marRight w:val="0"/>
      <w:marTop w:val="0"/>
      <w:marBottom w:val="0"/>
      <w:divBdr>
        <w:top w:val="none" w:sz="0" w:space="0" w:color="auto"/>
        <w:left w:val="none" w:sz="0" w:space="0" w:color="auto"/>
        <w:bottom w:val="none" w:sz="0" w:space="0" w:color="auto"/>
        <w:right w:val="none" w:sz="0" w:space="0" w:color="auto"/>
      </w:divBdr>
    </w:div>
    <w:div w:id="1624000188">
      <w:bodyDiv w:val="1"/>
      <w:marLeft w:val="0"/>
      <w:marRight w:val="0"/>
      <w:marTop w:val="0"/>
      <w:marBottom w:val="0"/>
      <w:divBdr>
        <w:top w:val="none" w:sz="0" w:space="0" w:color="auto"/>
        <w:left w:val="none" w:sz="0" w:space="0" w:color="auto"/>
        <w:bottom w:val="none" w:sz="0" w:space="0" w:color="auto"/>
        <w:right w:val="none" w:sz="0" w:space="0" w:color="auto"/>
      </w:divBdr>
    </w:div>
    <w:div w:id="1650789527">
      <w:bodyDiv w:val="1"/>
      <w:marLeft w:val="0"/>
      <w:marRight w:val="0"/>
      <w:marTop w:val="0"/>
      <w:marBottom w:val="0"/>
      <w:divBdr>
        <w:top w:val="none" w:sz="0" w:space="0" w:color="auto"/>
        <w:left w:val="none" w:sz="0" w:space="0" w:color="auto"/>
        <w:bottom w:val="none" w:sz="0" w:space="0" w:color="auto"/>
        <w:right w:val="none" w:sz="0" w:space="0" w:color="auto"/>
      </w:divBdr>
    </w:div>
    <w:div w:id="1651400519">
      <w:bodyDiv w:val="1"/>
      <w:marLeft w:val="0"/>
      <w:marRight w:val="0"/>
      <w:marTop w:val="0"/>
      <w:marBottom w:val="0"/>
      <w:divBdr>
        <w:top w:val="none" w:sz="0" w:space="0" w:color="auto"/>
        <w:left w:val="none" w:sz="0" w:space="0" w:color="auto"/>
        <w:bottom w:val="none" w:sz="0" w:space="0" w:color="auto"/>
        <w:right w:val="none" w:sz="0" w:space="0" w:color="auto"/>
      </w:divBdr>
    </w:div>
    <w:div w:id="1669866101">
      <w:bodyDiv w:val="1"/>
      <w:marLeft w:val="0"/>
      <w:marRight w:val="0"/>
      <w:marTop w:val="0"/>
      <w:marBottom w:val="0"/>
      <w:divBdr>
        <w:top w:val="none" w:sz="0" w:space="0" w:color="auto"/>
        <w:left w:val="none" w:sz="0" w:space="0" w:color="auto"/>
        <w:bottom w:val="none" w:sz="0" w:space="0" w:color="auto"/>
        <w:right w:val="none" w:sz="0" w:space="0" w:color="auto"/>
      </w:divBdr>
    </w:div>
    <w:div w:id="1688287634">
      <w:bodyDiv w:val="1"/>
      <w:marLeft w:val="0"/>
      <w:marRight w:val="0"/>
      <w:marTop w:val="0"/>
      <w:marBottom w:val="0"/>
      <w:divBdr>
        <w:top w:val="none" w:sz="0" w:space="0" w:color="auto"/>
        <w:left w:val="none" w:sz="0" w:space="0" w:color="auto"/>
        <w:bottom w:val="none" w:sz="0" w:space="0" w:color="auto"/>
        <w:right w:val="none" w:sz="0" w:space="0" w:color="auto"/>
      </w:divBdr>
    </w:div>
    <w:div w:id="1722948304">
      <w:bodyDiv w:val="1"/>
      <w:marLeft w:val="0"/>
      <w:marRight w:val="0"/>
      <w:marTop w:val="0"/>
      <w:marBottom w:val="0"/>
      <w:divBdr>
        <w:top w:val="none" w:sz="0" w:space="0" w:color="auto"/>
        <w:left w:val="none" w:sz="0" w:space="0" w:color="auto"/>
        <w:bottom w:val="none" w:sz="0" w:space="0" w:color="auto"/>
        <w:right w:val="none" w:sz="0" w:space="0" w:color="auto"/>
      </w:divBdr>
    </w:div>
    <w:div w:id="1764839297">
      <w:bodyDiv w:val="1"/>
      <w:marLeft w:val="0"/>
      <w:marRight w:val="0"/>
      <w:marTop w:val="0"/>
      <w:marBottom w:val="0"/>
      <w:divBdr>
        <w:top w:val="none" w:sz="0" w:space="0" w:color="auto"/>
        <w:left w:val="none" w:sz="0" w:space="0" w:color="auto"/>
        <w:bottom w:val="none" w:sz="0" w:space="0" w:color="auto"/>
        <w:right w:val="none" w:sz="0" w:space="0" w:color="auto"/>
      </w:divBdr>
    </w:div>
    <w:div w:id="1786731374">
      <w:bodyDiv w:val="1"/>
      <w:marLeft w:val="0"/>
      <w:marRight w:val="0"/>
      <w:marTop w:val="0"/>
      <w:marBottom w:val="0"/>
      <w:divBdr>
        <w:top w:val="none" w:sz="0" w:space="0" w:color="auto"/>
        <w:left w:val="none" w:sz="0" w:space="0" w:color="auto"/>
        <w:bottom w:val="none" w:sz="0" w:space="0" w:color="auto"/>
        <w:right w:val="none" w:sz="0" w:space="0" w:color="auto"/>
      </w:divBdr>
    </w:div>
    <w:div w:id="1786920553">
      <w:bodyDiv w:val="1"/>
      <w:marLeft w:val="0"/>
      <w:marRight w:val="0"/>
      <w:marTop w:val="0"/>
      <w:marBottom w:val="0"/>
      <w:divBdr>
        <w:top w:val="none" w:sz="0" w:space="0" w:color="auto"/>
        <w:left w:val="none" w:sz="0" w:space="0" w:color="auto"/>
        <w:bottom w:val="none" w:sz="0" w:space="0" w:color="auto"/>
        <w:right w:val="none" w:sz="0" w:space="0" w:color="auto"/>
      </w:divBdr>
    </w:div>
    <w:div w:id="1787114340">
      <w:bodyDiv w:val="1"/>
      <w:marLeft w:val="0"/>
      <w:marRight w:val="0"/>
      <w:marTop w:val="0"/>
      <w:marBottom w:val="0"/>
      <w:divBdr>
        <w:top w:val="none" w:sz="0" w:space="0" w:color="auto"/>
        <w:left w:val="none" w:sz="0" w:space="0" w:color="auto"/>
        <w:bottom w:val="none" w:sz="0" w:space="0" w:color="auto"/>
        <w:right w:val="none" w:sz="0" w:space="0" w:color="auto"/>
      </w:divBdr>
    </w:div>
    <w:div w:id="1806700590">
      <w:bodyDiv w:val="1"/>
      <w:marLeft w:val="0"/>
      <w:marRight w:val="0"/>
      <w:marTop w:val="0"/>
      <w:marBottom w:val="0"/>
      <w:divBdr>
        <w:top w:val="none" w:sz="0" w:space="0" w:color="auto"/>
        <w:left w:val="none" w:sz="0" w:space="0" w:color="auto"/>
        <w:bottom w:val="none" w:sz="0" w:space="0" w:color="auto"/>
        <w:right w:val="none" w:sz="0" w:space="0" w:color="auto"/>
      </w:divBdr>
    </w:div>
    <w:div w:id="1814591685">
      <w:bodyDiv w:val="1"/>
      <w:marLeft w:val="0"/>
      <w:marRight w:val="0"/>
      <w:marTop w:val="0"/>
      <w:marBottom w:val="0"/>
      <w:divBdr>
        <w:top w:val="none" w:sz="0" w:space="0" w:color="auto"/>
        <w:left w:val="none" w:sz="0" w:space="0" w:color="auto"/>
        <w:bottom w:val="none" w:sz="0" w:space="0" w:color="auto"/>
        <w:right w:val="none" w:sz="0" w:space="0" w:color="auto"/>
      </w:divBdr>
    </w:div>
    <w:div w:id="1821188118">
      <w:bodyDiv w:val="1"/>
      <w:marLeft w:val="0"/>
      <w:marRight w:val="0"/>
      <w:marTop w:val="0"/>
      <w:marBottom w:val="0"/>
      <w:divBdr>
        <w:top w:val="none" w:sz="0" w:space="0" w:color="auto"/>
        <w:left w:val="none" w:sz="0" w:space="0" w:color="auto"/>
        <w:bottom w:val="none" w:sz="0" w:space="0" w:color="auto"/>
        <w:right w:val="none" w:sz="0" w:space="0" w:color="auto"/>
      </w:divBdr>
    </w:div>
    <w:div w:id="1824933016">
      <w:bodyDiv w:val="1"/>
      <w:marLeft w:val="0"/>
      <w:marRight w:val="0"/>
      <w:marTop w:val="0"/>
      <w:marBottom w:val="0"/>
      <w:divBdr>
        <w:top w:val="none" w:sz="0" w:space="0" w:color="auto"/>
        <w:left w:val="none" w:sz="0" w:space="0" w:color="auto"/>
        <w:bottom w:val="none" w:sz="0" w:space="0" w:color="auto"/>
        <w:right w:val="none" w:sz="0" w:space="0" w:color="auto"/>
      </w:divBdr>
    </w:div>
    <w:div w:id="1841846416">
      <w:bodyDiv w:val="1"/>
      <w:marLeft w:val="0"/>
      <w:marRight w:val="0"/>
      <w:marTop w:val="0"/>
      <w:marBottom w:val="0"/>
      <w:divBdr>
        <w:top w:val="none" w:sz="0" w:space="0" w:color="auto"/>
        <w:left w:val="none" w:sz="0" w:space="0" w:color="auto"/>
        <w:bottom w:val="none" w:sz="0" w:space="0" w:color="auto"/>
        <w:right w:val="none" w:sz="0" w:space="0" w:color="auto"/>
      </w:divBdr>
    </w:div>
    <w:div w:id="1843816813">
      <w:bodyDiv w:val="1"/>
      <w:marLeft w:val="0"/>
      <w:marRight w:val="0"/>
      <w:marTop w:val="0"/>
      <w:marBottom w:val="0"/>
      <w:divBdr>
        <w:top w:val="none" w:sz="0" w:space="0" w:color="auto"/>
        <w:left w:val="none" w:sz="0" w:space="0" w:color="auto"/>
        <w:bottom w:val="none" w:sz="0" w:space="0" w:color="auto"/>
        <w:right w:val="none" w:sz="0" w:space="0" w:color="auto"/>
      </w:divBdr>
    </w:div>
    <w:div w:id="1844785110">
      <w:bodyDiv w:val="1"/>
      <w:marLeft w:val="0"/>
      <w:marRight w:val="0"/>
      <w:marTop w:val="0"/>
      <w:marBottom w:val="0"/>
      <w:divBdr>
        <w:top w:val="none" w:sz="0" w:space="0" w:color="auto"/>
        <w:left w:val="none" w:sz="0" w:space="0" w:color="auto"/>
        <w:bottom w:val="none" w:sz="0" w:space="0" w:color="auto"/>
        <w:right w:val="none" w:sz="0" w:space="0" w:color="auto"/>
      </w:divBdr>
    </w:div>
    <w:div w:id="1853716006">
      <w:bodyDiv w:val="1"/>
      <w:marLeft w:val="0"/>
      <w:marRight w:val="0"/>
      <w:marTop w:val="0"/>
      <w:marBottom w:val="0"/>
      <w:divBdr>
        <w:top w:val="none" w:sz="0" w:space="0" w:color="auto"/>
        <w:left w:val="none" w:sz="0" w:space="0" w:color="auto"/>
        <w:bottom w:val="none" w:sz="0" w:space="0" w:color="auto"/>
        <w:right w:val="none" w:sz="0" w:space="0" w:color="auto"/>
      </w:divBdr>
    </w:div>
    <w:div w:id="1854609177">
      <w:bodyDiv w:val="1"/>
      <w:marLeft w:val="0"/>
      <w:marRight w:val="0"/>
      <w:marTop w:val="0"/>
      <w:marBottom w:val="0"/>
      <w:divBdr>
        <w:top w:val="none" w:sz="0" w:space="0" w:color="auto"/>
        <w:left w:val="none" w:sz="0" w:space="0" w:color="auto"/>
        <w:bottom w:val="none" w:sz="0" w:space="0" w:color="auto"/>
        <w:right w:val="none" w:sz="0" w:space="0" w:color="auto"/>
      </w:divBdr>
      <w:divsChild>
        <w:div w:id="1042897599">
          <w:marLeft w:val="0"/>
          <w:marRight w:val="0"/>
          <w:marTop w:val="0"/>
          <w:marBottom w:val="104"/>
          <w:divBdr>
            <w:top w:val="none" w:sz="0" w:space="0" w:color="auto"/>
            <w:left w:val="none" w:sz="0" w:space="0" w:color="auto"/>
            <w:bottom w:val="none" w:sz="0" w:space="0" w:color="auto"/>
            <w:right w:val="none" w:sz="0" w:space="0" w:color="auto"/>
          </w:divBdr>
          <w:divsChild>
            <w:div w:id="2023316354">
              <w:marLeft w:val="0"/>
              <w:marRight w:val="0"/>
              <w:marTop w:val="0"/>
              <w:marBottom w:val="0"/>
              <w:divBdr>
                <w:top w:val="single" w:sz="4" w:space="0" w:color="D3D3D3"/>
                <w:left w:val="single" w:sz="4" w:space="0" w:color="D3D3D3"/>
                <w:bottom w:val="single" w:sz="4" w:space="0" w:color="D3D3D3"/>
                <w:right w:val="single" w:sz="4" w:space="0" w:color="D3D3D3"/>
              </w:divBdr>
              <w:divsChild>
                <w:div w:id="26180849">
                  <w:marLeft w:val="0"/>
                  <w:marRight w:val="0"/>
                  <w:marTop w:val="0"/>
                  <w:marBottom w:val="0"/>
                  <w:divBdr>
                    <w:top w:val="none" w:sz="0" w:space="5" w:color="DDDDDD"/>
                    <w:left w:val="none" w:sz="0" w:space="8" w:color="DDDDDD"/>
                    <w:bottom w:val="none" w:sz="0" w:space="0" w:color="auto"/>
                    <w:right w:val="none" w:sz="0" w:space="8" w:color="DDDDDD"/>
                  </w:divBdr>
                </w:div>
                <w:div w:id="1719016063">
                  <w:marLeft w:val="0"/>
                  <w:marRight w:val="0"/>
                  <w:marTop w:val="0"/>
                  <w:marBottom w:val="0"/>
                  <w:divBdr>
                    <w:top w:val="none" w:sz="0" w:space="0" w:color="auto"/>
                    <w:left w:val="none" w:sz="0" w:space="0" w:color="auto"/>
                    <w:bottom w:val="none" w:sz="0" w:space="0" w:color="auto"/>
                    <w:right w:val="none" w:sz="0" w:space="0" w:color="auto"/>
                  </w:divBdr>
                  <w:divsChild>
                    <w:div w:id="1577548688">
                      <w:marLeft w:val="0"/>
                      <w:marRight w:val="0"/>
                      <w:marTop w:val="0"/>
                      <w:marBottom w:val="0"/>
                      <w:divBdr>
                        <w:top w:val="single" w:sz="4" w:space="8" w:color="DDDDDD"/>
                        <w:left w:val="none" w:sz="0" w:space="0" w:color="auto"/>
                        <w:bottom w:val="none" w:sz="0" w:space="0" w:color="auto"/>
                        <w:right w:val="none" w:sz="0" w:space="0" w:color="auto"/>
                      </w:divBdr>
                    </w:div>
                  </w:divsChild>
                </w:div>
              </w:divsChild>
            </w:div>
          </w:divsChild>
        </w:div>
        <w:div w:id="2104715416">
          <w:marLeft w:val="0"/>
          <w:marRight w:val="0"/>
          <w:marTop w:val="0"/>
          <w:marBottom w:val="104"/>
          <w:divBdr>
            <w:top w:val="none" w:sz="0" w:space="0" w:color="auto"/>
            <w:left w:val="none" w:sz="0" w:space="0" w:color="auto"/>
            <w:bottom w:val="none" w:sz="0" w:space="0" w:color="auto"/>
            <w:right w:val="none" w:sz="0" w:space="0" w:color="auto"/>
          </w:divBdr>
          <w:divsChild>
            <w:div w:id="1832520348">
              <w:marLeft w:val="0"/>
              <w:marRight w:val="0"/>
              <w:marTop w:val="0"/>
              <w:marBottom w:val="0"/>
              <w:divBdr>
                <w:top w:val="single" w:sz="4" w:space="0" w:color="D3D3D3"/>
                <w:left w:val="single" w:sz="4" w:space="0" w:color="D3D3D3"/>
                <w:bottom w:val="single" w:sz="4" w:space="0" w:color="D3D3D3"/>
                <w:right w:val="single" w:sz="4" w:space="0" w:color="D3D3D3"/>
              </w:divBdr>
              <w:divsChild>
                <w:div w:id="1714232057">
                  <w:marLeft w:val="0"/>
                  <w:marRight w:val="0"/>
                  <w:marTop w:val="0"/>
                  <w:marBottom w:val="0"/>
                  <w:divBdr>
                    <w:top w:val="none" w:sz="0" w:space="5" w:color="DDDDDD"/>
                    <w:left w:val="none" w:sz="0" w:space="8" w:color="DDDDDD"/>
                    <w:bottom w:val="none" w:sz="0" w:space="0" w:color="auto"/>
                    <w:right w:val="none" w:sz="0" w:space="8" w:color="DDDDDD"/>
                  </w:divBdr>
                </w:div>
                <w:div w:id="113329386">
                  <w:marLeft w:val="0"/>
                  <w:marRight w:val="0"/>
                  <w:marTop w:val="0"/>
                  <w:marBottom w:val="0"/>
                  <w:divBdr>
                    <w:top w:val="none" w:sz="0" w:space="0" w:color="auto"/>
                    <w:left w:val="none" w:sz="0" w:space="0" w:color="auto"/>
                    <w:bottom w:val="none" w:sz="0" w:space="0" w:color="auto"/>
                    <w:right w:val="none" w:sz="0" w:space="0" w:color="auto"/>
                  </w:divBdr>
                  <w:divsChild>
                    <w:div w:id="1826160900">
                      <w:marLeft w:val="0"/>
                      <w:marRight w:val="0"/>
                      <w:marTop w:val="0"/>
                      <w:marBottom w:val="0"/>
                      <w:divBdr>
                        <w:top w:val="single" w:sz="4" w:space="8" w:color="DDDDDD"/>
                        <w:left w:val="none" w:sz="0" w:space="0" w:color="auto"/>
                        <w:bottom w:val="none" w:sz="0" w:space="0" w:color="auto"/>
                        <w:right w:val="none" w:sz="0" w:space="0" w:color="auto"/>
                      </w:divBdr>
                    </w:div>
                  </w:divsChild>
                </w:div>
              </w:divsChild>
            </w:div>
          </w:divsChild>
        </w:div>
        <w:div w:id="722366629">
          <w:marLeft w:val="0"/>
          <w:marRight w:val="0"/>
          <w:marTop w:val="0"/>
          <w:marBottom w:val="104"/>
          <w:divBdr>
            <w:top w:val="none" w:sz="0" w:space="0" w:color="auto"/>
            <w:left w:val="none" w:sz="0" w:space="0" w:color="auto"/>
            <w:bottom w:val="none" w:sz="0" w:space="0" w:color="auto"/>
            <w:right w:val="none" w:sz="0" w:space="0" w:color="auto"/>
          </w:divBdr>
          <w:divsChild>
            <w:div w:id="1027485720">
              <w:marLeft w:val="0"/>
              <w:marRight w:val="0"/>
              <w:marTop w:val="0"/>
              <w:marBottom w:val="0"/>
              <w:divBdr>
                <w:top w:val="single" w:sz="4" w:space="0" w:color="D3D3D3"/>
                <w:left w:val="single" w:sz="4" w:space="0" w:color="D3D3D3"/>
                <w:bottom w:val="single" w:sz="4" w:space="0" w:color="D3D3D3"/>
                <w:right w:val="single" w:sz="4" w:space="0" w:color="D3D3D3"/>
              </w:divBdr>
              <w:divsChild>
                <w:div w:id="1000111308">
                  <w:marLeft w:val="0"/>
                  <w:marRight w:val="0"/>
                  <w:marTop w:val="0"/>
                  <w:marBottom w:val="0"/>
                  <w:divBdr>
                    <w:top w:val="none" w:sz="0" w:space="5" w:color="DDDDDD"/>
                    <w:left w:val="none" w:sz="0" w:space="8" w:color="DDDDDD"/>
                    <w:bottom w:val="none" w:sz="0" w:space="0" w:color="auto"/>
                    <w:right w:val="none" w:sz="0" w:space="8" w:color="DDDDDD"/>
                  </w:divBdr>
                </w:div>
              </w:divsChild>
            </w:div>
          </w:divsChild>
        </w:div>
        <w:div w:id="266042680">
          <w:marLeft w:val="0"/>
          <w:marRight w:val="0"/>
          <w:marTop w:val="0"/>
          <w:marBottom w:val="104"/>
          <w:divBdr>
            <w:top w:val="none" w:sz="0" w:space="0" w:color="auto"/>
            <w:left w:val="none" w:sz="0" w:space="0" w:color="auto"/>
            <w:bottom w:val="none" w:sz="0" w:space="0" w:color="auto"/>
            <w:right w:val="none" w:sz="0" w:space="0" w:color="auto"/>
          </w:divBdr>
          <w:divsChild>
            <w:div w:id="905916513">
              <w:marLeft w:val="0"/>
              <w:marRight w:val="0"/>
              <w:marTop w:val="0"/>
              <w:marBottom w:val="0"/>
              <w:divBdr>
                <w:top w:val="single" w:sz="4" w:space="0" w:color="D3D3D3"/>
                <w:left w:val="single" w:sz="4" w:space="0" w:color="D3D3D3"/>
                <w:bottom w:val="single" w:sz="4" w:space="0" w:color="D3D3D3"/>
                <w:right w:val="single" w:sz="4" w:space="0" w:color="D3D3D3"/>
              </w:divBdr>
              <w:divsChild>
                <w:div w:id="198973226">
                  <w:marLeft w:val="0"/>
                  <w:marRight w:val="0"/>
                  <w:marTop w:val="0"/>
                  <w:marBottom w:val="0"/>
                  <w:divBdr>
                    <w:top w:val="none" w:sz="0" w:space="5" w:color="DDDDDD"/>
                    <w:left w:val="none" w:sz="0" w:space="8" w:color="DDDDDD"/>
                    <w:bottom w:val="none" w:sz="0" w:space="0" w:color="auto"/>
                    <w:right w:val="none" w:sz="0" w:space="8" w:color="DDDDDD"/>
                  </w:divBdr>
                </w:div>
              </w:divsChild>
            </w:div>
          </w:divsChild>
        </w:div>
      </w:divsChild>
    </w:div>
    <w:div w:id="1859197626">
      <w:bodyDiv w:val="1"/>
      <w:marLeft w:val="0"/>
      <w:marRight w:val="0"/>
      <w:marTop w:val="0"/>
      <w:marBottom w:val="0"/>
      <w:divBdr>
        <w:top w:val="none" w:sz="0" w:space="0" w:color="auto"/>
        <w:left w:val="none" w:sz="0" w:space="0" w:color="auto"/>
        <w:bottom w:val="none" w:sz="0" w:space="0" w:color="auto"/>
        <w:right w:val="none" w:sz="0" w:space="0" w:color="auto"/>
      </w:divBdr>
    </w:div>
    <w:div w:id="1859393371">
      <w:bodyDiv w:val="1"/>
      <w:marLeft w:val="0"/>
      <w:marRight w:val="0"/>
      <w:marTop w:val="0"/>
      <w:marBottom w:val="0"/>
      <w:divBdr>
        <w:top w:val="none" w:sz="0" w:space="0" w:color="auto"/>
        <w:left w:val="none" w:sz="0" w:space="0" w:color="auto"/>
        <w:bottom w:val="none" w:sz="0" w:space="0" w:color="auto"/>
        <w:right w:val="none" w:sz="0" w:space="0" w:color="auto"/>
      </w:divBdr>
      <w:divsChild>
        <w:div w:id="984503655">
          <w:marLeft w:val="0"/>
          <w:marRight w:val="0"/>
          <w:marTop w:val="0"/>
          <w:marBottom w:val="0"/>
          <w:divBdr>
            <w:top w:val="none" w:sz="0" w:space="0" w:color="auto"/>
            <w:left w:val="none" w:sz="0" w:space="0" w:color="auto"/>
            <w:bottom w:val="none" w:sz="0" w:space="0" w:color="auto"/>
            <w:right w:val="none" w:sz="0" w:space="0" w:color="auto"/>
          </w:divBdr>
          <w:divsChild>
            <w:div w:id="1828936732">
              <w:marLeft w:val="0"/>
              <w:marRight w:val="0"/>
              <w:marTop w:val="0"/>
              <w:marBottom w:val="0"/>
              <w:divBdr>
                <w:top w:val="none" w:sz="0" w:space="0" w:color="auto"/>
                <w:left w:val="none" w:sz="0" w:space="0" w:color="auto"/>
                <w:bottom w:val="none" w:sz="0" w:space="0" w:color="auto"/>
                <w:right w:val="none" w:sz="0" w:space="0" w:color="auto"/>
              </w:divBdr>
              <w:divsChild>
                <w:div w:id="18086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3151">
          <w:marLeft w:val="0"/>
          <w:marRight w:val="0"/>
          <w:marTop w:val="0"/>
          <w:marBottom w:val="0"/>
          <w:divBdr>
            <w:top w:val="none" w:sz="0" w:space="0" w:color="auto"/>
            <w:left w:val="none" w:sz="0" w:space="0" w:color="auto"/>
            <w:bottom w:val="none" w:sz="0" w:space="0" w:color="auto"/>
            <w:right w:val="none" w:sz="0" w:space="0" w:color="auto"/>
          </w:divBdr>
          <w:divsChild>
            <w:div w:id="798884918">
              <w:marLeft w:val="0"/>
              <w:marRight w:val="0"/>
              <w:marTop w:val="0"/>
              <w:marBottom w:val="0"/>
              <w:divBdr>
                <w:top w:val="none" w:sz="0" w:space="0" w:color="auto"/>
                <w:left w:val="none" w:sz="0" w:space="0" w:color="auto"/>
                <w:bottom w:val="none" w:sz="0" w:space="0" w:color="auto"/>
                <w:right w:val="none" w:sz="0" w:space="0" w:color="auto"/>
              </w:divBdr>
              <w:divsChild>
                <w:div w:id="17163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1330">
          <w:marLeft w:val="0"/>
          <w:marRight w:val="0"/>
          <w:marTop w:val="0"/>
          <w:marBottom w:val="0"/>
          <w:divBdr>
            <w:top w:val="none" w:sz="0" w:space="0" w:color="auto"/>
            <w:left w:val="none" w:sz="0" w:space="0" w:color="auto"/>
            <w:bottom w:val="none" w:sz="0" w:space="0" w:color="auto"/>
            <w:right w:val="none" w:sz="0" w:space="0" w:color="auto"/>
          </w:divBdr>
          <w:divsChild>
            <w:div w:id="1102802822">
              <w:marLeft w:val="0"/>
              <w:marRight w:val="0"/>
              <w:marTop w:val="0"/>
              <w:marBottom w:val="0"/>
              <w:divBdr>
                <w:top w:val="none" w:sz="0" w:space="0" w:color="auto"/>
                <w:left w:val="none" w:sz="0" w:space="0" w:color="auto"/>
                <w:bottom w:val="none" w:sz="0" w:space="0" w:color="auto"/>
                <w:right w:val="none" w:sz="0" w:space="0" w:color="auto"/>
              </w:divBdr>
              <w:divsChild>
                <w:div w:id="93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83129">
          <w:marLeft w:val="0"/>
          <w:marRight w:val="0"/>
          <w:marTop w:val="0"/>
          <w:marBottom w:val="0"/>
          <w:divBdr>
            <w:top w:val="none" w:sz="0" w:space="0" w:color="auto"/>
            <w:left w:val="none" w:sz="0" w:space="0" w:color="auto"/>
            <w:bottom w:val="none" w:sz="0" w:space="0" w:color="auto"/>
            <w:right w:val="none" w:sz="0" w:space="0" w:color="auto"/>
          </w:divBdr>
          <w:divsChild>
            <w:div w:id="1695032817">
              <w:marLeft w:val="0"/>
              <w:marRight w:val="0"/>
              <w:marTop w:val="0"/>
              <w:marBottom w:val="0"/>
              <w:divBdr>
                <w:top w:val="none" w:sz="0" w:space="0" w:color="auto"/>
                <w:left w:val="none" w:sz="0" w:space="0" w:color="auto"/>
                <w:bottom w:val="none" w:sz="0" w:space="0" w:color="auto"/>
                <w:right w:val="none" w:sz="0" w:space="0" w:color="auto"/>
              </w:divBdr>
              <w:divsChild>
                <w:div w:id="99584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58318">
      <w:bodyDiv w:val="1"/>
      <w:marLeft w:val="0"/>
      <w:marRight w:val="0"/>
      <w:marTop w:val="0"/>
      <w:marBottom w:val="0"/>
      <w:divBdr>
        <w:top w:val="none" w:sz="0" w:space="0" w:color="auto"/>
        <w:left w:val="none" w:sz="0" w:space="0" w:color="auto"/>
        <w:bottom w:val="none" w:sz="0" w:space="0" w:color="auto"/>
        <w:right w:val="none" w:sz="0" w:space="0" w:color="auto"/>
      </w:divBdr>
    </w:div>
    <w:div w:id="1865092331">
      <w:bodyDiv w:val="1"/>
      <w:marLeft w:val="0"/>
      <w:marRight w:val="0"/>
      <w:marTop w:val="0"/>
      <w:marBottom w:val="0"/>
      <w:divBdr>
        <w:top w:val="none" w:sz="0" w:space="0" w:color="auto"/>
        <w:left w:val="none" w:sz="0" w:space="0" w:color="auto"/>
        <w:bottom w:val="none" w:sz="0" w:space="0" w:color="auto"/>
        <w:right w:val="none" w:sz="0" w:space="0" w:color="auto"/>
      </w:divBdr>
    </w:div>
    <w:div w:id="1868374186">
      <w:bodyDiv w:val="1"/>
      <w:marLeft w:val="0"/>
      <w:marRight w:val="0"/>
      <w:marTop w:val="0"/>
      <w:marBottom w:val="0"/>
      <w:divBdr>
        <w:top w:val="none" w:sz="0" w:space="0" w:color="auto"/>
        <w:left w:val="none" w:sz="0" w:space="0" w:color="auto"/>
        <w:bottom w:val="none" w:sz="0" w:space="0" w:color="auto"/>
        <w:right w:val="none" w:sz="0" w:space="0" w:color="auto"/>
      </w:divBdr>
    </w:div>
    <w:div w:id="1871264801">
      <w:bodyDiv w:val="1"/>
      <w:marLeft w:val="0"/>
      <w:marRight w:val="0"/>
      <w:marTop w:val="0"/>
      <w:marBottom w:val="0"/>
      <w:divBdr>
        <w:top w:val="none" w:sz="0" w:space="0" w:color="auto"/>
        <w:left w:val="none" w:sz="0" w:space="0" w:color="auto"/>
        <w:bottom w:val="none" w:sz="0" w:space="0" w:color="auto"/>
        <w:right w:val="none" w:sz="0" w:space="0" w:color="auto"/>
      </w:divBdr>
    </w:div>
    <w:div w:id="1878155776">
      <w:bodyDiv w:val="1"/>
      <w:marLeft w:val="0"/>
      <w:marRight w:val="0"/>
      <w:marTop w:val="0"/>
      <w:marBottom w:val="0"/>
      <w:divBdr>
        <w:top w:val="none" w:sz="0" w:space="0" w:color="auto"/>
        <w:left w:val="none" w:sz="0" w:space="0" w:color="auto"/>
        <w:bottom w:val="none" w:sz="0" w:space="0" w:color="auto"/>
        <w:right w:val="none" w:sz="0" w:space="0" w:color="auto"/>
      </w:divBdr>
    </w:div>
    <w:div w:id="1893151766">
      <w:bodyDiv w:val="1"/>
      <w:marLeft w:val="0"/>
      <w:marRight w:val="0"/>
      <w:marTop w:val="0"/>
      <w:marBottom w:val="0"/>
      <w:divBdr>
        <w:top w:val="none" w:sz="0" w:space="0" w:color="auto"/>
        <w:left w:val="none" w:sz="0" w:space="0" w:color="auto"/>
        <w:bottom w:val="none" w:sz="0" w:space="0" w:color="auto"/>
        <w:right w:val="none" w:sz="0" w:space="0" w:color="auto"/>
      </w:divBdr>
    </w:div>
    <w:div w:id="1907448244">
      <w:bodyDiv w:val="1"/>
      <w:marLeft w:val="0"/>
      <w:marRight w:val="0"/>
      <w:marTop w:val="0"/>
      <w:marBottom w:val="0"/>
      <w:divBdr>
        <w:top w:val="none" w:sz="0" w:space="0" w:color="auto"/>
        <w:left w:val="none" w:sz="0" w:space="0" w:color="auto"/>
        <w:bottom w:val="none" w:sz="0" w:space="0" w:color="auto"/>
        <w:right w:val="none" w:sz="0" w:space="0" w:color="auto"/>
      </w:divBdr>
    </w:div>
    <w:div w:id="1926646794">
      <w:bodyDiv w:val="1"/>
      <w:marLeft w:val="0"/>
      <w:marRight w:val="0"/>
      <w:marTop w:val="0"/>
      <w:marBottom w:val="0"/>
      <w:divBdr>
        <w:top w:val="none" w:sz="0" w:space="0" w:color="auto"/>
        <w:left w:val="none" w:sz="0" w:space="0" w:color="auto"/>
        <w:bottom w:val="none" w:sz="0" w:space="0" w:color="auto"/>
        <w:right w:val="none" w:sz="0" w:space="0" w:color="auto"/>
      </w:divBdr>
      <w:divsChild>
        <w:div w:id="1519155722">
          <w:marLeft w:val="0"/>
          <w:marRight w:val="0"/>
          <w:marTop w:val="0"/>
          <w:marBottom w:val="0"/>
          <w:divBdr>
            <w:top w:val="none" w:sz="0" w:space="0" w:color="auto"/>
            <w:left w:val="none" w:sz="0" w:space="0" w:color="auto"/>
            <w:bottom w:val="none" w:sz="0" w:space="0" w:color="auto"/>
            <w:right w:val="none" w:sz="0" w:space="0" w:color="auto"/>
          </w:divBdr>
        </w:div>
      </w:divsChild>
    </w:div>
    <w:div w:id="1934238196">
      <w:bodyDiv w:val="1"/>
      <w:marLeft w:val="0"/>
      <w:marRight w:val="0"/>
      <w:marTop w:val="0"/>
      <w:marBottom w:val="0"/>
      <w:divBdr>
        <w:top w:val="none" w:sz="0" w:space="0" w:color="auto"/>
        <w:left w:val="none" w:sz="0" w:space="0" w:color="auto"/>
        <w:bottom w:val="none" w:sz="0" w:space="0" w:color="auto"/>
        <w:right w:val="none" w:sz="0" w:space="0" w:color="auto"/>
      </w:divBdr>
    </w:div>
    <w:div w:id="1934776995">
      <w:bodyDiv w:val="1"/>
      <w:marLeft w:val="0"/>
      <w:marRight w:val="0"/>
      <w:marTop w:val="0"/>
      <w:marBottom w:val="0"/>
      <w:divBdr>
        <w:top w:val="none" w:sz="0" w:space="0" w:color="auto"/>
        <w:left w:val="none" w:sz="0" w:space="0" w:color="auto"/>
        <w:bottom w:val="none" w:sz="0" w:space="0" w:color="auto"/>
        <w:right w:val="none" w:sz="0" w:space="0" w:color="auto"/>
      </w:divBdr>
    </w:div>
    <w:div w:id="1937640481">
      <w:bodyDiv w:val="1"/>
      <w:marLeft w:val="0"/>
      <w:marRight w:val="0"/>
      <w:marTop w:val="0"/>
      <w:marBottom w:val="0"/>
      <w:divBdr>
        <w:top w:val="none" w:sz="0" w:space="0" w:color="auto"/>
        <w:left w:val="none" w:sz="0" w:space="0" w:color="auto"/>
        <w:bottom w:val="none" w:sz="0" w:space="0" w:color="auto"/>
        <w:right w:val="none" w:sz="0" w:space="0" w:color="auto"/>
      </w:divBdr>
    </w:div>
    <w:div w:id="1962419780">
      <w:bodyDiv w:val="1"/>
      <w:marLeft w:val="0"/>
      <w:marRight w:val="0"/>
      <w:marTop w:val="0"/>
      <w:marBottom w:val="0"/>
      <w:divBdr>
        <w:top w:val="none" w:sz="0" w:space="0" w:color="auto"/>
        <w:left w:val="none" w:sz="0" w:space="0" w:color="auto"/>
        <w:bottom w:val="none" w:sz="0" w:space="0" w:color="auto"/>
        <w:right w:val="none" w:sz="0" w:space="0" w:color="auto"/>
      </w:divBdr>
      <w:divsChild>
        <w:div w:id="350113720">
          <w:marLeft w:val="0"/>
          <w:marRight w:val="0"/>
          <w:marTop w:val="0"/>
          <w:marBottom w:val="0"/>
          <w:divBdr>
            <w:top w:val="none" w:sz="0" w:space="0" w:color="auto"/>
            <w:left w:val="none" w:sz="0" w:space="0" w:color="auto"/>
            <w:bottom w:val="none" w:sz="0" w:space="0" w:color="auto"/>
            <w:right w:val="none" w:sz="0" w:space="0" w:color="auto"/>
          </w:divBdr>
          <w:divsChild>
            <w:div w:id="1166285609">
              <w:marLeft w:val="0"/>
              <w:marRight w:val="0"/>
              <w:marTop w:val="0"/>
              <w:marBottom w:val="0"/>
              <w:divBdr>
                <w:top w:val="none" w:sz="0" w:space="0" w:color="auto"/>
                <w:left w:val="none" w:sz="0" w:space="0" w:color="auto"/>
                <w:bottom w:val="none" w:sz="0" w:space="0" w:color="auto"/>
                <w:right w:val="none" w:sz="0" w:space="0" w:color="auto"/>
              </w:divBdr>
              <w:divsChild>
                <w:div w:id="1458569241">
                  <w:marLeft w:val="0"/>
                  <w:marRight w:val="0"/>
                  <w:marTop w:val="0"/>
                  <w:marBottom w:val="0"/>
                  <w:divBdr>
                    <w:top w:val="none" w:sz="0" w:space="0" w:color="auto"/>
                    <w:left w:val="none" w:sz="0" w:space="0" w:color="auto"/>
                    <w:bottom w:val="none" w:sz="0" w:space="0" w:color="auto"/>
                    <w:right w:val="none" w:sz="0" w:space="0" w:color="auto"/>
                  </w:divBdr>
                  <w:divsChild>
                    <w:div w:id="1861356469">
                      <w:marLeft w:val="0"/>
                      <w:marRight w:val="0"/>
                      <w:marTop w:val="0"/>
                      <w:marBottom w:val="0"/>
                      <w:divBdr>
                        <w:top w:val="none" w:sz="0" w:space="0" w:color="auto"/>
                        <w:left w:val="none" w:sz="0" w:space="0" w:color="auto"/>
                        <w:bottom w:val="none" w:sz="0" w:space="0" w:color="auto"/>
                        <w:right w:val="none" w:sz="0" w:space="0" w:color="auto"/>
                      </w:divBdr>
                      <w:divsChild>
                        <w:div w:id="981693294">
                          <w:marLeft w:val="0"/>
                          <w:marRight w:val="0"/>
                          <w:marTop w:val="0"/>
                          <w:marBottom w:val="0"/>
                          <w:divBdr>
                            <w:top w:val="none" w:sz="0" w:space="0" w:color="auto"/>
                            <w:left w:val="none" w:sz="0" w:space="0" w:color="auto"/>
                            <w:bottom w:val="none" w:sz="0" w:space="0" w:color="auto"/>
                            <w:right w:val="none" w:sz="0" w:space="0" w:color="auto"/>
                          </w:divBdr>
                        </w:div>
                      </w:divsChild>
                    </w:div>
                    <w:div w:id="7032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029408">
      <w:bodyDiv w:val="1"/>
      <w:marLeft w:val="0"/>
      <w:marRight w:val="0"/>
      <w:marTop w:val="0"/>
      <w:marBottom w:val="0"/>
      <w:divBdr>
        <w:top w:val="none" w:sz="0" w:space="0" w:color="auto"/>
        <w:left w:val="none" w:sz="0" w:space="0" w:color="auto"/>
        <w:bottom w:val="none" w:sz="0" w:space="0" w:color="auto"/>
        <w:right w:val="none" w:sz="0" w:space="0" w:color="auto"/>
      </w:divBdr>
    </w:div>
    <w:div w:id="1966545436">
      <w:bodyDiv w:val="1"/>
      <w:marLeft w:val="0"/>
      <w:marRight w:val="0"/>
      <w:marTop w:val="0"/>
      <w:marBottom w:val="0"/>
      <w:divBdr>
        <w:top w:val="none" w:sz="0" w:space="0" w:color="auto"/>
        <w:left w:val="none" w:sz="0" w:space="0" w:color="auto"/>
        <w:bottom w:val="none" w:sz="0" w:space="0" w:color="auto"/>
        <w:right w:val="none" w:sz="0" w:space="0" w:color="auto"/>
      </w:divBdr>
    </w:div>
    <w:div w:id="1970240141">
      <w:bodyDiv w:val="1"/>
      <w:marLeft w:val="0"/>
      <w:marRight w:val="0"/>
      <w:marTop w:val="0"/>
      <w:marBottom w:val="0"/>
      <w:divBdr>
        <w:top w:val="none" w:sz="0" w:space="0" w:color="auto"/>
        <w:left w:val="none" w:sz="0" w:space="0" w:color="auto"/>
        <w:bottom w:val="none" w:sz="0" w:space="0" w:color="auto"/>
        <w:right w:val="none" w:sz="0" w:space="0" w:color="auto"/>
      </w:divBdr>
      <w:divsChild>
        <w:div w:id="1887987852">
          <w:marLeft w:val="0"/>
          <w:marRight w:val="0"/>
          <w:marTop w:val="311"/>
          <w:marBottom w:val="0"/>
          <w:divBdr>
            <w:top w:val="none" w:sz="0" w:space="0" w:color="auto"/>
            <w:left w:val="none" w:sz="0" w:space="0" w:color="auto"/>
            <w:bottom w:val="none" w:sz="0" w:space="0" w:color="auto"/>
            <w:right w:val="none" w:sz="0" w:space="0" w:color="auto"/>
          </w:divBdr>
        </w:div>
      </w:divsChild>
    </w:div>
    <w:div w:id="1979415015">
      <w:bodyDiv w:val="1"/>
      <w:marLeft w:val="0"/>
      <w:marRight w:val="0"/>
      <w:marTop w:val="0"/>
      <w:marBottom w:val="0"/>
      <w:divBdr>
        <w:top w:val="none" w:sz="0" w:space="0" w:color="auto"/>
        <w:left w:val="none" w:sz="0" w:space="0" w:color="auto"/>
        <w:bottom w:val="none" w:sz="0" w:space="0" w:color="auto"/>
        <w:right w:val="none" w:sz="0" w:space="0" w:color="auto"/>
      </w:divBdr>
    </w:div>
    <w:div w:id="1982268400">
      <w:bodyDiv w:val="1"/>
      <w:marLeft w:val="0"/>
      <w:marRight w:val="0"/>
      <w:marTop w:val="0"/>
      <w:marBottom w:val="0"/>
      <w:divBdr>
        <w:top w:val="none" w:sz="0" w:space="0" w:color="auto"/>
        <w:left w:val="none" w:sz="0" w:space="0" w:color="auto"/>
        <w:bottom w:val="none" w:sz="0" w:space="0" w:color="auto"/>
        <w:right w:val="none" w:sz="0" w:space="0" w:color="auto"/>
      </w:divBdr>
    </w:div>
    <w:div w:id="1983801900">
      <w:bodyDiv w:val="1"/>
      <w:marLeft w:val="0"/>
      <w:marRight w:val="0"/>
      <w:marTop w:val="0"/>
      <w:marBottom w:val="0"/>
      <w:divBdr>
        <w:top w:val="none" w:sz="0" w:space="0" w:color="auto"/>
        <w:left w:val="none" w:sz="0" w:space="0" w:color="auto"/>
        <w:bottom w:val="none" w:sz="0" w:space="0" w:color="auto"/>
        <w:right w:val="none" w:sz="0" w:space="0" w:color="auto"/>
      </w:divBdr>
    </w:div>
    <w:div w:id="1992251981">
      <w:bodyDiv w:val="1"/>
      <w:marLeft w:val="0"/>
      <w:marRight w:val="0"/>
      <w:marTop w:val="0"/>
      <w:marBottom w:val="0"/>
      <w:divBdr>
        <w:top w:val="none" w:sz="0" w:space="0" w:color="auto"/>
        <w:left w:val="none" w:sz="0" w:space="0" w:color="auto"/>
        <w:bottom w:val="none" w:sz="0" w:space="0" w:color="auto"/>
        <w:right w:val="none" w:sz="0" w:space="0" w:color="auto"/>
      </w:divBdr>
    </w:div>
    <w:div w:id="1993751005">
      <w:bodyDiv w:val="1"/>
      <w:marLeft w:val="0"/>
      <w:marRight w:val="0"/>
      <w:marTop w:val="0"/>
      <w:marBottom w:val="0"/>
      <w:divBdr>
        <w:top w:val="none" w:sz="0" w:space="0" w:color="auto"/>
        <w:left w:val="none" w:sz="0" w:space="0" w:color="auto"/>
        <w:bottom w:val="none" w:sz="0" w:space="0" w:color="auto"/>
        <w:right w:val="none" w:sz="0" w:space="0" w:color="auto"/>
      </w:divBdr>
    </w:div>
    <w:div w:id="1994941509">
      <w:bodyDiv w:val="1"/>
      <w:marLeft w:val="0"/>
      <w:marRight w:val="0"/>
      <w:marTop w:val="0"/>
      <w:marBottom w:val="0"/>
      <w:divBdr>
        <w:top w:val="none" w:sz="0" w:space="0" w:color="auto"/>
        <w:left w:val="none" w:sz="0" w:space="0" w:color="auto"/>
        <w:bottom w:val="none" w:sz="0" w:space="0" w:color="auto"/>
        <w:right w:val="none" w:sz="0" w:space="0" w:color="auto"/>
      </w:divBdr>
    </w:div>
    <w:div w:id="2006126971">
      <w:bodyDiv w:val="1"/>
      <w:marLeft w:val="0"/>
      <w:marRight w:val="0"/>
      <w:marTop w:val="0"/>
      <w:marBottom w:val="0"/>
      <w:divBdr>
        <w:top w:val="none" w:sz="0" w:space="0" w:color="auto"/>
        <w:left w:val="none" w:sz="0" w:space="0" w:color="auto"/>
        <w:bottom w:val="none" w:sz="0" w:space="0" w:color="auto"/>
        <w:right w:val="none" w:sz="0" w:space="0" w:color="auto"/>
      </w:divBdr>
      <w:divsChild>
        <w:div w:id="1185099415">
          <w:marLeft w:val="0"/>
          <w:marRight w:val="0"/>
          <w:marTop w:val="0"/>
          <w:marBottom w:val="0"/>
          <w:divBdr>
            <w:top w:val="none" w:sz="0" w:space="0" w:color="auto"/>
            <w:left w:val="none" w:sz="0" w:space="0" w:color="auto"/>
            <w:bottom w:val="none" w:sz="0" w:space="0" w:color="auto"/>
            <w:right w:val="none" w:sz="0" w:space="0" w:color="auto"/>
          </w:divBdr>
          <w:divsChild>
            <w:div w:id="186293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61237">
      <w:bodyDiv w:val="1"/>
      <w:marLeft w:val="0"/>
      <w:marRight w:val="0"/>
      <w:marTop w:val="0"/>
      <w:marBottom w:val="0"/>
      <w:divBdr>
        <w:top w:val="none" w:sz="0" w:space="0" w:color="auto"/>
        <w:left w:val="none" w:sz="0" w:space="0" w:color="auto"/>
        <w:bottom w:val="none" w:sz="0" w:space="0" w:color="auto"/>
        <w:right w:val="none" w:sz="0" w:space="0" w:color="auto"/>
      </w:divBdr>
    </w:div>
    <w:div w:id="2049255160">
      <w:bodyDiv w:val="1"/>
      <w:marLeft w:val="0"/>
      <w:marRight w:val="0"/>
      <w:marTop w:val="0"/>
      <w:marBottom w:val="0"/>
      <w:divBdr>
        <w:top w:val="none" w:sz="0" w:space="0" w:color="auto"/>
        <w:left w:val="none" w:sz="0" w:space="0" w:color="auto"/>
        <w:bottom w:val="none" w:sz="0" w:space="0" w:color="auto"/>
        <w:right w:val="none" w:sz="0" w:space="0" w:color="auto"/>
      </w:divBdr>
    </w:div>
    <w:div w:id="2049379772">
      <w:bodyDiv w:val="1"/>
      <w:marLeft w:val="0"/>
      <w:marRight w:val="0"/>
      <w:marTop w:val="0"/>
      <w:marBottom w:val="0"/>
      <w:divBdr>
        <w:top w:val="none" w:sz="0" w:space="0" w:color="auto"/>
        <w:left w:val="none" w:sz="0" w:space="0" w:color="auto"/>
        <w:bottom w:val="none" w:sz="0" w:space="0" w:color="auto"/>
        <w:right w:val="none" w:sz="0" w:space="0" w:color="auto"/>
      </w:divBdr>
    </w:div>
    <w:div w:id="2062316823">
      <w:bodyDiv w:val="1"/>
      <w:marLeft w:val="0"/>
      <w:marRight w:val="0"/>
      <w:marTop w:val="0"/>
      <w:marBottom w:val="0"/>
      <w:divBdr>
        <w:top w:val="none" w:sz="0" w:space="0" w:color="auto"/>
        <w:left w:val="none" w:sz="0" w:space="0" w:color="auto"/>
        <w:bottom w:val="none" w:sz="0" w:space="0" w:color="auto"/>
        <w:right w:val="none" w:sz="0" w:space="0" w:color="auto"/>
      </w:divBdr>
    </w:div>
    <w:div w:id="2069257592">
      <w:bodyDiv w:val="1"/>
      <w:marLeft w:val="0"/>
      <w:marRight w:val="0"/>
      <w:marTop w:val="0"/>
      <w:marBottom w:val="0"/>
      <w:divBdr>
        <w:top w:val="none" w:sz="0" w:space="0" w:color="auto"/>
        <w:left w:val="none" w:sz="0" w:space="0" w:color="auto"/>
        <w:bottom w:val="none" w:sz="0" w:space="0" w:color="auto"/>
        <w:right w:val="none" w:sz="0" w:space="0" w:color="auto"/>
      </w:divBdr>
    </w:div>
    <w:div w:id="2086566662">
      <w:bodyDiv w:val="1"/>
      <w:marLeft w:val="0"/>
      <w:marRight w:val="0"/>
      <w:marTop w:val="0"/>
      <w:marBottom w:val="0"/>
      <w:divBdr>
        <w:top w:val="none" w:sz="0" w:space="0" w:color="auto"/>
        <w:left w:val="none" w:sz="0" w:space="0" w:color="auto"/>
        <w:bottom w:val="none" w:sz="0" w:space="0" w:color="auto"/>
        <w:right w:val="none" w:sz="0" w:space="0" w:color="auto"/>
      </w:divBdr>
    </w:div>
    <w:div w:id="2092845860">
      <w:bodyDiv w:val="1"/>
      <w:marLeft w:val="0"/>
      <w:marRight w:val="0"/>
      <w:marTop w:val="0"/>
      <w:marBottom w:val="0"/>
      <w:divBdr>
        <w:top w:val="none" w:sz="0" w:space="0" w:color="auto"/>
        <w:left w:val="none" w:sz="0" w:space="0" w:color="auto"/>
        <w:bottom w:val="none" w:sz="0" w:space="0" w:color="auto"/>
        <w:right w:val="none" w:sz="0" w:space="0" w:color="auto"/>
      </w:divBdr>
    </w:div>
    <w:div w:id="2122525935">
      <w:bodyDiv w:val="1"/>
      <w:marLeft w:val="0"/>
      <w:marRight w:val="0"/>
      <w:marTop w:val="0"/>
      <w:marBottom w:val="0"/>
      <w:divBdr>
        <w:top w:val="none" w:sz="0" w:space="0" w:color="auto"/>
        <w:left w:val="none" w:sz="0" w:space="0" w:color="auto"/>
        <w:bottom w:val="none" w:sz="0" w:space="0" w:color="auto"/>
        <w:right w:val="none" w:sz="0" w:space="0" w:color="auto"/>
      </w:divBdr>
    </w:div>
    <w:div w:id="2123183401">
      <w:bodyDiv w:val="1"/>
      <w:marLeft w:val="0"/>
      <w:marRight w:val="0"/>
      <w:marTop w:val="0"/>
      <w:marBottom w:val="0"/>
      <w:divBdr>
        <w:top w:val="none" w:sz="0" w:space="0" w:color="auto"/>
        <w:left w:val="none" w:sz="0" w:space="0" w:color="auto"/>
        <w:bottom w:val="none" w:sz="0" w:space="0" w:color="auto"/>
        <w:right w:val="none" w:sz="0" w:space="0" w:color="auto"/>
      </w:divBdr>
    </w:div>
    <w:div w:id="2138794642">
      <w:bodyDiv w:val="1"/>
      <w:marLeft w:val="0"/>
      <w:marRight w:val="0"/>
      <w:marTop w:val="0"/>
      <w:marBottom w:val="0"/>
      <w:divBdr>
        <w:top w:val="none" w:sz="0" w:space="0" w:color="auto"/>
        <w:left w:val="none" w:sz="0" w:space="0" w:color="auto"/>
        <w:bottom w:val="none" w:sz="0" w:space="0" w:color="auto"/>
        <w:right w:val="none" w:sz="0" w:space="0" w:color="auto"/>
      </w:divBdr>
    </w:div>
    <w:div w:id="214422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ejodetransparencia.es/ct_Home/comunicacion/actualidad/hemeroteca/2017/04/20170419.html" TargetMode="External"/><Relationship Id="rId18" Type="http://schemas.openxmlformats.org/officeDocument/2006/relationships/hyperlink" Target="http://www.consejodetransparencia.es/ct_Home/Actividad/memorias_planes/memorias.html" TargetMode="External"/><Relationship Id="rId26" Type="http://schemas.openxmlformats.org/officeDocument/2006/relationships/image" Target="media/image6.png"/><Relationship Id="rId39" Type="http://schemas.openxmlformats.org/officeDocument/2006/relationships/hyperlink" Target="http://www.exteriores.gob.es/Portal/es/Paginas/inicio.aspx" TargetMode="External"/><Relationship Id="rId21" Type="http://schemas.openxmlformats.org/officeDocument/2006/relationships/image" Target="media/image4.png"/><Relationship Id="rId34" Type="http://schemas.openxmlformats.org/officeDocument/2006/relationships/hyperlink" Target="http://transparencia.gob.es/transparencia/transparencia_Home/index/ministerios.html?cookies=OK" TargetMode="External"/><Relationship Id="rId42" Type="http://schemas.openxmlformats.org/officeDocument/2006/relationships/image" Target="media/image14.png"/><Relationship Id="rId47" Type="http://schemas.openxmlformats.org/officeDocument/2006/relationships/image" Target="media/image16.jpeg"/><Relationship Id="rId50" Type="http://schemas.openxmlformats.org/officeDocument/2006/relationships/hyperlink" Target="http://transparencia.gob.es/transparencia/transparencia_Home/index/categorias/Contratos-convenios-subvenciones-bienesinmuebles/Estadisticas-contratos.html" TargetMode="External"/><Relationship Id="rId55" Type="http://schemas.openxmlformats.org/officeDocument/2006/relationships/image" Target="media/image19.png"/><Relationship Id="rId63" Type="http://schemas.openxmlformats.org/officeDocument/2006/relationships/hyperlink" Target="http://www.minhafp.gob.es/es-ES/El%20Ministerio/Paginas/Organigrama/default.aspx" TargetMode="External"/><Relationship Id="rId68" Type="http://schemas.openxmlformats.org/officeDocument/2006/relationships/hyperlink" Target="http://www.empleo.gob.es/es/mundo/index.htm" TargetMode="External"/><Relationship Id="rId76" Type="http://schemas.openxmlformats.org/officeDocument/2006/relationships/hyperlink" Target="https://www.msssi.gob.es/organizacion/ministerio/directorio/home.htm" TargetMode="External"/><Relationship Id="rId7" Type="http://schemas.openxmlformats.org/officeDocument/2006/relationships/endnotes" Target="endnotes.xml"/><Relationship Id="rId71" Type="http://schemas.openxmlformats.org/officeDocument/2006/relationships/hyperlink" Target="http://www.chj.es/es-es/Organismo/normativa/Paginas/Normativa.aspx" TargetMode="External"/><Relationship Id="rId2" Type="http://schemas.openxmlformats.org/officeDocument/2006/relationships/numbering" Target="numbering.xml"/><Relationship Id="rId16" Type="http://schemas.openxmlformats.org/officeDocument/2006/relationships/hyperlink" Target="http://transparencia.gob.es/es_ES/" TargetMode="External"/><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hyperlink" Target="http://administracion.gob.es/" TargetMode="External"/><Relationship Id="rId32" Type="http://schemas.openxmlformats.org/officeDocument/2006/relationships/image" Target="media/image11.png"/><Relationship Id="rId37" Type="http://schemas.openxmlformats.org/officeDocument/2006/relationships/hyperlink" Target="http://www.seat.mpr.gob.es/portal/index.html" TargetMode="External"/><Relationship Id="rId40" Type="http://schemas.openxmlformats.org/officeDocument/2006/relationships/hyperlink" Target="http://www.exteriores.gob.es/Portal/es/ServiciosAlCiudadano/Paginas/inicio.aspx" TargetMode="External"/><Relationship Id="rId45" Type="http://schemas.openxmlformats.org/officeDocument/2006/relationships/hyperlink" Target="http://www.boe.es/" TargetMode="External"/><Relationship Id="rId53" Type="http://schemas.openxmlformats.org/officeDocument/2006/relationships/hyperlink" Target="http://transparencia.gob.es/transparencia/transparencia_Home/index/Derecho-de-acceso-a-la-informacion-publica/Solicite-informacion.html" TargetMode="External"/><Relationship Id="rId58" Type="http://schemas.openxmlformats.org/officeDocument/2006/relationships/image" Target="media/image22.png"/><Relationship Id="rId66" Type="http://schemas.openxmlformats.org/officeDocument/2006/relationships/hyperlink" Target="https://www.mecd.gob.es/ministerio-mecd/organizacion/organismos.html" TargetMode="External"/><Relationship Id="rId74" Type="http://schemas.openxmlformats.org/officeDocument/2006/relationships/hyperlink" Target="http://www.icex.es/icex/es/navegacion-principal/todos-nuestros-servicios/informacion-de-mercados/paises/mapa/index.htm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mjusticia.gob.es/cs/Satellite/Portal/es/ministerio/organismos-entidades" TargetMode="External"/><Relationship Id="rId10" Type="http://schemas.openxmlformats.org/officeDocument/2006/relationships/header" Target="header2.xml"/><Relationship Id="rId19" Type="http://schemas.openxmlformats.org/officeDocument/2006/relationships/hyperlink" Target="http://transparencia.gob.es/transparencia/transparencia_Home/index/MasSobreTransparencia/El-portal-en-cifras.html" TargetMode="External"/><Relationship Id="rId31" Type="http://schemas.openxmlformats.org/officeDocument/2006/relationships/image" Target="media/image10.png"/><Relationship Id="rId44" Type="http://schemas.openxmlformats.org/officeDocument/2006/relationships/hyperlink" Target="http://www.boe.es/" TargetMode="External"/><Relationship Id="rId52" Type="http://schemas.openxmlformats.org/officeDocument/2006/relationships/image" Target="media/image17.jpeg"/><Relationship Id="rId60" Type="http://schemas.openxmlformats.org/officeDocument/2006/relationships/hyperlink" Target="http://www.exteriores.gob.es/Portal/es/Ministerio/FuncionesEstructura/Paginas/OrganismosVinculados.aspx" TargetMode="External"/><Relationship Id="rId65" Type="http://schemas.openxmlformats.org/officeDocument/2006/relationships/hyperlink" Target="https://www.fomento.gob.es/MFOM/LANG_CASTELLANO/INFORMACION_MFOM/ORGANIZACION_Y_FUNCIONES/" TargetMode="External"/><Relationship Id="rId73" Type="http://schemas.openxmlformats.org/officeDocument/2006/relationships/hyperlink" Target="http://www.idi.mineco.gob.es/portal/site/MICINN/menuitem.7eeac5cd345b4f34f09dfd1001432ea0/?vgnextoid=2e4a44cb71b72210VgnVCM1000001d04140aRCRD" TargetMode="Externa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lamoncloa.gob.es/Paginas/index.aspx" TargetMode="Externa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hyperlink" Target="http://transparencia.gob.es/transparencia/transparencia_Home/index/ministerios/M-Asuntos-Exteriores.html" TargetMode="External"/><Relationship Id="rId43" Type="http://schemas.openxmlformats.org/officeDocument/2006/relationships/image" Target="media/image15.png"/><Relationship Id="rId48" Type="http://schemas.openxmlformats.org/officeDocument/2006/relationships/hyperlink" Target="http://transparencia.gob.es/transparencia/transparencia_Home/index/categorias/Contratos-convenios-subvenciones-bienesinmuebles/Estadisticas-contratos.html" TargetMode="External"/><Relationship Id="rId56" Type="http://schemas.openxmlformats.org/officeDocument/2006/relationships/image" Target="media/image20.png"/><Relationship Id="rId64" Type="http://schemas.openxmlformats.org/officeDocument/2006/relationships/hyperlink" Target="http://www.interior.gob.es/el-ministerio/organigrama" TargetMode="External"/><Relationship Id="rId69" Type="http://schemas.openxmlformats.org/officeDocument/2006/relationships/hyperlink" Target="http://www.minetad.gob.es/es-ES/Organizacion/Paginas/Organizacion.aspx"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rpc.minhap.es/informes/informes2015/Estado/Contratos2015-Estado-Importes-Porcentajes.htm" TargetMode="External"/><Relationship Id="rId72" Type="http://schemas.openxmlformats.org/officeDocument/2006/relationships/hyperlink" Target="http://www.mpr.gob.es/mpr/organismospublicos/Paginas/index.aspx" TargetMode="External"/><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hyperlink" Target="http://www.seat.mpr.gob.es/portal/delegaciones_gobierno/delegaciones.html" TargetMode="External"/><Relationship Id="rId46" Type="http://schemas.openxmlformats.org/officeDocument/2006/relationships/hyperlink" Target="http://www.aeval.es/es/la_agencia/carta_de_servicios/index.html" TargetMode="External"/><Relationship Id="rId59" Type="http://schemas.openxmlformats.org/officeDocument/2006/relationships/image" Target="media/image23.jpeg"/><Relationship Id="rId67" Type="http://schemas.openxmlformats.org/officeDocument/2006/relationships/hyperlink" Target="http://www.empleo.gob.es/es/organizacion/index.htm" TargetMode="External"/><Relationship Id="rId20" Type="http://schemas.openxmlformats.org/officeDocument/2006/relationships/hyperlink" Target="http://transparencia.gob.es/transparencia/dam/jcr:55cb7e3b-ca95-451e-b37a-d581be342213/2017_04_30_Boletin_Portal_en_cifras.pdf" TargetMode="External"/><Relationship Id="rId41" Type="http://schemas.openxmlformats.org/officeDocument/2006/relationships/hyperlink" Target="http://www.icex.es/icex/es/navegacion-principal/todos-nuestros-servicios/informacion-de-mercados/paises/mapa/index.html" TargetMode="External"/><Relationship Id="rId54" Type="http://schemas.openxmlformats.org/officeDocument/2006/relationships/image" Target="media/image18.png"/><Relationship Id="rId62" Type="http://schemas.openxmlformats.org/officeDocument/2006/relationships/hyperlink" Target="http://www.defensa.gob.es/ministerio/organigrama/" TargetMode="External"/><Relationship Id="rId70" Type="http://schemas.openxmlformats.org/officeDocument/2006/relationships/hyperlink" Target="http://www.mapama.gob.es/es/ministerio/funciones-estructura/organizacion-organismos/" TargetMode="External"/><Relationship Id="rId75" Type="http://schemas.openxmlformats.org/officeDocument/2006/relationships/hyperlink" Target="http://serviciosede.mineco.gob.es/inde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datos.gob.es/" TargetMode="External"/><Relationship Id="rId28" Type="http://schemas.openxmlformats.org/officeDocument/2006/relationships/hyperlink" Target="https://twitter.com/transparencia_e" TargetMode="External"/><Relationship Id="rId36" Type="http://schemas.openxmlformats.org/officeDocument/2006/relationships/image" Target="media/image13.png"/><Relationship Id="rId49" Type="http://schemas.openxmlformats.org/officeDocument/2006/relationships/hyperlink" Target="http://transparencia.gob.es/transparencia/transparencia_Home/index/categorias/Contratos-convenios-subvenciones-bienesinmuebles/Estadisticas-contratos.html" TargetMode="External"/><Relationship Id="rId57"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dE Neue Helvetica">
    <w:altName w:val="Bold ENeue Helvetica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Lato Heavy">
    <w:altName w:val="Lato Heavy"/>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05865"/>
    <w:rsid w:val="00005865"/>
    <w:rsid w:val="0021774B"/>
    <w:rsid w:val="00FE153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53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673A874C96A461B857E38AE57099FCC">
    <w:name w:val="4673A874C96A461B857E38AE57099FCC"/>
    <w:rsid w:val="00005865"/>
  </w:style>
  <w:style w:type="paragraph" w:customStyle="1" w:styleId="E15F1F2C0FF14E95BBC6FD316F232F15">
    <w:name w:val="E15F1F2C0FF14E95BBC6FD316F232F15"/>
    <w:rsid w:val="00005865"/>
  </w:style>
  <w:style w:type="paragraph" w:customStyle="1" w:styleId="279AD74B383F484EB934F66814227542">
    <w:name w:val="279AD74B383F484EB934F66814227542"/>
    <w:rsid w:val="00005865"/>
  </w:style>
  <w:style w:type="paragraph" w:customStyle="1" w:styleId="DD3BCFCC4F29465A8DB963FD4CE22D14">
    <w:name w:val="DD3BCFCC4F29465A8DB963FD4CE22D14"/>
    <w:rsid w:val="00005865"/>
  </w:style>
  <w:style w:type="paragraph" w:customStyle="1" w:styleId="0F096D1D5FCB44D78C120E4951EBCC9A">
    <w:name w:val="0F096D1D5FCB44D78C120E4951EBCC9A"/>
    <w:rsid w:val="00005865"/>
  </w:style>
  <w:style w:type="paragraph" w:customStyle="1" w:styleId="7577BC8B60AC4B0DA8535D5BF2DB49A0">
    <w:name w:val="7577BC8B60AC4B0DA8535D5BF2DB49A0"/>
    <w:rsid w:val="00005865"/>
  </w:style>
  <w:style w:type="paragraph" w:customStyle="1" w:styleId="CC2DE5201F7E4E1B87BA1693A50B8891">
    <w:name w:val="CC2DE5201F7E4E1B87BA1693A50B8891"/>
    <w:rsid w:val="00005865"/>
  </w:style>
  <w:style w:type="paragraph" w:customStyle="1" w:styleId="3E33DEA7790C4A1F861A53B3F46B6DFB">
    <w:name w:val="3E33DEA7790C4A1F861A53B3F46B6DFB"/>
    <w:rsid w:val="00005865"/>
  </w:style>
  <w:style w:type="paragraph" w:customStyle="1" w:styleId="D10C98A2E1FA4A3FB3266D1A82DC9FBC">
    <w:name w:val="D10C98A2E1FA4A3FB3266D1A82DC9FBC"/>
    <w:rsid w:val="00005865"/>
  </w:style>
  <w:style w:type="paragraph" w:customStyle="1" w:styleId="B8902D21F8714700BBB188E9FB8856F2">
    <w:name w:val="B8902D21F8714700BBB188E9FB8856F2"/>
    <w:rsid w:val="00005865"/>
  </w:style>
  <w:style w:type="paragraph" w:customStyle="1" w:styleId="126464A020D74C28876578CCC38B7591">
    <w:name w:val="126464A020D74C28876578CCC38B7591"/>
    <w:rsid w:val="00005865"/>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Concurrencia">
  <a:themeElements>
    <a:clrScheme name="Concurrenci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Concurrencia">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Concurrencia">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AFF0257-01D4-461B-85D7-A18F56527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70349</Words>
  <Characters>386923</Characters>
  <Application>Microsoft Office Word</Application>
  <DocSecurity>0</DocSecurity>
  <Lines>3224</Lines>
  <Paragraphs>912</Paragraphs>
  <ScaleCrop>false</ScaleCrop>
  <HeadingPairs>
    <vt:vector size="2" baseType="variant">
      <vt:variant>
        <vt:lpstr>Título</vt:lpstr>
      </vt:variant>
      <vt:variant>
        <vt:i4>1</vt:i4>
      </vt:variant>
    </vt:vector>
  </HeadingPairs>
  <TitlesOfParts>
    <vt:vector size="1" baseType="lpstr">
      <vt:lpstr>Portal de la Transparencia de la AGE</vt:lpstr>
    </vt:vector>
  </TitlesOfParts>
  <Company>DSIC</Company>
  <LinksUpToDate>false</LinksUpToDate>
  <CharactersWithSpaces>456360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Portal de la Transparencia de la AGE</dc:title>
  <dc:subject>Informe de evaluación del cumplimiento de la Ley de transparencia</dc:subject>
  <dc:creator>Julio, 2017</dc:creator>
  <cp:lastModifiedBy>FJAD</cp:lastModifiedBy>
  <cp:revision>2</cp:revision>
  <cp:lastPrinted>2017-12-12T08:01:00Z</cp:lastPrinted>
  <dcterms:created xsi:type="dcterms:W3CDTF">2018-03-16T09:34:00Z</dcterms:created>
  <dcterms:modified xsi:type="dcterms:W3CDTF">2018-03-16T09:34:00Z</dcterms:modified>
</cp:coreProperties>
</file>